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DF09"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2F7A4D6A" w14:textId="77777777" w:rsidR="00797624" w:rsidRDefault="00797624" w:rsidP="00105D8B">
      <w:pPr>
        <w:contextualSpacing/>
        <w:rPr>
          <w:rFonts w:cstheme="minorHAnsi"/>
          <w:b/>
          <w:noProof/>
        </w:rPr>
      </w:pPr>
    </w:p>
    <w:p w14:paraId="01F899C7"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5D610B">
            <w:rPr>
              <w:rStyle w:val="Style1"/>
            </w:rPr>
            <w:t>3309</w:t>
          </w:r>
        </w:sdtContent>
      </w:sdt>
    </w:p>
    <w:p w14:paraId="39301899" w14:textId="264702AB"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431365091"/>
              <w:placeholder>
                <w:docPart w:val="0151B3A7C290473FA22D48B3E63695CF"/>
              </w:placeholder>
            </w:sdtPr>
            <w:sdtEndPr>
              <w:rPr>
                <w:rStyle w:val="DefaultParagraphFont"/>
                <w:noProof/>
                <w:color w:val="auto"/>
              </w:rPr>
            </w:sdtEndPr>
            <w:sdtContent>
              <w:r w:rsidR="00E82E25">
                <w:rPr>
                  <w:rStyle w:val="Style1"/>
                  <w:rFonts w:cstheme="minorHAnsi"/>
                </w:rPr>
                <w:t>Risk-Standardized Survival Rate for In-Hospital Cardiac Arrest</w:t>
              </w:r>
            </w:sdtContent>
          </w:sdt>
        </w:sdtContent>
      </w:sdt>
    </w:p>
    <w:p w14:paraId="052C6CFF" w14:textId="3548DB13"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8-01T00:00:00Z">
            <w:dateFormat w:val="M/d/yyyy"/>
            <w:lid w:val="en-US"/>
            <w:storeMappedDataAs w:val="dateTime"/>
            <w:calendar w:val="gregorian"/>
          </w:date>
        </w:sdtPr>
        <w:sdtEndPr>
          <w:rPr>
            <w:rStyle w:val="DefaultParagraphFont"/>
            <w:noProof/>
            <w:color w:val="auto"/>
            <w:u w:val="none"/>
          </w:rPr>
        </w:sdtEndPr>
        <w:sdtContent>
          <w:r w:rsidR="0031553D">
            <w:rPr>
              <w:rStyle w:val="Style2"/>
              <w:rFonts w:cstheme="minorHAnsi"/>
            </w:rPr>
            <w:t>8/1/2018</w:t>
          </w:r>
        </w:sdtContent>
      </w:sdt>
    </w:p>
    <w:p w14:paraId="145E1ABA"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1A62036C" w14:textId="77777777" w:rsidTr="000B7D57">
        <w:trPr>
          <w:jc w:val="center"/>
        </w:trPr>
        <w:tc>
          <w:tcPr>
            <w:tcW w:w="2513" w:type="pct"/>
          </w:tcPr>
          <w:p w14:paraId="79340BDD" w14:textId="3370B780" w:rsidR="000B7D57" w:rsidRPr="00C775CE" w:rsidRDefault="00524AAC"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E82E25">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5CB80343" w14:textId="28AC6A2B" w:rsidR="000B7D57" w:rsidRPr="00C775CE" w:rsidRDefault="00524AA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00789CF" w14:textId="77777777" w:rsidTr="000B7D57">
        <w:trPr>
          <w:jc w:val="center"/>
        </w:trPr>
        <w:tc>
          <w:tcPr>
            <w:tcW w:w="2513" w:type="pct"/>
          </w:tcPr>
          <w:p w14:paraId="3D2A1728" w14:textId="6812A676" w:rsidR="000B7D57" w:rsidRPr="00C775CE" w:rsidRDefault="00524AA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12C739F8" w14:textId="45461FAE" w:rsidR="000B7D57" w:rsidRPr="00C775CE" w:rsidRDefault="00524AA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654A8E5D" w14:textId="77777777" w:rsidTr="000B7D57">
        <w:trPr>
          <w:jc w:val="center"/>
        </w:trPr>
        <w:tc>
          <w:tcPr>
            <w:tcW w:w="2513" w:type="pct"/>
          </w:tcPr>
          <w:p w14:paraId="3C3E6BD8" w14:textId="7C1AC540" w:rsidR="000B7D57" w:rsidRPr="00C775CE" w:rsidRDefault="00524AAC"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41BC064D" w14:textId="06E7E90E" w:rsidR="000B7D57" w:rsidRPr="00C775CE" w:rsidRDefault="00524AA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69462B68" w14:textId="77777777" w:rsidTr="000B7D57">
        <w:trPr>
          <w:jc w:val="center"/>
        </w:trPr>
        <w:tc>
          <w:tcPr>
            <w:tcW w:w="2513" w:type="pct"/>
          </w:tcPr>
          <w:p w14:paraId="7844702E" w14:textId="5D837C47" w:rsidR="000B7D57" w:rsidRPr="00C775CE" w:rsidRDefault="00524AA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74909237" w14:textId="77777777" w:rsidR="000B7D57" w:rsidRDefault="000B7D57" w:rsidP="00CD364B">
            <w:pPr>
              <w:autoSpaceDE w:val="0"/>
              <w:autoSpaceDN w:val="0"/>
              <w:adjustRightInd w:val="0"/>
              <w:rPr>
                <w:rFonts w:cstheme="minorHAnsi"/>
                <w:bCs/>
                <w:color w:val="0000FF"/>
              </w:rPr>
            </w:pPr>
          </w:p>
        </w:tc>
      </w:tr>
    </w:tbl>
    <w:p w14:paraId="43FC367B"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43298A46" w14:textId="77777777" w:rsidTr="00145149">
        <w:trPr>
          <w:jc w:val="center"/>
        </w:trPr>
        <w:tc>
          <w:tcPr>
            <w:tcW w:w="9576" w:type="dxa"/>
          </w:tcPr>
          <w:p w14:paraId="3DC2F6A2" w14:textId="77777777" w:rsidR="00B53E8B" w:rsidRPr="00B53E8B" w:rsidRDefault="00B53E8B" w:rsidP="00B53E8B">
            <w:pPr>
              <w:rPr>
                <w:rFonts w:cstheme="minorHAnsi"/>
                <w:b/>
                <w:noProof/>
              </w:rPr>
            </w:pPr>
            <w:r w:rsidRPr="00B53E8B">
              <w:rPr>
                <w:rFonts w:cstheme="minorHAnsi"/>
                <w:b/>
                <w:noProof/>
              </w:rPr>
              <w:t>Instructions</w:t>
            </w:r>
          </w:p>
          <w:p w14:paraId="7B7C788B"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71296893"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5C9DC7D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2C074C82"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2F0ED7D1"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77A366E"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686FB11" w14:textId="77777777"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135AA49A"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1769713A" w14:textId="77777777"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2BAA6EDB"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58DA1340" w14:textId="77777777" w:rsidTr="00145149">
        <w:trPr>
          <w:jc w:val="center"/>
        </w:trPr>
        <w:tc>
          <w:tcPr>
            <w:tcW w:w="9576" w:type="dxa"/>
          </w:tcPr>
          <w:p w14:paraId="446B8FB7" w14:textId="77777777"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6D75363F" w14:textId="77777777" w:rsidR="00B53E8B" w:rsidRPr="00A831B4" w:rsidRDefault="00B53E8B" w:rsidP="00702C73">
            <w:pPr>
              <w:rPr>
                <w:rFonts w:cstheme="minorHAnsi"/>
                <w:b/>
                <w:bCs/>
                <w:sz w:val="20"/>
                <w:szCs w:val="20"/>
              </w:rPr>
            </w:pPr>
          </w:p>
          <w:p w14:paraId="44AEF5C3"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71722D1" w14:textId="77777777" w:rsidR="00145149" w:rsidRPr="000F034A" w:rsidRDefault="00145149" w:rsidP="00145149">
            <w:pPr>
              <w:autoSpaceDE w:val="0"/>
              <w:autoSpaceDN w:val="0"/>
              <w:adjustRightInd w:val="0"/>
              <w:rPr>
                <w:rFonts w:cstheme="minorHAnsi"/>
                <w:b/>
                <w:iCs/>
              </w:rPr>
            </w:pPr>
          </w:p>
          <w:p w14:paraId="1D9F71C3" w14:textId="77777777"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8DC0469" w14:textId="77777777" w:rsidR="00145149" w:rsidRPr="000F034A" w:rsidRDefault="00145149" w:rsidP="00145149">
            <w:pPr>
              <w:rPr>
                <w:rFonts w:cstheme="minorHAnsi"/>
              </w:rPr>
            </w:pPr>
            <w:bookmarkStart w:id="0" w:name="_Toc256067249"/>
          </w:p>
          <w:p w14:paraId="7BA1D6F4" w14:textId="77777777"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AC0524B" w14:textId="77777777" w:rsidR="00145149" w:rsidRPr="000F034A" w:rsidRDefault="00145149" w:rsidP="00145149">
            <w:pPr>
              <w:rPr>
                <w:rFonts w:cstheme="minorHAnsi"/>
                <w:b/>
              </w:rPr>
            </w:pPr>
            <w:r w:rsidRPr="000F034A">
              <w:rPr>
                <w:rFonts w:cstheme="minorHAnsi"/>
                <w:b/>
              </w:rPr>
              <w:lastRenderedPageBreak/>
              <w:t xml:space="preserve">AND </w:t>
            </w:r>
          </w:p>
          <w:p w14:paraId="0F21C045"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CD9D350" w14:textId="77777777" w:rsidR="00145149" w:rsidRPr="000F034A" w:rsidRDefault="00145149" w:rsidP="00145149">
            <w:pPr>
              <w:rPr>
                <w:rFonts w:cstheme="minorHAnsi"/>
                <w:b/>
                <w:bCs/>
              </w:rPr>
            </w:pPr>
          </w:p>
          <w:p w14:paraId="6B8C5909" w14:textId="77777777"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2409839"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31C7031" w14:textId="77777777" w:rsidR="00145149" w:rsidRPr="000F034A" w:rsidRDefault="00145149" w:rsidP="00145149">
            <w:pPr>
              <w:rPr>
                <w:rFonts w:cstheme="minorHAnsi"/>
                <w:b/>
              </w:rPr>
            </w:pPr>
            <w:r w:rsidRPr="000F034A">
              <w:rPr>
                <w:rFonts w:cstheme="minorHAnsi"/>
                <w:b/>
              </w:rPr>
              <w:t>OR</w:t>
            </w:r>
          </w:p>
          <w:p w14:paraId="7508C517"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C7E0A85" w14:textId="77777777" w:rsidR="00145149" w:rsidRPr="000F034A" w:rsidRDefault="00145149" w:rsidP="00145149">
            <w:pPr>
              <w:rPr>
                <w:rFonts w:cstheme="minorHAnsi"/>
                <w:b/>
                <w:bCs/>
              </w:rPr>
            </w:pPr>
          </w:p>
          <w:bookmarkEnd w:id="1"/>
          <w:p w14:paraId="3A667CBD" w14:textId="77777777"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8CC3235" w14:textId="77777777" w:rsidR="00145149" w:rsidRPr="000F034A" w:rsidRDefault="00145149" w:rsidP="00145149">
            <w:pPr>
              <w:rPr>
                <w:rFonts w:cstheme="minorHAnsi"/>
              </w:rPr>
            </w:pPr>
            <w:r w:rsidRPr="000F034A">
              <w:rPr>
                <w:rFonts w:cstheme="minorHAnsi"/>
                <w:b/>
              </w:rPr>
              <w:t>OR</w:t>
            </w:r>
          </w:p>
          <w:p w14:paraId="1CAEE30A"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7C48AA8E" w14:textId="77777777" w:rsidR="00145149" w:rsidRPr="000F034A" w:rsidRDefault="00145149" w:rsidP="00145149">
            <w:pPr>
              <w:rPr>
                <w:rFonts w:cstheme="minorHAnsi"/>
                <w:b/>
                <w:bCs/>
              </w:rPr>
            </w:pPr>
          </w:p>
          <w:p w14:paraId="0AC40512" w14:textId="77777777"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1D034434" w14:textId="77777777" w:rsidR="00E30584" w:rsidRPr="000F034A" w:rsidRDefault="00E30584" w:rsidP="00145149">
            <w:pPr>
              <w:rPr>
                <w:rFonts w:cstheme="minorHAnsi"/>
              </w:rPr>
            </w:pPr>
          </w:p>
          <w:p w14:paraId="215C4F5E" w14:textId="77777777"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6D5D7FC5" w14:textId="77777777" w:rsidR="00145149" w:rsidRPr="00A831B4" w:rsidRDefault="00145149" w:rsidP="00145149">
            <w:pPr>
              <w:rPr>
                <w:rFonts w:cstheme="minorHAnsi"/>
                <w:b/>
                <w:bCs/>
                <w:sz w:val="20"/>
                <w:szCs w:val="20"/>
              </w:rPr>
            </w:pPr>
          </w:p>
          <w:p w14:paraId="36FB925E"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C2AE5E8"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4C2D33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12EC2F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79FA8EF0"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C4A8E25" w14:textId="77777777"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733BD151"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1215DC9"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3817B233"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01C21A1" w14:textId="77777777" w:rsidR="000574AB" w:rsidRPr="00A25024" w:rsidRDefault="000574AB" w:rsidP="008A403A">
      <w:pPr>
        <w:spacing w:after="0" w:line="240" w:lineRule="auto"/>
        <w:rPr>
          <w:rFonts w:cstheme="minorHAnsi"/>
          <w:noProof/>
        </w:rPr>
      </w:pPr>
    </w:p>
    <w:p w14:paraId="5242BB75"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33D24175" w14:textId="77777777" w:rsidTr="0014773C">
        <w:trPr>
          <w:jc w:val="center"/>
        </w:trPr>
        <w:tc>
          <w:tcPr>
            <w:tcW w:w="5208" w:type="dxa"/>
            <w:shd w:val="clear" w:color="auto" w:fill="D9D9D9" w:themeFill="background1" w:themeFillShade="D9"/>
          </w:tcPr>
          <w:p w14:paraId="651E6A8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5AE95192"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43EB4566"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886DBC5" w14:textId="77777777" w:rsidTr="0014773C">
        <w:trPr>
          <w:jc w:val="center"/>
        </w:trPr>
        <w:tc>
          <w:tcPr>
            <w:tcW w:w="5208" w:type="dxa"/>
          </w:tcPr>
          <w:p w14:paraId="2425F275" w14:textId="69E7900F" w:rsidR="00A01494" w:rsidRPr="00A01494" w:rsidRDefault="00524AA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5ED33AE2" w14:textId="6DEC3ECC" w:rsidR="00A01494" w:rsidRPr="00A01494" w:rsidRDefault="00524AA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7D290590" w14:textId="77777777" w:rsidTr="0014773C">
        <w:trPr>
          <w:jc w:val="center"/>
        </w:trPr>
        <w:tc>
          <w:tcPr>
            <w:tcW w:w="5208" w:type="dxa"/>
          </w:tcPr>
          <w:p w14:paraId="18AA1572" w14:textId="3017E681" w:rsidR="00A01494" w:rsidRPr="000F1B7A" w:rsidRDefault="00524AAC"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50057A13" w14:textId="19179C18" w:rsidR="00A01494" w:rsidRPr="000F1B7A" w:rsidRDefault="00524AAC"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48931569" w14:textId="77777777" w:rsidTr="0014773C">
        <w:trPr>
          <w:jc w:val="center"/>
        </w:trPr>
        <w:tc>
          <w:tcPr>
            <w:tcW w:w="5208" w:type="dxa"/>
          </w:tcPr>
          <w:p w14:paraId="29C75D46" w14:textId="32B6DAF0" w:rsidR="00A01494" w:rsidRPr="000F1B7A" w:rsidRDefault="00524AAC"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E82E2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605218ED" w14:textId="65CEAC06" w:rsidR="00A01494" w:rsidRPr="000F1B7A" w:rsidRDefault="00524AAC"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E82E2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67E9F7DE" w14:textId="77777777" w:rsidTr="0014773C">
        <w:trPr>
          <w:jc w:val="center"/>
        </w:trPr>
        <w:tc>
          <w:tcPr>
            <w:tcW w:w="5208" w:type="dxa"/>
          </w:tcPr>
          <w:p w14:paraId="4DA94AC4" w14:textId="6805EE97" w:rsidR="00A01494" w:rsidRPr="000F1B7A" w:rsidRDefault="00524AA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72A61113" w14:textId="0C94C4D5" w:rsidR="00A01494" w:rsidRPr="000F1B7A" w:rsidRDefault="00524AA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7A68557D" w14:textId="77777777" w:rsidTr="0014773C">
        <w:trPr>
          <w:jc w:val="center"/>
        </w:trPr>
        <w:tc>
          <w:tcPr>
            <w:tcW w:w="5208" w:type="dxa"/>
          </w:tcPr>
          <w:p w14:paraId="15D6E421" w14:textId="6951378E" w:rsidR="00A01494" w:rsidRPr="000F1B7A" w:rsidRDefault="00524AA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6FFA8FB7" w14:textId="22CAB7F6" w:rsidR="00A01494" w:rsidRPr="000F1B7A" w:rsidRDefault="00524AA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3F38035" w14:textId="77777777" w:rsidTr="0014773C">
        <w:trPr>
          <w:jc w:val="center"/>
        </w:trPr>
        <w:tc>
          <w:tcPr>
            <w:tcW w:w="5208" w:type="dxa"/>
          </w:tcPr>
          <w:p w14:paraId="0FA49FEA" w14:textId="10A8F949" w:rsidR="00A01494" w:rsidRPr="000F1B7A" w:rsidRDefault="00524AA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39977F18" w14:textId="654EAD43" w:rsidR="00A01494" w:rsidRPr="000F1B7A" w:rsidRDefault="00524AA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2F8A257B" w14:textId="77777777" w:rsidR="00E82E25" w:rsidRDefault="00E82E25" w:rsidP="00DB3627">
      <w:pPr>
        <w:autoSpaceDE w:val="0"/>
        <w:autoSpaceDN w:val="0"/>
        <w:adjustRightInd w:val="0"/>
        <w:spacing w:after="0" w:line="240" w:lineRule="auto"/>
        <w:rPr>
          <w:rFonts w:cstheme="minorHAnsi"/>
          <w:b/>
          <w:bCs/>
        </w:rPr>
      </w:pPr>
    </w:p>
    <w:p w14:paraId="61CCAA4F" w14:textId="77777777" w:rsidR="004A2A5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3AE959C" w14:textId="56E95810" w:rsidR="004A2A59" w:rsidRPr="001E3FE8" w:rsidRDefault="004A2A59" w:rsidP="004A2A59">
      <w:pPr>
        <w:shd w:val="clear" w:color="auto" w:fill="FFFFFF"/>
        <w:spacing w:after="0" w:line="240" w:lineRule="auto"/>
        <w:rPr>
          <w:rFonts w:eastAsia="Times New Roman" w:cstheme="minorHAnsi"/>
          <w:color w:val="0000FF"/>
        </w:rPr>
      </w:pPr>
      <w:r w:rsidRPr="001E3FE8">
        <w:rPr>
          <w:rFonts w:eastAsia="Times New Roman" w:cstheme="minorHAnsi"/>
          <w:color w:val="0000FF"/>
        </w:rPr>
        <w:t>Get With The Guidelines</w:t>
      </w:r>
      <w:r w:rsidRPr="001E3FE8">
        <w:rPr>
          <w:rFonts w:eastAsia="Times New Roman" w:cstheme="minorHAnsi"/>
          <w:color w:val="0000FF"/>
          <w:vertAlign w:val="superscript"/>
        </w:rPr>
        <w:t>®</w:t>
      </w:r>
      <w:r w:rsidRPr="001E3FE8">
        <w:rPr>
          <w:rFonts w:eastAsia="Times New Roman" w:cstheme="minorHAnsi"/>
          <w:color w:val="0000FF"/>
        </w:rPr>
        <w:t>-Resuscitation has its roots in the American Heart Association's National Registry of Cardiopulmonary Resuscitation (NRCPR)</w:t>
      </w:r>
      <w:r w:rsidR="00BB3031">
        <w:rPr>
          <w:rFonts w:eastAsia="Times New Roman" w:cstheme="minorHAnsi"/>
          <w:color w:val="0000FF"/>
        </w:rPr>
        <w:t xml:space="preserve">.  NRCPR was </w:t>
      </w:r>
      <w:r w:rsidRPr="001E3FE8">
        <w:rPr>
          <w:rFonts w:eastAsia="Times New Roman" w:cstheme="minorHAnsi"/>
          <w:color w:val="0000FF"/>
        </w:rPr>
        <w:t xml:space="preserve">started in 1999 to collect resuscitation data from hospitals nationwide and create evidence-based guidelines for inpatient </w:t>
      </w:r>
      <w:r w:rsidR="00147BB6">
        <w:rPr>
          <w:rFonts w:eastAsia="Times New Roman" w:cstheme="minorHAnsi"/>
          <w:color w:val="0000FF"/>
        </w:rPr>
        <w:t>cardiac arrests</w:t>
      </w:r>
      <w:r w:rsidRPr="001E3FE8">
        <w:rPr>
          <w:rFonts w:eastAsia="Times New Roman" w:cstheme="minorHAnsi"/>
          <w:color w:val="0000FF"/>
        </w:rPr>
        <w:t>.</w:t>
      </w:r>
      <w:r w:rsidR="00BB3031">
        <w:rPr>
          <w:rFonts w:eastAsia="Times New Roman" w:cstheme="minorHAnsi"/>
          <w:color w:val="0000FF"/>
        </w:rPr>
        <w:t xml:space="preserve">  </w:t>
      </w:r>
      <w:r w:rsidRPr="001E3FE8">
        <w:rPr>
          <w:rFonts w:eastAsia="Times New Roman" w:cstheme="minorHAnsi"/>
          <w:color w:val="0000FF"/>
        </w:rPr>
        <w:t xml:space="preserve">In 2010, the program was incorporated into Get With The Guidelines and enhanced to provide additional resources, tools and benefits, </w:t>
      </w:r>
      <w:r w:rsidR="00830911">
        <w:rPr>
          <w:rFonts w:eastAsia="Times New Roman" w:cstheme="minorHAnsi"/>
          <w:color w:val="0000FF"/>
        </w:rPr>
        <w:t>and now includes the following</w:t>
      </w:r>
      <w:r w:rsidRPr="001E3FE8">
        <w:rPr>
          <w:rFonts w:eastAsia="Times New Roman" w:cstheme="minorHAnsi"/>
          <w:color w:val="0000FF"/>
        </w:rPr>
        <w:t>:</w:t>
      </w:r>
    </w:p>
    <w:p w14:paraId="51280D90" w14:textId="77777777" w:rsidR="00A949EB" w:rsidRPr="00A949EB" w:rsidRDefault="00A949EB" w:rsidP="00A949EB">
      <w:pPr>
        <w:numPr>
          <w:ilvl w:val="0"/>
          <w:numId w:val="30"/>
        </w:numPr>
        <w:shd w:val="clear" w:color="auto" w:fill="FFFFFF"/>
        <w:spacing w:before="100" w:beforeAutospacing="1" w:after="100" w:afterAutospacing="1" w:line="240" w:lineRule="auto"/>
        <w:rPr>
          <w:rFonts w:eastAsia="Times New Roman" w:cstheme="minorHAnsi"/>
          <w:color w:val="0000FF"/>
        </w:rPr>
      </w:pPr>
      <w:r w:rsidRPr="00A949EB">
        <w:rPr>
          <w:rFonts w:eastAsia="Times New Roman" w:cstheme="minorHAnsi"/>
          <w:color w:val="0000FF"/>
        </w:rPr>
        <w:t>performance of comparison with hospitals</w:t>
      </w:r>
    </w:p>
    <w:p w14:paraId="089D2A61" w14:textId="77777777" w:rsidR="00A949EB" w:rsidRPr="00A949EB" w:rsidRDefault="00A949EB" w:rsidP="00A949EB">
      <w:pPr>
        <w:numPr>
          <w:ilvl w:val="0"/>
          <w:numId w:val="30"/>
        </w:numPr>
        <w:shd w:val="clear" w:color="auto" w:fill="FFFFFF"/>
        <w:spacing w:before="100" w:beforeAutospacing="1" w:after="100" w:afterAutospacing="1" w:line="240" w:lineRule="auto"/>
        <w:rPr>
          <w:rFonts w:eastAsia="Times New Roman" w:cstheme="minorHAnsi"/>
          <w:color w:val="0000FF"/>
        </w:rPr>
      </w:pPr>
      <w:r w:rsidRPr="00A949EB">
        <w:rPr>
          <w:rFonts w:eastAsia="Times New Roman" w:cstheme="minorHAnsi"/>
          <w:color w:val="0000FF"/>
        </w:rPr>
        <w:t>reduction of noncompliance and medical errors through data-driven peer review</w:t>
      </w:r>
    </w:p>
    <w:p w14:paraId="106F6F48" w14:textId="77777777" w:rsidR="00A949EB" w:rsidRPr="00A949EB" w:rsidRDefault="00A949EB" w:rsidP="00A949EB">
      <w:pPr>
        <w:numPr>
          <w:ilvl w:val="0"/>
          <w:numId w:val="30"/>
        </w:numPr>
        <w:shd w:val="clear" w:color="auto" w:fill="FFFFFF"/>
        <w:spacing w:before="100" w:beforeAutospacing="1" w:after="100" w:afterAutospacing="1" w:line="240" w:lineRule="auto"/>
        <w:rPr>
          <w:rFonts w:eastAsia="Times New Roman" w:cstheme="minorHAnsi"/>
          <w:color w:val="0000FF"/>
        </w:rPr>
      </w:pPr>
      <w:r w:rsidRPr="00A949EB">
        <w:rPr>
          <w:rFonts w:eastAsia="Times New Roman" w:cstheme="minorHAnsi"/>
          <w:color w:val="0000FF"/>
        </w:rPr>
        <w:t>web-based data collection to fulfill Joint Commission standards and other requirements</w:t>
      </w:r>
    </w:p>
    <w:p w14:paraId="1E0CDECC" w14:textId="77777777" w:rsidR="00A949EB" w:rsidRPr="00A949EB" w:rsidRDefault="00A949EB" w:rsidP="00A949EB">
      <w:pPr>
        <w:numPr>
          <w:ilvl w:val="0"/>
          <w:numId w:val="30"/>
        </w:numPr>
        <w:shd w:val="clear" w:color="auto" w:fill="FFFFFF"/>
        <w:spacing w:before="100" w:beforeAutospacing="1" w:after="100" w:afterAutospacing="1" w:line="240" w:lineRule="auto"/>
        <w:rPr>
          <w:rFonts w:eastAsia="Times New Roman" w:cstheme="minorHAnsi"/>
          <w:color w:val="0000FF"/>
        </w:rPr>
      </w:pPr>
      <w:r w:rsidRPr="00A949EB">
        <w:rPr>
          <w:rFonts w:eastAsia="Times New Roman" w:cstheme="minorHAnsi"/>
          <w:color w:val="0000FF"/>
        </w:rPr>
        <w:t>real-time assessment of resuscitation performance measures</w:t>
      </w:r>
    </w:p>
    <w:p w14:paraId="5BAE2D47" w14:textId="6F06173D"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identification of</w:t>
      </w:r>
      <w:r w:rsidR="00BB3031">
        <w:rPr>
          <w:rFonts w:eastAsia="Times New Roman" w:cstheme="minorHAnsi"/>
          <w:color w:val="0000FF"/>
        </w:rPr>
        <w:t xml:space="preserve"> quality</w:t>
      </w:r>
      <w:r w:rsidRPr="001E3FE8">
        <w:rPr>
          <w:rFonts w:eastAsia="Times New Roman" w:cstheme="minorHAnsi"/>
          <w:color w:val="0000FF"/>
        </w:rPr>
        <w:t xml:space="preserve"> improvement opportunities</w:t>
      </w:r>
    </w:p>
    <w:p w14:paraId="761F100D" w14:textId="77777777"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access to the most up-to-date research and scientific publications</w:t>
      </w:r>
    </w:p>
    <w:p w14:paraId="20B7A6FB" w14:textId="77777777"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professional education opportunities, such as workshops and webinars</w:t>
      </w:r>
    </w:p>
    <w:p w14:paraId="408DA028" w14:textId="77777777"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clinical tools and resources</w:t>
      </w:r>
    </w:p>
    <w:p w14:paraId="1446087C" w14:textId="77777777" w:rsidR="004A2A59" w:rsidRPr="001E3FE8" w:rsidRDefault="00BB3031"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Pr>
          <w:rFonts w:eastAsia="Times New Roman" w:cstheme="minorHAnsi"/>
          <w:color w:val="0000FF"/>
        </w:rPr>
        <w:t>quality improvement</w:t>
      </w:r>
      <w:r w:rsidRPr="001E3FE8">
        <w:rPr>
          <w:rFonts w:eastAsia="Times New Roman" w:cstheme="minorHAnsi"/>
          <w:color w:val="0000FF"/>
        </w:rPr>
        <w:t xml:space="preserve"> </w:t>
      </w:r>
      <w:r w:rsidR="004A2A59" w:rsidRPr="001E3FE8">
        <w:rPr>
          <w:rFonts w:eastAsia="Times New Roman" w:cstheme="minorHAnsi"/>
          <w:color w:val="0000FF"/>
        </w:rPr>
        <w:t>staff support</w:t>
      </w:r>
      <w:r>
        <w:rPr>
          <w:rFonts w:eastAsia="Times New Roman" w:cstheme="minorHAnsi"/>
          <w:color w:val="0000FF"/>
        </w:rPr>
        <w:t xml:space="preserve"> in AHA’s field offices</w:t>
      </w:r>
    </w:p>
    <w:p w14:paraId="5DC02A61" w14:textId="77777777"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a competitive advantage in the healthcare marketplace</w:t>
      </w:r>
    </w:p>
    <w:p w14:paraId="3026A0F5" w14:textId="77777777" w:rsidR="004A2A59" w:rsidRPr="001E3FE8" w:rsidRDefault="004A2A59" w:rsidP="004A2A59">
      <w:pPr>
        <w:numPr>
          <w:ilvl w:val="0"/>
          <w:numId w:val="30"/>
        </w:numPr>
        <w:shd w:val="clear" w:color="auto" w:fill="FFFFFF"/>
        <w:spacing w:before="100" w:beforeAutospacing="1" w:after="100" w:afterAutospacing="1" w:line="240" w:lineRule="auto"/>
        <w:rPr>
          <w:rFonts w:eastAsia="Times New Roman" w:cstheme="minorHAnsi"/>
          <w:color w:val="0000FF"/>
        </w:rPr>
      </w:pPr>
      <w:r w:rsidRPr="001E3FE8">
        <w:rPr>
          <w:rFonts w:eastAsia="Times New Roman" w:cstheme="minorHAnsi"/>
          <w:color w:val="0000FF"/>
        </w:rPr>
        <w:t>national and local recognition for hospital team program achievement</w:t>
      </w:r>
    </w:p>
    <w:p w14:paraId="41FCD9D7" w14:textId="77777777" w:rsidR="009E1846" w:rsidRPr="004A2A59" w:rsidRDefault="004A2A59" w:rsidP="004A2A59">
      <w:pPr>
        <w:shd w:val="clear" w:color="auto" w:fill="FFFFFF"/>
        <w:spacing w:before="100" w:beforeAutospacing="1" w:after="100" w:afterAutospacing="1" w:line="240" w:lineRule="auto"/>
        <w:rPr>
          <w:rFonts w:eastAsia="Times New Roman" w:cstheme="minorHAnsi"/>
          <w:color w:val="0000FF"/>
        </w:rPr>
      </w:pPr>
      <w:r w:rsidRPr="001E3FE8">
        <w:rPr>
          <w:rFonts w:cstheme="minorHAnsi"/>
          <w:color w:val="0000FF"/>
          <w:shd w:val="clear" w:color="auto" w:fill="FFFFFF"/>
        </w:rPr>
        <w:t xml:space="preserve">The Get With The Guidelines-Resuscitation program is </w:t>
      </w:r>
      <w:r w:rsidR="00BB3031">
        <w:rPr>
          <w:rFonts w:cstheme="minorHAnsi"/>
          <w:color w:val="0000FF"/>
          <w:shd w:val="clear" w:color="auto" w:fill="FFFFFF"/>
        </w:rPr>
        <w:t>administered b</w:t>
      </w:r>
      <w:r w:rsidRPr="001E3FE8">
        <w:rPr>
          <w:rFonts w:cstheme="minorHAnsi"/>
          <w:color w:val="0000FF"/>
          <w:shd w:val="clear" w:color="auto" w:fill="FFFFFF"/>
        </w:rPr>
        <w:t>y the American Heart Association/American Stroke Association.</w:t>
      </w:r>
    </w:p>
    <w:p w14:paraId="1C3DDABC" w14:textId="13FC3E00"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color w:val="0000FF"/>
          </w:rPr>
          <w:id w:val="950514773"/>
          <w:text/>
        </w:sdtPr>
        <w:sdtEndPr/>
        <w:sdtContent>
          <w:r w:rsidR="00147BB6">
            <w:rPr>
              <w:rFonts w:cstheme="minorHAnsi"/>
              <w:color w:val="0000FF"/>
            </w:rPr>
            <w:t xml:space="preserve">Data extracted from the Get With the Guidelines Resuscitation registry were used to describe the patient case mix and eligible patient population (initial derivation cohort).  Initial model derivation and validation results used data from 01/01/2007 to </w:t>
          </w:r>
          <w:r w:rsidR="00147BB6">
            <w:rPr>
              <w:rFonts w:cstheme="minorHAnsi"/>
              <w:color w:val="0000FF"/>
            </w:rPr>
            <w:lastRenderedPageBreak/>
            <w:t xml:space="preserve">12/31/2010.   In the current application to NQF, we have performed prospective validation and reliability testing using data from </w:t>
          </w:r>
          <w:r w:rsidR="00147BB6" w:rsidRPr="007A193E">
            <w:rPr>
              <w:rFonts w:cstheme="minorHAnsi"/>
              <w:color w:val="0000FF"/>
            </w:rPr>
            <w:t>01/2011 to 05/2015</w:t>
          </w:r>
          <w:r w:rsidR="00147BB6">
            <w:rPr>
              <w:rFonts w:cstheme="minorHAnsi"/>
              <w:color w:val="0000FF"/>
            </w:rPr>
            <w:t xml:space="preserve"> (prospective validation cohort).  Additionally, we conducted reliability analyses for years 2013 and 2014 separately.</w:t>
          </w:r>
        </w:sdtContent>
      </w:sdt>
    </w:p>
    <w:p w14:paraId="0BFD18AB" w14:textId="77777777" w:rsidR="000574AB" w:rsidRDefault="000574AB" w:rsidP="00DB3627">
      <w:pPr>
        <w:autoSpaceDE w:val="0"/>
        <w:autoSpaceDN w:val="0"/>
        <w:adjustRightInd w:val="0"/>
        <w:spacing w:after="0" w:line="240" w:lineRule="auto"/>
        <w:rPr>
          <w:rFonts w:cstheme="minorHAnsi"/>
          <w:bCs/>
        </w:rPr>
      </w:pPr>
    </w:p>
    <w:p w14:paraId="07A81EB5"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2F06DCB4" w14:textId="77777777" w:rsidTr="000414E8">
        <w:trPr>
          <w:jc w:val="center"/>
        </w:trPr>
        <w:tc>
          <w:tcPr>
            <w:tcW w:w="5027" w:type="dxa"/>
            <w:shd w:val="clear" w:color="auto" w:fill="D9D9D9" w:themeFill="background1" w:themeFillShade="D9"/>
          </w:tcPr>
          <w:p w14:paraId="57AEBD46"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5A0171F"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49A3E14B"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86A9759" w14:textId="77777777" w:rsidTr="000414E8">
        <w:trPr>
          <w:jc w:val="center"/>
        </w:trPr>
        <w:tc>
          <w:tcPr>
            <w:tcW w:w="5027" w:type="dxa"/>
          </w:tcPr>
          <w:p w14:paraId="354DB2CB" w14:textId="3CFD0ECD" w:rsidR="000414E8" w:rsidRPr="00A01494" w:rsidRDefault="00524AA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0D0E194" w14:textId="3682BEB2" w:rsidR="000414E8" w:rsidRPr="00A01494" w:rsidRDefault="00524AA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5347BC5E" w14:textId="77777777" w:rsidTr="000414E8">
        <w:trPr>
          <w:jc w:val="center"/>
        </w:trPr>
        <w:tc>
          <w:tcPr>
            <w:tcW w:w="5027" w:type="dxa"/>
          </w:tcPr>
          <w:p w14:paraId="5C3D0E18" w14:textId="03806B5C" w:rsidR="000414E8" w:rsidRPr="00A01494" w:rsidRDefault="00524AA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2D528F14" w14:textId="025DA4B3" w:rsidR="000414E8" w:rsidRPr="00A01494" w:rsidRDefault="00524AA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57B0858C" w14:textId="77777777" w:rsidTr="000414E8">
        <w:trPr>
          <w:jc w:val="center"/>
        </w:trPr>
        <w:tc>
          <w:tcPr>
            <w:tcW w:w="5027" w:type="dxa"/>
          </w:tcPr>
          <w:p w14:paraId="021254A5" w14:textId="0832447A" w:rsidR="000414E8" w:rsidRPr="00A01494" w:rsidRDefault="00524AA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7A1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445E009" w14:textId="634FE7BA" w:rsidR="000414E8" w:rsidRPr="00A01494" w:rsidRDefault="00524AA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7A1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791E42E0" w14:textId="77777777" w:rsidTr="000414E8">
        <w:trPr>
          <w:jc w:val="center"/>
        </w:trPr>
        <w:tc>
          <w:tcPr>
            <w:tcW w:w="5027" w:type="dxa"/>
          </w:tcPr>
          <w:p w14:paraId="2A003942" w14:textId="2579BB4B" w:rsidR="000414E8" w:rsidRPr="00A01494" w:rsidRDefault="00524AA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65A153F1" w14:textId="5C7AD554" w:rsidR="000414E8" w:rsidRPr="00A01494" w:rsidRDefault="00524AA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E1D662C" w14:textId="77777777" w:rsidTr="000414E8">
        <w:trPr>
          <w:jc w:val="center"/>
        </w:trPr>
        <w:tc>
          <w:tcPr>
            <w:tcW w:w="5027" w:type="dxa"/>
          </w:tcPr>
          <w:p w14:paraId="18F89505" w14:textId="12F85288" w:rsidR="000414E8" w:rsidRPr="00A01494" w:rsidRDefault="00524AA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1379AE38" w14:textId="6F7F6042" w:rsidR="000414E8" w:rsidRPr="00A01494" w:rsidRDefault="00524AA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8E578EF" w14:textId="77777777" w:rsidR="000414E8" w:rsidRPr="00A25024" w:rsidRDefault="000414E8" w:rsidP="00DB3627">
      <w:pPr>
        <w:autoSpaceDE w:val="0"/>
        <w:autoSpaceDN w:val="0"/>
        <w:adjustRightInd w:val="0"/>
        <w:spacing w:after="0" w:line="240" w:lineRule="auto"/>
        <w:rPr>
          <w:rFonts w:cstheme="minorHAnsi"/>
          <w:bCs/>
        </w:rPr>
      </w:pPr>
    </w:p>
    <w:p w14:paraId="665D1F38" w14:textId="77777777" w:rsidR="007A193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5146479" w14:textId="77777777" w:rsidR="009C5FF7" w:rsidRDefault="009C5FF7" w:rsidP="00DB3627">
      <w:pPr>
        <w:autoSpaceDE w:val="0"/>
        <w:autoSpaceDN w:val="0"/>
        <w:adjustRightInd w:val="0"/>
        <w:spacing w:after="0" w:line="240" w:lineRule="auto"/>
        <w:rPr>
          <w:rFonts w:eastAsia="Times New Roman" w:cstheme="minorHAnsi"/>
          <w:b/>
          <w:color w:val="0000FF"/>
        </w:rPr>
      </w:pPr>
    </w:p>
    <w:p w14:paraId="1D83A29A" w14:textId="4DFBEF33" w:rsidR="0032109E" w:rsidRPr="009E1674" w:rsidRDefault="0032109E" w:rsidP="00DB3627">
      <w:pPr>
        <w:autoSpaceDE w:val="0"/>
        <w:autoSpaceDN w:val="0"/>
        <w:adjustRightInd w:val="0"/>
        <w:spacing w:after="0" w:line="240" w:lineRule="auto"/>
        <w:rPr>
          <w:rFonts w:eastAsia="Times New Roman" w:cstheme="minorHAnsi"/>
          <w:b/>
          <w:color w:val="0000FF"/>
        </w:rPr>
      </w:pPr>
      <w:r w:rsidRPr="009E1674">
        <w:rPr>
          <w:rFonts w:eastAsia="Times New Roman" w:cstheme="minorHAnsi"/>
          <w:b/>
          <w:color w:val="0000FF"/>
        </w:rPr>
        <w:t>For the 2011</w:t>
      </w:r>
      <w:r w:rsidR="004C36B4" w:rsidRPr="009E1674">
        <w:rPr>
          <w:rFonts w:eastAsia="Times New Roman" w:cstheme="minorHAnsi"/>
          <w:b/>
          <w:color w:val="0000FF"/>
        </w:rPr>
        <w:t xml:space="preserve"> </w:t>
      </w:r>
      <w:r w:rsidRPr="009E1674">
        <w:rPr>
          <w:rFonts w:eastAsia="Times New Roman" w:cstheme="minorHAnsi"/>
          <w:b/>
          <w:color w:val="0000FF"/>
        </w:rPr>
        <w:t>-</w:t>
      </w:r>
      <w:r w:rsidR="00E91DE9" w:rsidRPr="009E1674">
        <w:rPr>
          <w:rFonts w:eastAsia="Times New Roman" w:cstheme="minorHAnsi"/>
          <w:b/>
          <w:color w:val="0000FF"/>
        </w:rPr>
        <w:t xml:space="preserve"> May </w:t>
      </w:r>
      <w:r w:rsidRPr="009E1674">
        <w:rPr>
          <w:rFonts w:eastAsia="Times New Roman" w:cstheme="minorHAnsi"/>
          <w:b/>
          <w:color w:val="0000FF"/>
        </w:rPr>
        <w:t>2015 analys</w:t>
      </w:r>
      <w:r w:rsidR="0079319F" w:rsidRPr="009E1674">
        <w:rPr>
          <w:rFonts w:eastAsia="Times New Roman" w:cstheme="minorHAnsi"/>
          <w:b/>
          <w:color w:val="0000FF"/>
        </w:rPr>
        <w:t>es</w:t>
      </w:r>
      <w:r w:rsidRPr="009E1674">
        <w:rPr>
          <w:rFonts w:eastAsia="Times New Roman" w:cstheme="minorHAnsi"/>
          <w:b/>
          <w:color w:val="0000FF"/>
        </w:rPr>
        <w:t>:</w:t>
      </w:r>
    </w:p>
    <w:p w14:paraId="5E01C011" w14:textId="7598D3B2" w:rsidR="007A193E" w:rsidRDefault="00147BB6" w:rsidP="00DB3627">
      <w:pPr>
        <w:autoSpaceDE w:val="0"/>
        <w:autoSpaceDN w:val="0"/>
        <w:adjustRightInd w:val="0"/>
        <w:spacing w:after="0" w:line="240" w:lineRule="auto"/>
        <w:rPr>
          <w:rFonts w:eastAsia="Times New Roman" w:cstheme="minorHAnsi"/>
          <w:color w:val="0000FF"/>
        </w:rPr>
      </w:pPr>
      <w:r>
        <w:rPr>
          <w:rFonts w:eastAsia="Times New Roman" w:cstheme="minorHAnsi"/>
          <w:color w:val="0000FF"/>
        </w:rPr>
        <w:t>For the main analyses for NQF submission, a</w:t>
      </w:r>
      <w:r w:rsidRPr="009E1674">
        <w:rPr>
          <w:rFonts w:eastAsia="Times New Roman" w:cstheme="minorHAnsi"/>
          <w:color w:val="0000FF"/>
        </w:rPr>
        <w:t xml:space="preserve"> </w:t>
      </w:r>
      <w:r w:rsidR="007A193E" w:rsidRPr="009E1674">
        <w:rPr>
          <w:rFonts w:eastAsia="Times New Roman" w:cstheme="minorHAnsi"/>
          <w:color w:val="0000FF"/>
        </w:rPr>
        <w:t xml:space="preserve">total of </w:t>
      </w:r>
      <w:r w:rsidR="005C4960" w:rsidRPr="009E1674">
        <w:rPr>
          <w:rFonts w:eastAsia="Times New Roman" w:cstheme="minorHAnsi"/>
          <w:color w:val="0000FF"/>
        </w:rPr>
        <w:t>326</w:t>
      </w:r>
      <w:r w:rsidR="00100887" w:rsidRPr="009E1674">
        <w:rPr>
          <w:rFonts w:eastAsia="Times New Roman" w:cstheme="minorHAnsi"/>
          <w:color w:val="0000FF"/>
        </w:rPr>
        <w:t xml:space="preserve"> </w:t>
      </w:r>
      <w:r w:rsidR="007A193E" w:rsidRPr="009E1674">
        <w:rPr>
          <w:rFonts w:eastAsia="Times New Roman" w:cstheme="minorHAnsi"/>
          <w:color w:val="0000FF"/>
        </w:rPr>
        <w:t xml:space="preserve">hospitals reported </w:t>
      </w:r>
      <w:r w:rsidR="00100887" w:rsidRPr="009E1674">
        <w:rPr>
          <w:rFonts w:eastAsia="Times New Roman" w:cstheme="minorHAnsi"/>
          <w:color w:val="0000FF"/>
        </w:rPr>
        <w:t xml:space="preserve">on survival outcomes, collected clinical data for risk adjustment, </w:t>
      </w:r>
      <w:r w:rsidR="00756C7C" w:rsidRPr="009E1674">
        <w:rPr>
          <w:rFonts w:eastAsia="Times New Roman" w:cstheme="minorHAnsi"/>
          <w:color w:val="0000FF"/>
        </w:rPr>
        <w:t xml:space="preserve">and had </w:t>
      </w:r>
      <w:r w:rsidR="00100887" w:rsidRPr="009E1674">
        <w:rPr>
          <w:rFonts w:eastAsia="Times New Roman" w:cstheme="minorHAnsi"/>
          <w:color w:val="0000FF"/>
        </w:rPr>
        <w:t xml:space="preserve">cases of in-hospital cardiac arrest between 2011 and </w:t>
      </w:r>
      <w:r w:rsidR="004C36B4" w:rsidRPr="009E1674">
        <w:rPr>
          <w:rFonts w:eastAsia="Times New Roman" w:cstheme="minorHAnsi"/>
          <w:color w:val="0000FF"/>
        </w:rPr>
        <w:t xml:space="preserve">May </w:t>
      </w:r>
      <w:r w:rsidR="00100887" w:rsidRPr="009E1674">
        <w:rPr>
          <w:rFonts w:eastAsia="Times New Roman" w:cstheme="minorHAnsi"/>
          <w:color w:val="0000FF"/>
        </w:rPr>
        <w:t>2015</w:t>
      </w:r>
      <w:r w:rsidR="007A193E" w:rsidRPr="009E1674">
        <w:rPr>
          <w:rFonts w:eastAsia="Times New Roman" w:cstheme="minorHAnsi"/>
          <w:color w:val="0000FF"/>
        </w:rPr>
        <w:t xml:space="preserve">.  </w:t>
      </w:r>
      <w:r w:rsidR="00100887" w:rsidRPr="009E1674">
        <w:rPr>
          <w:rFonts w:eastAsia="Times New Roman" w:cstheme="minorHAnsi"/>
          <w:color w:val="0000FF"/>
        </w:rPr>
        <w:t>T</w:t>
      </w:r>
      <w:r w:rsidR="007A193E" w:rsidRPr="009E1674">
        <w:rPr>
          <w:rFonts w:eastAsia="Times New Roman" w:cstheme="minorHAnsi"/>
          <w:color w:val="0000FF"/>
        </w:rPr>
        <w:t xml:space="preserve">he average number of </w:t>
      </w:r>
      <w:r w:rsidR="0099657F" w:rsidRPr="009E1674">
        <w:rPr>
          <w:rFonts w:eastAsia="Times New Roman" w:cstheme="minorHAnsi"/>
          <w:color w:val="0000FF"/>
        </w:rPr>
        <w:t xml:space="preserve">quality reporting events </w:t>
      </w:r>
      <w:r w:rsidR="00100887" w:rsidRPr="009E1674">
        <w:rPr>
          <w:rFonts w:eastAsia="Times New Roman" w:cstheme="minorHAnsi"/>
          <w:color w:val="0000FF"/>
        </w:rPr>
        <w:t xml:space="preserve">per hospital </w:t>
      </w:r>
      <w:r w:rsidR="0099657F" w:rsidRPr="009E1674">
        <w:rPr>
          <w:rFonts w:eastAsia="Times New Roman" w:cstheme="minorHAnsi"/>
          <w:color w:val="0000FF"/>
        </w:rPr>
        <w:t xml:space="preserve">was </w:t>
      </w:r>
      <w:r w:rsidR="00002FCC" w:rsidRPr="009E1674">
        <w:rPr>
          <w:rFonts w:eastAsia="Times New Roman" w:cstheme="minorHAnsi"/>
          <w:color w:val="0000FF"/>
        </w:rPr>
        <w:t xml:space="preserve">190, for a total of 61,934 cardiac arrest events, and 14,782 </w:t>
      </w:r>
      <w:r w:rsidR="00100887" w:rsidRPr="009E1674">
        <w:rPr>
          <w:rFonts w:eastAsia="Times New Roman" w:cstheme="minorHAnsi"/>
          <w:color w:val="0000FF"/>
        </w:rPr>
        <w:t>(23.9%) patients</w:t>
      </w:r>
      <w:r w:rsidR="007A193E" w:rsidRPr="009E1674">
        <w:rPr>
          <w:rFonts w:eastAsia="Times New Roman" w:cstheme="minorHAnsi"/>
          <w:color w:val="0000FF"/>
        </w:rPr>
        <w:t xml:space="preserve"> surviv</w:t>
      </w:r>
      <w:r w:rsidR="00100887" w:rsidRPr="009E1674">
        <w:rPr>
          <w:rFonts w:eastAsia="Times New Roman" w:cstheme="minorHAnsi"/>
          <w:color w:val="0000FF"/>
        </w:rPr>
        <w:t>ed</w:t>
      </w:r>
      <w:r w:rsidR="007A193E" w:rsidRPr="009E1674">
        <w:rPr>
          <w:rFonts w:eastAsia="Times New Roman" w:cstheme="minorHAnsi"/>
          <w:color w:val="0000FF"/>
        </w:rPr>
        <w:t xml:space="preserve"> to </w:t>
      </w:r>
      <w:r w:rsidR="00100887" w:rsidRPr="009E1674">
        <w:rPr>
          <w:rFonts w:eastAsia="Times New Roman" w:cstheme="minorHAnsi"/>
          <w:color w:val="0000FF"/>
        </w:rPr>
        <w:t xml:space="preserve">hospital </w:t>
      </w:r>
      <w:r w:rsidR="007A193E" w:rsidRPr="009E1674">
        <w:rPr>
          <w:rFonts w:eastAsia="Times New Roman" w:cstheme="minorHAnsi"/>
          <w:color w:val="0000FF"/>
        </w:rPr>
        <w:t xml:space="preserve">discharge.  </w:t>
      </w:r>
      <w:r w:rsidR="00100887" w:rsidRPr="009E1674">
        <w:rPr>
          <w:rFonts w:eastAsia="Times New Roman" w:cstheme="minorHAnsi"/>
          <w:color w:val="0000FF"/>
        </w:rPr>
        <w:t xml:space="preserve">Across the </w:t>
      </w:r>
      <w:r w:rsidR="00CA2648" w:rsidRPr="009E1674">
        <w:rPr>
          <w:rFonts w:eastAsia="Times New Roman" w:cstheme="minorHAnsi"/>
          <w:color w:val="0000FF"/>
        </w:rPr>
        <w:t xml:space="preserve">326 </w:t>
      </w:r>
      <w:r w:rsidR="007A193E" w:rsidRPr="009E1674">
        <w:rPr>
          <w:rFonts w:eastAsia="Times New Roman" w:cstheme="minorHAnsi"/>
          <w:color w:val="0000FF"/>
        </w:rPr>
        <w:t xml:space="preserve">hospitals, the range of cardiac arrest quality reporting events was </w:t>
      </w:r>
      <w:r w:rsidR="00CA2648" w:rsidRPr="009E1674">
        <w:rPr>
          <w:rFonts w:eastAsia="Times New Roman" w:cstheme="minorHAnsi"/>
          <w:color w:val="0000FF"/>
        </w:rPr>
        <w:t xml:space="preserve">1 </w:t>
      </w:r>
      <w:r w:rsidR="007A193E" w:rsidRPr="009E1674">
        <w:rPr>
          <w:rFonts w:eastAsia="Times New Roman" w:cstheme="minorHAnsi"/>
          <w:color w:val="0000FF"/>
        </w:rPr>
        <w:t>to 122</w:t>
      </w:r>
      <w:r w:rsidR="0099657F" w:rsidRPr="009E1674">
        <w:rPr>
          <w:rFonts w:eastAsia="Times New Roman" w:cstheme="minorHAnsi"/>
          <w:color w:val="0000FF"/>
        </w:rPr>
        <w:t>2</w:t>
      </w:r>
      <w:r w:rsidR="007A193E" w:rsidRPr="009E1674">
        <w:rPr>
          <w:rFonts w:eastAsia="Times New Roman" w:cstheme="minorHAnsi"/>
          <w:color w:val="0000FF"/>
        </w:rPr>
        <w:t xml:space="preserve">, and the range for </w:t>
      </w:r>
      <w:r w:rsidR="00100887" w:rsidRPr="009E1674">
        <w:rPr>
          <w:rFonts w:eastAsia="Times New Roman" w:cstheme="minorHAnsi"/>
          <w:color w:val="0000FF"/>
        </w:rPr>
        <w:t xml:space="preserve">number of patients surviving to hospital discharge </w:t>
      </w:r>
      <w:r w:rsidR="007A193E" w:rsidRPr="009E1674">
        <w:rPr>
          <w:rFonts w:eastAsia="Times New Roman" w:cstheme="minorHAnsi"/>
          <w:color w:val="0000FF"/>
        </w:rPr>
        <w:t xml:space="preserve">was 0 to 344.  </w:t>
      </w:r>
    </w:p>
    <w:p w14:paraId="04322904" w14:textId="77777777" w:rsidR="002B5016" w:rsidRPr="009E1674" w:rsidRDefault="002B5016" w:rsidP="00DB3627">
      <w:pPr>
        <w:autoSpaceDE w:val="0"/>
        <w:autoSpaceDN w:val="0"/>
        <w:adjustRightInd w:val="0"/>
        <w:spacing w:after="0" w:line="240" w:lineRule="auto"/>
        <w:rPr>
          <w:rFonts w:eastAsia="Times New Roman" w:cstheme="minorHAnsi"/>
          <w:color w:val="0000FF"/>
        </w:rPr>
      </w:pPr>
    </w:p>
    <w:p w14:paraId="48057069" w14:textId="77777777" w:rsidR="009C5FF7" w:rsidRDefault="009C5FF7" w:rsidP="00DB3627">
      <w:pPr>
        <w:autoSpaceDE w:val="0"/>
        <w:autoSpaceDN w:val="0"/>
        <w:adjustRightInd w:val="0"/>
        <w:spacing w:after="0" w:line="240" w:lineRule="auto"/>
        <w:rPr>
          <w:rFonts w:eastAsia="Times New Roman" w:cstheme="minorHAnsi"/>
          <w:b/>
          <w:color w:val="0000FF"/>
        </w:rPr>
      </w:pPr>
    </w:p>
    <w:p w14:paraId="127DE42C" w14:textId="2303133A" w:rsidR="009C5FF7" w:rsidRDefault="009C5FF7" w:rsidP="00DB3627">
      <w:pPr>
        <w:autoSpaceDE w:val="0"/>
        <w:autoSpaceDN w:val="0"/>
        <w:adjustRightInd w:val="0"/>
        <w:spacing w:after="0" w:line="240" w:lineRule="auto"/>
        <w:rPr>
          <w:rFonts w:eastAsia="Times New Roman" w:cstheme="minorHAnsi"/>
          <w:b/>
          <w:color w:val="0000FF"/>
        </w:rPr>
      </w:pPr>
      <w:r>
        <w:rPr>
          <w:rFonts w:eastAsia="Times New Roman" w:cstheme="minorHAnsi"/>
          <w:b/>
          <w:color w:val="0000FF"/>
        </w:rPr>
        <w:t>We also conducted reliability analyses for 1-year time frames for years 2013 and 2014:</w:t>
      </w:r>
    </w:p>
    <w:p w14:paraId="135C33F4" w14:textId="3BE3D38C" w:rsidR="0032109E" w:rsidRPr="00461C0D" w:rsidRDefault="0032109E" w:rsidP="002D7D79">
      <w:pPr>
        <w:autoSpaceDE w:val="0"/>
        <w:autoSpaceDN w:val="0"/>
        <w:adjustRightInd w:val="0"/>
        <w:spacing w:after="0" w:line="240" w:lineRule="auto"/>
        <w:rPr>
          <w:rFonts w:eastAsia="Times New Roman" w:cstheme="minorHAnsi"/>
          <w:b/>
          <w:color w:val="0000FF"/>
        </w:rPr>
      </w:pPr>
      <w:r w:rsidRPr="00461C0D">
        <w:rPr>
          <w:rFonts w:eastAsia="Times New Roman" w:cstheme="minorHAnsi"/>
          <w:color w:val="0000FF"/>
          <w:u w:val="single"/>
        </w:rPr>
        <w:t>For the 2013 analys</w:t>
      </w:r>
      <w:r w:rsidR="0079319F" w:rsidRPr="00461C0D">
        <w:rPr>
          <w:rFonts w:eastAsia="Times New Roman" w:cstheme="minorHAnsi"/>
          <w:color w:val="0000FF"/>
          <w:u w:val="single"/>
        </w:rPr>
        <w:t>es</w:t>
      </w:r>
      <w:r w:rsidRPr="00461C0D">
        <w:rPr>
          <w:rFonts w:eastAsia="Times New Roman" w:cstheme="minorHAnsi"/>
          <w:b/>
          <w:color w:val="0000FF"/>
        </w:rPr>
        <w:t>:</w:t>
      </w:r>
    </w:p>
    <w:p w14:paraId="5341E5A4" w14:textId="7F3028C4" w:rsidR="0032109E" w:rsidRPr="009E1674" w:rsidRDefault="0032109E" w:rsidP="00DB3627">
      <w:pPr>
        <w:autoSpaceDE w:val="0"/>
        <w:autoSpaceDN w:val="0"/>
        <w:adjustRightInd w:val="0"/>
        <w:spacing w:after="0" w:line="240" w:lineRule="auto"/>
        <w:rPr>
          <w:rFonts w:eastAsia="Times New Roman" w:cstheme="minorHAnsi"/>
          <w:color w:val="0000FF"/>
        </w:rPr>
      </w:pPr>
      <w:r w:rsidRPr="009E1674">
        <w:rPr>
          <w:rFonts w:eastAsia="Times New Roman" w:cstheme="minorHAnsi"/>
          <w:color w:val="0000FF"/>
        </w:rPr>
        <w:t xml:space="preserve">A total of 273 hospitals reported on survival outcomes, collected clinical data for risk adjustment, and had cases of in-hospital cardiac arrest in 2013.  </w:t>
      </w:r>
      <w:r w:rsidR="0079319F" w:rsidRPr="009E1674">
        <w:rPr>
          <w:rFonts w:eastAsia="Times New Roman" w:cstheme="minorHAnsi"/>
          <w:color w:val="0000FF"/>
        </w:rPr>
        <w:t xml:space="preserve">The average number of quality reporting events per hospital was 66, for a total of 17,992 cardiac arrest events, and 4417 (24.5%) patients survived to hospital discharge.  Across the 273 hospitals, the range of cardiac arrest quality reporting events was 1 to 360, and the range for number of patients surviving to hospital discharge was 0 to 121.  For the 1-year reliability analyses for year 2013, </w:t>
      </w:r>
      <w:r w:rsidR="009C5FF7">
        <w:rPr>
          <w:rFonts w:eastAsia="Times New Roman" w:cstheme="minorHAnsi"/>
          <w:color w:val="0000FF"/>
        </w:rPr>
        <w:t xml:space="preserve">we restricted the analyses to the </w:t>
      </w:r>
      <w:r w:rsidR="003B22AB" w:rsidRPr="009E1674">
        <w:rPr>
          <w:rFonts w:eastAsia="Times New Roman" w:cstheme="minorHAnsi"/>
          <w:color w:val="0000FF"/>
        </w:rPr>
        <w:t>206 hospitals</w:t>
      </w:r>
      <w:r w:rsidR="009C5FF7">
        <w:rPr>
          <w:rFonts w:eastAsia="Times New Roman" w:cstheme="minorHAnsi"/>
          <w:color w:val="0000FF"/>
        </w:rPr>
        <w:t xml:space="preserve"> which</w:t>
      </w:r>
      <w:r w:rsidR="003B22AB" w:rsidRPr="009E1674">
        <w:rPr>
          <w:rFonts w:eastAsia="Times New Roman" w:cstheme="minorHAnsi"/>
          <w:color w:val="0000FF"/>
        </w:rPr>
        <w:t xml:space="preserve"> had </w:t>
      </w:r>
      <w:r w:rsidR="009C5FF7">
        <w:rPr>
          <w:rFonts w:eastAsia="Times New Roman" w:cstheme="minorHAnsi"/>
          <w:color w:val="0000FF"/>
        </w:rPr>
        <w:t xml:space="preserve">a </w:t>
      </w:r>
      <w:r w:rsidR="003B22AB" w:rsidRPr="009E1674">
        <w:rPr>
          <w:rFonts w:eastAsia="Times New Roman" w:cstheme="minorHAnsi"/>
          <w:color w:val="0000FF"/>
        </w:rPr>
        <w:t xml:space="preserve">minimum number of </w:t>
      </w:r>
      <w:r w:rsidR="009C5FF7">
        <w:rPr>
          <w:rFonts w:eastAsia="Times New Roman" w:cstheme="minorHAnsi"/>
          <w:color w:val="0000FF"/>
        </w:rPr>
        <w:t xml:space="preserve">20 </w:t>
      </w:r>
      <w:r w:rsidR="003B22AB" w:rsidRPr="009E1674">
        <w:rPr>
          <w:rFonts w:eastAsia="Times New Roman" w:cstheme="minorHAnsi"/>
          <w:color w:val="0000FF"/>
        </w:rPr>
        <w:t>quality reporting events</w:t>
      </w:r>
      <w:r w:rsidR="009C5FF7">
        <w:rPr>
          <w:rFonts w:eastAsia="Times New Roman" w:cstheme="minorHAnsi"/>
          <w:color w:val="0000FF"/>
        </w:rPr>
        <w:t>.</w:t>
      </w:r>
    </w:p>
    <w:p w14:paraId="2213A1CB" w14:textId="77777777" w:rsidR="0032109E" w:rsidRPr="009E1674" w:rsidRDefault="0032109E" w:rsidP="00DB3627">
      <w:pPr>
        <w:autoSpaceDE w:val="0"/>
        <w:autoSpaceDN w:val="0"/>
        <w:adjustRightInd w:val="0"/>
        <w:spacing w:after="0" w:line="240" w:lineRule="auto"/>
        <w:rPr>
          <w:rFonts w:eastAsia="Times New Roman" w:cstheme="minorHAnsi"/>
          <w:color w:val="0000FF"/>
        </w:rPr>
      </w:pPr>
    </w:p>
    <w:p w14:paraId="66329AB9" w14:textId="7134DC45" w:rsidR="003B22AB" w:rsidRPr="009E1674" w:rsidRDefault="008B6818" w:rsidP="003B22AB">
      <w:pPr>
        <w:autoSpaceDE w:val="0"/>
        <w:autoSpaceDN w:val="0"/>
        <w:adjustRightInd w:val="0"/>
        <w:spacing w:after="0" w:line="240" w:lineRule="auto"/>
        <w:rPr>
          <w:rFonts w:eastAsia="Times New Roman" w:cstheme="minorHAnsi"/>
          <w:b/>
          <w:color w:val="0000FF"/>
        </w:rPr>
      </w:pPr>
      <w:r w:rsidRPr="00461C0D">
        <w:rPr>
          <w:rFonts w:eastAsia="Times New Roman" w:cstheme="minorHAnsi"/>
          <w:color w:val="0000FF"/>
          <w:u w:val="single"/>
        </w:rPr>
        <w:t>For the 2014 analyse</w:t>
      </w:r>
      <w:r w:rsidR="003B22AB" w:rsidRPr="00461C0D">
        <w:rPr>
          <w:rFonts w:eastAsia="Times New Roman" w:cstheme="minorHAnsi"/>
          <w:color w:val="0000FF"/>
          <w:u w:val="single"/>
        </w:rPr>
        <w:t>s</w:t>
      </w:r>
      <w:r w:rsidR="003B22AB" w:rsidRPr="009E1674">
        <w:rPr>
          <w:rFonts w:eastAsia="Times New Roman" w:cstheme="minorHAnsi"/>
          <w:b/>
          <w:color w:val="0000FF"/>
        </w:rPr>
        <w:t>:</w:t>
      </w:r>
    </w:p>
    <w:p w14:paraId="3E668AF7" w14:textId="7AD5A97B" w:rsidR="003B22AB" w:rsidRDefault="003B22AB" w:rsidP="003B22AB">
      <w:pPr>
        <w:autoSpaceDE w:val="0"/>
        <w:autoSpaceDN w:val="0"/>
        <w:adjustRightInd w:val="0"/>
        <w:spacing w:after="0" w:line="240" w:lineRule="auto"/>
        <w:rPr>
          <w:rFonts w:eastAsia="Times New Roman" w:cstheme="minorHAnsi"/>
          <w:color w:val="0000FF"/>
        </w:rPr>
      </w:pPr>
      <w:r w:rsidRPr="009E1674">
        <w:rPr>
          <w:rFonts w:eastAsia="Times New Roman" w:cstheme="minorHAnsi"/>
          <w:color w:val="0000FF"/>
        </w:rPr>
        <w:t>A total of 259 hospitals reported on survival outcomes, collected clinical data for risk adjustment, and had cases of in-hospital cardiac arrest in 2014</w:t>
      </w:r>
      <w:r w:rsidR="0079319F" w:rsidRPr="009E1674">
        <w:rPr>
          <w:rFonts w:eastAsia="Times New Roman" w:cstheme="minorHAnsi"/>
          <w:color w:val="0000FF"/>
        </w:rPr>
        <w:t>.</w:t>
      </w:r>
      <w:r w:rsidRPr="009E1674">
        <w:rPr>
          <w:rFonts w:eastAsia="Times New Roman" w:cstheme="minorHAnsi"/>
          <w:color w:val="0000FF"/>
        </w:rPr>
        <w:t xml:space="preserve">   </w:t>
      </w:r>
      <w:r w:rsidR="0079319F" w:rsidRPr="009E1674">
        <w:rPr>
          <w:rFonts w:eastAsia="Times New Roman" w:cstheme="minorHAnsi"/>
          <w:color w:val="0000FF"/>
        </w:rPr>
        <w:t xml:space="preserve">The average number of quality reporting events per hospital was 67, for a total of 17,244 cardiac arrest events, and 4163 (24.1%) patients survived to hospital discharge.  Across the 259 hospitals, the range of cardiac arrest quality reporting events was 1 to </w:t>
      </w:r>
      <w:r w:rsidR="00BD09AC" w:rsidRPr="009E1674">
        <w:rPr>
          <w:rFonts w:eastAsia="Times New Roman" w:cstheme="minorHAnsi"/>
          <w:color w:val="0000FF"/>
        </w:rPr>
        <w:t>409</w:t>
      </w:r>
      <w:r w:rsidR="0079319F" w:rsidRPr="009E1674">
        <w:rPr>
          <w:rFonts w:eastAsia="Times New Roman" w:cstheme="minorHAnsi"/>
          <w:color w:val="0000FF"/>
        </w:rPr>
        <w:t>, and the range for number of patients surviving to</w:t>
      </w:r>
      <w:r w:rsidR="00BD09AC" w:rsidRPr="009E1674">
        <w:rPr>
          <w:rFonts w:eastAsia="Times New Roman" w:cstheme="minorHAnsi"/>
          <w:color w:val="0000FF"/>
        </w:rPr>
        <w:t xml:space="preserve"> hospital discharge was 0 to 124</w:t>
      </w:r>
      <w:r w:rsidR="0079319F" w:rsidRPr="009E1674">
        <w:rPr>
          <w:rFonts w:eastAsia="Times New Roman" w:cstheme="minorHAnsi"/>
          <w:color w:val="0000FF"/>
        </w:rPr>
        <w:t>.  For the 1-year re</w:t>
      </w:r>
      <w:r w:rsidR="00BD09AC" w:rsidRPr="009E1674">
        <w:rPr>
          <w:rFonts w:eastAsia="Times New Roman" w:cstheme="minorHAnsi"/>
          <w:color w:val="0000FF"/>
        </w:rPr>
        <w:t>liability analyses for year 2014</w:t>
      </w:r>
      <w:r w:rsidR="0079319F" w:rsidRPr="009E1674">
        <w:rPr>
          <w:rFonts w:eastAsia="Times New Roman" w:cstheme="minorHAnsi"/>
          <w:color w:val="0000FF"/>
        </w:rPr>
        <w:t xml:space="preserve">, </w:t>
      </w:r>
      <w:r w:rsidR="009C5FF7">
        <w:rPr>
          <w:rFonts w:eastAsia="Times New Roman" w:cstheme="minorHAnsi"/>
          <w:color w:val="0000FF"/>
        </w:rPr>
        <w:t xml:space="preserve">we restricted the analyses to the </w:t>
      </w:r>
      <w:r w:rsidRPr="009E1674">
        <w:rPr>
          <w:rFonts w:eastAsia="Times New Roman" w:cstheme="minorHAnsi"/>
          <w:color w:val="0000FF"/>
        </w:rPr>
        <w:t xml:space="preserve">200 hospitals </w:t>
      </w:r>
      <w:r w:rsidR="009C5FF7">
        <w:rPr>
          <w:rFonts w:eastAsia="Times New Roman" w:cstheme="minorHAnsi"/>
          <w:color w:val="0000FF"/>
        </w:rPr>
        <w:t xml:space="preserve">which </w:t>
      </w:r>
      <w:r w:rsidRPr="009E1674">
        <w:rPr>
          <w:rFonts w:eastAsia="Times New Roman" w:cstheme="minorHAnsi"/>
          <w:color w:val="0000FF"/>
        </w:rPr>
        <w:t xml:space="preserve">had </w:t>
      </w:r>
      <w:r w:rsidR="009C5FF7">
        <w:rPr>
          <w:rFonts w:eastAsia="Times New Roman" w:cstheme="minorHAnsi"/>
          <w:color w:val="0000FF"/>
        </w:rPr>
        <w:t>a</w:t>
      </w:r>
      <w:r w:rsidR="009C5FF7" w:rsidRPr="009E1674">
        <w:rPr>
          <w:rFonts w:eastAsia="Times New Roman" w:cstheme="minorHAnsi"/>
          <w:color w:val="0000FF"/>
        </w:rPr>
        <w:t xml:space="preserve"> </w:t>
      </w:r>
      <w:r w:rsidRPr="009E1674">
        <w:rPr>
          <w:rFonts w:eastAsia="Times New Roman" w:cstheme="minorHAnsi"/>
          <w:color w:val="0000FF"/>
        </w:rPr>
        <w:t xml:space="preserve">minimum number of </w:t>
      </w:r>
      <w:r w:rsidR="009C5FF7">
        <w:rPr>
          <w:rFonts w:eastAsia="Times New Roman" w:cstheme="minorHAnsi"/>
          <w:color w:val="0000FF"/>
        </w:rPr>
        <w:t xml:space="preserve">20 </w:t>
      </w:r>
      <w:r w:rsidRPr="009E1674">
        <w:rPr>
          <w:rFonts w:eastAsia="Times New Roman" w:cstheme="minorHAnsi"/>
          <w:color w:val="0000FF"/>
        </w:rPr>
        <w:t xml:space="preserve">quality reporting events.  </w:t>
      </w:r>
    </w:p>
    <w:p w14:paraId="004F1C81" w14:textId="0B122E53" w:rsidR="008B6818" w:rsidRDefault="00FE320F" w:rsidP="003B22AB">
      <w:pPr>
        <w:autoSpaceDE w:val="0"/>
        <w:autoSpaceDN w:val="0"/>
        <w:adjustRightInd w:val="0"/>
        <w:spacing w:after="0" w:line="240" w:lineRule="auto"/>
        <w:rPr>
          <w:rFonts w:eastAsia="Times New Roman" w:cstheme="minorHAnsi"/>
          <w:color w:val="0000FF"/>
        </w:rPr>
      </w:pPr>
      <w:r>
        <w:rPr>
          <w:rFonts w:eastAsia="Times New Roman" w:cstheme="minorHAnsi"/>
          <w:color w:val="0000FF"/>
        </w:rPr>
        <w:lastRenderedPageBreak/>
        <w:t xml:space="preserve">Reliability analyses in this submission were conducted </w:t>
      </w:r>
      <w:r w:rsidR="00131704">
        <w:rPr>
          <w:rFonts w:eastAsia="Times New Roman" w:cstheme="minorHAnsi"/>
          <w:color w:val="0000FF"/>
        </w:rPr>
        <w:t>using</w:t>
      </w:r>
      <w:r>
        <w:rPr>
          <w:rFonts w:eastAsia="Times New Roman" w:cstheme="minorHAnsi"/>
          <w:color w:val="0000FF"/>
        </w:rPr>
        <w:t xml:space="preserve"> data from the entire prospective validation cohort (2011 to May 2015) and from the 12-month periods of 2013 and 2014.  </w:t>
      </w:r>
      <w:r w:rsidR="00131704">
        <w:rPr>
          <w:rFonts w:eastAsia="Times New Roman" w:cstheme="minorHAnsi"/>
          <w:color w:val="0000FF"/>
        </w:rPr>
        <w:t>In the table below, we provide summary characteristics of the hospitals in all 3 time periods.</w:t>
      </w:r>
    </w:p>
    <w:p w14:paraId="1B1CA952" w14:textId="77777777" w:rsidR="00183E16" w:rsidRDefault="00183E16" w:rsidP="003B22AB">
      <w:pPr>
        <w:autoSpaceDE w:val="0"/>
        <w:autoSpaceDN w:val="0"/>
        <w:adjustRightInd w:val="0"/>
        <w:spacing w:after="0" w:line="240" w:lineRule="auto"/>
        <w:rPr>
          <w:rFonts w:eastAsia="Times New Roman" w:cstheme="minorHAnsi"/>
          <w:color w:val="0000FF"/>
        </w:rPr>
      </w:pPr>
    </w:p>
    <w:tbl>
      <w:tblPr>
        <w:tblStyle w:val="TableGrid"/>
        <w:tblW w:w="0" w:type="auto"/>
        <w:tblLook w:val="04A0" w:firstRow="1" w:lastRow="0" w:firstColumn="1" w:lastColumn="0" w:noHBand="0" w:noVBand="1"/>
      </w:tblPr>
      <w:tblGrid>
        <w:gridCol w:w="4695"/>
        <w:gridCol w:w="1859"/>
        <w:gridCol w:w="1361"/>
        <w:gridCol w:w="1435"/>
      </w:tblGrid>
      <w:tr w:rsidR="00753024" w:rsidRPr="00753024" w14:paraId="67D5B18D" w14:textId="77777777" w:rsidTr="00C70BE3">
        <w:trPr>
          <w:trHeight w:val="288"/>
        </w:trPr>
        <w:tc>
          <w:tcPr>
            <w:tcW w:w="9350" w:type="dxa"/>
            <w:gridSpan w:val="4"/>
            <w:noWrap/>
            <w:hideMark/>
          </w:tcPr>
          <w:p w14:paraId="41B214D3" w14:textId="54FBC6F8" w:rsidR="00753024" w:rsidRPr="00960166" w:rsidRDefault="00131704" w:rsidP="002D7D79">
            <w:pPr>
              <w:autoSpaceDE w:val="0"/>
              <w:autoSpaceDN w:val="0"/>
              <w:adjustRightInd w:val="0"/>
              <w:jc w:val="center"/>
              <w:rPr>
                <w:rFonts w:ascii="Calibri" w:eastAsia="Times New Roman" w:hAnsi="Calibri" w:cs="Calibri"/>
                <w:b/>
                <w:color w:val="0000FF"/>
              </w:rPr>
            </w:pPr>
            <w:r>
              <w:rPr>
                <w:rFonts w:ascii="Calibri" w:eastAsia="Times New Roman" w:hAnsi="Calibri" w:cs="Calibri"/>
                <w:b/>
                <w:color w:val="0000FF"/>
              </w:rPr>
              <w:t>Hospital Characteristics*</w:t>
            </w:r>
          </w:p>
        </w:tc>
      </w:tr>
      <w:tr w:rsidR="00753024" w:rsidRPr="00753024" w14:paraId="45F9D550" w14:textId="77777777" w:rsidTr="00753024">
        <w:trPr>
          <w:trHeight w:val="288"/>
        </w:trPr>
        <w:tc>
          <w:tcPr>
            <w:tcW w:w="4695" w:type="dxa"/>
            <w:noWrap/>
            <w:hideMark/>
          </w:tcPr>
          <w:p w14:paraId="0C095255" w14:textId="49A1E4D4" w:rsidR="00753024" w:rsidRPr="00960166" w:rsidRDefault="00495C93" w:rsidP="00753024">
            <w:pPr>
              <w:autoSpaceDE w:val="0"/>
              <w:autoSpaceDN w:val="0"/>
              <w:adjustRightInd w:val="0"/>
              <w:rPr>
                <w:rFonts w:ascii="Calibri" w:eastAsia="Times New Roman" w:hAnsi="Calibri" w:cs="Calibri"/>
                <w:b/>
                <w:color w:val="0000FF"/>
              </w:rPr>
            </w:pPr>
            <w:r w:rsidRPr="00960166">
              <w:rPr>
                <w:rFonts w:ascii="Calibri" w:eastAsia="Times New Roman" w:hAnsi="Calibri" w:cs="Calibri"/>
                <w:b/>
                <w:color w:val="0000FF"/>
              </w:rPr>
              <w:t>Teaching Status</w:t>
            </w:r>
          </w:p>
        </w:tc>
        <w:tc>
          <w:tcPr>
            <w:tcW w:w="1859" w:type="dxa"/>
            <w:noWrap/>
            <w:hideMark/>
          </w:tcPr>
          <w:p w14:paraId="4C4CF179" w14:textId="77777777" w:rsidR="00753024" w:rsidRDefault="00753024" w:rsidP="00461C0D">
            <w:pPr>
              <w:autoSpaceDE w:val="0"/>
              <w:autoSpaceDN w:val="0"/>
              <w:adjustRightInd w:val="0"/>
              <w:jc w:val="center"/>
              <w:rPr>
                <w:rFonts w:ascii="Calibri" w:eastAsia="Times New Roman" w:hAnsi="Calibri" w:cs="Calibri"/>
                <w:b/>
                <w:color w:val="0000FF"/>
              </w:rPr>
            </w:pPr>
            <w:r w:rsidRPr="00960166">
              <w:rPr>
                <w:rFonts w:ascii="Calibri" w:eastAsia="Times New Roman" w:hAnsi="Calibri" w:cs="Calibri"/>
                <w:b/>
                <w:color w:val="0000FF"/>
              </w:rPr>
              <w:t>2011 - May 2015</w:t>
            </w:r>
          </w:p>
          <w:p w14:paraId="5CA82DC4" w14:textId="7CC3AF31" w:rsidR="00131704" w:rsidRPr="00960166" w:rsidRDefault="00131704" w:rsidP="00461C0D">
            <w:pPr>
              <w:autoSpaceDE w:val="0"/>
              <w:autoSpaceDN w:val="0"/>
              <w:adjustRightInd w:val="0"/>
              <w:jc w:val="center"/>
              <w:rPr>
                <w:rFonts w:ascii="Calibri" w:eastAsia="Times New Roman" w:hAnsi="Calibri" w:cs="Calibri"/>
                <w:b/>
                <w:color w:val="0000FF"/>
              </w:rPr>
            </w:pPr>
            <w:r>
              <w:rPr>
                <w:rFonts w:ascii="Calibri" w:eastAsia="Times New Roman" w:hAnsi="Calibri" w:cs="Calibri"/>
                <w:b/>
                <w:color w:val="0000FF"/>
              </w:rPr>
              <w:t>(n = 326)</w:t>
            </w:r>
          </w:p>
        </w:tc>
        <w:tc>
          <w:tcPr>
            <w:tcW w:w="1361" w:type="dxa"/>
            <w:noWrap/>
            <w:hideMark/>
          </w:tcPr>
          <w:p w14:paraId="5EAE41F4" w14:textId="77777777" w:rsidR="00753024" w:rsidRDefault="00753024" w:rsidP="00461C0D">
            <w:pPr>
              <w:autoSpaceDE w:val="0"/>
              <w:autoSpaceDN w:val="0"/>
              <w:adjustRightInd w:val="0"/>
              <w:jc w:val="center"/>
              <w:rPr>
                <w:rFonts w:ascii="Calibri" w:eastAsia="Times New Roman" w:hAnsi="Calibri" w:cs="Calibri"/>
                <w:b/>
                <w:color w:val="0000FF"/>
              </w:rPr>
            </w:pPr>
            <w:r w:rsidRPr="00960166">
              <w:rPr>
                <w:rFonts w:ascii="Calibri" w:eastAsia="Times New Roman" w:hAnsi="Calibri" w:cs="Calibri"/>
                <w:b/>
                <w:color w:val="0000FF"/>
              </w:rPr>
              <w:t>2013</w:t>
            </w:r>
          </w:p>
          <w:p w14:paraId="3AF09C75" w14:textId="68BA7B43" w:rsidR="00131704" w:rsidRPr="00960166" w:rsidRDefault="00131704" w:rsidP="00461C0D">
            <w:pPr>
              <w:autoSpaceDE w:val="0"/>
              <w:autoSpaceDN w:val="0"/>
              <w:adjustRightInd w:val="0"/>
              <w:jc w:val="center"/>
              <w:rPr>
                <w:rFonts w:ascii="Calibri" w:eastAsia="Times New Roman" w:hAnsi="Calibri" w:cs="Calibri"/>
                <w:b/>
                <w:color w:val="0000FF"/>
              </w:rPr>
            </w:pPr>
            <w:r>
              <w:rPr>
                <w:rFonts w:ascii="Calibri" w:eastAsia="Times New Roman" w:hAnsi="Calibri" w:cs="Calibri"/>
                <w:b/>
                <w:color w:val="0000FF"/>
              </w:rPr>
              <w:t>(n = 273)</w:t>
            </w:r>
          </w:p>
        </w:tc>
        <w:tc>
          <w:tcPr>
            <w:tcW w:w="1435" w:type="dxa"/>
            <w:noWrap/>
            <w:hideMark/>
          </w:tcPr>
          <w:p w14:paraId="274D10C8" w14:textId="77777777" w:rsidR="00753024" w:rsidRDefault="00753024" w:rsidP="00461C0D">
            <w:pPr>
              <w:autoSpaceDE w:val="0"/>
              <w:autoSpaceDN w:val="0"/>
              <w:adjustRightInd w:val="0"/>
              <w:jc w:val="center"/>
              <w:rPr>
                <w:rFonts w:ascii="Calibri" w:eastAsia="Times New Roman" w:hAnsi="Calibri" w:cs="Calibri"/>
                <w:b/>
                <w:color w:val="0000FF"/>
              </w:rPr>
            </w:pPr>
            <w:r w:rsidRPr="00960166">
              <w:rPr>
                <w:rFonts w:ascii="Calibri" w:eastAsia="Times New Roman" w:hAnsi="Calibri" w:cs="Calibri"/>
                <w:b/>
                <w:color w:val="0000FF"/>
              </w:rPr>
              <w:t>2014</w:t>
            </w:r>
          </w:p>
          <w:p w14:paraId="3BAF0FB1" w14:textId="31A3D84D" w:rsidR="00131704" w:rsidRPr="00960166" w:rsidRDefault="00131704" w:rsidP="00461C0D">
            <w:pPr>
              <w:autoSpaceDE w:val="0"/>
              <w:autoSpaceDN w:val="0"/>
              <w:adjustRightInd w:val="0"/>
              <w:jc w:val="center"/>
              <w:rPr>
                <w:rFonts w:ascii="Calibri" w:eastAsia="Times New Roman" w:hAnsi="Calibri" w:cs="Calibri"/>
                <w:b/>
                <w:color w:val="0000FF"/>
              </w:rPr>
            </w:pPr>
            <w:r>
              <w:rPr>
                <w:rFonts w:ascii="Calibri" w:eastAsia="Times New Roman" w:hAnsi="Calibri" w:cs="Calibri"/>
                <w:b/>
                <w:color w:val="0000FF"/>
              </w:rPr>
              <w:t>(n= 259)</w:t>
            </w:r>
          </w:p>
        </w:tc>
      </w:tr>
      <w:tr w:rsidR="00753024" w:rsidRPr="00753024" w14:paraId="76C35190" w14:textId="77777777" w:rsidTr="00753024">
        <w:trPr>
          <w:trHeight w:val="288"/>
        </w:trPr>
        <w:tc>
          <w:tcPr>
            <w:tcW w:w="4695" w:type="dxa"/>
            <w:noWrap/>
            <w:hideMark/>
          </w:tcPr>
          <w:p w14:paraId="1C793A01"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Major teaching</w:t>
            </w:r>
          </w:p>
        </w:tc>
        <w:tc>
          <w:tcPr>
            <w:tcW w:w="1859" w:type="dxa"/>
            <w:noWrap/>
            <w:hideMark/>
          </w:tcPr>
          <w:p w14:paraId="71B2E6F7"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93 (29.3%)</w:t>
            </w:r>
          </w:p>
        </w:tc>
        <w:tc>
          <w:tcPr>
            <w:tcW w:w="1361" w:type="dxa"/>
            <w:noWrap/>
            <w:hideMark/>
          </w:tcPr>
          <w:p w14:paraId="7753912E"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84 (31.3%)</w:t>
            </w:r>
          </w:p>
        </w:tc>
        <w:tc>
          <w:tcPr>
            <w:tcW w:w="1435" w:type="dxa"/>
            <w:noWrap/>
            <w:hideMark/>
          </w:tcPr>
          <w:p w14:paraId="5BF590D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73 (28.7%)</w:t>
            </w:r>
          </w:p>
        </w:tc>
      </w:tr>
      <w:tr w:rsidR="00753024" w:rsidRPr="00753024" w14:paraId="0137E896" w14:textId="77777777" w:rsidTr="00753024">
        <w:trPr>
          <w:trHeight w:val="288"/>
        </w:trPr>
        <w:tc>
          <w:tcPr>
            <w:tcW w:w="4695" w:type="dxa"/>
            <w:noWrap/>
            <w:hideMark/>
          </w:tcPr>
          <w:p w14:paraId="3E1CF501"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Minor teaching</w:t>
            </w:r>
          </w:p>
        </w:tc>
        <w:tc>
          <w:tcPr>
            <w:tcW w:w="1859" w:type="dxa"/>
            <w:noWrap/>
            <w:hideMark/>
          </w:tcPr>
          <w:p w14:paraId="77EFEC3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94 (29.7%)</w:t>
            </w:r>
          </w:p>
        </w:tc>
        <w:tc>
          <w:tcPr>
            <w:tcW w:w="1361" w:type="dxa"/>
            <w:noWrap/>
            <w:hideMark/>
          </w:tcPr>
          <w:p w14:paraId="4A461DC6"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76 (28.4%)</w:t>
            </w:r>
          </w:p>
        </w:tc>
        <w:tc>
          <w:tcPr>
            <w:tcW w:w="1435" w:type="dxa"/>
            <w:noWrap/>
            <w:hideMark/>
          </w:tcPr>
          <w:p w14:paraId="7EF11176"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76 (29.9%)</w:t>
            </w:r>
          </w:p>
        </w:tc>
      </w:tr>
      <w:tr w:rsidR="00753024" w:rsidRPr="00753024" w14:paraId="59F8870D" w14:textId="77777777" w:rsidTr="00753024">
        <w:trPr>
          <w:trHeight w:val="288"/>
        </w:trPr>
        <w:tc>
          <w:tcPr>
            <w:tcW w:w="4695" w:type="dxa"/>
            <w:noWrap/>
            <w:hideMark/>
          </w:tcPr>
          <w:p w14:paraId="58E27AC3"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Non-teaching</w:t>
            </w:r>
          </w:p>
        </w:tc>
        <w:tc>
          <w:tcPr>
            <w:tcW w:w="1859" w:type="dxa"/>
            <w:noWrap/>
            <w:hideMark/>
          </w:tcPr>
          <w:p w14:paraId="038C747E"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130 (41.0%)</w:t>
            </w:r>
          </w:p>
        </w:tc>
        <w:tc>
          <w:tcPr>
            <w:tcW w:w="1361" w:type="dxa"/>
            <w:noWrap/>
            <w:hideMark/>
          </w:tcPr>
          <w:p w14:paraId="3E5DC90F"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108 (40.3%)</w:t>
            </w:r>
          </w:p>
        </w:tc>
        <w:tc>
          <w:tcPr>
            <w:tcW w:w="1435" w:type="dxa"/>
            <w:noWrap/>
            <w:hideMark/>
          </w:tcPr>
          <w:p w14:paraId="2EF722A3"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105 (41.3%)</w:t>
            </w:r>
          </w:p>
        </w:tc>
      </w:tr>
      <w:tr w:rsidR="00753024" w:rsidRPr="00753024" w14:paraId="21B9864E" w14:textId="77777777" w:rsidTr="00753024">
        <w:trPr>
          <w:trHeight w:val="288"/>
        </w:trPr>
        <w:tc>
          <w:tcPr>
            <w:tcW w:w="4695" w:type="dxa"/>
            <w:noWrap/>
            <w:hideMark/>
          </w:tcPr>
          <w:p w14:paraId="2E61F4A3" w14:textId="2BBB56EB"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Missing (.)</w:t>
            </w:r>
          </w:p>
        </w:tc>
        <w:tc>
          <w:tcPr>
            <w:tcW w:w="1859" w:type="dxa"/>
            <w:noWrap/>
            <w:hideMark/>
          </w:tcPr>
          <w:p w14:paraId="7EF2CEC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w:t>
            </w:r>
          </w:p>
        </w:tc>
        <w:tc>
          <w:tcPr>
            <w:tcW w:w="1361" w:type="dxa"/>
            <w:noWrap/>
            <w:hideMark/>
          </w:tcPr>
          <w:p w14:paraId="43F49A84"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w:t>
            </w:r>
          </w:p>
        </w:tc>
        <w:tc>
          <w:tcPr>
            <w:tcW w:w="1435" w:type="dxa"/>
            <w:noWrap/>
            <w:hideMark/>
          </w:tcPr>
          <w:p w14:paraId="19D8802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w:t>
            </w:r>
          </w:p>
        </w:tc>
      </w:tr>
      <w:tr w:rsidR="00753024" w:rsidRPr="00753024" w14:paraId="3F4B9E8C" w14:textId="77777777" w:rsidTr="00753024">
        <w:trPr>
          <w:trHeight w:val="288"/>
        </w:trPr>
        <w:tc>
          <w:tcPr>
            <w:tcW w:w="4695" w:type="dxa"/>
            <w:noWrap/>
            <w:hideMark/>
          </w:tcPr>
          <w:p w14:paraId="656216E8" w14:textId="091FA788" w:rsidR="00753024" w:rsidRPr="00960166" w:rsidRDefault="00495C93" w:rsidP="00753024">
            <w:pPr>
              <w:autoSpaceDE w:val="0"/>
              <w:autoSpaceDN w:val="0"/>
              <w:adjustRightInd w:val="0"/>
              <w:rPr>
                <w:rFonts w:ascii="Calibri" w:eastAsia="Times New Roman" w:hAnsi="Calibri" w:cs="Calibri"/>
                <w:b/>
                <w:color w:val="0000FF"/>
              </w:rPr>
            </w:pPr>
            <w:r w:rsidRPr="00960166">
              <w:rPr>
                <w:rFonts w:ascii="Calibri" w:eastAsia="Times New Roman" w:hAnsi="Calibri" w:cs="Calibri"/>
                <w:b/>
                <w:color w:val="0000FF"/>
              </w:rPr>
              <w:t>Total Beds</w:t>
            </w:r>
          </w:p>
        </w:tc>
        <w:tc>
          <w:tcPr>
            <w:tcW w:w="1859" w:type="dxa"/>
            <w:noWrap/>
            <w:hideMark/>
          </w:tcPr>
          <w:p w14:paraId="7F15A170"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361" w:type="dxa"/>
            <w:noWrap/>
            <w:hideMark/>
          </w:tcPr>
          <w:p w14:paraId="7BDF39C0"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435" w:type="dxa"/>
            <w:noWrap/>
            <w:hideMark/>
          </w:tcPr>
          <w:p w14:paraId="3DB76287"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r>
      <w:tr w:rsidR="00753024" w:rsidRPr="00753024" w14:paraId="2361DAA1" w14:textId="77777777" w:rsidTr="00753024">
        <w:trPr>
          <w:trHeight w:val="288"/>
        </w:trPr>
        <w:tc>
          <w:tcPr>
            <w:tcW w:w="4695" w:type="dxa"/>
            <w:noWrap/>
            <w:hideMark/>
          </w:tcPr>
          <w:p w14:paraId="530E41F7"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&lt;100</w:t>
            </w:r>
          </w:p>
        </w:tc>
        <w:tc>
          <w:tcPr>
            <w:tcW w:w="1859" w:type="dxa"/>
            <w:noWrap/>
            <w:hideMark/>
          </w:tcPr>
          <w:p w14:paraId="65058A27"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21 (6.7%)</w:t>
            </w:r>
          </w:p>
        </w:tc>
        <w:tc>
          <w:tcPr>
            <w:tcW w:w="1361" w:type="dxa"/>
            <w:noWrap/>
            <w:hideMark/>
          </w:tcPr>
          <w:p w14:paraId="2091E9D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18 (6.8%)</w:t>
            </w:r>
          </w:p>
        </w:tc>
        <w:tc>
          <w:tcPr>
            <w:tcW w:w="1435" w:type="dxa"/>
            <w:noWrap/>
            <w:hideMark/>
          </w:tcPr>
          <w:p w14:paraId="18C39CC4"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14 (5.6%)</w:t>
            </w:r>
          </w:p>
        </w:tc>
      </w:tr>
      <w:tr w:rsidR="00753024" w:rsidRPr="00753024" w14:paraId="08B193FA" w14:textId="77777777" w:rsidTr="00753024">
        <w:trPr>
          <w:trHeight w:val="288"/>
        </w:trPr>
        <w:tc>
          <w:tcPr>
            <w:tcW w:w="4695" w:type="dxa"/>
            <w:noWrap/>
            <w:hideMark/>
          </w:tcPr>
          <w:p w14:paraId="7C0D1AA4"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100-199</w:t>
            </w:r>
          </w:p>
        </w:tc>
        <w:tc>
          <w:tcPr>
            <w:tcW w:w="1859" w:type="dxa"/>
            <w:noWrap/>
            <w:hideMark/>
          </w:tcPr>
          <w:p w14:paraId="1DC402B6"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56 (17.9%)</w:t>
            </w:r>
          </w:p>
        </w:tc>
        <w:tc>
          <w:tcPr>
            <w:tcW w:w="1361" w:type="dxa"/>
            <w:noWrap/>
            <w:hideMark/>
          </w:tcPr>
          <w:p w14:paraId="03A8C0C9"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46 (17.4%)</w:t>
            </w:r>
          </w:p>
        </w:tc>
        <w:tc>
          <w:tcPr>
            <w:tcW w:w="1435" w:type="dxa"/>
            <w:noWrap/>
            <w:hideMark/>
          </w:tcPr>
          <w:p w14:paraId="7BF8892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45 (17.9%)</w:t>
            </w:r>
          </w:p>
        </w:tc>
      </w:tr>
      <w:tr w:rsidR="00753024" w:rsidRPr="00753024" w14:paraId="7B9A8AB5" w14:textId="77777777" w:rsidTr="00753024">
        <w:trPr>
          <w:trHeight w:val="288"/>
        </w:trPr>
        <w:tc>
          <w:tcPr>
            <w:tcW w:w="4695" w:type="dxa"/>
            <w:noWrap/>
            <w:hideMark/>
          </w:tcPr>
          <w:p w14:paraId="1F86A155"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200-249</w:t>
            </w:r>
          </w:p>
        </w:tc>
        <w:tc>
          <w:tcPr>
            <w:tcW w:w="1859" w:type="dxa"/>
            <w:noWrap/>
            <w:hideMark/>
          </w:tcPr>
          <w:p w14:paraId="0AE8069C"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26 (8.3%)</w:t>
            </w:r>
          </w:p>
        </w:tc>
        <w:tc>
          <w:tcPr>
            <w:tcW w:w="1361" w:type="dxa"/>
            <w:noWrap/>
            <w:hideMark/>
          </w:tcPr>
          <w:p w14:paraId="02524227"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22 (8.3%)</w:t>
            </w:r>
          </w:p>
        </w:tc>
        <w:tc>
          <w:tcPr>
            <w:tcW w:w="1435" w:type="dxa"/>
            <w:noWrap/>
            <w:hideMark/>
          </w:tcPr>
          <w:p w14:paraId="28C07D7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21 (8.4%)</w:t>
            </w:r>
          </w:p>
        </w:tc>
      </w:tr>
      <w:tr w:rsidR="00753024" w:rsidRPr="00753024" w14:paraId="7A8E54E5" w14:textId="77777777" w:rsidTr="00753024">
        <w:trPr>
          <w:trHeight w:val="288"/>
        </w:trPr>
        <w:tc>
          <w:tcPr>
            <w:tcW w:w="4695" w:type="dxa"/>
            <w:noWrap/>
            <w:hideMark/>
          </w:tcPr>
          <w:p w14:paraId="72C84D58"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250-299</w:t>
            </w:r>
          </w:p>
        </w:tc>
        <w:tc>
          <w:tcPr>
            <w:tcW w:w="1859" w:type="dxa"/>
            <w:noWrap/>
            <w:hideMark/>
          </w:tcPr>
          <w:p w14:paraId="094C1219"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38 (12.2%)</w:t>
            </w:r>
          </w:p>
        </w:tc>
        <w:tc>
          <w:tcPr>
            <w:tcW w:w="1361" w:type="dxa"/>
            <w:noWrap/>
            <w:hideMark/>
          </w:tcPr>
          <w:p w14:paraId="465EF69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29 (11.0%)</w:t>
            </w:r>
          </w:p>
        </w:tc>
        <w:tc>
          <w:tcPr>
            <w:tcW w:w="1435" w:type="dxa"/>
            <w:noWrap/>
            <w:hideMark/>
          </w:tcPr>
          <w:p w14:paraId="4425D5F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28 (11.2%)</w:t>
            </w:r>
          </w:p>
        </w:tc>
      </w:tr>
      <w:tr w:rsidR="00753024" w:rsidRPr="00753024" w14:paraId="294ABC08" w14:textId="77777777" w:rsidTr="00753024">
        <w:trPr>
          <w:trHeight w:val="288"/>
        </w:trPr>
        <w:tc>
          <w:tcPr>
            <w:tcW w:w="4695" w:type="dxa"/>
            <w:noWrap/>
            <w:hideMark/>
          </w:tcPr>
          <w:p w14:paraId="415BD22C"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300-349</w:t>
            </w:r>
          </w:p>
        </w:tc>
        <w:tc>
          <w:tcPr>
            <w:tcW w:w="1859" w:type="dxa"/>
            <w:noWrap/>
            <w:hideMark/>
          </w:tcPr>
          <w:p w14:paraId="7A9ABAEC"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30 (9.6%)</w:t>
            </w:r>
          </w:p>
        </w:tc>
        <w:tc>
          <w:tcPr>
            <w:tcW w:w="1361" w:type="dxa"/>
            <w:noWrap/>
            <w:hideMark/>
          </w:tcPr>
          <w:p w14:paraId="1D01E0E1"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27 (10.2%)</w:t>
            </w:r>
          </w:p>
        </w:tc>
        <w:tc>
          <w:tcPr>
            <w:tcW w:w="1435" w:type="dxa"/>
            <w:noWrap/>
            <w:hideMark/>
          </w:tcPr>
          <w:p w14:paraId="6C1CD60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28 (11.2%)</w:t>
            </w:r>
          </w:p>
        </w:tc>
      </w:tr>
      <w:tr w:rsidR="00753024" w:rsidRPr="00753024" w14:paraId="50405599" w14:textId="77777777" w:rsidTr="00753024">
        <w:trPr>
          <w:trHeight w:val="288"/>
        </w:trPr>
        <w:tc>
          <w:tcPr>
            <w:tcW w:w="4695" w:type="dxa"/>
            <w:noWrap/>
            <w:hideMark/>
          </w:tcPr>
          <w:p w14:paraId="331C4677"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350-499</w:t>
            </w:r>
          </w:p>
        </w:tc>
        <w:tc>
          <w:tcPr>
            <w:tcW w:w="1859" w:type="dxa"/>
            <w:noWrap/>
            <w:hideMark/>
          </w:tcPr>
          <w:p w14:paraId="5EC8089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67 (21.5%)</w:t>
            </w:r>
          </w:p>
        </w:tc>
        <w:tc>
          <w:tcPr>
            <w:tcW w:w="1361" w:type="dxa"/>
            <w:noWrap/>
            <w:hideMark/>
          </w:tcPr>
          <w:p w14:paraId="3AFF5084"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55 (20.8%)</w:t>
            </w:r>
          </w:p>
        </w:tc>
        <w:tc>
          <w:tcPr>
            <w:tcW w:w="1435" w:type="dxa"/>
            <w:noWrap/>
            <w:hideMark/>
          </w:tcPr>
          <w:p w14:paraId="6FC0BDD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52 (20.7%)</w:t>
            </w:r>
          </w:p>
        </w:tc>
      </w:tr>
      <w:tr w:rsidR="00753024" w:rsidRPr="00753024" w14:paraId="373E054F" w14:textId="77777777" w:rsidTr="00753024">
        <w:trPr>
          <w:trHeight w:val="288"/>
        </w:trPr>
        <w:tc>
          <w:tcPr>
            <w:tcW w:w="4695" w:type="dxa"/>
            <w:noWrap/>
            <w:hideMark/>
          </w:tcPr>
          <w:p w14:paraId="4F209CBB"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500+</w:t>
            </w:r>
          </w:p>
        </w:tc>
        <w:tc>
          <w:tcPr>
            <w:tcW w:w="1859" w:type="dxa"/>
            <w:noWrap/>
            <w:hideMark/>
          </w:tcPr>
          <w:p w14:paraId="31299D15"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74 (23.7%)</w:t>
            </w:r>
          </w:p>
        </w:tc>
        <w:tc>
          <w:tcPr>
            <w:tcW w:w="1361" w:type="dxa"/>
            <w:noWrap/>
            <w:hideMark/>
          </w:tcPr>
          <w:p w14:paraId="247BFEB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67 (25.4%)</w:t>
            </w:r>
          </w:p>
        </w:tc>
        <w:tc>
          <w:tcPr>
            <w:tcW w:w="1435" w:type="dxa"/>
            <w:noWrap/>
            <w:hideMark/>
          </w:tcPr>
          <w:p w14:paraId="43E80614"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63 (25.1%)</w:t>
            </w:r>
          </w:p>
        </w:tc>
      </w:tr>
      <w:tr w:rsidR="00753024" w:rsidRPr="00753024" w14:paraId="74C4173E" w14:textId="77777777" w:rsidTr="00753024">
        <w:trPr>
          <w:trHeight w:val="288"/>
        </w:trPr>
        <w:tc>
          <w:tcPr>
            <w:tcW w:w="4695" w:type="dxa"/>
            <w:noWrap/>
            <w:hideMark/>
          </w:tcPr>
          <w:p w14:paraId="615E6B95"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Missing (.)</w:t>
            </w:r>
          </w:p>
        </w:tc>
        <w:tc>
          <w:tcPr>
            <w:tcW w:w="1859" w:type="dxa"/>
            <w:noWrap/>
            <w:hideMark/>
          </w:tcPr>
          <w:p w14:paraId="7E5222B2"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14</w:t>
            </w:r>
          </w:p>
        </w:tc>
        <w:tc>
          <w:tcPr>
            <w:tcW w:w="1361" w:type="dxa"/>
            <w:noWrap/>
            <w:hideMark/>
          </w:tcPr>
          <w:p w14:paraId="3009F243"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w:t>
            </w:r>
          </w:p>
        </w:tc>
        <w:tc>
          <w:tcPr>
            <w:tcW w:w="1435" w:type="dxa"/>
            <w:noWrap/>
            <w:hideMark/>
          </w:tcPr>
          <w:p w14:paraId="089FC7E3"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8</w:t>
            </w:r>
          </w:p>
        </w:tc>
      </w:tr>
      <w:tr w:rsidR="00753024" w:rsidRPr="00753024" w14:paraId="4156CE0B" w14:textId="77777777" w:rsidTr="00753024">
        <w:trPr>
          <w:trHeight w:val="288"/>
        </w:trPr>
        <w:tc>
          <w:tcPr>
            <w:tcW w:w="4695" w:type="dxa"/>
            <w:noWrap/>
            <w:hideMark/>
          </w:tcPr>
          <w:p w14:paraId="21BCA62D" w14:textId="554BB1B7" w:rsidR="00753024" w:rsidRPr="00960166" w:rsidRDefault="00495C93" w:rsidP="00753024">
            <w:pPr>
              <w:autoSpaceDE w:val="0"/>
              <w:autoSpaceDN w:val="0"/>
              <w:adjustRightInd w:val="0"/>
              <w:rPr>
                <w:rFonts w:ascii="Calibri" w:eastAsia="Times New Roman" w:hAnsi="Calibri" w:cs="Calibri"/>
                <w:b/>
                <w:color w:val="0000FF"/>
              </w:rPr>
            </w:pPr>
            <w:r w:rsidRPr="00960166">
              <w:rPr>
                <w:rFonts w:ascii="Calibri" w:eastAsia="Times New Roman" w:hAnsi="Calibri" w:cs="Calibri"/>
                <w:b/>
                <w:color w:val="0000FF"/>
              </w:rPr>
              <w:t>Level of Trauma Center</w:t>
            </w:r>
          </w:p>
        </w:tc>
        <w:tc>
          <w:tcPr>
            <w:tcW w:w="1859" w:type="dxa"/>
            <w:noWrap/>
            <w:hideMark/>
          </w:tcPr>
          <w:p w14:paraId="5D3FE18A"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361" w:type="dxa"/>
            <w:noWrap/>
            <w:hideMark/>
          </w:tcPr>
          <w:p w14:paraId="76BC5920"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435" w:type="dxa"/>
            <w:noWrap/>
            <w:hideMark/>
          </w:tcPr>
          <w:p w14:paraId="32B41357"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r>
      <w:tr w:rsidR="00753024" w:rsidRPr="00753024" w14:paraId="3609A40E" w14:textId="77777777" w:rsidTr="00753024">
        <w:trPr>
          <w:trHeight w:val="288"/>
        </w:trPr>
        <w:tc>
          <w:tcPr>
            <w:tcW w:w="4695" w:type="dxa"/>
            <w:noWrap/>
            <w:hideMark/>
          </w:tcPr>
          <w:p w14:paraId="3A2B42E1"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Regional</w:t>
            </w:r>
          </w:p>
        </w:tc>
        <w:tc>
          <w:tcPr>
            <w:tcW w:w="1859" w:type="dxa"/>
            <w:noWrap/>
            <w:hideMark/>
          </w:tcPr>
          <w:p w14:paraId="28B18523"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81 (39.7%)</w:t>
            </w:r>
          </w:p>
        </w:tc>
        <w:tc>
          <w:tcPr>
            <w:tcW w:w="1361" w:type="dxa"/>
            <w:noWrap/>
            <w:hideMark/>
          </w:tcPr>
          <w:p w14:paraId="3D4D498F"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71 (41.0%)</w:t>
            </w:r>
          </w:p>
        </w:tc>
        <w:tc>
          <w:tcPr>
            <w:tcW w:w="1435" w:type="dxa"/>
            <w:noWrap/>
            <w:hideMark/>
          </w:tcPr>
          <w:p w14:paraId="590BD57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64 (39.3%)</w:t>
            </w:r>
          </w:p>
        </w:tc>
      </w:tr>
      <w:tr w:rsidR="00753024" w:rsidRPr="00753024" w14:paraId="16B739E5" w14:textId="77777777" w:rsidTr="00753024">
        <w:trPr>
          <w:trHeight w:val="288"/>
        </w:trPr>
        <w:tc>
          <w:tcPr>
            <w:tcW w:w="4695" w:type="dxa"/>
            <w:noWrap/>
            <w:hideMark/>
          </w:tcPr>
          <w:p w14:paraId="2AE774CB"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Community</w:t>
            </w:r>
          </w:p>
        </w:tc>
        <w:tc>
          <w:tcPr>
            <w:tcW w:w="1859" w:type="dxa"/>
            <w:noWrap/>
            <w:hideMark/>
          </w:tcPr>
          <w:p w14:paraId="0C786312"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76 (37.3%)</w:t>
            </w:r>
          </w:p>
        </w:tc>
        <w:tc>
          <w:tcPr>
            <w:tcW w:w="1361" w:type="dxa"/>
            <w:noWrap/>
            <w:hideMark/>
          </w:tcPr>
          <w:p w14:paraId="017D5C6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60 (34.7%)</w:t>
            </w:r>
          </w:p>
        </w:tc>
        <w:tc>
          <w:tcPr>
            <w:tcW w:w="1435" w:type="dxa"/>
            <w:noWrap/>
            <w:hideMark/>
          </w:tcPr>
          <w:p w14:paraId="414F3529"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58 (35.6%)</w:t>
            </w:r>
          </w:p>
        </w:tc>
      </w:tr>
      <w:tr w:rsidR="00753024" w:rsidRPr="00753024" w14:paraId="6C905ACE" w14:textId="77777777" w:rsidTr="00753024">
        <w:trPr>
          <w:trHeight w:val="288"/>
        </w:trPr>
        <w:tc>
          <w:tcPr>
            <w:tcW w:w="4695" w:type="dxa"/>
            <w:noWrap/>
            <w:hideMark/>
          </w:tcPr>
          <w:p w14:paraId="0E34B686"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Rural</w:t>
            </w:r>
          </w:p>
        </w:tc>
        <w:tc>
          <w:tcPr>
            <w:tcW w:w="1859" w:type="dxa"/>
            <w:noWrap/>
            <w:hideMark/>
          </w:tcPr>
          <w:p w14:paraId="174AEC3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45 (22.1%)</w:t>
            </w:r>
          </w:p>
        </w:tc>
        <w:tc>
          <w:tcPr>
            <w:tcW w:w="1361" w:type="dxa"/>
            <w:noWrap/>
            <w:hideMark/>
          </w:tcPr>
          <w:p w14:paraId="305533B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40 (23.1%)</w:t>
            </w:r>
          </w:p>
        </w:tc>
        <w:tc>
          <w:tcPr>
            <w:tcW w:w="1435" w:type="dxa"/>
            <w:noWrap/>
            <w:hideMark/>
          </w:tcPr>
          <w:p w14:paraId="4FAE4B6C"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40 (24.5%)</w:t>
            </w:r>
          </w:p>
        </w:tc>
      </w:tr>
      <w:tr w:rsidR="00753024" w:rsidRPr="00753024" w14:paraId="45ED42F7" w14:textId="77777777" w:rsidTr="00753024">
        <w:trPr>
          <w:trHeight w:val="288"/>
        </w:trPr>
        <w:tc>
          <w:tcPr>
            <w:tcW w:w="4695" w:type="dxa"/>
            <w:noWrap/>
            <w:hideMark/>
          </w:tcPr>
          <w:p w14:paraId="78F8723D"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xml:space="preserve">    Other</w:t>
            </w:r>
          </w:p>
        </w:tc>
        <w:tc>
          <w:tcPr>
            <w:tcW w:w="1859" w:type="dxa"/>
            <w:noWrap/>
            <w:hideMark/>
          </w:tcPr>
          <w:p w14:paraId="6E439375"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 (1.0%)</w:t>
            </w:r>
          </w:p>
        </w:tc>
        <w:tc>
          <w:tcPr>
            <w:tcW w:w="1361" w:type="dxa"/>
            <w:noWrap/>
            <w:hideMark/>
          </w:tcPr>
          <w:p w14:paraId="317CCEB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 (1.2%)</w:t>
            </w:r>
          </w:p>
        </w:tc>
        <w:tc>
          <w:tcPr>
            <w:tcW w:w="1435" w:type="dxa"/>
            <w:noWrap/>
            <w:hideMark/>
          </w:tcPr>
          <w:p w14:paraId="1C13FD6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 (0.6%)</w:t>
            </w:r>
          </w:p>
        </w:tc>
      </w:tr>
      <w:tr w:rsidR="00753024" w:rsidRPr="00753024" w14:paraId="46CC3C3E" w14:textId="77777777" w:rsidTr="00753024">
        <w:trPr>
          <w:trHeight w:val="288"/>
        </w:trPr>
        <w:tc>
          <w:tcPr>
            <w:tcW w:w="4695" w:type="dxa"/>
            <w:noWrap/>
            <w:hideMark/>
          </w:tcPr>
          <w:p w14:paraId="3A2EE2CF"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Missing (.)</w:t>
            </w:r>
          </w:p>
        </w:tc>
        <w:tc>
          <w:tcPr>
            <w:tcW w:w="1859" w:type="dxa"/>
            <w:noWrap/>
            <w:hideMark/>
          </w:tcPr>
          <w:p w14:paraId="33BFFA5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122</w:t>
            </w:r>
          </w:p>
        </w:tc>
        <w:tc>
          <w:tcPr>
            <w:tcW w:w="1361" w:type="dxa"/>
            <w:noWrap/>
            <w:hideMark/>
          </w:tcPr>
          <w:p w14:paraId="66F2A41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100</w:t>
            </w:r>
          </w:p>
        </w:tc>
        <w:tc>
          <w:tcPr>
            <w:tcW w:w="1435" w:type="dxa"/>
            <w:noWrap/>
            <w:hideMark/>
          </w:tcPr>
          <w:p w14:paraId="058E7FDF"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96</w:t>
            </w:r>
          </w:p>
        </w:tc>
      </w:tr>
      <w:tr w:rsidR="00753024" w:rsidRPr="00753024" w14:paraId="5C8C1646" w14:textId="77777777" w:rsidTr="00753024">
        <w:trPr>
          <w:trHeight w:val="288"/>
        </w:trPr>
        <w:tc>
          <w:tcPr>
            <w:tcW w:w="4695" w:type="dxa"/>
            <w:noWrap/>
            <w:hideMark/>
          </w:tcPr>
          <w:p w14:paraId="242FF323" w14:textId="28FA90E8" w:rsidR="00753024" w:rsidRPr="00960166" w:rsidRDefault="00495C93" w:rsidP="00753024">
            <w:pPr>
              <w:autoSpaceDE w:val="0"/>
              <w:autoSpaceDN w:val="0"/>
              <w:adjustRightInd w:val="0"/>
              <w:rPr>
                <w:rFonts w:ascii="Calibri" w:eastAsia="Times New Roman" w:hAnsi="Calibri" w:cs="Calibri"/>
                <w:b/>
                <w:color w:val="0000FF"/>
              </w:rPr>
            </w:pPr>
            <w:r w:rsidRPr="00960166">
              <w:rPr>
                <w:rFonts w:ascii="Calibri" w:eastAsia="Times New Roman" w:hAnsi="Calibri" w:cs="Calibri"/>
                <w:b/>
                <w:color w:val="0000FF"/>
              </w:rPr>
              <w:t>Census Division Region</w:t>
            </w:r>
          </w:p>
        </w:tc>
        <w:tc>
          <w:tcPr>
            <w:tcW w:w="1859" w:type="dxa"/>
            <w:noWrap/>
            <w:hideMark/>
          </w:tcPr>
          <w:p w14:paraId="5E8F4CAC"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361" w:type="dxa"/>
            <w:noWrap/>
            <w:hideMark/>
          </w:tcPr>
          <w:p w14:paraId="3A7D3CD9"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435" w:type="dxa"/>
            <w:noWrap/>
            <w:hideMark/>
          </w:tcPr>
          <w:p w14:paraId="71942CEB"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r>
      <w:tr w:rsidR="00753024" w:rsidRPr="00753024" w14:paraId="4DC4578C" w14:textId="77777777" w:rsidTr="00753024">
        <w:trPr>
          <w:trHeight w:val="288"/>
        </w:trPr>
        <w:tc>
          <w:tcPr>
            <w:tcW w:w="4695" w:type="dxa"/>
            <w:noWrap/>
            <w:hideMark/>
          </w:tcPr>
          <w:p w14:paraId="053F72A5"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North Mid Atlantic</w:t>
            </w:r>
          </w:p>
        </w:tc>
        <w:tc>
          <w:tcPr>
            <w:tcW w:w="1859" w:type="dxa"/>
            <w:noWrap/>
            <w:hideMark/>
          </w:tcPr>
          <w:p w14:paraId="6E1DD70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69 (21.6%)</w:t>
            </w:r>
          </w:p>
        </w:tc>
        <w:tc>
          <w:tcPr>
            <w:tcW w:w="1361" w:type="dxa"/>
            <w:noWrap/>
            <w:hideMark/>
          </w:tcPr>
          <w:p w14:paraId="09CF9631"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62 (23.0%)</w:t>
            </w:r>
          </w:p>
        </w:tc>
        <w:tc>
          <w:tcPr>
            <w:tcW w:w="1435" w:type="dxa"/>
            <w:noWrap/>
            <w:hideMark/>
          </w:tcPr>
          <w:p w14:paraId="7BC19D81"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53 (20.7%)</w:t>
            </w:r>
          </w:p>
        </w:tc>
      </w:tr>
      <w:tr w:rsidR="00753024" w:rsidRPr="00753024" w14:paraId="3930B10E" w14:textId="77777777" w:rsidTr="00753024">
        <w:trPr>
          <w:trHeight w:val="288"/>
        </w:trPr>
        <w:tc>
          <w:tcPr>
            <w:tcW w:w="4695" w:type="dxa"/>
            <w:noWrap/>
            <w:hideMark/>
          </w:tcPr>
          <w:p w14:paraId="005F6F1A"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xml:space="preserve">     South Atlantic &amp; Puerto Rico</w:t>
            </w:r>
          </w:p>
        </w:tc>
        <w:tc>
          <w:tcPr>
            <w:tcW w:w="1859" w:type="dxa"/>
            <w:noWrap/>
            <w:hideMark/>
          </w:tcPr>
          <w:p w14:paraId="6835F8B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70 (21.9%)</w:t>
            </w:r>
          </w:p>
        </w:tc>
        <w:tc>
          <w:tcPr>
            <w:tcW w:w="1361" w:type="dxa"/>
            <w:noWrap/>
            <w:hideMark/>
          </w:tcPr>
          <w:p w14:paraId="7994184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61 (22.6%)</w:t>
            </w:r>
          </w:p>
        </w:tc>
        <w:tc>
          <w:tcPr>
            <w:tcW w:w="1435" w:type="dxa"/>
            <w:noWrap/>
            <w:hideMark/>
          </w:tcPr>
          <w:p w14:paraId="4174CEDC"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58 (22.7%)</w:t>
            </w:r>
          </w:p>
        </w:tc>
      </w:tr>
      <w:tr w:rsidR="00753024" w:rsidRPr="00753024" w14:paraId="25ACE102" w14:textId="77777777" w:rsidTr="00753024">
        <w:trPr>
          <w:trHeight w:val="288"/>
        </w:trPr>
        <w:tc>
          <w:tcPr>
            <w:tcW w:w="4695" w:type="dxa"/>
            <w:noWrap/>
            <w:hideMark/>
          </w:tcPr>
          <w:p w14:paraId="1C05257A"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North Central</w:t>
            </w:r>
          </w:p>
        </w:tc>
        <w:tc>
          <w:tcPr>
            <w:tcW w:w="1859" w:type="dxa"/>
            <w:noWrap/>
            <w:hideMark/>
          </w:tcPr>
          <w:p w14:paraId="0C7B866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70 (21.9%)</w:t>
            </w:r>
          </w:p>
        </w:tc>
        <w:tc>
          <w:tcPr>
            <w:tcW w:w="1361" w:type="dxa"/>
            <w:noWrap/>
            <w:hideMark/>
          </w:tcPr>
          <w:p w14:paraId="79E0B38C"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54 (20.0%)</w:t>
            </w:r>
          </w:p>
        </w:tc>
        <w:tc>
          <w:tcPr>
            <w:tcW w:w="1435" w:type="dxa"/>
            <w:noWrap/>
            <w:hideMark/>
          </w:tcPr>
          <w:p w14:paraId="3C550BA7"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54 (21.1%)</w:t>
            </w:r>
          </w:p>
        </w:tc>
      </w:tr>
      <w:tr w:rsidR="00753024" w:rsidRPr="00753024" w14:paraId="352CDC3F" w14:textId="77777777" w:rsidTr="00753024">
        <w:trPr>
          <w:trHeight w:val="288"/>
        </w:trPr>
        <w:tc>
          <w:tcPr>
            <w:tcW w:w="4695" w:type="dxa"/>
            <w:noWrap/>
            <w:hideMark/>
          </w:tcPr>
          <w:p w14:paraId="7440CD4F"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South Central</w:t>
            </w:r>
          </w:p>
        </w:tc>
        <w:tc>
          <w:tcPr>
            <w:tcW w:w="1859" w:type="dxa"/>
            <w:noWrap/>
            <w:hideMark/>
          </w:tcPr>
          <w:p w14:paraId="751149C1"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49 (15.3%)</w:t>
            </w:r>
          </w:p>
        </w:tc>
        <w:tc>
          <w:tcPr>
            <w:tcW w:w="1361" w:type="dxa"/>
            <w:noWrap/>
            <w:hideMark/>
          </w:tcPr>
          <w:p w14:paraId="33476D45"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43 (15.9%)</w:t>
            </w:r>
          </w:p>
        </w:tc>
        <w:tc>
          <w:tcPr>
            <w:tcW w:w="1435" w:type="dxa"/>
            <w:noWrap/>
            <w:hideMark/>
          </w:tcPr>
          <w:p w14:paraId="5637C92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43 (16.8%)</w:t>
            </w:r>
          </w:p>
        </w:tc>
      </w:tr>
      <w:tr w:rsidR="00753024" w:rsidRPr="00753024" w14:paraId="620ABE5B" w14:textId="77777777" w:rsidTr="00753024">
        <w:trPr>
          <w:trHeight w:val="288"/>
        </w:trPr>
        <w:tc>
          <w:tcPr>
            <w:tcW w:w="4695" w:type="dxa"/>
            <w:noWrap/>
            <w:hideMark/>
          </w:tcPr>
          <w:p w14:paraId="150A3920"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Mountain/Pacific</w:t>
            </w:r>
          </w:p>
        </w:tc>
        <w:tc>
          <w:tcPr>
            <w:tcW w:w="1859" w:type="dxa"/>
            <w:noWrap/>
            <w:hideMark/>
          </w:tcPr>
          <w:p w14:paraId="443E4B1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62 (19.4%)</w:t>
            </w:r>
          </w:p>
        </w:tc>
        <w:tc>
          <w:tcPr>
            <w:tcW w:w="1361" w:type="dxa"/>
            <w:noWrap/>
            <w:hideMark/>
          </w:tcPr>
          <w:p w14:paraId="24D4136B"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50 (18.5%)</w:t>
            </w:r>
          </w:p>
        </w:tc>
        <w:tc>
          <w:tcPr>
            <w:tcW w:w="1435" w:type="dxa"/>
            <w:noWrap/>
            <w:hideMark/>
          </w:tcPr>
          <w:p w14:paraId="76F9A3B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48 (18.8%)</w:t>
            </w:r>
          </w:p>
        </w:tc>
      </w:tr>
      <w:tr w:rsidR="00753024" w:rsidRPr="00753024" w14:paraId="5631E414" w14:textId="77777777" w:rsidTr="00753024">
        <w:trPr>
          <w:trHeight w:val="288"/>
        </w:trPr>
        <w:tc>
          <w:tcPr>
            <w:tcW w:w="4695" w:type="dxa"/>
            <w:noWrap/>
            <w:hideMark/>
          </w:tcPr>
          <w:p w14:paraId="51359448"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Missing (.)</w:t>
            </w:r>
          </w:p>
        </w:tc>
        <w:tc>
          <w:tcPr>
            <w:tcW w:w="1859" w:type="dxa"/>
            <w:noWrap/>
            <w:hideMark/>
          </w:tcPr>
          <w:p w14:paraId="0F86653A"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6</w:t>
            </w:r>
          </w:p>
        </w:tc>
        <w:tc>
          <w:tcPr>
            <w:tcW w:w="1361" w:type="dxa"/>
            <w:noWrap/>
            <w:hideMark/>
          </w:tcPr>
          <w:p w14:paraId="31E61818"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3</w:t>
            </w:r>
          </w:p>
        </w:tc>
        <w:tc>
          <w:tcPr>
            <w:tcW w:w="1435" w:type="dxa"/>
            <w:noWrap/>
            <w:hideMark/>
          </w:tcPr>
          <w:p w14:paraId="63372922"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3</w:t>
            </w:r>
          </w:p>
        </w:tc>
      </w:tr>
      <w:tr w:rsidR="00753024" w:rsidRPr="00753024" w14:paraId="1C8B1D47" w14:textId="77777777" w:rsidTr="00753024">
        <w:trPr>
          <w:trHeight w:val="288"/>
        </w:trPr>
        <w:tc>
          <w:tcPr>
            <w:tcW w:w="4695" w:type="dxa"/>
            <w:noWrap/>
            <w:hideMark/>
          </w:tcPr>
          <w:p w14:paraId="5307AE3A" w14:textId="5A4E448D" w:rsidR="00753024" w:rsidRPr="00960166" w:rsidRDefault="00495C93" w:rsidP="00753024">
            <w:pPr>
              <w:autoSpaceDE w:val="0"/>
              <w:autoSpaceDN w:val="0"/>
              <w:adjustRightInd w:val="0"/>
              <w:rPr>
                <w:rFonts w:ascii="Calibri" w:eastAsia="Times New Roman" w:hAnsi="Calibri" w:cs="Calibri"/>
                <w:b/>
                <w:color w:val="0000FF"/>
              </w:rPr>
            </w:pPr>
            <w:r w:rsidRPr="00960166">
              <w:rPr>
                <w:rFonts w:ascii="Calibri" w:eastAsia="Times New Roman" w:hAnsi="Calibri" w:cs="Calibri"/>
                <w:b/>
                <w:color w:val="0000FF"/>
              </w:rPr>
              <w:t>Location</w:t>
            </w:r>
          </w:p>
        </w:tc>
        <w:tc>
          <w:tcPr>
            <w:tcW w:w="1859" w:type="dxa"/>
            <w:noWrap/>
            <w:hideMark/>
          </w:tcPr>
          <w:p w14:paraId="68B3D48A"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361" w:type="dxa"/>
            <w:noWrap/>
            <w:hideMark/>
          </w:tcPr>
          <w:p w14:paraId="55ED9A6F"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c>
          <w:tcPr>
            <w:tcW w:w="1435" w:type="dxa"/>
            <w:noWrap/>
            <w:hideMark/>
          </w:tcPr>
          <w:p w14:paraId="174A682C" w14:textId="77777777" w:rsidR="00753024" w:rsidRPr="00960166" w:rsidRDefault="00753024" w:rsidP="00461C0D">
            <w:pPr>
              <w:autoSpaceDE w:val="0"/>
              <w:autoSpaceDN w:val="0"/>
              <w:adjustRightInd w:val="0"/>
              <w:jc w:val="center"/>
              <w:rPr>
                <w:rFonts w:ascii="Calibri" w:eastAsia="Times New Roman" w:hAnsi="Calibri" w:cs="Calibri"/>
                <w:color w:val="0000FF"/>
              </w:rPr>
            </w:pPr>
          </w:p>
        </w:tc>
      </w:tr>
      <w:tr w:rsidR="00753024" w:rsidRPr="00753024" w14:paraId="28EFDDFE" w14:textId="77777777" w:rsidTr="00753024">
        <w:trPr>
          <w:trHeight w:val="288"/>
        </w:trPr>
        <w:tc>
          <w:tcPr>
            <w:tcW w:w="4695" w:type="dxa"/>
            <w:noWrap/>
            <w:hideMark/>
          </w:tcPr>
          <w:p w14:paraId="1FEEF69A"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Rural</w:t>
            </w:r>
          </w:p>
        </w:tc>
        <w:tc>
          <w:tcPr>
            <w:tcW w:w="1859" w:type="dxa"/>
            <w:noWrap/>
            <w:hideMark/>
          </w:tcPr>
          <w:p w14:paraId="2D772233"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25 (7.9%)</w:t>
            </w:r>
          </w:p>
        </w:tc>
        <w:tc>
          <w:tcPr>
            <w:tcW w:w="1361" w:type="dxa"/>
            <w:noWrap/>
            <w:hideMark/>
          </w:tcPr>
          <w:p w14:paraId="4E67D777"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21 (7.8%)</w:t>
            </w:r>
          </w:p>
        </w:tc>
        <w:tc>
          <w:tcPr>
            <w:tcW w:w="1435" w:type="dxa"/>
            <w:noWrap/>
            <w:hideMark/>
          </w:tcPr>
          <w:p w14:paraId="00C1E16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18 (7.1%)</w:t>
            </w:r>
          </w:p>
        </w:tc>
      </w:tr>
      <w:tr w:rsidR="00753024" w:rsidRPr="00753024" w14:paraId="46BFEB34" w14:textId="77777777" w:rsidTr="00753024">
        <w:trPr>
          <w:trHeight w:val="288"/>
        </w:trPr>
        <w:tc>
          <w:tcPr>
            <w:tcW w:w="4695" w:type="dxa"/>
            <w:noWrap/>
            <w:hideMark/>
          </w:tcPr>
          <w:p w14:paraId="15242302" w14:textId="77777777"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Urban</w:t>
            </w:r>
          </w:p>
        </w:tc>
        <w:tc>
          <w:tcPr>
            <w:tcW w:w="1859" w:type="dxa"/>
            <w:noWrap/>
            <w:hideMark/>
          </w:tcPr>
          <w:p w14:paraId="265FB884"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292 (92.1%)</w:t>
            </w:r>
          </w:p>
        </w:tc>
        <w:tc>
          <w:tcPr>
            <w:tcW w:w="1361" w:type="dxa"/>
            <w:noWrap/>
            <w:hideMark/>
          </w:tcPr>
          <w:p w14:paraId="4136654D"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247 (92.2%)</w:t>
            </w:r>
          </w:p>
        </w:tc>
        <w:tc>
          <w:tcPr>
            <w:tcW w:w="1435" w:type="dxa"/>
            <w:noWrap/>
            <w:hideMark/>
          </w:tcPr>
          <w:p w14:paraId="5ED905C9"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236 (92.9%)</w:t>
            </w:r>
          </w:p>
        </w:tc>
      </w:tr>
      <w:tr w:rsidR="00753024" w:rsidRPr="00753024" w14:paraId="1E71B30C" w14:textId="77777777" w:rsidTr="00753024">
        <w:trPr>
          <w:trHeight w:val="288"/>
        </w:trPr>
        <w:tc>
          <w:tcPr>
            <w:tcW w:w="4695" w:type="dxa"/>
            <w:noWrap/>
            <w:hideMark/>
          </w:tcPr>
          <w:p w14:paraId="4BAEF50B" w14:textId="004B23E0" w:rsidR="00753024" w:rsidRPr="00960166" w:rsidRDefault="00753024" w:rsidP="00753024">
            <w:pPr>
              <w:autoSpaceDE w:val="0"/>
              <w:autoSpaceDN w:val="0"/>
              <w:adjustRightInd w:val="0"/>
              <w:rPr>
                <w:rFonts w:ascii="Calibri" w:eastAsia="Times New Roman" w:hAnsi="Calibri" w:cs="Calibri"/>
                <w:color w:val="0000FF"/>
              </w:rPr>
            </w:pPr>
            <w:r w:rsidRPr="00960166">
              <w:rPr>
                <w:rFonts w:ascii="Calibri" w:eastAsia="Times New Roman" w:hAnsi="Calibri" w:cs="Calibri"/>
                <w:color w:val="0000FF"/>
              </w:rPr>
              <w:t>     Missing (.)</w:t>
            </w:r>
          </w:p>
        </w:tc>
        <w:tc>
          <w:tcPr>
            <w:tcW w:w="1859" w:type="dxa"/>
            <w:noWrap/>
            <w:hideMark/>
          </w:tcPr>
          <w:p w14:paraId="11FB87F5"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9</w:t>
            </w:r>
          </w:p>
        </w:tc>
        <w:tc>
          <w:tcPr>
            <w:tcW w:w="1361" w:type="dxa"/>
            <w:noWrap/>
            <w:hideMark/>
          </w:tcPr>
          <w:p w14:paraId="799B7720"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w:t>
            </w:r>
          </w:p>
        </w:tc>
        <w:tc>
          <w:tcPr>
            <w:tcW w:w="1435" w:type="dxa"/>
            <w:noWrap/>
            <w:hideMark/>
          </w:tcPr>
          <w:p w14:paraId="5C35FE82" w14:textId="77777777" w:rsidR="00753024" w:rsidRPr="00960166" w:rsidRDefault="00753024" w:rsidP="00461C0D">
            <w:pPr>
              <w:autoSpaceDE w:val="0"/>
              <w:autoSpaceDN w:val="0"/>
              <w:adjustRightInd w:val="0"/>
              <w:jc w:val="center"/>
              <w:rPr>
                <w:rFonts w:ascii="Calibri" w:eastAsia="Times New Roman" w:hAnsi="Calibri" w:cs="Calibri"/>
                <w:color w:val="0000FF"/>
              </w:rPr>
            </w:pPr>
            <w:r w:rsidRPr="00960166">
              <w:rPr>
                <w:rFonts w:ascii="Calibri" w:eastAsia="Times New Roman" w:hAnsi="Calibri" w:cs="Calibri"/>
                <w:color w:val="0000FF"/>
              </w:rPr>
              <w:t>5</w:t>
            </w:r>
          </w:p>
        </w:tc>
      </w:tr>
    </w:tbl>
    <w:p w14:paraId="197C5BC5" w14:textId="0ED43E47" w:rsidR="00753024" w:rsidRPr="00461C0D" w:rsidRDefault="00131704" w:rsidP="002D7D79">
      <w:pPr>
        <w:autoSpaceDE w:val="0"/>
        <w:autoSpaceDN w:val="0"/>
        <w:adjustRightInd w:val="0"/>
        <w:spacing w:after="0" w:line="240" w:lineRule="auto"/>
        <w:rPr>
          <w:rFonts w:eastAsia="Times New Roman" w:cstheme="minorHAnsi"/>
          <w:color w:val="0000FF"/>
        </w:rPr>
      </w:pPr>
      <w:r w:rsidRPr="002D7D79">
        <w:rPr>
          <w:rFonts w:eastAsia="Times New Roman" w:cstheme="minorHAnsi"/>
          <w:color w:val="0000FF"/>
        </w:rPr>
        <w:t>*</w:t>
      </w:r>
      <w:r>
        <w:rPr>
          <w:rFonts w:eastAsia="Times New Roman" w:cstheme="minorHAnsi"/>
          <w:color w:val="0000FF"/>
        </w:rPr>
        <w:t xml:space="preserve"> Summary table provides hospital characteristics for all hospitals during each time period, regardless of case volume.</w:t>
      </w:r>
      <w:r w:rsidR="009D3437">
        <w:rPr>
          <w:rFonts w:eastAsia="Times New Roman" w:cstheme="minorHAnsi"/>
          <w:color w:val="0000FF"/>
        </w:rPr>
        <w:t xml:space="preserve"> Percentages reflect hospitals without missing data for each characteristic.</w:t>
      </w:r>
    </w:p>
    <w:p w14:paraId="7EEE04D0" w14:textId="77777777" w:rsidR="003B22AB" w:rsidRPr="00A25024" w:rsidRDefault="003B22AB" w:rsidP="00DB3627">
      <w:pPr>
        <w:autoSpaceDE w:val="0"/>
        <w:autoSpaceDN w:val="0"/>
        <w:adjustRightInd w:val="0"/>
        <w:spacing w:after="0" w:line="240" w:lineRule="auto"/>
        <w:rPr>
          <w:rFonts w:cstheme="minorHAnsi"/>
          <w:bCs/>
        </w:rPr>
      </w:pPr>
    </w:p>
    <w:p w14:paraId="0C3B8CA9" w14:textId="77777777" w:rsidR="007A193E" w:rsidRPr="004C36B4" w:rsidRDefault="002B5016" w:rsidP="007A193E">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638FF4DA" w14:textId="73E4A16C" w:rsidR="003B22AB" w:rsidRPr="00A25024" w:rsidRDefault="00100887" w:rsidP="003B22AB">
      <w:pPr>
        <w:autoSpaceDE w:val="0"/>
        <w:autoSpaceDN w:val="0"/>
        <w:adjustRightInd w:val="0"/>
        <w:spacing w:after="0" w:line="240" w:lineRule="auto"/>
        <w:rPr>
          <w:rFonts w:cstheme="minorHAnsi"/>
          <w:bCs/>
        </w:rPr>
      </w:pPr>
      <w:r>
        <w:rPr>
          <w:rFonts w:cstheme="minorHAnsi"/>
          <w:bCs/>
          <w:color w:val="0000FF"/>
        </w:rPr>
        <w:lastRenderedPageBreak/>
        <w:t>The initial derivation cohort for the model for risk-standardized survival included 32,560 patients with an in-hospital cardiac arrest between 2007 and 2010</w:t>
      </w:r>
      <w:r w:rsidR="00FB2943">
        <w:rPr>
          <w:rFonts w:cstheme="minorHAnsi"/>
          <w:bCs/>
          <w:color w:val="0000FF"/>
        </w:rPr>
        <w:t xml:space="preserve">, </w:t>
      </w:r>
      <w:r>
        <w:rPr>
          <w:rFonts w:cstheme="minorHAnsi"/>
          <w:bCs/>
          <w:color w:val="0000FF"/>
        </w:rPr>
        <w:t xml:space="preserve">and the initial validation cohort comprised 16,281 patients with an in-hospital cardiac arrest during this same time period.  </w:t>
      </w:r>
      <w:r w:rsidR="00EB349B">
        <w:rPr>
          <w:rFonts w:cstheme="minorHAnsi"/>
          <w:bCs/>
          <w:color w:val="0000FF"/>
        </w:rPr>
        <w:t>These results were published in the Journal of the American College of Cardiology</w:t>
      </w:r>
      <w:r w:rsidR="00DC79DB">
        <w:rPr>
          <w:rFonts w:cstheme="minorHAnsi"/>
          <w:bCs/>
          <w:color w:val="0000FF"/>
        </w:rPr>
        <w:t xml:space="preserve"> </w:t>
      </w:r>
      <w:r w:rsidR="00DC79DB" w:rsidRPr="00461C0D">
        <w:rPr>
          <w:rFonts w:cstheme="minorHAnsi"/>
          <w:bCs/>
          <w:color w:val="0000FF"/>
          <w:vertAlign w:val="superscript"/>
        </w:rPr>
        <w:t>1</w:t>
      </w:r>
      <w:r w:rsidR="00EB349B">
        <w:rPr>
          <w:rFonts w:cstheme="minorHAnsi"/>
          <w:bCs/>
          <w:color w:val="0000FF"/>
        </w:rPr>
        <w:t xml:space="preserve">.  </w:t>
      </w:r>
      <w:r>
        <w:rPr>
          <w:rFonts w:cstheme="minorHAnsi"/>
          <w:bCs/>
          <w:color w:val="0000FF"/>
        </w:rPr>
        <w:t xml:space="preserve">For this application, we have conducted a </w:t>
      </w:r>
      <w:r w:rsidRPr="00461C0D">
        <w:rPr>
          <w:rFonts w:cstheme="minorHAnsi"/>
          <w:bCs/>
          <w:i/>
          <w:color w:val="0000FF"/>
        </w:rPr>
        <w:t xml:space="preserve">prospective </w:t>
      </w:r>
      <w:r>
        <w:rPr>
          <w:rFonts w:cstheme="minorHAnsi"/>
          <w:bCs/>
          <w:color w:val="0000FF"/>
        </w:rPr>
        <w:t>validation of the initial model for risk-standardized survival after in-hospital cardiac arrest</w:t>
      </w:r>
      <w:r w:rsidR="00E57D96">
        <w:rPr>
          <w:rFonts w:cstheme="minorHAnsi"/>
          <w:bCs/>
          <w:color w:val="0000FF"/>
        </w:rPr>
        <w:t xml:space="preserve"> using data on 61,</w:t>
      </w:r>
      <w:r w:rsidR="00746D66">
        <w:rPr>
          <w:rFonts w:cstheme="minorHAnsi"/>
          <w:bCs/>
          <w:color w:val="0000FF"/>
        </w:rPr>
        <w:t xml:space="preserve">934 </w:t>
      </w:r>
      <w:r w:rsidR="00E57D96">
        <w:rPr>
          <w:rFonts w:cstheme="minorHAnsi"/>
          <w:bCs/>
          <w:color w:val="0000FF"/>
        </w:rPr>
        <w:t>patients with in-hospital cardiac arrest between January of 2011 and May of 2015.</w:t>
      </w:r>
      <w:r w:rsidR="003B22AB">
        <w:rPr>
          <w:rFonts w:cstheme="minorHAnsi"/>
          <w:bCs/>
          <w:color w:val="0000FF"/>
        </w:rPr>
        <w:t xml:space="preserve">  </w:t>
      </w:r>
      <w:r w:rsidR="003B22AB">
        <w:rPr>
          <w:rFonts w:cstheme="minorHAnsi"/>
          <w:color w:val="0000FF"/>
        </w:rPr>
        <w:t>Additional</w:t>
      </w:r>
      <w:r w:rsidR="00BD09AC">
        <w:rPr>
          <w:rFonts w:cstheme="minorHAnsi"/>
          <w:color w:val="0000FF"/>
        </w:rPr>
        <w:t>ly, we conducted</w:t>
      </w:r>
      <w:r w:rsidR="003B22AB">
        <w:rPr>
          <w:rFonts w:cstheme="minorHAnsi"/>
          <w:color w:val="0000FF"/>
        </w:rPr>
        <w:t xml:space="preserve"> reliability analyses </w:t>
      </w:r>
      <w:r w:rsidR="00BD09AC">
        <w:rPr>
          <w:rFonts w:cstheme="minorHAnsi"/>
          <w:color w:val="0000FF"/>
        </w:rPr>
        <w:t xml:space="preserve">for </w:t>
      </w:r>
      <w:r w:rsidR="00EB349B">
        <w:rPr>
          <w:rFonts w:cstheme="minorHAnsi"/>
          <w:color w:val="0000FF"/>
        </w:rPr>
        <w:t xml:space="preserve">this entire prospective time period, as well as for </w:t>
      </w:r>
      <w:r w:rsidR="00BD09AC">
        <w:rPr>
          <w:rFonts w:cstheme="minorHAnsi"/>
          <w:color w:val="0000FF"/>
        </w:rPr>
        <w:t>years</w:t>
      </w:r>
      <w:r w:rsidR="003B22AB">
        <w:rPr>
          <w:rFonts w:cstheme="minorHAnsi"/>
          <w:color w:val="0000FF"/>
        </w:rPr>
        <w:t xml:space="preserve"> 2013 and 2014 </w:t>
      </w:r>
      <w:r w:rsidR="00BD09AC">
        <w:rPr>
          <w:rFonts w:cstheme="minorHAnsi"/>
          <w:color w:val="0000FF"/>
        </w:rPr>
        <w:t>separately</w:t>
      </w:r>
      <w:r w:rsidR="00EB349B">
        <w:rPr>
          <w:rFonts w:cstheme="minorHAnsi"/>
          <w:color w:val="0000FF"/>
        </w:rPr>
        <w:t xml:space="preserve">, given that our proposed measure will be </w:t>
      </w:r>
      <w:r w:rsidR="00550093">
        <w:rPr>
          <w:rFonts w:cstheme="minorHAnsi"/>
          <w:color w:val="0000FF"/>
        </w:rPr>
        <w:t>an annual (1-year)</w:t>
      </w:r>
      <w:r w:rsidR="00EB349B">
        <w:rPr>
          <w:rFonts w:cstheme="minorHAnsi"/>
          <w:color w:val="0000FF"/>
        </w:rPr>
        <w:t xml:space="preserve"> measure</w:t>
      </w:r>
      <w:r w:rsidR="003B22AB">
        <w:rPr>
          <w:rFonts w:cstheme="minorHAnsi"/>
          <w:color w:val="0000FF"/>
        </w:rPr>
        <w:t>.</w:t>
      </w:r>
    </w:p>
    <w:p w14:paraId="4F601CA2" w14:textId="77777777" w:rsidR="001619C8" w:rsidRDefault="001619C8" w:rsidP="007A193E">
      <w:pPr>
        <w:autoSpaceDE w:val="0"/>
        <w:autoSpaceDN w:val="0"/>
        <w:adjustRightInd w:val="0"/>
        <w:spacing w:after="0" w:line="240" w:lineRule="auto"/>
        <w:rPr>
          <w:rFonts w:cstheme="minorHAnsi"/>
          <w:bCs/>
          <w:color w:val="0000FF"/>
        </w:rPr>
      </w:pPr>
    </w:p>
    <w:p w14:paraId="0B2E4341" w14:textId="3BA770C6" w:rsidR="009F698C" w:rsidRDefault="00DC79DB" w:rsidP="007A193E">
      <w:pPr>
        <w:autoSpaceDE w:val="0"/>
        <w:autoSpaceDN w:val="0"/>
        <w:adjustRightInd w:val="0"/>
        <w:spacing w:after="0" w:line="240" w:lineRule="auto"/>
        <w:rPr>
          <w:rFonts w:cstheme="minorHAnsi"/>
          <w:bCs/>
          <w:color w:val="0000FF"/>
        </w:rPr>
      </w:pPr>
      <w:r>
        <w:rPr>
          <w:rFonts w:cstheme="minorHAnsi"/>
          <w:bCs/>
          <w:color w:val="0000FF"/>
        </w:rPr>
        <w:t xml:space="preserve">1. </w:t>
      </w:r>
      <w:r w:rsidR="001619C8" w:rsidRPr="001619C8">
        <w:rPr>
          <w:rFonts w:cstheme="minorHAnsi"/>
          <w:bCs/>
          <w:color w:val="0000FF"/>
        </w:rPr>
        <w:t>Chan PS, Berg RA, Spertus JA, et al. for the AHA GWTG-Resuscitation Investigators. Risk-standardizing survival for in-hospital cardiac arrest to facilitate hospital comparisons. J Am Coll Cardiol 2013;62:601–9. doi:10.1016/j.jacc.2013.05.051</w:t>
      </w:r>
      <w:r w:rsidR="00100887">
        <w:rPr>
          <w:rFonts w:cstheme="minorHAnsi"/>
          <w:bCs/>
          <w:color w:val="0000FF"/>
        </w:rPr>
        <w:t xml:space="preserve">   </w:t>
      </w:r>
    </w:p>
    <w:p w14:paraId="3DB096B9" w14:textId="77777777" w:rsidR="00CD7D2F" w:rsidRDefault="00CD7D2F" w:rsidP="007A193E">
      <w:pPr>
        <w:autoSpaceDE w:val="0"/>
        <w:autoSpaceDN w:val="0"/>
        <w:adjustRightInd w:val="0"/>
        <w:spacing w:after="0" w:line="240" w:lineRule="auto"/>
        <w:rPr>
          <w:rFonts w:cstheme="minorHAnsi"/>
          <w:bCs/>
          <w:color w:val="0000FF"/>
        </w:rPr>
      </w:pPr>
    </w:p>
    <w:p w14:paraId="3A93129F" w14:textId="32E11004" w:rsidR="007A193E" w:rsidRDefault="007A193E" w:rsidP="007A193E">
      <w:pPr>
        <w:autoSpaceDE w:val="0"/>
        <w:autoSpaceDN w:val="0"/>
        <w:adjustRightInd w:val="0"/>
        <w:spacing w:after="0" w:line="240" w:lineRule="auto"/>
        <w:rPr>
          <w:rFonts w:cstheme="minorHAnsi"/>
          <w:bCs/>
          <w:color w:val="0000FF"/>
        </w:rPr>
      </w:pPr>
      <w:r>
        <w:rPr>
          <w:rFonts w:cstheme="minorHAnsi"/>
          <w:bCs/>
          <w:color w:val="0000FF"/>
        </w:rPr>
        <w:t>T</w:t>
      </w:r>
      <w:r w:rsidR="00EB349B">
        <w:rPr>
          <w:rFonts w:cstheme="minorHAnsi"/>
          <w:bCs/>
          <w:color w:val="0000FF"/>
        </w:rPr>
        <w:t>he t</w:t>
      </w:r>
      <w:r>
        <w:rPr>
          <w:rFonts w:cstheme="minorHAnsi"/>
          <w:bCs/>
          <w:color w:val="0000FF"/>
        </w:rPr>
        <w:t>able b</w:t>
      </w:r>
      <w:r w:rsidRPr="001F123A">
        <w:rPr>
          <w:rFonts w:cstheme="minorHAnsi"/>
          <w:bCs/>
          <w:color w:val="0000FF"/>
        </w:rPr>
        <w:t>elow</w:t>
      </w:r>
      <w:r w:rsidR="00EB349B">
        <w:rPr>
          <w:rFonts w:cstheme="minorHAnsi"/>
          <w:bCs/>
          <w:color w:val="0000FF"/>
        </w:rPr>
        <w:t xml:space="preserve"> and on the next page</w:t>
      </w:r>
      <w:r w:rsidRPr="001F123A">
        <w:rPr>
          <w:rFonts w:cstheme="minorHAnsi"/>
          <w:bCs/>
          <w:color w:val="0000FF"/>
        </w:rPr>
        <w:t xml:space="preserve"> describe</w:t>
      </w:r>
      <w:r w:rsidR="00BD628E">
        <w:rPr>
          <w:rFonts w:cstheme="minorHAnsi"/>
          <w:bCs/>
          <w:color w:val="0000FF"/>
        </w:rPr>
        <w:t>s</w:t>
      </w:r>
      <w:r w:rsidRPr="001F123A">
        <w:rPr>
          <w:rFonts w:cstheme="minorHAnsi"/>
          <w:bCs/>
          <w:color w:val="0000FF"/>
        </w:rPr>
        <w:t xml:space="preserve"> the patient case mix (demographics and pre-existing conditions)</w:t>
      </w:r>
      <w:r w:rsidR="00EB349B">
        <w:rPr>
          <w:rFonts w:cstheme="minorHAnsi"/>
          <w:bCs/>
          <w:color w:val="0000FF"/>
        </w:rPr>
        <w:t xml:space="preserve"> for </w:t>
      </w:r>
      <w:r w:rsidRPr="001F123A">
        <w:rPr>
          <w:rFonts w:cstheme="minorHAnsi"/>
          <w:bCs/>
          <w:color w:val="0000FF"/>
        </w:rPr>
        <w:t xml:space="preserve">the </w:t>
      </w:r>
      <w:r w:rsidR="00E57D96">
        <w:rPr>
          <w:rFonts w:cstheme="minorHAnsi"/>
          <w:bCs/>
          <w:color w:val="0000FF"/>
        </w:rPr>
        <w:t xml:space="preserve">initial </w:t>
      </w:r>
      <w:r w:rsidRPr="001F123A">
        <w:rPr>
          <w:rFonts w:cstheme="minorHAnsi"/>
          <w:bCs/>
          <w:color w:val="0000FF"/>
        </w:rPr>
        <w:t>derivation</w:t>
      </w:r>
      <w:r w:rsidR="00EB349B">
        <w:rPr>
          <w:rFonts w:cstheme="minorHAnsi"/>
          <w:bCs/>
          <w:color w:val="0000FF"/>
        </w:rPr>
        <w:t xml:space="preserve"> (2007-2010)</w:t>
      </w:r>
      <w:r w:rsidR="004B5D16">
        <w:rPr>
          <w:rFonts w:cstheme="minorHAnsi"/>
          <w:bCs/>
          <w:color w:val="0000FF"/>
        </w:rPr>
        <w:t>, initial validation</w:t>
      </w:r>
      <w:r w:rsidRPr="001F123A">
        <w:rPr>
          <w:rFonts w:cstheme="minorHAnsi"/>
          <w:bCs/>
          <w:color w:val="0000FF"/>
        </w:rPr>
        <w:t xml:space="preserve"> </w:t>
      </w:r>
      <w:r w:rsidR="00EB349B">
        <w:rPr>
          <w:rFonts w:cstheme="minorHAnsi"/>
          <w:bCs/>
          <w:color w:val="0000FF"/>
        </w:rPr>
        <w:t xml:space="preserve">(2007-2010) </w:t>
      </w:r>
      <w:r w:rsidRPr="001F123A">
        <w:rPr>
          <w:rFonts w:cstheme="minorHAnsi"/>
          <w:bCs/>
          <w:color w:val="0000FF"/>
        </w:rPr>
        <w:t xml:space="preserve">and </w:t>
      </w:r>
      <w:r w:rsidR="00E57D96">
        <w:rPr>
          <w:rFonts w:cstheme="minorHAnsi"/>
          <w:bCs/>
          <w:color w:val="0000FF"/>
        </w:rPr>
        <w:t xml:space="preserve">prospective </w:t>
      </w:r>
      <w:r w:rsidRPr="001F123A">
        <w:rPr>
          <w:rFonts w:cstheme="minorHAnsi"/>
          <w:bCs/>
          <w:color w:val="0000FF"/>
        </w:rPr>
        <w:t>validation cohorts</w:t>
      </w:r>
      <w:r w:rsidR="00EB349B">
        <w:rPr>
          <w:rFonts w:cstheme="minorHAnsi"/>
          <w:bCs/>
          <w:color w:val="0000FF"/>
        </w:rPr>
        <w:t xml:space="preserve"> (2011-May 2015)</w:t>
      </w:r>
      <w:r w:rsidRPr="001F123A">
        <w:rPr>
          <w:rFonts w:cstheme="minorHAnsi"/>
          <w:bCs/>
          <w:color w:val="0000FF"/>
        </w:rPr>
        <w:t xml:space="preserve">.  </w:t>
      </w:r>
      <w:r w:rsidR="00EB349B">
        <w:rPr>
          <w:rFonts w:cstheme="minorHAnsi"/>
          <w:bCs/>
          <w:color w:val="0000FF"/>
        </w:rPr>
        <w:t>The patient populations in each of these 3 cohorts were very similar in case-mix.</w:t>
      </w:r>
    </w:p>
    <w:p w14:paraId="42848518" w14:textId="3AC1C2A6" w:rsidR="007A193E" w:rsidRPr="00A332CC" w:rsidRDefault="007A193E" w:rsidP="007A193E">
      <w:pPr>
        <w:autoSpaceDE w:val="0"/>
        <w:autoSpaceDN w:val="0"/>
        <w:adjustRightInd w:val="0"/>
        <w:spacing w:after="0" w:line="240" w:lineRule="auto"/>
        <w:rPr>
          <w:rFonts w:cstheme="minorHAnsi"/>
          <w:bCs/>
          <w:color w:val="0000FF"/>
        </w:rPr>
      </w:pPr>
    </w:p>
    <w:tbl>
      <w:tblPr>
        <w:tblW w:w="9540" w:type="dxa"/>
        <w:tblInd w:w="-5" w:type="dxa"/>
        <w:tblCellMar>
          <w:top w:w="15" w:type="dxa"/>
          <w:bottom w:w="15" w:type="dxa"/>
        </w:tblCellMar>
        <w:tblLook w:val="04A0" w:firstRow="1" w:lastRow="0" w:firstColumn="1" w:lastColumn="0" w:noHBand="0" w:noVBand="1"/>
      </w:tblPr>
      <w:tblGrid>
        <w:gridCol w:w="3780"/>
        <w:gridCol w:w="1890"/>
        <w:gridCol w:w="1890"/>
        <w:gridCol w:w="1980"/>
      </w:tblGrid>
      <w:tr w:rsidR="004B5D16" w:rsidRPr="001F123A" w14:paraId="65F935BC" w14:textId="77777777" w:rsidTr="004B331E">
        <w:trPr>
          <w:trHeight w:val="465"/>
        </w:trPr>
        <w:tc>
          <w:tcPr>
            <w:tcW w:w="3780" w:type="dxa"/>
            <w:tcBorders>
              <w:top w:val="single" w:sz="4" w:space="0" w:color="auto"/>
              <w:left w:val="single" w:sz="4" w:space="0" w:color="auto"/>
              <w:bottom w:val="single" w:sz="4" w:space="0" w:color="auto"/>
              <w:right w:val="single" w:sz="4" w:space="0" w:color="auto"/>
            </w:tcBorders>
          </w:tcPr>
          <w:p w14:paraId="70F2B83E" w14:textId="77777777" w:rsidR="004B5D16" w:rsidRPr="001F123A" w:rsidRDefault="004B5D16" w:rsidP="00677E04">
            <w:pPr>
              <w:spacing w:after="0" w:line="240" w:lineRule="auto"/>
              <w:jc w:val="center"/>
              <w:rPr>
                <w:rFonts w:ascii="Calibri" w:eastAsia="Times New Roman" w:hAnsi="Calibri" w:cs="Calibri"/>
                <w:b/>
                <w:bCs/>
                <w:color w:val="0000FF"/>
                <w:sz w:val="36"/>
                <w:szCs w:val="36"/>
              </w:rPr>
            </w:pPr>
          </w:p>
        </w:tc>
        <w:tc>
          <w:tcPr>
            <w:tcW w:w="5760" w:type="dxa"/>
            <w:gridSpan w:val="3"/>
            <w:tcBorders>
              <w:top w:val="single" w:sz="4" w:space="0" w:color="auto"/>
              <w:left w:val="single" w:sz="4" w:space="0" w:color="auto"/>
              <w:bottom w:val="single" w:sz="4" w:space="0" w:color="auto"/>
              <w:right w:val="single" w:sz="4" w:space="0" w:color="auto"/>
            </w:tcBorders>
            <w:vAlign w:val="bottom"/>
            <w:hideMark/>
          </w:tcPr>
          <w:p w14:paraId="2A930A27" w14:textId="77777777" w:rsidR="004B5D16" w:rsidRPr="001F123A" w:rsidRDefault="004B5D16" w:rsidP="00677E04">
            <w:pPr>
              <w:spacing w:after="0" w:line="240" w:lineRule="auto"/>
              <w:jc w:val="center"/>
              <w:rPr>
                <w:rFonts w:ascii="Calibri" w:eastAsia="Times New Roman" w:hAnsi="Calibri" w:cs="Calibri"/>
                <w:b/>
                <w:bCs/>
                <w:color w:val="0000FF"/>
                <w:sz w:val="36"/>
                <w:szCs w:val="36"/>
              </w:rPr>
            </w:pPr>
            <w:r w:rsidRPr="000A78F8">
              <w:rPr>
                <w:rFonts w:ascii="Calibri" w:eastAsia="Times New Roman" w:hAnsi="Calibri" w:cs="Calibri"/>
                <w:b/>
                <w:bCs/>
                <w:color w:val="0000FF"/>
                <w:szCs w:val="36"/>
              </w:rPr>
              <w:t>Population Clinical Characteristics</w:t>
            </w:r>
          </w:p>
        </w:tc>
      </w:tr>
      <w:tr w:rsidR="00A23A2D" w:rsidRPr="001F123A" w14:paraId="06998A62" w14:textId="77777777" w:rsidTr="004B331E">
        <w:trPr>
          <w:trHeight w:val="300"/>
        </w:trPr>
        <w:tc>
          <w:tcPr>
            <w:tcW w:w="3780" w:type="dxa"/>
            <w:tcBorders>
              <w:top w:val="single" w:sz="4" w:space="0" w:color="auto"/>
              <w:left w:val="single" w:sz="4" w:space="0" w:color="auto"/>
              <w:right w:val="single" w:sz="4" w:space="0" w:color="auto"/>
            </w:tcBorders>
            <w:noWrap/>
            <w:vAlign w:val="bottom"/>
          </w:tcPr>
          <w:p w14:paraId="248F56A6" w14:textId="77777777" w:rsidR="004B5D16" w:rsidRPr="00EF1BE4" w:rsidRDefault="004B5D16" w:rsidP="00677E04">
            <w:pPr>
              <w:spacing w:after="0" w:line="240" w:lineRule="auto"/>
              <w:jc w:val="center"/>
              <w:rPr>
                <w:rFonts w:ascii="Calibri" w:eastAsia="Times New Roman" w:hAnsi="Calibri" w:cs="Calibri"/>
                <w:bCs/>
                <w:color w:val="0000FF"/>
              </w:rPr>
            </w:pPr>
          </w:p>
        </w:tc>
        <w:tc>
          <w:tcPr>
            <w:tcW w:w="1890" w:type="dxa"/>
            <w:tcBorders>
              <w:top w:val="single" w:sz="4" w:space="0" w:color="auto"/>
              <w:left w:val="single" w:sz="4" w:space="0" w:color="auto"/>
              <w:right w:val="single" w:sz="4" w:space="0" w:color="auto"/>
            </w:tcBorders>
            <w:noWrap/>
            <w:vAlign w:val="bottom"/>
            <w:hideMark/>
          </w:tcPr>
          <w:p w14:paraId="29FBE09E" w14:textId="77777777" w:rsidR="00CD7D2F" w:rsidRPr="0031553D" w:rsidRDefault="004B5D16" w:rsidP="00677E04">
            <w:pPr>
              <w:spacing w:after="0" w:line="240" w:lineRule="auto"/>
              <w:jc w:val="center"/>
              <w:rPr>
                <w:rFonts w:ascii="Calibri" w:eastAsia="Times New Roman" w:hAnsi="Calibri" w:cs="Calibri"/>
                <w:b/>
                <w:color w:val="0000FF"/>
              </w:rPr>
            </w:pPr>
            <w:r w:rsidRPr="006A532B">
              <w:rPr>
                <w:rFonts w:ascii="Calibri" w:eastAsia="Times New Roman" w:hAnsi="Calibri" w:cs="Calibri"/>
                <w:b/>
                <w:color w:val="0000FF"/>
              </w:rPr>
              <w:t>Initial Derivation Cohort</w:t>
            </w:r>
            <w:r w:rsidRPr="0031553D">
              <w:rPr>
                <w:rFonts w:ascii="Calibri" w:eastAsia="Times New Roman" w:hAnsi="Calibri" w:cs="Calibri"/>
                <w:b/>
                <w:color w:val="0000FF"/>
              </w:rPr>
              <w:t xml:space="preserve"> </w:t>
            </w:r>
          </w:p>
          <w:p w14:paraId="3EE4DDB9" w14:textId="471B1A96" w:rsidR="004B5D16" w:rsidRPr="0031553D" w:rsidRDefault="004B5D16" w:rsidP="00677E04">
            <w:pPr>
              <w:spacing w:after="0" w:line="240" w:lineRule="auto"/>
              <w:jc w:val="center"/>
              <w:rPr>
                <w:rFonts w:ascii="Calibri" w:eastAsia="Times New Roman" w:hAnsi="Calibri" w:cs="Calibri"/>
                <w:b/>
                <w:color w:val="0000FF"/>
              </w:rPr>
            </w:pPr>
            <w:r w:rsidRPr="0031553D">
              <w:rPr>
                <w:rFonts w:ascii="Calibri" w:eastAsia="Times New Roman" w:hAnsi="Calibri" w:cs="Calibri"/>
                <w:b/>
                <w:color w:val="0000FF"/>
              </w:rPr>
              <w:t>2007-2010</w:t>
            </w:r>
          </w:p>
        </w:tc>
        <w:tc>
          <w:tcPr>
            <w:tcW w:w="1890" w:type="dxa"/>
            <w:tcBorders>
              <w:top w:val="single" w:sz="4" w:space="0" w:color="auto"/>
              <w:left w:val="single" w:sz="4" w:space="0" w:color="auto"/>
              <w:right w:val="single" w:sz="4" w:space="0" w:color="auto"/>
            </w:tcBorders>
          </w:tcPr>
          <w:p w14:paraId="6D1AD141" w14:textId="77777777" w:rsidR="00CD7D2F" w:rsidRPr="0031553D" w:rsidRDefault="004B5D16" w:rsidP="00677E04">
            <w:pPr>
              <w:spacing w:after="0" w:line="240" w:lineRule="auto"/>
              <w:jc w:val="center"/>
              <w:rPr>
                <w:rFonts w:ascii="Calibri" w:eastAsia="Times New Roman" w:hAnsi="Calibri" w:cs="Calibri"/>
                <w:b/>
                <w:color w:val="0000FF"/>
              </w:rPr>
            </w:pPr>
            <w:r w:rsidRPr="0031553D">
              <w:rPr>
                <w:rFonts w:ascii="Calibri" w:eastAsia="Times New Roman" w:hAnsi="Calibri" w:cs="Calibri"/>
                <w:b/>
                <w:color w:val="0000FF"/>
              </w:rPr>
              <w:t>Initial Validation Cohort</w:t>
            </w:r>
            <w:r w:rsidR="00A23A2D" w:rsidRPr="0031553D">
              <w:rPr>
                <w:rFonts w:ascii="Calibri" w:eastAsia="Times New Roman" w:hAnsi="Calibri" w:cs="Calibri"/>
                <w:b/>
                <w:color w:val="0000FF"/>
              </w:rPr>
              <w:t xml:space="preserve"> </w:t>
            </w:r>
          </w:p>
          <w:p w14:paraId="38DA9CA8" w14:textId="73B50778" w:rsidR="004B5D16" w:rsidRPr="0031553D" w:rsidRDefault="00A23A2D" w:rsidP="00677E04">
            <w:pPr>
              <w:spacing w:after="0" w:line="240" w:lineRule="auto"/>
              <w:jc w:val="center"/>
              <w:rPr>
                <w:rFonts w:ascii="Calibri" w:eastAsia="Times New Roman" w:hAnsi="Calibri" w:cs="Calibri"/>
                <w:b/>
                <w:color w:val="0000FF"/>
              </w:rPr>
            </w:pPr>
            <w:r w:rsidRPr="0031553D">
              <w:rPr>
                <w:rFonts w:ascii="Calibri" w:eastAsia="Times New Roman" w:hAnsi="Calibri" w:cs="Calibri"/>
                <w:b/>
                <w:color w:val="0000FF"/>
              </w:rPr>
              <w:t>2007-2010</w:t>
            </w:r>
          </w:p>
        </w:tc>
        <w:tc>
          <w:tcPr>
            <w:tcW w:w="1980" w:type="dxa"/>
            <w:tcBorders>
              <w:top w:val="single" w:sz="4" w:space="0" w:color="auto"/>
              <w:left w:val="single" w:sz="4" w:space="0" w:color="auto"/>
              <w:right w:val="single" w:sz="4" w:space="0" w:color="auto"/>
            </w:tcBorders>
            <w:noWrap/>
            <w:vAlign w:val="bottom"/>
            <w:hideMark/>
          </w:tcPr>
          <w:p w14:paraId="35B89E31" w14:textId="43FF7442" w:rsidR="004B5D16" w:rsidRPr="0031553D" w:rsidRDefault="004B5D16" w:rsidP="00677E04">
            <w:pPr>
              <w:spacing w:after="0" w:line="240" w:lineRule="auto"/>
              <w:jc w:val="center"/>
              <w:rPr>
                <w:rFonts w:ascii="Calibri" w:eastAsia="Times New Roman" w:hAnsi="Calibri" w:cs="Calibri"/>
                <w:b/>
                <w:color w:val="0000FF"/>
              </w:rPr>
            </w:pPr>
            <w:r w:rsidRPr="0031553D">
              <w:rPr>
                <w:rFonts w:ascii="Calibri" w:eastAsia="Times New Roman" w:hAnsi="Calibri" w:cs="Calibri"/>
                <w:b/>
                <w:color w:val="0000FF"/>
              </w:rPr>
              <w:t>Prospective Validation Cohort 2011-</w:t>
            </w:r>
            <w:r w:rsidR="00E91DE9">
              <w:rPr>
                <w:rFonts w:ascii="Calibri" w:eastAsia="Times New Roman" w:hAnsi="Calibri" w:cs="Calibri"/>
                <w:b/>
                <w:color w:val="0000FF"/>
              </w:rPr>
              <w:t xml:space="preserve">May </w:t>
            </w:r>
            <w:r w:rsidRPr="0031553D">
              <w:rPr>
                <w:rFonts w:ascii="Calibri" w:eastAsia="Times New Roman" w:hAnsi="Calibri" w:cs="Calibri"/>
                <w:b/>
                <w:color w:val="0000FF"/>
              </w:rPr>
              <w:t>2015</w:t>
            </w:r>
          </w:p>
        </w:tc>
      </w:tr>
      <w:tr w:rsidR="00A23A2D" w:rsidRPr="001F123A" w14:paraId="6BAD9C65" w14:textId="77777777" w:rsidTr="004B331E">
        <w:trPr>
          <w:trHeight w:val="300"/>
        </w:trPr>
        <w:tc>
          <w:tcPr>
            <w:tcW w:w="3780" w:type="dxa"/>
            <w:tcBorders>
              <w:left w:val="single" w:sz="4" w:space="0" w:color="auto"/>
              <w:bottom w:val="single" w:sz="4" w:space="0" w:color="auto"/>
              <w:right w:val="single" w:sz="4" w:space="0" w:color="auto"/>
            </w:tcBorders>
            <w:noWrap/>
            <w:vAlign w:val="bottom"/>
            <w:hideMark/>
          </w:tcPr>
          <w:p w14:paraId="4B5E7724" w14:textId="77777777" w:rsidR="004B5D16" w:rsidRPr="00EF1BE4" w:rsidRDefault="004B5D16" w:rsidP="00677E04">
            <w:pPr>
              <w:spacing w:after="0" w:line="240" w:lineRule="auto"/>
              <w:rPr>
                <w:rFonts w:ascii="Calibri" w:eastAsia="Times New Roman" w:hAnsi="Calibri" w:cs="Calibri"/>
                <w:color w:val="0000FF"/>
              </w:rPr>
            </w:pPr>
            <w:r w:rsidRPr="00EF1BE4">
              <w:rPr>
                <w:rFonts w:ascii="Calibri" w:eastAsia="Times New Roman" w:hAnsi="Calibri" w:cs="Calibri"/>
                <w:color w:val="0000FF"/>
              </w:rPr>
              <w:t> </w:t>
            </w:r>
          </w:p>
        </w:tc>
        <w:tc>
          <w:tcPr>
            <w:tcW w:w="1890" w:type="dxa"/>
            <w:tcBorders>
              <w:left w:val="single" w:sz="4" w:space="0" w:color="auto"/>
              <w:bottom w:val="single" w:sz="4" w:space="0" w:color="auto"/>
              <w:right w:val="single" w:sz="4" w:space="0" w:color="auto"/>
            </w:tcBorders>
            <w:noWrap/>
            <w:vAlign w:val="bottom"/>
            <w:hideMark/>
          </w:tcPr>
          <w:p w14:paraId="020D79FF" w14:textId="77777777" w:rsidR="004B5D16" w:rsidRPr="004B331E" w:rsidRDefault="004B5D16" w:rsidP="00677E04">
            <w:pPr>
              <w:spacing w:after="0" w:line="240" w:lineRule="auto"/>
              <w:jc w:val="center"/>
              <w:rPr>
                <w:rFonts w:ascii="Calibri" w:eastAsia="Times New Roman" w:hAnsi="Calibri" w:cs="Calibri"/>
                <w:b/>
                <w:color w:val="0000FF"/>
              </w:rPr>
            </w:pPr>
            <w:r w:rsidRPr="004B331E">
              <w:rPr>
                <w:rFonts w:ascii="Calibri" w:eastAsia="Times New Roman" w:hAnsi="Calibri" w:cs="Calibri"/>
                <w:b/>
                <w:color w:val="0000FF"/>
              </w:rPr>
              <w:t xml:space="preserve">(n = 32,560) </w:t>
            </w:r>
          </w:p>
        </w:tc>
        <w:tc>
          <w:tcPr>
            <w:tcW w:w="1890" w:type="dxa"/>
            <w:tcBorders>
              <w:left w:val="single" w:sz="4" w:space="0" w:color="auto"/>
              <w:bottom w:val="single" w:sz="4" w:space="0" w:color="auto"/>
              <w:right w:val="single" w:sz="4" w:space="0" w:color="auto"/>
            </w:tcBorders>
          </w:tcPr>
          <w:p w14:paraId="5A0DDDEA" w14:textId="77777777" w:rsidR="004B5D16" w:rsidRPr="004B331E" w:rsidRDefault="004B5D16" w:rsidP="00677E04">
            <w:pPr>
              <w:spacing w:after="0" w:line="240" w:lineRule="auto"/>
              <w:jc w:val="center"/>
              <w:rPr>
                <w:rFonts w:ascii="Calibri" w:eastAsia="Times New Roman" w:hAnsi="Calibri" w:cs="Calibri"/>
                <w:b/>
                <w:color w:val="0000FF"/>
              </w:rPr>
            </w:pPr>
            <w:r w:rsidRPr="004B331E">
              <w:rPr>
                <w:rFonts w:ascii="Calibri" w:eastAsia="Times New Roman" w:hAnsi="Calibri" w:cs="Calibri"/>
                <w:b/>
                <w:color w:val="0000FF"/>
              </w:rPr>
              <w:t>(n = 16,281)</w:t>
            </w:r>
          </w:p>
        </w:tc>
        <w:tc>
          <w:tcPr>
            <w:tcW w:w="1980" w:type="dxa"/>
            <w:tcBorders>
              <w:left w:val="single" w:sz="4" w:space="0" w:color="auto"/>
              <w:bottom w:val="single" w:sz="4" w:space="0" w:color="auto"/>
              <w:right w:val="single" w:sz="4" w:space="0" w:color="auto"/>
            </w:tcBorders>
            <w:noWrap/>
            <w:vAlign w:val="bottom"/>
            <w:hideMark/>
          </w:tcPr>
          <w:p w14:paraId="61072F47" w14:textId="77777777" w:rsidR="004B5D16" w:rsidRPr="004B331E" w:rsidRDefault="004B5D16" w:rsidP="00677E04">
            <w:pPr>
              <w:spacing w:after="0" w:line="240" w:lineRule="auto"/>
              <w:jc w:val="center"/>
              <w:rPr>
                <w:rFonts w:ascii="Calibri" w:eastAsia="Times New Roman" w:hAnsi="Calibri" w:cs="Calibri"/>
                <w:b/>
                <w:strike/>
                <w:color w:val="0000FF"/>
              </w:rPr>
            </w:pPr>
            <w:r w:rsidRPr="004B331E">
              <w:rPr>
                <w:rFonts w:ascii="Calibri" w:eastAsia="Times New Roman" w:hAnsi="Calibri" w:cs="Calibri"/>
                <w:b/>
                <w:color w:val="0000FF"/>
              </w:rPr>
              <w:t>(n=61,934)</w:t>
            </w:r>
            <w:r w:rsidR="00362F6B" w:rsidRPr="004B331E" w:rsidDel="00362F6B">
              <w:rPr>
                <w:rFonts w:ascii="Calibri" w:eastAsia="Times New Roman" w:hAnsi="Calibri" w:cs="Calibri"/>
                <w:b/>
                <w:color w:val="0000FF"/>
              </w:rPr>
              <w:t xml:space="preserve"> </w:t>
            </w:r>
          </w:p>
        </w:tc>
      </w:tr>
      <w:tr w:rsidR="00A23A2D" w:rsidRPr="001F123A" w14:paraId="4BA79563"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E55B437" w14:textId="77777777" w:rsidR="004B5D16" w:rsidRPr="00EF1BE4" w:rsidRDefault="004B5D16" w:rsidP="0031553D">
            <w:pPr>
              <w:spacing w:after="0" w:line="240" w:lineRule="auto"/>
              <w:rPr>
                <w:rFonts w:ascii="Calibri" w:eastAsia="Times New Roman" w:hAnsi="Calibri" w:cs="Calibri"/>
                <w:b/>
                <w:bCs/>
                <w:color w:val="0000FF"/>
              </w:rPr>
            </w:pPr>
            <w:r w:rsidRPr="00EF1BE4">
              <w:rPr>
                <w:rFonts w:ascii="Calibri" w:eastAsia="Times New Roman" w:hAnsi="Calibri" w:cs="Calibri"/>
                <w:b/>
                <w:bCs/>
                <w:color w:val="0000FF"/>
              </w:rPr>
              <w:t>Demographics</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8EFA6FB" w14:textId="77777777" w:rsidR="004B5D16" w:rsidRPr="006A532B" w:rsidRDefault="004B5D16" w:rsidP="00677E04">
            <w:pPr>
              <w:spacing w:after="0" w:line="240" w:lineRule="auto"/>
              <w:jc w:val="center"/>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5CE5AE8B" w14:textId="77777777" w:rsidR="004B5D16" w:rsidRPr="0031553D" w:rsidRDefault="004B5D16" w:rsidP="00677E04">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265EFA6" w14:textId="77777777" w:rsidR="004B5D16" w:rsidRPr="0031553D" w:rsidRDefault="004B5D16" w:rsidP="00677E04">
            <w:pPr>
              <w:spacing w:after="0" w:line="240" w:lineRule="auto"/>
              <w:jc w:val="center"/>
              <w:rPr>
                <w:rFonts w:ascii="Times New Roman" w:eastAsia="Times New Roman" w:hAnsi="Times New Roman" w:cs="Times New Roman"/>
                <w:color w:val="0000FF"/>
              </w:rPr>
            </w:pPr>
          </w:p>
        </w:tc>
      </w:tr>
      <w:tr w:rsidR="00A23A2D" w:rsidRPr="001F123A" w14:paraId="69D86355"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71AC7F6" w14:textId="593A688B" w:rsidR="004B5D16" w:rsidRPr="00EF1BE4" w:rsidRDefault="004B5D16" w:rsidP="00677E04">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Age, </w:t>
            </w:r>
            <w:r w:rsidR="00EB349B">
              <w:rPr>
                <w:rFonts w:ascii="Calibri" w:eastAsia="Times New Roman" w:hAnsi="Calibri" w:cs="Calibri"/>
                <w:color w:val="0000FF"/>
              </w:rPr>
              <w:t>m</w:t>
            </w:r>
            <w:r w:rsidRPr="00EF1BE4">
              <w:rPr>
                <w:rFonts w:ascii="Calibri" w:eastAsia="Times New Roman" w:hAnsi="Calibri" w:cs="Calibri"/>
                <w:color w:val="0000FF"/>
              </w:rPr>
              <w:t>ean ± </w:t>
            </w:r>
            <w:r w:rsidR="00EB349B">
              <w:rPr>
                <w:rFonts w:ascii="Calibri" w:eastAsia="Times New Roman" w:hAnsi="Calibri" w:cs="Calibri"/>
                <w:color w:val="0000FF"/>
              </w:rPr>
              <w:t>standard deviation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9760FC4" w14:textId="77777777" w:rsidR="004B5D16" w:rsidRPr="006A532B" w:rsidRDefault="004B5D16" w:rsidP="00677E04">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65.6 ± 16.1</w:t>
            </w:r>
          </w:p>
        </w:tc>
        <w:tc>
          <w:tcPr>
            <w:tcW w:w="1890" w:type="dxa"/>
            <w:tcBorders>
              <w:top w:val="single" w:sz="4" w:space="0" w:color="auto"/>
              <w:left w:val="single" w:sz="4" w:space="0" w:color="auto"/>
              <w:bottom w:val="single" w:sz="4" w:space="0" w:color="auto"/>
              <w:right w:val="single" w:sz="4" w:space="0" w:color="auto"/>
            </w:tcBorders>
          </w:tcPr>
          <w:p w14:paraId="2147C585"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65.6 ± 16.0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597147B2"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65.2 ± 15.9</w:t>
            </w:r>
          </w:p>
        </w:tc>
      </w:tr>
      <w:tr w:rsidR="00A23A2D" w:rsidRPr="001F123A" w14:paraId="2C4018E8"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2D67B4C2" w14:textId="77777777" w:rsidR="004B5D16" w:rsidRPr="00EF1BE4" w:rsidRDefault="004B5D16" w:rsidP="00677E04">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Male sex</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7E8E3A22" w14:textId="77777777" w:rsidR="004B5D16" w:rsidRPr="006A532B" w:rsidRDefault="004B5D16" w:rsidP="00677E04">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18,996 (58.3%)</w:t>
            </w:r>
          </w:p>
        </w:tc>
        <w:tc>
          <w:tcPr>
            <w:tcW w:w="1890" w:type="dxa"/>
            <w:tcBorders>
              <w:top w:val="single" w:sz="4" w:space="0" w:color="auto"/>
              <w:left w:val="single" w:sz="4" w:space="0" w:color="auto"/>
              <w:bottom w:val="single" w:sz="4" w:space="0" w:color="auto"/>
              <w:right w:val="single" w:sz="4" w:space="0" w:color="auto"/>
            </w:tcBorders>
          </w:tcPr>
          <w:p w14:paraId="31592B61"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9,500 (58.4%)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4E1F9FC"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36,241 (58.5%)</w:t>
            </w:r>
          </w:p>
        </w:tc>
      </w:tr>
      <w:tr w:rsidR="00A23A2D" w:rsidRPr="001F123A" w14:paraId="1F388286"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2084663" w14:textId="77777777" w:rsidR="004B5D16" w:rsidRPr="00EF1BE4" w:rsidRDefault="004B5D16" w:rsidP="00677E04">
            <w:pPr>
              <w:spacing w:after="0" w:line="240" w:lineRule="auto"/>
              <w:rPr>
                <w:rFonts w:ascii="Calibri" w:eastAsia="Times New Roman" w:hAnsi="Calibri" w:cs="Calibri"/>
                <w:color w:val="0000FF"/>
              </w:rPr>
            </w:pPr>
            <w:r w:rsidRPr="00EF1BE4">
              <w:rPr>
                <w:rFonts w:ascii="Calibri" w:eastAsia="Times New Roman" w:hAnsi="Calibri" w:cs="Calibri"/>
                <w:color w:val="0000FF"/>
              </w:rPr>
              <w:t>     Race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2811019" w14:textId="77777777" w:rsidR="004B5D16" w:rsidRPr="006A532B" w:rsidRDefault="004B5D16" w:rsidP="00677E04">
            <w:pPr>
              <w:spacing w:after="0" w:line="240" w:lineRule="auto"/>
              <w:rPr>
                <w:rFonts w:ascii="Calibri" w:eastAsia="Times New Roman" w:hAnsi="Calibri" w:cs="Calibri"/>
                <w:color w:val="0000FF"/>
              </w:rPr>
            </w:pPr>
          </w:p>
        </w:tc>
        <w:tc>
          <w:tcPr>
            <w:tcW w:w="1890" w:type="dxa"/>
            <w:tcBorders>
              <w:top w:val="single" w:sz="4" w:space="0" w:color="auto"/>
              <w:left w:val="single" w:sz="4" w:space="0" w:color="auto"/>
              <w:bottom w:val="single" w:sz="4" w:space="0" w:color="auto"/>
              <w:right w:val="single" w:sz="4" w:space="0" w:color="auto"/>
            </w:tcBorders>
          </w:tcPr>
          <w:p w14:paraId="2C53312D" w14:textId="77777777" w:rsidR="004B5D16" w:rsidRPr="0031553D" w:rsidRDefault="004B5D16" w:rsidP="00677E04">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0E9257A1" w14:textId="77777777" w:rsidR="004B5D16" w:rsidRPr="0031553D" w:rsidRDefault="004B5D16" w:rsidP="00677E04">
            <w:pPr>
              <w:spacing w:after="0" w:line="240" w:lineRule="auto"/>
              <w:jc w:val="center"/>
              <w:rPr>
                <w:rFonts w:ascii="Times New Roman" w:eastAsia="Times New Roman" w:hAnsi="Times New Roman" w:cs="Times New Roman"/>
                <w:color w:val="0000FF"/>
              </w:rPr>
            </w:pPr>
          </w:p>
        </w:tc>
      </w:tr>
      <w:tr w:rsidR="00A23A2D" w:rsidRPr="001F123A" w14:paraId="293C4A4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55F409A6" w14:textId="77777777" w:rsidR="004B5D16" w:rsidRPr="00EF1BE4" w:rsidRDefault="004B5D16" w:rsidP="00677E04">
            <w:pPr>
              <w:spacing w:after="0" w:line="240" w:lineRule="auto"/>
              <w:rPr>
                <w:rFonts w:ascii="Calibri" w:eastAsia="Times New Roman" w:hAnsi="Calibri" w:cs="Calibri"/>
                <w:color w:val="0000FF"/>
              </w:rPr>
            </w:pPr>
            <w:r w:rsidRPr="00EF1BE4">
              <w:rPr>
                <w:rFonts w:ascii="Calibri" w:eastAsia="Times New Roman" w:hAnsi="Calibri" w:cs="Calibri"/>
                <w:color w:val="0000FF"/>
              </w:rPr>
              <w:t>          White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E22FD46" w14:textId="77777777" w:rsidR="004B5D16" w:rsidRPr="006A532B" w:rsidRDefault="004B5D16" w:rsidP="00677E04">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22,576 (69.3%)</w:t>
            </w:r>
          </w:p>
        </w:tc>
        <w:tc>
          <w:tcPr>
            <w:tcW w:w="1890" w:type="dxa"/>
            <w:tcBorders>
              <w:top w:val="single" w:sz="4" w:space="0" w:color="auto"/>
              <w:left w:val="single" w:sz="4" w:space="0" w:color="auto"/>
              <w:bottom w:val="single" w:sz="4" w:space="0" w:color="auto"/>
              <w:right w:val="single" w:sz="4" w:space="0" w:color="auto"/>
            </w:tcBorders>
          </w:tcPr>
          <w:p w14:paraId="6F5B2358"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11,337 (69.6%)</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667DAA9" w14:textId="77777777" w:rsidR="004B5D16" w:rsidRPr="0031553D" w:rsidRDefault="004B5D16" w:rsidP="00677E04">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42,580 (68.8%)</w:t>
            </w:r>
          </w:p>
        </w:tc>
      </w:tr>
      <w:tr w:rsidR="00A23A2D" w:rsidRPr="001F123A" w14:paraId="271F01C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08F976AF" w14:textId="77777777"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Black</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654ACD98"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6,678 (20.5%)</w:t>
            </w:r>
          </w:p>
        </w:tc>
        <w:tc>
          <w:tcPr>
            <w:tcW w:w="1890" w:type="dxa"/>
            <w:tcBorders>
              <w:top w:val="single" w:sz="4" w:space="0" w:color="auto"/>
              <w:left w:val="single" w:sz="4" w:space="0" w:color="auto"/>
              <w:bottom w:val="single" w:sz="4" w:space="0" w:color="auto"/>
              <w:right w:val="single" w:sz="4" w:space="0" w:color="auto"/>
            </w:tcBorders>
          </w:tcPr>
          <w:p w14:paraId="01BE3F00"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w:t>
            </w:r>
            <w:r w:rsidR="00C22A89" w:rsidRPr="0031553D">
              <w:rPr>
                <w:rFonts w:ascii="Calibri" w:eastAsia="Times New Roman" w:hAnsi="Calibri" w:cs="Calibri"/>
                <w:color w:val="0000FF"/>
              </w:rPr>
              <w:t>,</w:t>
            </w:r>
            <w:r w:rsidRPr="0031553D">
              <w:rPr>
                <w:rFonts w:ascii="Calibri" w:eastAsia="Times New Roman" w:hAnsi="Calibri" w:cs="Calibri"/>
                <w:color w:val="0000FF"/>
              </w:rPr>
              <w:t>288 (20.2%)</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A83A35C"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14,138 (22.8%)</w:t>
            </w:r>
          </w:p>
        </w:tc>
      </w:tr>
      <w:tr w:rsidR="00A23A2D" w:rsidRPr="001F123A" w14:paraId="1DC61DE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B9300EF" w14:textId="77777777"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Other</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197B708"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1,268 (3.9%)</w:t>
            </w:r>
          </w:p>
        </w:tc>
        <w:tc>
          <w:tcPr>
            <w:tcW w:w="1890" w:type="dxa"/>
            <w:tcBorders>
              <w:top w:val="single" w:sz="4" w:space="0" w:color="auto"/>
              <w:left w:val="single" w:sz="4" w:space="0" w:color="auto"/>
              <w:bottom w:val="single" w:sz="4" w:space="0" w:color="auto"/>
              <w:right w:val="single" w:sz="4" w:space="0" w:color="auto"/>
            </w:tcBorders>
          </w:tcPr>
          <w:p w14:paraId="34555818"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618 (3.8%)</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9214E50"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1,530 (2.5%)</w:t>
            </w:r>
          </w:p>
        </w:tc>
      </w:tr>
      <w:tr w:rsidR="00A23A2D" w:rsidRPr="001F123A" w14:paraId="72082FE0"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5475158E" w14:textId="77777777"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Unknown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2AC8DA1B"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2,038 (6.3%)</w:t>
            </w:r>
          </w:p>
        </w:tc>
        <w:tc>
          <w:tcPr>
            <w:tcW w:w="1890" w:type="dxa"/>
            <w:tcBorders>
              <w:top w:val="single" w:sz="4" w:space="0" w:color="auto"/>
              <w:left w:val="single" w:sz="4" w:space="0" w:color="auto"/>
              <w:bottom w:val="single" w:sz="4" w:space="0" w:color="auto"/>
              <w:right w:val="single" w:sz="4" w:space="0" w:color="auto"/>
            </w:tcBorders>
          </w:tcPr>
          <w:p w14:paraId="7663F866"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C22A89" w:rsidRPr="0031553D">
              <w:rPr>
                <w:rFonts w:ascii="Calibri" w:eastAsia="Times New Roman" w:hAnsi="Calibri" w:cs="Calibri"/>
                <w:color w:val="0000FF"/>
              </w:rPr>
              <w:t>,</w:t>
            </w:r>
            <w:r w:rsidRPr="0031553D">
              <w:rPr>
                <w:rFonts w:ascii="Calibri" w:eastAsia="Times New Roman" w:hAnsi="Calibri" w:cs="Calibri"/>
                <w:color w:val="0000FF"/>
              </w:rPr>
              <w:t>038 (6.4%)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43D62E7"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3,686 (6.0%)</w:t>
            </w:r>
          </w:p>
        </w:tc>
      </w:tr>
      <w:tr w:rsidR="00A23A2D" w:rsidRPr="001F123A" w14:paraId="6A3D159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F219D3C" w14:textId="3ACADE8E"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w:t>
            </w:r>
            <w:r w:rsidR="00E64F02" w:rsidRPr="00EF1BE4">
              <w:rPr>
                <w:rFonts w:ascii="Calibri" w:eastAsia="Times New Roman" w:hAnsi="Calibri" w:cs="Calibri"/>
                <w:color w:val="0000FF"/>
              </w:rPr>
              <w:t xml:space="preserve"> </w:t>
            </w:r>
            <w:r w:rsidRPr="00EF1BE4">
              <w:rPr>
                <w:rFonts w:ascii="Calibri" w:eastAsia="Times New Roman" w:hAnsi="Calibri" w:cs="Calibri"/>
                <w:color w:val="0000FF"/>
              </w:rPr>
              <w:t>Hispanic</w:t>
            </w:r>
            <w:r w:rsidR="00EB349B">
              <w:rPr>
                <w:rFonts w:ascii="Calibri" w:eastAsia="Times New Roman" w:hAnsi="Calibri" w:cs="Calibri"/>
                <w:color w:val="0000FF"/>
              </w:rPr>
              <w:t xml:space="preserve"> ethnicity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799E031"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2,254 (6.9%)</w:t>
            </w:r>
          </w:p>
        </w:tc>
        <w:tc>
          <w:tcPr>
            <w:tcW w:w="1890" w:type="dxa"/>
            <w:tcBorders>
              <w:top w:val="single" w:sz="4" w:space="0" w:color="auto"/>
              <w:left w:val="single" w:sz="4" w:space="0" w:color="auto"/>
              <w:bottom w:val="single" w:sz="4" w:space="0" w:color="auto"/>
              <w:right w:val="single" w:sz="4" w:space="0" w:color="auto"/>
            </w:tcBorders>
          </w:tcPr>
          <w:p w14:paraId="353A5FAA"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C22A89" w:rsidRPr="0031553D">
              <w:rPr>
                <w:rFonts w:ascii="Calibri" w:eastAsia="Times New Roman" w:hAnsi="Calibri" w:cs="Calibri"/>
                <w:color w:val="0000FF"/>
              </w:rPr>
              <w:t>,</w:t>
            </w:r>
            <w:r w:rsidRPr="0031553D">
              <w:rPr>
                <w:rFonts w:ascii="Calibri" w:eastAsia="Times New Roman" w:hAnsi="Calibri" w:cs="Calibri"/>
                <w:color w:val="0000FF"/>
              </w:rPr>
              <w:t>060 (6.5%)</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B74C883"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2,780 (4.5%)</w:t>
            </w:r>
          </w:p>
        </w:tc>
      </w:tr>
      <w:tr w:rsidR="00A23A2D" w:rsidRPr="001F123A" w14:paraId="4ED83026"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44713C8F" w14:textId="77777777" w:rsidR="00E82C47" w:rsidRPr="00EF1BE4" w:rsidRDefault="00E82C47" w:rsidP="0031553D">
            <w:pPr>
              <w:spacing w:after="0" w:line="240" w:lineRule="auto"/>
              <w:rPr>
                <w:rFonts w:ascii="Calibri" w:eastAsia="Times New Roman" w:hAnsi="Calibri" w:cs="Calibri"/>
                <w:b/>
                <w:bCs/>
                <w:color w:val="0000FF"/>
              </w:rPr>
            </w:pPr>
            <w:r w:rsidRPr="00EF1BE4">
              <w:rPr>
                <w:rFonts w:ascii="Calibri" w:eastAsia="Times New Roman" w:hAnsi="Calibri" w:cs="Calibri"/>
                <w:b/>
                <w:bCs/>
                <w:color w:val="0000FF"/>
              </w:rPr>
              <w:t>Pre-Existing Conditions</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472D0E78" w14:textId="77777777" w:rsidR="00E82C47" w:rsidRPr="006A532B" w:rsidRDefault="00E82C47" w:rsidP="00E82C47">
            <w:pPr>
              <w:spacing w:after="0" w:line="240" w:lineRule="auto"/>
              <w:jc w:val="center"/>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2690E73D" w14:textId="77777777" w:rsidR="00E82C47" w:rsidRPr="0031553D" w:rsidRDefault="00E82C47" w:rsidP="00E82C47">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2003DA3E" w14:textId="77777777" w:rsidR="00E82C47" w:rsidRPr="0031553D" w:rsidRDefault="00E82C47" w:rsidP="00E82C47">
            <w:pPr>
              <w:spacing w:after="0" w:line="240" w:lineRule="auto"/>
              <w:jc w:val="center"/>
              <w:rPr>
                <w:rFonts w:ascii="Times New Roman" w:eastAsia="Times New Roman" w:hAnsi="Times New Roman" w:cs="Times New Roman"/>
                <w:color w:val="0000FF"/>
              </w:rPr>
            </w:pPr>
          </w:p>
        </w:tc>
      </w:tr>
      <w:tr w:rsidR="00A23A2D" w:rsidRPr="001F123A" w14:paraId="4F8CEAD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56BC016A" w14:textId="77777777"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Respiratory insufficiency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58F10A9"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13,301 (40.9%)</w:t>
            </w:r>
          </w:p>
        </w:tc>
        <w:tc>
          <w:tcPr>
            <w:tcW w:w="1890" w:type="dxa"/>
            <w:tcBorders>
              <w:top w:val="single" w:sz="4" w:space="0" w:color="auto"/>
              <w:left w:val="single" w:sz="4" w:space="0" w:color="auto"/>
              <w:bottom w:val="single" w:sz="4" w:space="0" w:color="auto"/>
              <w:right w:val="single" w:sz="4" w:space="0" w:color="auto"/>
            </w:tcBorders>
          </w:tcPr>
          <w:p w14:paraId="5C7ECC01"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w:t>
            </w:r>
            <w:r w:rsidR="00C22A89" w:rsidRPr="0031553D">
              <w:rPr>
                <w:rFonts w:ascii="Calibri" w:eastAsia="Times New Roman" w:hAnsi="Calibri" w:cs="Calibri"/>
                <w:color w:val="0000FF"/>
              </w:rPr>
              <w:t>,</w:t>
            </w:r>
            <w:r w:rsidRPr="0031553D">
              <w:rPr>
                <w:rFonts w:ascii="Calibri" w:eastAsia="Times New Roman" w:hAnsi="Calibri" w:cs="Calibri"/>
                <w:color w:val="0000FF"/>
              </w:rPr>
              <w:t>640 (40.8%)</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07652D71"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26,527 (42.8%)</w:t>
            </w:r>
          </w:p>
        </w:tc>
      </w:tr>
      <w:tr w:rsidR="00A23A2D" w:rsidRPr="001F123A" w14:paraId="13D280A2"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C19388D" w14:textId="77777777" w:rsidR="00E82C47" w:rsidRPr="00EF1BE4" w:rsidRDefault="00E82C47" w:rsidP="00E82C47">
            <w:pPr>
              <w:spacing w:after="0" w:line="240" w:lineRule="auto"/>
              <w:rPr>
                <w:rFonts w:ascii="Calibri" w:eastAsia="Times New Roman" w:hAnsi="Calibri" w:cs="Calibri"/>
                <w:color w:val="0000FF"/>
              </w:rPr>
            </w:pPr>
            <w:r w:rsidRPr="00EF1BE4">
              <w:rPr>
                <w:rFonts w:ascii="Calibri" w:eastAsia="Times New Roman" w:hAnsi="Calibri" w:cs="Calibri"/>
                <w:color w:val="0000FF"/>
              </w:rPr>
              <w:t>     Renal insufficiency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1E9B7741" w14:textId="77777777" w:rsidR="00E82C47" w:rsidRPr="006A532B" w:rsidRDefault="00E82C47" w:rsidP="00E82C47">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10,850 (33.3%)</w:t>
            </w:r>
          </w:p>
        </w:tc>
        <w:tc>
          <w:tcPr>
            <w:tcW w:w="1890" w:type="dxa"/>
            <w:tcBorders>
              <w:top w:val="single" w:sz="4" w:space="0" w:color="auto"/>
              <w:left w:val="single" w:sz="4" w:space="0" w:color="auto"/>
              <w:bottom w:val="single" w:sz="4" w:space="0" w:color="auto"/>
              <w:right w:val="single" w:sz="4" w:space="0" w:color="auto"/>
            </w:tcBorders>
          </w:tcPr>
          <w:p w14:paraId="4D3AC02B"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5</w:t>
            </w:r>
            <w:r w:rsidR="00C22A89" w:rsidRPr="0031553D">
              <w:rPr>
                <w:rFonts w:ascii="Calibri" w:eastAsia="Times New Roman" w:hAnsi="Calibri" w:cs="Calibri"/>
                <w:color w:val="0000FF"/>
              </w:rPr>
              <w:t>,</w:t>
            </w:r>
            <w:r w:rsidRPr="0031553D">
              <w:rPr>
                <w:rFonts w:ascii="Calibri" w:eastAsia="Times New Roman" w:hAnsi="Calibri" w:cs="Calibri"/>
                <w:color w:val="0000FF"/>
              </w:rPr>
              <w:t>358 (32.9%)</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1EB1D5E" w14:textId="77777777" w:rsidR="00E82C47" w:rsidRPr="0031553D" w:rsidRDefault="00E82C47" w:rsidP="00E82C47">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21,336 (34.4%)</w:t>
            </w:r>
          </w:p>
        </w:tc>
      </w:tr>
      <w:tr w:rsidR="00A23A2D" w:rsidRPr="001F123A" w14:paraId="19CA2B6E"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0D9D8665"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Diabetes mellitus</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6F39855D"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10,001 (30.7%)</w:t>
            </w:r>
          </w:p>
        </w:tc>
        <w:tc>
          <w:tcPr>
            <w:tcW w:w="1890" w:type="dxa"/>
            <w:tcBorders>
              <w:top w:val="single" w:sz="4" w:space="0" w:color="auto"/>
              <w:left w:val="single" w:sz="4" w:space="0" w:color="auto"/>
              <w:bottom w:val="single" w:sz="4" w:space="0" w:color="auto"/>
              <w:right w:val="single" w:sz="4" w:space="0" w:color="auto"/>
            </w:tcBorders>
          </w:tcPr>
          <w:p w14:paraId="0CBE353A"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w:t>
            </w:r>
            <w:r w:rsidR="00A23A2D" w:rsidRPr="0031553D">
              <w:rPr>
                <w:rFonts w:ascii="Calibri" w:eastAsia="Times New Roman" w:hAnsi="Calibri" w:cs="Calibri"/>
                <w:color w:val="0000FF"/>
              </w:rPr>
              <w:t>,</w:t>
            </w:r>
            <w:r w:rsidRPr="0031553D">
              <w:rPr>
                <w:rFonts w:ascii="Calibri" w:eastAsia="Times New Roman" w:hAnsi="Calibri" w:cs="Calibri"/>
                <w:color w:val="0000FF"/>
              </w:rPr>
              <w:t>928 (30.3%)</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80CB00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19,652 (31.7%)</w:t>
            </w:r>
          </w:p>
        </w:tc>
      </w:tr>
      <w:tr w:rsidR="00A23A2D" w:rsidRPr="001F123A" w14:paraId="76748B0F"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BF0CCA3"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Hypotension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FE77376"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8,413 (25.8%)</w:t>
            </w:r>
          </w:p>
        </w:tc>
        <w:tc>
          <w:tcPr>
            <w:tcW w:w="1890" w:type="dxa"/>
            <w:tcBorders>
              <w:top w:val="single" w:sz="4" w:space="0" w:color="auto"/>
              <w:left w:val="single" w:sz="4" w:space="0" w:color="auto"/>
              <w:bottom w:val="single" w:sz="4" w:space="0" w:color="auto"/>
              <w:right w:val="single" w:sz="4" w:space="0" w:color="auto"/>
            </w:tcBorders>
          </w:tcPr>
          <w:p w14:paraId="4D456596"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w:t>
            </w:r>
            <w:r w:rsidR="00A23A2D" w:rsidRPr="0031553D">
              <w:rPr>
                <w:rFonts w:ascii="Calibri" w:eastAsia="Times New Roman" w:hAnsi="Calibri" w:cs="Calibri"/>
                <w:color w:val="0000FF"/>
              </w:rPr>
              <w:t>,</w:t>
            </w:r>
            <w:r w:rsidRPr="0031553D">
              <w:rPr>
                <w:rFonts w:ascii="Calibri" w:eastAsia="Times New Roman" w:hAnsi="Calibri" w:cs="Calibri"/>
                <w:color w:val="0000FF"/>
              </w:rPr>
              <w:t>308 (26.5%)</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A56FEA9"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14,645 (23.6%)</w:t>
            </w:r>
          </w:p>
        </w:tc>
      </w:tr>
      <w:tr w:rsidR="00A23A2D" w:rsidRPr="001F123A" w14:paraId="01D04136"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007AD6A" w14:textId="13C8BA3E" w:rsidR="00C22A89" w:rsidRPr="00EF1BE4" w:rsidRDefault="00C22A89" w:rsidP="002D7D79">
            <w:pPr>
              <w:spacing w:after="0" w:line="240" w:lineRule="auto"/>
              <w:rPr>
                <w:rFonts w:ascii="Calibri" w:eastAsia="Times New Roman" w:hAnsi="Calibri" w:cs="Calibri"/>
                <w:color w:val="0000FF"/>
              </w:rPr>
            </w:pPr>
            <w:r w:rsidRPr="00EF1BE4">
              <w:rPr>
                <w:rFonts w:ascii="Calibri" w:eastAsia="Times New Roman" w:hAnsi="Calibri" w:cs="Calibri"/>
                <w:color w:val="0000FF"/>
              </w:rPr>
              <w:t>     Heart failure </w:t>
            </w:r>
            <w:r w:rsidR="00EB349B">
              <w:rPr>
                <w:rFonts w:ascii="Calibri" w:eastAsia="Times New Roman" w:hAnsi="Calibri" w:cs="Calibri"/>
                <w:color w:val="0000FF"/>
              </w:rPr>
              <w:t>during</w:t>
            </w:r>
            <w:r w:rsidR="00EB349B" w:rsidRPr="00EF1BE4">
              <w:rPr>
                <w:rFonts w:ascii="Calibri" w:eastAsia="Times New Roman" w:hAnsi="Calibri" w:cs="Calibri"/>
                <w:color w:val="0000FF"/>
              </w:rPr>
              <w:t> </w:t>
            </w:r>
            <w:r w:rsidRPr="00EF1BE4">
              <w:rPr>
                <w:rFonts w:ascii="Calibri" w:eastAsia="Times New Roman" w:hAnsi="Calibri" w:cs="Calibri"/>
                <w:color w:val="0000FF"/>
              </w:rPr>
              <w:t>admission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7194BC28"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5,370 (16.5%)</w:t>
            </w:r>
          </w:p>
        </w:tc>
        <w:tc>
          <w:tcPr>
            <w:tcW w:w="1890" w:type="dxa"/>
            <w:tcBorders>
              <w:top w:val="single" w:sz="4" w:space="0" w:color="auto"/>
              <w:left w:val="single" w:sz="4" w:space="0" w:color="auto"/>
              <w:bottom w:val="single" w:sz="4" w:space="0" w:color="auto"/>
              <w:right w:val="single" w:sz="4" w:space="0" w:color="auto"/>
            </w:tcBorders>
          </w:tcPr>
          <w:p w14:paraId="72034616"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678 (16.4%)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02A4A811"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9,527 (15.4%)</w:t>
            </w:r>
          </w:p>
        </w:tc>
      </w:tr>
      <w:tr w:rsidR="00A23A2D" w:rsidRPr="001F123A" w14:paraId="3F96AA0A"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2D626E77"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Prior heart failure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4349E66"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6,278 (19.3%)</w:t>
            </w:r>
          </w:p>
        </w:tc>
        <w:tc>
          <w:tcPr>
            <w:tcW w:w="1890" w:type="dxa"/>
            <w:tcBorders>
              <w:top w:val="single" w:sz="4" w:space="0" w:color="auto"/>
              <w:left w:val="single" w:sz="4" w:space="0" w:color="auto"/>
              <w:bottom w:val="single" w:sz="4" w:space="0" w:color="auto"/>
              <w:right w:val="single" w:sz="4" w:space="0" w:color="auto"/>
            </w:tcBorders>
          </w:tcPr>
          <w:p w14:paraId="61AD72B7"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w:t>
            </w:r>
            <w:r w:rsidR="00A23A2D" w:rsidRPr="0031553D">
              <w:rPr>
                <w:rFonts w:ascii="Calibri" w:eastAsia="Times New Roman" w:hAnsi="Calibri" w:cs="Calibri"/>
                <w:color w:val="0000FF"/>
              </w:rPr>
              <w:t>,</w:t>
            </w:r>
            <w:r w:rsidRPr="0031553D">
              <w:rPr>
                <w:rFonts w:ascii="Calibri" w:eastAsia="Times New Roman" w:hAnsi="Calibri" w:cs="Calibri"/>
                <w:color w:val="0000FF"/>
              </w:rPr>
              <w:t>094 (19.0%)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5616B125"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12,971 (20.9%)</w:t>
            </w:r>
          </w:p>
        </w:tc>
      </w:tr>
      <w:tr w:rsidR="00A23A2D" w:rsidRPr="001F123A" w14:paraId="7D94B7C4"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1206140F" w14:textId="77777777" w:rsidR="00E64F02"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Myocardial </w:t>
            </w:r>
            <w:r w:rsidR="00E64F02" w:rsidRPr="00EF1BE4">
              <w:rPr>
                <w:rFonts w:ascii="Calibri" w:eastAsia="Times New Roman" w:hAnsi="Calibri" w:cs="Calibri"/>
                <w:color w:val="0000FF"/>
              </w:rPr>
              <w:t xml:space="preserve">     </w:t>
            </w:r>
          </w:p>
          <w:p w14:paraId="0E3C2F6F" w14:textId="169D8909" w:rsidR="00C22A89" w:rsidRPr="006A532B" w:rsidRDefault="00E64F02" w:rsidP="002D7D79">
            <w:pPr>
              <w:spacing w:after="0" w:line="240" w:lineRule="auto"/>
              <w:rPr>
                <w:rFonts w:ascii="Calibri" w:eastAsia="Times New Roman" w:hAnsi="Calibri" w:cs="Calibri"/>
                <w:color w:val="0000FF"/>
              </w:rPr>
            </w:pPr>
            <w:r w:rsidRPr="006A532B">
              <w:rPr>
                <w:rFonts w:ascii="Calibri" w:eastAsia="Times New Roman" w:hAnsi="Calibri" w:cs="Calibri"/>
                <w:color w:val="0000FF"/>
              </w:rPr>
              <w:t xml:space="preserve">     </w:t>
            </w:r>
            <w:r w:rsidR="00C22A89" w:rsidRPr="006A532B">
              <w:rPr>
                <w:rFonts w:ascii="Calibri" w:eastAsia="Times New Roman" w:hAnsi="Calibri" w:cs="Calibri"/>
                <w:color w:val="0000FF"/>
              </w:rPr>
              <w:t>infarction </w:t>
            </w:r>
            <w:r w:rsidR="00EB349B">
              <w:rPr>
                <w:rFonts w:ascii="Calibri" w:eastAsia="Times New Roman" w:hAnsi="Calibri" w:cs="Calibri"/>
                <w:color w:val="0000FF"/>
              </w:rPr>
              <w:t>during</w:t>
            </w:r>
            <w:r w:rsidR="00EB349B" w:rsidRPr="006A532B">
              <w:rPr>
                <w:rFonts w:ascii="Calibri" w:eastAsia="Times New Roman" w:hAnsi="Calibri" w:cs="Calibri"/>
                <w:color w:val="0000FF"/>
              </w:rPr>
              <w:t> </w:t>
            </w:r>
            <w:r w:rsidR="00C22A89" w:rsidRPr="006A532B">
              <w:rPr>
                <w:rFonts w:ascii="Calibri" w:eastAsia="Times New Roman" w:hAnsi="Calibri" w:cs="Calibri"/>
                <w:color w:val="0000FF"/>
              </w:rPr>
              <w:t>admission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5F480B4"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5,184 (15.9%)</w:t>
            </w:r>
          </w:p>
        </w:tc>
        <w:tc>
          <w:tcPr>
            <w:tcW w:w="1890" w:type="dxa"/>
            <w:tcBorders>
              <w:top w:val="single" w:sz="4" w:space="0" w:color="auto"/>
              <w:left w:val="single" w:sz="4" w:space="0" w:color="auto"/>
              <w:bottom w:val="single" w:sz="4" w:space="0" w:color="auto"/>
              <w:right w:val="single" w:sz="4" w:space="0" w:color="auto"/>
            </w:tcBorders>
          </w:tcPr>
          <w:p w14:paraId="7FFA48E3" w14:textId="77777777" w:rsidR="0004462E" w:rsidRPr="0031553D" w:rsidRDefault="0004462E" w:rsidP="00C22A89">
            <w:pPr>
              <w:spacing w:after="0" w:line="240" w:lineRule="auto"/>
              <w:jc w:val="center"/>
              <w:rPr>
                <w:rFonts w:ascii="Calibri" w:eastAsia="Times New Roman" w:hAnsi="Calibri" w:cs="Calibri"/>
                <w:color w:val="0000FF"/>
              </w:rPr>
            </w:pPr>
          </w:p>
          <w:p w14:paraId="3FCB21F4"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501 (15.4%)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EE26049"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8,807 (14.2%)</w:t>
            </w:r>
          </w:p>
        </w:tc>
      </w:tr>
      <w:tr w:rsidR="00A23A2D" w:rsidRPr="001F123A" w14:paraId="23B0035F"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4D5AE618"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Prior Myocardial infarction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33A055B"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4,791 (14.7%)</w:t>
            </w:r>
          </w:p>
        </w:tc>
        <w:tc>
          <w:tcPr>
            <w:tcW w:w="1890" w:type="dxa"/>
            <w:tcBorders>
              <w:top w:val="single" w:sz="4" w:space="0" w:color="auto"/>
              <w:left w:val="single" w:sz="4" w:space="0" w:color="auto"/>
              <w:bottom w:val="single" w:sz="4" w:space="0" w:color="auto"/>
              <w:right w:val="single" w:sz="4" w:space="0" w:color="auto"/>
            </w:tcBorders>
          </w:tcPr>
          <w:p w14:paraId="53EC375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319 (14.2%)</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2814092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8,389 (13.5%)</w:t>
            </w:r>
          </w:p>
        </w:tc>
      </w:tr>
      <w:tr w:rsidR="00A23A2D" w:rsidRPr="001F123A" w14:paraId="48B382E2"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27E2410" w14:textId="77777777" w:rsidR="00E64F02"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lastRenderedPageBreak/>
              <w:t xml:space="preserve">     Metabolic or </w:t>
            </w:r>
            <w:r w:rsidR="00E64F02" w:rsidRPr="00EF1BE4">
              <w:rPr>
                <w:rFonts w:ascii="Calibri" w:eastAsia="Times New Roman" w:hAnsi="Calibri" w:cs="Calibri"/>
                <w:color w:val="0000FF"/>
              </w:rPr>
              <w:t xml:space="preserve">  </w:t>
            </w:r>
          </w:p>
          <w:p w14:paraId="2C3A3768" w14:textId="77777777" w:rsidR="00C22A89" w:rsidRPr="006A532B" w:rsidRDefault="00E64F02" w:rsidP="00C22A89">
            <w:pPr>
              <w:spacing w:after="0" w:line="240" w:lineRule="auto"/>
              <w:rPr>
                <w:rFonts w:ascii="Calibri" w:eastAsia="Times New Roman" w:hAnsi="Calibri" w:cs="Calibri"/>
                <w:color w:val="0000FF"/>
              </w:rPr>
            </w:pPr>
            <w:r w:rsidRPr="006A532B">
              <w:rPr>
                <w:rFonts w:ascii="Calibri" w:eastAsia="Times New Roman" w:hAnsi="Calibri" w:cs="Calibri"/>
                <w:color w:val="0000FF"/>
              </w:rPr>
              <w:t xml:space="preserve">     </w:t>
            </w:r>
            <w:r w:rsidR="00C22A89" w:rsidRPr="006A532B">
              <w:rPr>
                <w:rFonts w:ascii="Calibri" w:eastAsia="Times New Roman" w:hAnsi="Calibri" w:cs="Calibri"/>
                <w:color w:val="0000FF"/>
              </w:rPr>
              <w:t>electrolyte abnormality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06C501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4,765 (14.6%)</w:t>
            </w:r>
          </w:p>
        </w:tc>
        <w:tc>
          <w:tcPr>
            <w:tcW w:w="1890" w:type="dxa"/>
            <w:tcBorders>
              <w:top w:val="single" w:sz="4" w:space="0" w:color="auto"/>
              <w:left w:val="single" w:sz="4" w:space="0" w:color="auto"/>
              <w:bottom w:val="single" w:sz="4" w:space="0" w:color="auto"/>
              <w:right w:val="single" w:sz="4" w:space="0" w:color="auto"/>
            </w:tcBorders>
          </w:tcPr>
          <w:p w14:paraId="66499537" w14:textId="77777777" w:rsidR="0004462E" w:rsidRPr="0031553D" w:rsidRDefault="0004462E" w:rsidP="00C22A89">
            <w:pPr>
              <w:spacing w:after="0" w:line="240" w:lineRule="auto"/>
              <w:jc w:val="center"/>
              <w:rPr>
                <w:rFonts w:ascii="Calibri" w:eastAsia="Times New Roman" w:hAnsi="Calibri" w:cs="Calibri"/>
                <w:color w:val="0000FF"/>
              </w:rPr>
            </w:pPr>
          </w:p>
          <w:p w14:paraId="2FEE396C"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280 (14.0%)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11DA0ED"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10,640 (17.2%)</w:t>
            </w:r>
          </w:p>
        </w:tc>
      </w:tr>
      <w:tr w:rsidR="00A23A2D" w:rsidRPr="001F123A" w14:paraId="2F812306"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29B0E953"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Septicemia</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2F3EB19"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5,519 (17.0%)</w:t>
            </w:r>
          </w:p>
        </w:tc>
        <w:tc>
          <w:tcPr>
            <w:tcW w:w="1890" w:type="dxa"/>
            <w:tcBorders>
              <w:top w:val="single" w:sz="4" w:space="0" w:color="auto"/>
              <w:left w:val="single" w:sz="4" w:space="0" w:color="auto"/>
              <w:bottom w:val="single" w:sz="4" w:space="0" w:color="auto"/>
              <w:right w:val="single" w:sz="4" w:space="0" w:color="auto"/>
            </w:tcBorders>
          </w:tcPr>
          <w:p w14:paraId="628EDEAB"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777 (17.1%)</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E0135FE"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10,550 (17.0%)</w:t>
            </w:r>
          </w:p>
        </w:tc>
      </w:tr>
      <w:tr w:rsidR="00A23A2D" w:rsidRPr="001F123A" w14:paraId="532BF0F5"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0829572E"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Pneumonia</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5022374"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4,342 (13.3%)</w:t>
            </w:r>
          </w:p>
        </w:tc>
        <w:tc>
          <w:tcPr>
            <w:tcW w:w="1890" w:type="dxa"/>
            <w:tcBorders>
              <w:top w:val="single" w:sz="4" w:space="0" w:color="auto"/>
              <w:left w:val="single" w:sz="4" w:space="0" w:color="auto"/>
              <w:bottom w:val="single" w:sz="4" w:space="0" w:color="auto"/>
              <w:right w:val="single" w:sz="4" w:space="0" w:color="auto"/>
            </w:tcBorders>
          </w:tcPr>
          <w:p w14:paraId="2E16E545"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w:t>
            </w:r>
            <w:r w:rsidR="00A23A2D" w:rsidRPr="0031553D">
              <w:rPr>
                <w:rFonts w:ascii="Calibri" w:eastAsia="Times New Roman" w:hAnsi="Calibri" w:cs="Calibri"/>
                <w:color w:val="0000FF"/>
              </w:rPr>
              <w:t>,</w:t>
            </w:r>
            <w:r w:rsidRPr="0031553D">
              <w:rPr>
                <w:rFonts w:ascii="Calibri" w:eastAsia="Times New Roman" w:hAnsi="Calibri" w:cs="Calibri"/>
                <w:color w:val="0000FF"/>
              </w:rPr>
              <w:t>239 (13.8%)</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3F665086"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8,445 (13.6%)</w:t>
            </w:r>
          </w:p>
        </w:tc>
      </w:tr>
      <w:tr w:rsidR="00A23A2D" w:rsidRPr="001F123A" w14:paraId="3D81D63C"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57C7BD65" w14:textId="77777777" w:rsidR="00E64F02"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Metastatic or </w:t>
            </w:r>
          </w:p>
          <w:p w14:paraId="24B9B617" w14:textId="77777777" w:rsidR="00C22A89" w:rsidRPr="006A532B" w:rsidRDefault="00E64F02" w:rsidP="00C22A89">
            <w:pPr>
              <w:spacing w:after="0" w:line="240" w:lineRule="auto"/>
              <w:rPr>
                <w:rFonts w:ascii="Calibri" w:eastAsia="Times New Roman" w:hAnsi="Calibri" w:cs="Calibri"/>
                <w:color w:val="0000FF"/>
              </w:rPr>
            </w:pPr>
            <w:r w:rsidRPr="006A532B">
              <w:rPr>
                <w:rFonts w:ascii="Calibri" w:eastAsia="Times New Roman" w:hAnsi="Calibri" w:cs="Calibri"/>
                <w:color w:val="0000FF"/>
              </w:rPr>
              <w:t xml:space="preserve">     </w:t>
            </w:r>
            <w:r w:rsidR="00C22A89" w:rsidRPr="006A532B">
              <w:rPr>
                <w:rFonts w:ascii="Calibri" w:eastAsia="Times New Roman" w:hAnsi="Calibri" w:cs="Calibri"/>
                <w:color w:val="0000FF"/>
              </w:rPr>
              <w:t>hematologic malignancy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38B6780"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4,046 (12.4%)</w:t>
            </w:r>
          </w:p>
        </w:tc>
        <w:tc>
          <w:tcPr>
            <w:tcW w:w="1890" w:type="dxa"/>
            <w:tcBorders>
              <w:top w:val="single" w:sz="4" w:space="0" w:color="auto"/>
              <w:left w:val="single" w:sz="4" w:space="0" w:color="auto"/>
              <w:bottom w:val="single" w:sz="4" w:space="0" w:color="auto"/>
              <w:right w:val="single" w:sz="4" w:space="0" w:color="auto"/>
            </w:tcBorders>
          </w:tcPr>
          <w:p w14:paraId="160E567F" w14:textId="77777777" w:rsidR="0004462E" w:rsidRPr="0031553D" w:rsidRDefault="0004462E" w:rsidP="00C22A89">
            <w:pPr>
              <w:spacing w:after="0" w:line="240" w:lineRule="auto"/>
              <w:jc w:val="center"/>
              <w:rPr>
                <w:rFonts w:ascii="Calibri" w:eastAsia="Times New Roman" w:hAnsi="Calibri" w:cs="Calibri"/>
                <w:color w:val="0000FF"/>
              </w:rPr>
            </w:pPr>
          </w:p>
          <w:p w14:paraId="3F18F411"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A23A2D" w:rsidRPr="0031553D">
              <w:rPr>
                <w:rFonts w:ascii="Calibri" w:eastAsia="Times New Roman" w:hAnsi="Calibri" w:cs="Calibri"/>
                <w:color w:val="0000FF"/>
              </w:rPr>
              <w:t>,</w:t>
            </w:r>
            <w:r w:rsidRPr="0031553D">
              <w:rPr>
                <w:rFonts w:ascii="Calibri" w:eastAsia="Times New Roman" w:hAnsi="Calibri" w:cs="Calibri"/>
                <w:color w:val="0000FF"/>
              </w:rPr>
              <w:t>997 (12.3%)</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3B581747"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7,108 (11.5%)</w:t>
            </w:r>
          </w:p>
        </w:tc>
      </w:tr>
      <w:tr w:rsidR="00A23A2D" w:rsidRPr="001F123A" w14:paraId="7CFC1DF9"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90494AA"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Hepatic insufficiency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7FC80190"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2,474 (7.6%)</w:t>
            </w:r>
          </w:p>
        </w:tc>
        <w:tc>
          <w:tcPr>
            <w:tcW w:w="1890" w:type="dxa"/>
            <w:tcBorders>
              <w:top w:val="single" w:sz="4" w:space="0" w:color="auto"/>
              <w:left w:val="single" w:sz="4" w:space="0" w:color="auto"/>
              <w:bottom w:val="single" w:sz="4" w:space="0" w:color="auto"/>
              <w:right w:val="single" w:sz="4" w:space="0" w:color="auto"/>
            </w:tcBorders>
          </w:tcPr>
          <w:p w14:paraId="36F10047"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A23A2D" w:rsidRPr="0031553D">
              <w:rPr>
                <w:rFonts w:ascii="Calibri" w:eastAsia="Times New Roman" w:hAnsi="Calibri" w:cs="Calibri"/>
                <w:color w:val="0000FF"/>
              </w:rPr>
              <w:t>,</w:t>
            </w:r>
            <w:r w:rsidRPr="0031553D">
              <w:rPr>
                <w:rFonts w:ascii="Calibri" w:eastAsia="Times New Roman" w:hAnsi="Calibri" w:cs="Calibri"/>
                <w:color w:val="0000FF"/>
              </w:rPr>
              <w:t>175 (7.2%)</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56A46D26"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4,434 (7.2%)</w:t>
            </w:r>
          </w:p>
        </w:tc>
      </w:tr>
      <w:tr w:rsidR="00A23A2D" w:rsidRPr="001F123A" w14:paraId="03A80630"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F16CB1F" w14:textId="219E25BC" w:rsidR="00C22A89" w:rsidRPr="006A532B"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w:t>
            </w:r>
            <w:r w:rsidR="002D7D79">
              <w:rPr>
                <w:rFonts w:ascii="Calibri" w:eastAsia="Times New Roman" w:hAnsi="Calibri" w:cs="Calibri"/>
                <w:color w:val="0000FF"/>
              </w:rPr>
              <w:t xml:space="preserve">    </w:t>
            </w:r>
            <w:r w:rsidRPr="00EF1BE4">
              <w:rPr>
                <w:rFonts w:ascii="Calibri" w:eastAsia="Times New Roman" w:hAnsi="Calibri" w:cs="Calibri"/>
                <w:color w:val="0000FF"/>
              </w:rPr>
              <w:t>Base</w:t>
            </w:r>
            <w:r w:rsidRPr="006A532B">
              <w:rPr>
                <w:rFonts w:ascii="Calibri" w:eastAsia="Times New Roman" w:hAnsi="Calibri" w:cs="Calibri"/>
                <w:color w:val="0000FF"/>
              </w:rPr>
              <w:t>line depression in CNS function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87B533B" w14:textId="77777777" w:rsidR="00C22A89" w:rsidRPr="0031553D" w:rsidRDefault="00C22A89" w:rsidP="002D7D7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3,640 (11.2%)</w:t>
            </w:r>
          </w:p>
        </w:tc>
        <w:tc>
          <w:tcPr>
            <w:tcW w:w="1890" w:type="dxa"/>
            <w:tcBorders>
              <w:top w:val="single" w:sz="4" w:space="0" w:color="auto"/>
              <w:left w:val="single" w:sz="4" w:space="0" w:color="auto"/>
              <w:bottom w:val="single" w:sz="4" w:space="0" w:color="auto"/>
              <w:right w:val="single" w:sz="4" w:space="0" w:color="auto"/>
            </w:tcBorders>
          </w:tcPr>
          <w:p w14:paraId="1C6B0654" w14:textId="77777777" w:rsidR="00C22A89" w:rsidRPr="0031553D" w:rsidRDefault="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A23A2D" w:rsidRPr="0031553D">
              <w:rPr>
                <w:rFonts w:ascii="Calibri" w:eastAsia="Times New Roman" w:hAnsi="Calibri" w:cs="Calibri"/>
                <w:color w:val="0000FF"/>
              </w:rPr>
              <w:t>,</w:t>
            </w:r>
            <w:r w:rsidRPr="0031553D">
              <w:rPr>
                <w:rFonts w:ascii="Calibri" w:eastAsia="Times New Roman" w:hAnsi="Calibri" w:cs="Calibri"/>
                <w:color w:val="0000FF"/>
              </w:rPr>
              <w:t>853 (11.4%)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50DE852E" w14:textId="77777777" w:rsidR="00C22A89" w:rsidRPr="0031553D" w:rsidRDefault="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5,449 (8.8%)</w:t>
            </w:r>
          </w:p>
        </w:tc>
      </w:tr>
      <w:tr w:rsidR="00A23A2D" w:rsidRPr="001F123A" w14:paraId="30453B3C"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002160F"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Acute CNS non-stroke event</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4B15273F"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2,250 (6.9%)</w:t>
            </w:r>
          </w:p>
        </w:tc>
        <w:tc>
          <w:tcPr>
            <w:tcW w:w="1890" w:type="dxa"/>
            <w:tcBorders>
              <w:top w:val="single" w:sz="4" w:space="0" w:color="auto"/>
              <w:left w:val="single" w:sz="4" w:space="0" w:color="auto"/>
              <w:bottom w:val="single" w:sz="4" w:space="0" w:color="auto"/>
              <w:right w:val="single" w:sz="4" w:space="0" w:color="auto"/>
            </w:tcBorders>
          </w:tcPr>
          <w:p w14:paraId="058F8803"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w:t>
            </w:r>
            <w:r w:rsidR="00A23A2D" w:rsidRPr="0031553D">
              <w:rPr>
                <w:rFonts w:ascii="Calibri" w:eastAsia="Times New Roman" w:hAnsi="Calibri" w:cs="Calibri"/>
                <w:color w:val="0000FF"/>
              </w:rPr>
              <w:t>,</w:t>
            </w:r>
            <w:r w:rsidRPr="0031553D">
              <w:rPr>
                <w:rFonts w:ascii="Calibri" w:eastAsia="Times New Roman" w:hAnsi="Calibri" w:cs="Calibri"/>
                <w:color w:val="0000FF"/>
              </w:rPr>
              <w:t>139 (7.0%)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E6192AF"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3,797 (6.1%)</w:t>
            </w:r>
          </w:p>
        </w:tc>
      </w:tr>
      <w:tr w:rsidR="00A23A2D" w:rsidRPr="001F123A" w14:paraId="4C9AE445"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AFE49C8"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Acute stroke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8616775"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1,234 (3.8%)</w:t>
            </w:r>
          </w:p>
        </w:tc>
        <w:tc>
          <w:tcPr>
            <w:tcW w:w="1890" w:type="dxa"/>
            <w:tcBorders>
              <w:top w:val="single" w:sz="4" w:space="0" w:color="auto"/>
              <w:left w:val="single" w:sz="4" w:space="0" w:color="auto"/>
              <w:bottom w:val="single" w:sz="4" w:space="0" w:color="auto"/>
              <w:right w:val="single" w:sz="4" w:space="0" w:color="auto"/>
            </w:tcBorders>
          </w:tcPr>
          <w:p w14:paraId="0BCAB944"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605 (3.7%)</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B321D4C"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2,266 (3.7%)</w:t>
            </w:r>
          </w:p>
        </w:tc>
      </w:tr>
      <w:tr w:rsidR="00A23A2D" w:rsidRPr="001F123A" w14:paraId="1D290BFE"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D34080D"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Major trauma</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025C487"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1,399 (4.3%)</w:t>
            </w:r>
          </w:p>
        </w:tc>
        <w:tc>
          <w:tcPr>
            <w:tcW w:w="1890" w:type="dxa"/>
            <w:tcBorders>
              <w:top w:val="single" w:sz="4" w:space="0" w:color="auto"/>
              <w:left w:val="single" w:sz="4" w:space="0" w:color="auto"/>
              <w:bottom w:val="single" w:sz="4" w:space="0" w:color="auto"/>
              <w:right w:val="single" w:sz="4" w:space="0" w:color="auto"/>
            </w:tcBorders>
          </w:tcPr>
          <w:p w14:paraId="43F10E70"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668 (4.1%)</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1C3BCA7"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2,853 (4.6%)</w:t>
            </w:r>
          </w:p>
        </w:tc>
      </w:tr>
      <w:tr w:rsidR="00A23A2D" w:rsidRPr="001F123A" w14:paraId="1E2DF3B4"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4ABDC107" w14:textId="77777777" w:rsidR="00C22A89" w:rsidRPr="00EF1BE4" w:rsidRDefault="00C22A89" w:rsidP="0031553D">
            <w:pPr>
              <w:spacing w:after="0" w:line="240" w:lineRule="auto"/>
              <w:rPr>
                <w:rFonts w:ascii="Calibri" w:eastAsia="Times New Roman" w:hAnsi="Calibri" w:cs="Calibri"/>
                <w:b/>
                <w:bCs/>
                <w:color w:val="0000FF"/>
              </w:rPr>
            </w:pPr>
            <w:r w:rsidRPr="00EF1BE4">
              <w:rPr>
                <w:rFonts w:ascii="Calibri" w:eastAsia="Times New Roman" w:hAnsi="Calibri" w:cs="Calibri"/>
                <w:b/>
                <w:bCs/>
                <w:color w:val="0000FF"/>
              </w:rPr>
              <w:t>Characteristics of arrest</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6CA2F465" w14:textId="77777777" w:rsidR="00C22A89" w:rsidRPr="006A532B" w:rsidRDefault="00C22A89" w:rsidP="00C22A89">
            <w:pPr>
              <w:spacing w:after="0" w:line="240" w:lineRule="auto"/>
              <w:jc w:val="center"/>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4286B224"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46CD4D6"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r>
      <w:tr w:rsidR="00A23A2D" w:rsidRPr="001F123A" w14:paraId="44128DF3"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3EB11B0" w14:textId="77777777" w:rsidR="00C22A89" w:rsidRPr="004B331E" w:rsidRDefault="00C22A89" w:rsidP="00C22A89">
            <w:pPr>
              <w:spacing w:after="0" w:line="240" w:lineRule="auto"/>
              <w:rPr>
                <w:rFonts w:ascii="Calibri" w:eastAsia="Times New Roman" w:hAnsi="Calibri" w:cs="Calibri"/>
                <w:bCs/>
                <w:color w:val="0000FF"/>
              </w:rPr>
            </w:pPr>
            <w:r w:rsidRPr="004B331E">
              <w:rPr>
                <w:rFonts w:ascii="Calibri" w:eastAsia="Times New Roman" w:hAnsi="Calibri" w:cs="Calibri"/>
                <w:bCs/>
                <w:color w:val="0000FF"/>
              </w:rPr>
              <w:t xml:space="preserve">     Cardiac arrest rhythm</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4C1269D9" w14:textId="77777777" w:rsidR="00C22A89" w:rsidRPr="006A532B" w:rsidRDefault="00C22A89" w:rsidP="00C22A89">
            <w:pPr>
              <w:spacing w:after="0" w:line="240" w:lineRule="auto"/>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79738CA9"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0E81FA3"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r>
      <w:tr w:rsidR="00A23A2D" w:rsidRPr="001F123A" w14:paraId="1831A31A"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16DC8609"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Asystole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250ECA2F"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10,997 (33.8%)</w:t>
            </w:r>
          </w:p>
        </w:tc>
        <w:tc>
          <w:tcPr>
            <w:tcW w:w="1890" w:type="dxa"/>
            <w:tcBorders>
              <w:top w:val="single" w:sz="4" w:space="0" w:color="auto"/>
              <w:left w:val="single" w:sz="4" w:space="0" w:color="auto"/>
              <w:bottom w:val="single" w:sz="4" w:space="0" w:color="auto"/>
              <w:right w:val="single" w:sz="4" w:space="0" w:color="auto"/>
            </w:tcBorders>
          </w:tcPr>
          <w:p w14:paraId="436F286B" w14:textId="77777777" w:rsidR="00C22A89" w:rsidRPr="0031553D" w:rsidRDefault="00B15D38"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5,491 (33.7%)</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A6E6551"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17,893 (28.9%)</w:t>
            </w:r>
          </w:p>
        </w:tc>
      </w:tr>
      <w:tr w:rsidR="00A23A2D" w:rsidRPr="001F123A" w14:paraId="520748E6"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434AEBA5"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Pulseless electrical activity</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2C3EF28F"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15,327 (47.1%)</w:t>
            </w:r>
          </w:p>
        </w:tc>
        <w:tc>
          <w:tcPr>
            <w:tcW w:w="1890" w:type="dxa"/>
            <w:tcBorders>
              <w:top w:val="single" w:sz="4" w:space="0" w:color="auto"/>
              <w:left w:val="single" w:sz="4" w:space="0" w:color="auto"/>
              <w:bottom w:val="single" w:sz="4" w:space="0" w:color="auto"/>
              <w:right w:val="single" w:sz="4" w:space="0" w:color="auto"/>
            </w:tcBorders>
          </w:tcPr>
          <w:p w14:paraId="05EC14B8" w14:textId="77777777" w:rsidR="00C22A89" w:rsidRPr="0031553D" w:rsidRDefault="008E6235"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7,653 (47.0%)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CE3963C"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33,240 (53.7%)</w:t>
            </w:r>
          </w:p>
        </w:tc>
      </w:tr>
      <w:tr w:rsidR="00A23A2D" w:rsidRPr="001F123A" w14:paraId="2331F835"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C8475DE"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Ventricular fibrillation</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00AACF72"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3,691 (11.3%)</w:t>
            </w:r>
          </w:p>
        </w:tc>
        <w:tc>
          <w:tcPr>
            <w:tcW w:w="1890" w:type="dxa"/>
            <w:tcBorders>
              <w:top w:val="single" w:sz="4" w:space="0" w:color="auto"/>
              <w:left w:val="single" w:sz="4" w:space="0" w:color="auto"/>
              <w:bottom w:val="single" w:sz="4" w:space="0" w:color="auto"/>
              <w:right w:val="single" w:sz="4" w:space="0" w:color="auto"/>
            </w:tcBorders>
          </w:tcPr>
          <w:p w14:paraId="33E4FD64" w14:textId="77777777" w:rsidR="00C22A89" w:rsidRPr="0031553D" w:rsidRDefault="008E6235"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1,862 (11.4%)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72D9A8E9"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6,149 (9.9%)</w:t>
            </w:r>
          </w:p>
        </w:tc>
      </w:tr>
      <w:tr w:rsidR="00A23A2D" w:rsidRPr="001F123A" w14:paraId="43F9FC7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4F0BC75E" w14:textId="77777777" w:rsidR="003F043A"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Pulseless ventricular </w:t>
            </w:r>
            <w:r w:rsidR="003F043A" w:rsidRPr="00EF1BE4">
              <w:rPr>
                <w:rFonts w:ascii="Calibri" w:eastAsia="Times New Roman" w:hAnsi="Calibri" w:cs="Calibri"/>
                <w:color w:val="0000FF"/>
              </w:rPr>
              <w:t xml:space="preserve">    </w:t>
            </w:r>
          </w:p>
          <w:p w14:paraId="11EC513F" w14:textId="77777777" w:rsidR="00C22A89" w:rsidRPr="006A532B" w:rsidRDefault="003F043A" w:rsidP="00C22A89">
            <w:pPr>
              <w:spacing w:after="0" w:line="240" w:lineRule="auto"/>
              <w:rPr>
                <w:rFonts w:ascii="Calibri" w:eastAsia="Times New Roman" w:hAnsi="Calibri" w:cs="Calibri"/>
                <w:color w:val="0000FF"/>
              </w:rPr>
            </w:pPr>
            <w:r w:rsidRPr="006A532B">
              <w:rPr>
                <w:rFonts w:ascii="Calibri" w:eastAsia="Times New Roman" w:hAnsi="Calibri" w:cs="Calibri"/>
                <w:color w:val="0000FF"/>
              </w:rPr>
              <w:t xml:space="preserve">           </w:t>
            </w:r>
            <w:r w:rsidR="00C22A89" w:rsidRPr="006A532B">
              <w:rPr>
                <w:rFonts w:ascii="Calibri" w:eastAsia="Times New Roman" w:hAnsi="Calibri" w:cs="Calibri"/>
                <w:color w:val="0000FF"/>
              </w:rPr>
              <w:t>tachycardia</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31F5872C"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2,545 (7.8%)</w:t>
            </w:r>
          </w:p>
        </w:tc>
        <w:tc>
          <w:tcPr>
            <w:tcW w:w="1890" w:type="dxa"/>
            <w:tcBorders>
              <w:top w:val="single" w:sz="4" w:space="0" w:color="auto"/>
              <w:left w:val="single" w:sz="4" w:space="0" w:color="auto"/>
              <w:bottom w:val="single" w:sz="4" w:space="0" w:color="auto"/>
              <w:right w:val="single" w:sz="4" w:space="0" w:color="auto"/>
            </w:tcBorders>
          </w:tcPr>
          <w:p w14:paraId="334F800C" w14:textId="77777777" w:rsidR="00C14C5E" w:rsidRPr="0031553D" w:rsidRDefault="00C14C5E" w:rsidP="00C22A89">
            <w:pPr>
              <w:spacing w:after="0" w:line="240" w:lineRule="auto"/>
              <w:jc w:val="center"/>
              <w:rPr>
                <w:rFonts w:ascii="Calibri" w:eastAsia="Times New Roman" w:hAnsi="Calibri" w:cs="Calibri"/>
                <w:color w:val="0000FF"/>
              </w:rPr>
            </w:pPr>
          </w:p>
          <w:p w14:paraId="0BF016C4" w14:textId="77777777" w:rsidR="00C22A89" w:rsidRPr="0031553D" w:rsidRDefault="008E6235"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1,275 (7.8%</w:t>
            </w:r>
            <w:r w:rsidR="00A70D73" w:rsidRPr="0031553D">
              <w:rPr>
                <w:rFonts w:ascii="Calibri" w:eastAsia="Times New Roman" w:hAnsi="Calibri" w:cs="Calibri"/>
                <w:color w:val="0000FF"/>
              </w:rPr>
              <w:t>)</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4A61ED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4,652 (7.5%)</w:t>
            </w:r>
          </w:p>
        </w:tc>
      </w:tr>
      <w:tr w:rsidR="00A23A2D" w:rsidRPr="001F123A" w14:paraId="4E4FE681"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85648D3" w14:textId="54731FC2" w:rsidR="00C22A89" w:rsidRPr="004B331E" w:rsidRDefault="002D7D79" w:rsidP="00C22A89">
            <w:pPr>
              <w:spacing w:after="0" w:line="240" w:lineRule="auto"/>
              <w:rPr>
                <w:rFonts w:ascii="Calibri" w:eastAsia="Times New Roman" w:hAnsi="Calibri" w:cs="Calibri"/>
                <w:bCs/>
                <w:color w:val="0000FF"/>
              </w:rPr>
            </w:pPr>
            <w:r>
              <w:rPr>
                <w:rFonts w:ascii="Calibri" w:eastAsia="Times New Roman" w:hAnsi="Calibri" w:cs="Calibri"/>
                <w:bCs/>
                <w:color w:val="0000FF"/>
              </w:rPr>
              <w:t xml:space="preserve">     </w:t>
            </w:r>
            <w:r w:rsidR="00C22A89" w:rsidRPr="004B331E">
              <w:rPr>
                <w:rFonts w:ascii="Calibri" w:eastAsia="Times New Roman" w:hAnsi="Calibri" w:cs="Calibri"/>
                <w:bCs/>
                <w:color w:val="0000FF"/>
              </w:rPr>
              <w:t>Location</w:t>
            </w:r>
            <w:r>
              <w:rPr>
                <w:rFonts w:ascii="Calibri" w:eastAsia="Times New Roman" w:hAnsi="Calibri" w:cs="Calibri"/>
                <w:bCs/>
                <w:color w:val="0000FF"/>
              </w:rPr>
              <w:t xml:space="preserve"> of cardiac arrest</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134B552" w14:textId="77777777" w:rsidR="00C22A89" w:rsidRPr="006A532B" w:rsidRDefault="00C22A89" w:rsidP="00C22A89">
            <w:pPr>
              <w:spacing w:after="0" w:line="240" w:lineRule="auto"/>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6E1CEF7D"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71C9368"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r>
      <w:tr w:rsidR="00A23A2D" w:rsidRPr="001F123A" w14:paraId="32A3D25F"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A4AC804"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Intensive care unit</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1E82389"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15,780 (48.5%)</w:t>
            </w:r>
          </w:p>
        </w:tc>
        <w:tc>
          <w:tcPr>
            <w:tcW w:w="1890" w:type="dxa"/>
            <w:tcBorders>
              <w:top w:val="single" w:sz="4" w:space="0" w:color="auto"/>
              <w:left w:val="single" w:sz="4" w:space="0" w:color="auto"/>
              <w:bottom w:val="single" w:sz="4" w:space="0" w:color="auto"/>
              <w:right w:val="single" w:sz="4" w:space="0" w:color="auto"/>
            </w:tcBorders>
          </w:tcPr>
          <w:p w14:paraId="51A80FB1" w14:textId="77777777" w:rsidR="00C22A89" w:rsidRPr="0031553D" w:rsidRDefault="008E6235"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7,809 (48.0%)</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376ED9BC"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30,084 (48.6%)</w:t>
            </w:r>
          </w:p>
        </w:tc>
      </w:tr>
      <w:tr w:rsidR="00A23A2D" w:rsidRPr="001F123A" w14:paraId="5208F45A"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51CA4E84"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Monitored unit</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59330D25"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5,034 (15.5%)</w:t>
            </w:r>
          </w:p>
        </w:tc>
        <w:tc>
          <w:tcPr>
            <w:tcW w:w="1890" w:type="dxa"/>
            <w:tcBorders>
              <w:top w:val="single" w:sz="4" w:space="0" w:color="auto"/>
              <w:left w:val="single" w:sz="4" w:space="0" w:color="auto"/>
              <w:bottom w:val="single" w:sz="4" w:space="0" w:color="auto"/>
              <w:right w:val="single" w:sz="4" w:space="0" w:color="auto"/>
            </w:tcBorders>
          </w:tcPr>
          <w:p w14:paraId="168C3390" w14:textId="77777777" w:rsidR="00C22A89" w:rsidRPr="0031553D" w:rsidRDefault="008E6235"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2,539 (15.6%)</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BA2DD1A"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9,442 (15.2%)</w:t>
            </w:r>
          </w:p>
        </w:tc>
      </w:tr>
      <w:tr w:rsidR="00A23A2D" w:rsidRPr="001F123A" w14:paraId="62307737"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C930C98" w14:textId="349ECDB3"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Non-</w:t>
            </w:r>
            <w:r w:rsidR="002D7D79">
              <w:rPr>
                <w:rFonts w:ascii="Calibri" w:eastAsia="Times New Roman" w:hAnsi="Calibri" w:cs="Calibri"/>
                <w:color w:val="0000FF"/>
              </w:rPr>
              <w:t>m</w:t>
            </w:r>
            <w:r w:rsidRPr="00EF1BE4">
              <w:rPr>
                <w:rFonts w:ascii="Calibri" w:eastAsia="Times New Roman" w:hAnsi="Calibri" w:cs="Calibri"/>
                <w:color w:val="0000FF"/>
              </w:rPr>
              <w:t>onitored unit</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6EC45"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5,632 (17.3%)</w:t>
            </w:r>
          </w:p>
        </w:tc>
        <w:tc>
          <w:tcPr>
            <w:tcW w:w="1890" w:type="dxa"/>
            <w:tcBorders>
              <w:top w:val="single" w:sz="4" w:space="0" w:color="auto"/>
              <w:left w:val="single" w:sz="4" w:space="0" w:color="auto"/>
              <w:bottom w:val="single" w:sz="4" w:space="0" w:color="auto"/>
              <w:right w:val="single" w:sz="4" w:space="0" w:color="auto"/>
            </w:tcBorders>
          </w:tcPr>
          <w:p w14:paraId="51B31717"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2,824 (17.3%)</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5E89A94A"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9,477 (15.3%)</w:t>
            </w:r>
          </w:p>
        </w:tc>
      </w:tr>
      <w:tr w:rsidR="00A23A2D" w:rsidRPr="001F123A" w14:paraId="6A5C0073"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85A5211"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Emergency room</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0B5541"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3,307 (10.2%)</w:t>
            </w:r>
          </w:p>
        </w:tc>
        <w:tc>
          <w:tcPr>
            <w:tcW w:w="1890" w:type="dxa"/>
            <w:tcBorders>
              <w:top w:val="single" w:sz="4" w:space="0" w:color="auto"/>
              <w:left w:val="single" w:sz="4" w:space="0" w:color="auto"/>
              <w:bottom w:val="single" w:sz="4" w:space="0" w:color="auto"/>
              <w:right w:val="single" w:sz="4" w:space="0" w:color="auto"/>
            </w:tcBorders>
          </w:tcPr>
          <w:p w14:paraId="19D27ADA"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1,687 (10.4%)</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3ABFC7AD"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7,072 (11.4%)</w:t>
            </w:r>
          </w:p>
        </w:tc>
      </w:tr>
      <w:tr w:rsidR="00A23A2D" w:rsidRPr="001F123A" w14:paraId="1B557877"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668A3C5A"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Procedural or surgical area</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A3D35"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2,132 (6.5%)</w:t>
            </w:r>
          </w:p>
        </w:tc>
        <w:tc>
          <w:tcPr>
            <w:tcW w:w="1890" w:type="dxa"/>
            <w:tcBorders>
              <w:top w:val="single" w:sz="4" w:space="0" w:color="auto"/>
              <w:left w:val="single" w:sz="4" w:space="0" w:color="auto"/>
              <w:bottom w:val="single" w:sz="4" w:space="0" w:color="auto"/>
              <w:right w:val="single" w:sz="4" w:space="0" w:color="auto"/>
            </w:tcBorders>
          </w:tcPr>
          <w:p w14:paraId="354B0567"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1,073 (6.6%)</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1A1B1085"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4,662 (7.5%)</w:t>
            </w:r>
          </w:p>
        </w:tc>
      </w:tr>
      <w:tr w:rsidR="00A23A2D" w:rsidRPr="001F123A" w14:paraId="798EA49C"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8FB1EE9"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Other</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DD9488"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675 (2.1%)</w:t>
            </w:r>
          </w:p>
        </w:tc>
        <w:tc>
          <w:tcPr>
            <w:tcW w:w="1890" w:type="dxa"/>
            <w:tcBorders>
              <w:top w:val="single" w:sz="4" w:space="0" w:color="auto"/>
              <w:left w:val="single" w:sz="4" w:space="0" w:color="auto"/>
              <w:bottom w:val="single" w:sz="4" w:space="0" w:color="auto"/>
              <w:right w:val="single" w:sz="4" w:space="0" w:color="auto"/>
            </w:tcBorders>
          </w:tcPr>
          <w:p w14:paraId="1397EE9D"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349 (2.1%)</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6A9C245"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1,197 (1.9%)</w:t>
            </w:r>
          </w:p>
        </w:tc>
      </w:tr>
      <w:tr w:rsidR="00A23A2D" w:rsidRPr="001F123A" w14:paraId="70F683CF" w14:textId="77777777" w:rsidTr="004B331E">
        <w:trPr>
          <w:trHeight w:val="300"/>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704DE2D0" w14:textId="77777777" w:rsidR="00C22A89" w:rsidRPr="00EF1BE4" w:rsidRDefault="00C22A89" w:rsidP="007E5C66">
            <w:pPr>
              <w:spacing w:after="0" w:line="240" w:lineRule="auto"/>
              <w:rPr>
                <w:rFonts w:ascii="Calibri" w:eastAsia="Times New Roman" w:hAnsi="Calibri" w:cs="Calibri"/>
                <w:b/>
                <w:bCs/>
                <w:color w:val="0000FF"/>
              </w:rPr>
            </w:pPr>
            <w:r w:rsidRPr="00EF1BE4">
              <w:rPr>
                <w:rFonts w:ascii="Calibri" w:eastAsia="Times New Roman" w:hAnsi="Calibri" w:cs="Calibri"/>
                <w:b/>
                <w:bCs/>
                <w:color w:val="0000FF"/>
              </w:rPr>
              <w:t>Interventions in Place</w:t>
            </w:r>
          </w:p>
        </w:tc>
        <w:tc>
          <w:tcPr>
            <w:tcW w:w="1890" w:type="dxa"/>
            <w:tcBorders>
              <w:top w:val="single" w:sz="4" w:space="0" w:color="auto"/>
              <w:left w:val="single" w:sz="4" w:space="0" w:color="auto"/>
              <w:bottom w:val="single" w:sz="4" w:space="0" w:color="auto"/>
              <w:right w:val="single" w:sz="4" w:space="0" w:color="auto"/>
            </w:tcBorders>
            <w:noWrap/>
            <w:vAlign w:val="bottom"/>
            <w:hideMark/>
          </w:tcPr>
          <w:p w14:paraId="7703465C" w14:textId="77777777" w:rsidR="00C22A89" w:rsidRPr="006A532B" w:rsidRDefault="00C22A89" w:rsidP="00C22A89">
            <w:pPr>
              <w:spacing w:after="0" w:line="240" w:lineRule="auto"/>
              <w:jc w:val="center"/>
              <w:rPr>
                <w:rFonts w:ascii="Calibri" w:eastAsia="Times New Roman" w:hAnsi="Calibri" w:cs="Calibri"/>
                <w:b/>
                <w:bCs/>
                <w:color w:val="0000FF"/>
              </w:rPr>
            </w:pPr>
          </w:p>
        </w:tc>
        <w:tc>
          <w:tcPr>
            <w:tcW w:w="1890" w:type="dxa"/>
            <w:tcBorders>
              <w:top w:val="single" w:sz="4" w:space="0" w:color="auto"/>
              <w:left w:val="single" w:sz="4" w:space="0" w:color="auto"/>
              <w:bottom w:val="single" w:sz="4" w:space="0" w:color="auto"/>
              <w:right w:val="single" w:sz="4" w:space="0" w:color="auto"/>
            </w:tcBorders>
          </w:tcPr>
          <w:p w14:paraId="53AF40EA"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055A36D7" w14:textId="77777777" w:rsidR="00C22A89" w:rsidRPr="0031553D" w:rsidRDefault="00C22A89" w:rsidP="00C22A89">
            <w:pPr>
              <w:spacing w:after="0" w:line="240" w:lineRule="auto"/>
              <w:jc w:val="center"/>
              <w:rPr>
                <w:rFonts w:ascii="Times New Roman" w:eastAsia="Times New Roman" w:hAnsi="Times New Roman" w:cs="Times New Roman"/>
                <w:color w:val="0000FF"/>
              </w:rPr>
            </w:pPr>
          </w:p>
        </w:tc>
      </w:tr>
      <w:tr w:rsidR="00A23A2D" w:rsidRPr="001F123A" w14:paraId="1372F05B"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C2B94C2"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Mechanical ventilation</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F6BA5A"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10,747 (33.0%)</w:t>
            </w:r>
          </w:p>
        </w:tc>
        <w:tc>
          <w:tcPr>
            <w:tcW w:w="1890" w:type="dxa"/>
            <w:tcBorders>
              <w:top w:val="single" w:sz="4" w:space="0" w:color="auto"/>
              <w:left w:val="single" w:sz="4" w:space="0" w:color="auto"/>
              <w:bottom w:val="single" w:sz="4" w:space="0" w:color="auto"/>
              <w:right w:val="single" w:sz="4" w:space="0" w:color="auto"/>
            </w:tcBorders>
          </w:tcPr>
          <w:p w14:paraId="0A5813C6"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5,422 (33.3%)</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6FFB36D1"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20,604 (33.3%)</w:t>
            </w:r>
          </w:p>
        </w:tc>
      </w:tr>
      <w:tr w:rsidR="00A23A2D" w:rsidRPr="001F123A" w14:paraId="44FEF703"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3B7B936C" w14:textId="5D07E8BE"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I</w:t>
            </w:r>
            <w:r w:rsidR="002D7D79">
              <w:rPr>
                <w:rFonts w:ascii="Calibri" w:eastAsia="Times New Roman" w:hAnsi="Calibri" w:cs="Calibri"/>
                <w:color w:val="0000FF"/>
              </w:rPr>
              <w:t>ntravenous</w:t>
            </w:r>
            <w:r w:rsidRPr="00EF1BE4">
              <w:rPr>
                <w:rFonts w:ascii="Calibri" w:eastAsia="Times New Roman" w:hAnsi="Calibri" w:cs="Calibri"/>
                <w:color w:val="0000FF"/>
              </w:rPr>
              <w:t xml:space="preserve"> </w:t>
            </w:r>
            <w:r w:rsidR="002D7D79">
              <w:rPr>
                <w:rFonts w:ascii="Calibri" w:eastAsia="Times New Roman" w:hAnsi="Calibri" w:cs="Calibri"/>
                <w:color w:val="0000FF"/>
              </w:rPr>
              <w:t>v</w:t>
            </w:r>
            <w:r w:rsidRPr="00EF1BE4">
              <w:rPr>
                <w:rFonts w:ascii="Calibri" w:eastAsia="Times New Roman" w:hAnsi="Calibri" w:cs="Calibri"/>
                <w:color w:val="0000FF"/>
              </w:rPr>
              <w:t>asopressor</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37133"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9,549 (29.3%)</w:t>
            </w:r>
          </w:p>
        </w:tc>
        <w:tc>
          <w:tcPr>
            <w:tcW w:w="1890" w:type="dxa"/>
            <w:tcBorders>
              <w:top w:val="single" w:sz="4" w:space="0" w:color="auto"/>
              <w:left w:val="single" w:sz="4" w:space="0" w:color="auto"/>
              <w:bottom w:val="single" w:sz="4" w:space="0" w:color="auto"/>
              <w:right w:val="single" w:sz="4" w:space="0" w:color="auto"/>
            </w:tcBorders>
          </w:tcPr>
          <w:p w14:paraId="60AA78A2"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4,800 (29.5%)</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06E2C728"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14,177 (22.9%)</w:t>
            </w:r>
          </w:p>
        </w:tc>
      </w:tr>
      <w:tr w:rsidR="00A23A2D" w:rsidRPr="001F123A" w14:paraId="58A0BF6A" w14:textId="77777777" w:rsidTr="004B331E">
        <w:trPr>
          <w:trHeight w:val="315"/>
        </w:trPr>
        <w:tc>
          <w:tcPr>
            <w:tcW w:w="3780" w:type="dxa"/>
            <w:tcBorders>
              <w:top w:val="single" w:sz="4" w:space="0" w:color="auto"/>
              <w:left w:val="single" w:sz="4" w:space="0" w:color="auto"/>
              <w:bottom w:val="single" w:sz="4" w:space="0" w:color="auto"/>
              <w:right w:val="single" w:sz="4" w:space="0" w:color="auto"/>
            </w:tcBorders>
            <w:noWrap/>
            <w:vAlign w:val="bottom"/>
            <w:hideMark/>
          </w:tcPr>
          <w:p w14:paraId="045711C0" w14:textId="77777777" w:rsidR="00C22A89" w:rsidRPr="00EF1BE4" w:rsidRDefault="00C22A89" w:rsidP="00C22A89">
            <w:pPr>
              <w:spacing w:after="0" w:line="240" w:lineRule="auto"/>
              <w:rPr>
                <w:rFonts w:ascii="Calibri" w:eastAsia="Times New Roman" w:hAnsi="Calibri" w:cs="Calibri"/>
                <w:color w:val="0000FF"/>
              </w:rPr>
            </w:pPr>
            <w:r w:rsidRPr="00EF1BE4">
              <w:rPr>
                <w:rFonts w:ascii="Calibri" w:eastAsia="Times New Roman" w:hAnsi="Calibri" w:cs="Calibri"/>
                <w:color w:val="0000FF"/>
              </w:rPr>
              <w:t xml:space="preserve">     Dialysis</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09632" w14:textId="77777777" w:rsidR="00C22A89" w:rsidRPr="0031553D" w:rsidRDefault="00C22A89" w:rsidP="00C22A89">
            <w:pPr>
              <w:spacing w:after="0" w:line="240" w:lineRule="auto"/>
              <w:jc w:val="center"/>
              <w:rPr>
                <w:rFonts w:ascii="Calibri" w:eastAsia="Times New Roman" w:hAnsi="Calibri" w:cs="Calibri"/>
                <w:color w:val="0000FF"/>
              </w:rPr>
            </w:pPr>
            <w:r w:rsidRPr="0031553D">
              <w:rPr>
                <w:rFonts w:ascii="Calibri" w:eastAsia="Times New Roman" w:hAnsi="Calibri" w:cs="Calibri"/>
                <w:color w:val="0000FF"/>
              </w:rPr>
              <w:t xml:space="preserve">    1,163 (3.6%)</w:t>
            </w:r>
          </w:p>
        </w:tc>
        <w:tc>
          <w:tcPr>
            <w:tcW w:w="1890" w:type="dxa"/>
            <w:tcBorders>
              <w:top w:val="single" w:sz="4" w:space="0" w:color="auto"/>
              <w:left w:val="single" w:sz="4" w:space="0" w:color="auto"/>
              <w:bottom w:val="single" w:sz="4" w:space="0" w:color="auto"/>
              <w:right w:val="single" w:sz="4" w:space="0" w:color="auto"/>
            </w:tcBorders>
          </w:tcPr>
          <w:p w14:paraId="7D9EAC6A" w14:textId="77777777" w:rsidR="00C22A89" w:rsidRPr="00EF1BE4" w:rsidRDefault="008E6235" w:rsidP="00C22A89">
            <w:pPr>
              <w:spacing w:after="0" w:line="240" w:lineRule="auto"/>
              <w:jc w:val="center"/>
              <w:rPr>
                <w:rFonts w:ascii="Calibri" w:eastAsia="Times New Roman" w:hAnsi="Calibri" w:cs="Calibri"/>
                <w:color w:val="0000FF"/>
              </w:rPr>
            </w:pPr>
            <w:r w:rsidRPr="00EF1BE4">
              <w:rPr>
                <w:rFonts w:ascii="Calibri" w:eastAsia="Times New Roman" w:hAnsi="Calibri" w:cs="Calibri"/>
                <w:color w:val="0000FF"/>
              </w:rPr>
              <w:t>598 (3.7%)</w:t>
            </w:r>
          </w:p>
        </w:tc>
        <w:tc>
          <w:tcPr>
            <w:tcW w:w="1980" w:type="dxa"/>
            <w:tcBorders>
              <w:top w:val="single" w:sz="4" w:space="0" w:color="auto"/>
              <w:left w:val="single" w:sz="4" w:space="0" w:color="auto"/>
              <w:bottom w:val="single" w:sz="4" w:space="0" w:color="auto"/>
              <w:right w:val="single" w:sz="4" w:space="0" w:color="auto"/>
            </w:tcBorders>
            <w:noWrap/>
            <w:vAlign w:val="bottom"/>
            <w:hideMark/>
          </w:tcPr>
          <w:p w14:paraId="4B495DD0" w14:textId="77777777" w:rsidR="00C22A89" w:rsidRPr="006A532B" w:rsidRDefault="00C22A89" w:rsidP="00C22A89">
            <w:pPr>
              <w:spacing w:after="0" w:line="240" w:lineRule="auto"/>
              <w:jc w:val="center"/>
              <w:rPr>
                <w:rFonts w:ascii="Calibri" w:eastAsia="Times New Roman" w:hAnsi="Calibri" w:cs="Calibri"/>
                <w:color w:val="0000FF"/>
              </w:rPr>
            </w:pPr>
            <w:r w:rsidRPr="006A532B">
              <w:rPr>
                <w:rFonts w:ascii="Calibri" w:eastAsia="Times New Roman" w:hAnsi="Calibri" w:cs="Calibri"/>
                <w:color w:val="0000FF"/>
              </w:rPr>
              <w:t xml:space="preserve">   1,687 (2.7%)</w:t>
            </w:r>
          </w:p>
        </w:tc>
      </w:tr>
    </w:tbl>
    <w:p w14:paraId="29DC30F5" w14:textId="77777777" w:rsidR="007422FD" w:rsidRDefault="007422FD" w:rsidP="00DB3627">
      <w:pPr>
        <w:autoSpaceDE w:val="0"/>
        <w:autoSpaceDN w:val="0"/>
        <w:adjustRightInd w:val="0"/>
        <w:spacing w:after="0" w:line="240" w:lineRule="auto"/>
        <w:rPr>
          <w:rFonts w:cstheme="minorHAnsi"/>
          <w:bCs/>
        </w:rPr>
      </w:pPr>
    </w:p>
    <w:p w14:paraId="7F4EEC9C"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1D81310" w14:textId="77777777" w:rsidR="00D7500A" w:rsidRDefault="00D7500A" w:rsidP="00E37E1B">
      <w:pPr>
        <w:autoSpaceDE w:val="0"/>
        <w:autoSpaceDN w:val="0"/>
        <w:adjustRightInd w:val="0"/>
        <w:spacing w:after="0" w:line="240" w:lineRule="auto"/>
        <w:rPr>
          <w:rFonts w:cstheme="minorHAnsi"/>
          <w:bCs/>
        </w:rPr>
      </w:pPr>
    </w:p>
    <w:p w14:paraId="295FFFFE" w14:textId="57997110" w:rsidR="004759D9" w:rsidRPr="00A25024" w:rsidRDefault="00524AAC" w:rsidP="004759D9">
      <w:pPr>
        <w:autoSpaceDE w:val="0"/>
        <w:autoSpaceDN w:val="0"/>
        <w:adjustRightInd w:val="0"/>
        <w:spacing w:after="0" w:line="240" w:lineRule="auto"/>
        <w:rPr>
          <w:rFonts w:cstheme="minorHAnsi"/>
          <w:bCs/>
        </w:rPr>
      </w:pPr>
      <w:sdt>
        <w:sdtPr>
          <w:rPr>
            <w:rFonts w:cstheme="minorHAnsi"/>
            <w:color w:val="0000FF"/>
          </w:rPr>
          <w:id w:val="171300584"/>
          <w:text/>
        </w:sdtPr>
        <w:sdtEndPr/>
        <w:sdtContent>
          <w:r w:rsidR="002D7D79" w:rsidRPr="00E91DE9">
            <w:rPr>
              <w:rFonts w:cstheme="minorHAnsi"/>
              <w:color w:val="0000FF"/>
            </w:rPr>
            <w:t xml:space="preserve">Although data </w:t>
          </w:r>
          <w:r w:rsidR="002D7D79">
            <w:rPr>
              <w:rFonts w:cstheme="minorHAnsi"/>
              <w:color w:val="0000FF"/>
            </w:rPr>
            <w:t>from</w:t>
          </w:r>
          <w:r w:rsidR="002D7D79" w:rsidRPr="00E91DE9">
            <w:rPr>
              <w:rFonts w:cstheme="minorHAnsi"/>
              <w:color w:val="0000FF"/>
            </w:rPr>
            <w:t xml:space="preserve"> 2007-2010 </w:t>
          </w:r>
          <w:r w:rsidR="002D7D79">
            <w:rPr>
              <w:rFonts w:cstheme="minorHAnsi"/>
              <w:color w:val="0000FF"/>
            </w:rPr>
            <w:t>in</w:t>
          </w:r>
          <w:r w:rsidR="002D7D79" w:rsidRPr="00E91DE9">
            <w:rPr>
              <w:rFonts w:cstheme="minorHAnsi"/>
              <w:color w:val="0000FF"/>
            </w:rPr>
            <w:t xml:space="preserve"> the Get With the Guidelines Resuscitation registry were used to derive the initial risk-standardization model (initial derivation cohort) and validate that model (initial validation cohort)</w:t>
          </w:r>
          <w:r w:rsidR="002D7D79">
            <w:rPr>
              <w:rFonts w:cstheme="minorHAnsi"/>
              <w:color w:val="0000FF"/>
            </w:rPr>
            <w:t>, i</w:t>
          </w:r>
          <w:r w:rsidR="002D7D79" w:rsidRPr="00E91DE9">
            <w:rPr>
              <w:rFonts w:cstheme="minorHAnsi"/>
              <w:color w:val="0000FF"/>
            </w:rPr>
            <w:t xml:space="preserve">n the current application to NQF, we have performed prospective validation and reliability testing using data from 01/2011 to 05/2015 (prospective validation cohort).  Additionally, we conducted reliability analyses for </w:t>
          </w:r>
          <w:r w:rsidR="002D7D79">
            <w:rPr>
              <w:rFonts w:cstheme="minorHAnsi"/>
              <w:color w:val="0000FF"/>
            </w:rPr>
            <w:t xml:space="preserve">1-year periods for years 2013 and 2014 </w:t>
          </w:r>
          <w:r w:rsidR="002D7D79" w:rsidRPr="00E91DE9">
            <w:rPr>
              <w:rFonts w:cstheme="minorHAnsi"/>
              <w:color w:val="0000FF"/>
            </w:rPr>
            <w:t xml:space="preserve">separately.  </w:t>
          </w:r>
          <w:r w:rsidR="002D7D79">
            <w:rPr>
              <w:rFonts w:cstheme="minorHAnsi"/>
              <w:color w:val="0000FF"/>
            </w:rPr>
            <w:t>T</w:t>
          </w:r>
          <w:r w:rsidR="002D7D79" w:rsidRPr="00E91DE9">
            <w:rPr>
              <w:rFonts w:cstheme="minorHAnsi"/>
              <w:color w:val="0000FF"/>
            </w:rPr>
            <w:t>here were no significant differences between the 2013</w:t>
          </w:r>
          <w:r w:rsidR="002D7D79">
            <w:rPr>
              <w:rFonts w:cstheme="minorHAnsi"/>
              <w:color w:val="0000FF"/>
            </w:rPr>
            <w:t xml:space="preserve"> or </w:t>
          </w:r>
          <w:r w:rsidR="002D7D79" w:rsidRPr="00E91DE9">
            <w:rPr>
              <w:rFonts w:cstheme="minorHAnsi"/>
              <w:color w:val="0000FF"/>
            </w:rPr>
            <w:t xml:space="preserve">2014 </w:t>
          </w:r>
          <w:r w:rsidR="002D7D79">
            <w:rPr>
              <w:rFonts w:cstheme="minorHAnsi"/>
              <w:color w:val="0000FF"/>
            </w:rPr>
            <w:t xml:space="preserve">study population as compared with </w:t>
          </w:r>
          <w:r w:rsidR="002D7D79" w:rsidRPr="00E91DE9">
            <w:rPr>
              <w:rFonts w:cstheme="minorHAnsi"/>
              <w:color w:val="0000FF"/>
            </w:rPr>
            <w:t xml:space="preserve">the larger </w:t>
          </w:r>
          <w:r w:rsidR="002D7D79">
            <w:rPr>
              <w:rFonts w:cstheme="minorHAnsi"/>
              <w:color w:val="0000FF"/>
            </w:rPr>
            <w:t xml:space="preserve">prospective </w:t>
          </w:r>
          <w:r w:rsidR="002D7D79" w:rsidRPr="00E91DE9">
            <w:rPr>
              <w:rFonts w:cstheme="minorHAnsi"/>
              <w:color w:val="0000FF"/>
            </w:rPr>
            <w:t xml:space="preserve">validation cohort </w:t>
          </w:r>
          <w:r w:rsidR="002D7D79">
            <w:rPr>
              <w:rFonts w:cstheme="minorHAnsi"/>
              <w:color w:val="0000FF"/>
            </w:rPr>
            <w:t xml:space="preserve">(2011 to May 2015), </w:t>
          </w:r>
          <w:r w:rsidR="002D7D79" w:rsidRPr="00E91DE9">
            <w:rPr>
              <w:rFonts w:cstheme="minorHAnsi"/>
              <w:color w:val="0000FF"/>
            </w:rPr>
            <w:t>of which it is part</w:t>
          </w:r>
          <w:r w:rsidR="002D7D79">
            <w:rPr>
              <w:rFonts w:cstheme="minorHAnsi"/>
              <w:color w:val="0000FF"/>
            </w:rPr>
            <w:t>.</w:t>
          </w:r>
        </w:sdtContent>
      </w:sdt>
    </w:p>
    <w:p w14:paraId="62EC6912" w14:textId="77777777" w:rsidR="001659F3" w:rsidRDefault="001659F3" w:rsidP="00E37E1B">
      <w:pPr>
        <w:autoSpaceDE w:val="0"/>
        <w:autoSpaceDN w:val="0"/>
        <w:adjustRightInd w:val="0"/>
        <w:spacing w:after="0" w:line="240" w:lineRule="auto"/>
        <w:rPr>
          <w:color w:val="0000FF"/>
          <w:szCs w:val="20"/>
        </w:rPr>
      </w:pPr>
    </w:p>
    <w:p w14:paraId="2287C16A" w14:textId="77777777" w:rsidR="00D7500A" w:rsidRDefault="004759D9" w:rsidP="00E37E1B">
      <w:pPr>
        <w:autoSpaceDE w:val="0"/>
        <w:autoSpaceDN w:val="0"/>
        <w:adjustRightInd w:val="0"/>
        <w:spacing w:after="0" w:line="240" w:lineRule="auto"/>
        <w:rPr>
          <w:rFonts w:cstheme="minorHAnsi"/>
          <w:bCs/>
        </w:rPr>
      </w:pPr>
      <w:r w:rsidDel="004759D9">
        <w:rPr>
          <w:color w:val="0000FF"/>
          <w:szCs w:val="20"/>
        </w:rPr>
        <w:t xml:space="preserve"> </w:t>
      </w:r>
      <w:r w:rsidR="0021054A" w:rsidRPr="009C7513">
        <w:rPr>
          <w:rFonts w:cstheme="minorHAnsi"/>
          <w:b/>
          <w:bCs/>
        </w:rPr>
        <w:t>1.8</w:t>
      </w:r>
      <w:r w:rsidR="0021054A">
        <w:rPr>
          <w:rFonts w:cstheme="minorHAnsi"/>
          <w:bCs/>
        </w:rPr>
        <w:t xml:space="preserve"> </w:t>
      </w:r>
      <w:r w:rsidR="0021054A" w:rsidRPr="00AF2D68">
        <w:rPr>
          <w:rFonts w:cstheme="minorHAnsi"/>
          <w:b/>
          <w:bCs/>
        </w:rPr>
        <w:t xml:space="preserve">What were the </w:t>
      </w:r>
      <w:r w:rsidR="009C7513" w:rsidRPr="00AF2D68">
        <w:rPr>
          <w:rFonts w:cstheme="minorHAnsi"/>
          <w:b/>
          <w:bCs/>
        </w:rPr>
        <w:t>social risk factors</w:t>
      </w:r>
      <w:r w:rsidR="0021054A" w:rsidRPr="00AF2D68">
        <w:rPr>
          <w:rFonts w:cstheme="minorHAnsi"/>
          <w:b/>
          <w:bCs/>
        </w:rPr>
        <w:t xml:space="preserve"> that were available and analyzed</w:t>
      </w:r>
      <w:r w:rsidR="0021054A">
        <w:rPr>
          <w:rFonts w:cstheme="minorHAnsi"/>
          <w:bCs/>
        </w:rPr>
        <w:t xml:space="preserve">? For example, patient-reported data (e.g., income, education, language), proxy variables when </w:t>
      </w:r>
      <w:r w:rsidR="009C7513">
        <w:rPr>
          <w:rFonts w:cstheme="minorHAnsi"/>
          <w:bCs/>
        </w:rPr>
        <w:t>social risk</w:t>
      </w:r>
      <w:r w:rsidR="0021054A">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sidR="0021054A">
        <w:rPr>
          <w:rFonts w:cstheme="minorHAnsi"/>
          <w:bCs/>
        </w:rPr>
        <w:t xml:space="preserve">. </w:t>
      </w:r>
    </w:p>
    <w:p w14:paraId="00DE8DFF" w14:textId="77777777" w:rsidR="002D7D79" w:rsidRDefault="002D7D79" w:rsidP="00D7500A">
      <w:pPr>
        <w:autoSpaceDE w:val="0"/>
        <w:autoSpaceDN w:val="0"/>
        <w:adjustRightInd w:val="0"/>
        <w:spacing w:after="0" w:line="240" w:lineRule="auto"/>
        <w:rPr>
          <w:rFonts w:cstheme="minorHAnsi"/>
          <w:color w:val="0000FF"/>
        </w:rPr>
      </w:pPr>
      <w:bookmarkStart w:id="11" w:name="_Hlk497891162"/>
    </w:p>
    <w:p w14:paraId="4D13CC3C" w14:textId="4E9CF053" w:rsidR="00D7500A" w:rsidRPr="00F618D7" w:rsidRDefault="00D7500A" w:rsidP="00D7500A">
      <w:pPr>
        <w:autoSpaceDE w:val="0"/>
        <w:autoSpaceDN w:val="0"/>
        <w:adjustRightInd w:val="0"/>
        <w:spacing w:after="0" w:line="240" w:lineRule="auto"/>
        <w:rPr>
          <w:rFonts w:cstheme="minorHAnsi"/>
          <w:bCs/>
          <w:color w:val="0000FF"/>
        </w:rPr>
      </w:pPr>
      <w:r w:rsidRPr="00F618D7">
        <w:rPr>
          <w:rFonts w:cstheme="minorHAnsi"/>
          <w:color w:val="0000FF"/>
        </w:rPr>
        <w:t xml:space="preserve">Since the </w:t>
      </w:r>
      <w:r w:rsidR="003D377A">
        <w:rPr>
          <w:rFonts w:cstheme="minorHAnsi"/>
          <w:color w:val="0000FF"/>
        </w:rPr>
        <w:t xml:space="preserve">risk-standardized survival rate </w:t>
      </w:r>
      <w:r w:rsidRPr="00F618D7">
        <w:rPr>
          <w:rFonts w:cstheme="minorHAnsi"/>
          <w:color w:val="0000FF"/>
        </w:rPr>
        <w:t xml:space="preserve">measure </w:t>
      </w:r>
      <w:r w:rsidR="003D377A">
        <w:rPr>
          <w:rFonts w:cstheme="minorHAnsi"/>
          <w:color w:val="0000FF"/>
        </w:rPr>
        <w:t xml:space="preserve">for in-hospital cardiac arrest </w:t>
      </w:r>
      <w:r w:rsidRPr="00F618D7">
        <w:rPr>
          <w:rFonts w:cstheme="minorHAnsi"/>
          <w:color w:val="0000FF"/>
        </w:rPr>
        <w:t xml:space="preserve">is a hospital-level measure, race-specific survival was not assessed at the patient-level.  Instead, we </w:t>
      </w:r>
      <w:r w:rsidR="00DE4395">
        <w:rPr>
          <w:rFonts w:cstheme="minorHAnsi"/>
          <w:color w:val="0000FF"/>
        </w:rPr>
        <w:t xml:space="preserve">examined the influence of race on the </w:t>
      </w:r>
      <w:r w:rsidR="004838E6">
        <w:rPr>
          <w:rFonts w:cstheme="minorHAnsi"/>
          <w:color w:val="0000FF"/>
        </w:rPr>
        <w:t xml:space="preserve">risk-standardized survival rate </w:t>
      </w:r>
      <w:r w:rsidR="00DE4395">
        <w:rPr>
          <w:rFonts w:cstheme="minorHAnsi"/>
          <w:color w:val="0000FF"/>
        </w:rPr>
        <w:t xml:space="preserve">measure by </w:t>
      </w:r>
      <w:r w:rsidRPr="00F618D7">
        <w:rPr>
          <w:rFonts w:cstheme="minorHAnsi"/>
          <w:color w:val="0000FF"/>
        </w:rPr>
        <w:t>divid</w:t>
      </w:r>
      <w:r w:rsidR="00DE4395">
        <w:rPr>
          <w:rFonts w:cstheme="minorHAnsi"/>
          <w:color w:val="0000FF"/>
        </w:rPr>
        <w:t>ing</w:t>
      </w:r>
      <w:r w:rsidRPr="00F618D7">
        <w:rPr>
          <w:rFonts w:cstheme="minorHAnsi"/>
          <w:color w:val="0000FF"/>
        </w:rPr>
        <w:t xml:space="preserve"> </w:t>
      </w:r>
      <w:r w:rsidR="00DE4395">
        <w:rPr>
          <w:rFonts w:cstheme="minorHAnsi"/>
          <w:color w:val="0000FF"/>
        </w:rPr>
        <w:t xml:space="preserve">study </w:t>
      </w:r>
      <w:r w:rsidRPr="00F618D7">
        <w:rPr>
          <w:rFonts w:cstheme="minorHAnsi"/>
          <w:color w:val="0000FF"/>
        </w:rPr>
        <w:t xml:space="preserve">hospitals into quartiles of patients </w:t>
      </w:r>
      <w:r w:rsidR="00DE4395">
        <w:rPr>
          <w:rFonts w:cstheme="minorHAnsi"/>
          <w:color w:val="0000FF"/>
        </w:rPr>
        <w:t xml:space="preserve">with </w:t>
      </w:r>
      <w:r w:rsidR="003D377A">
        <w:rPr>
          <w:rFonts w:cstheme="minorHAnsi"/>
          <w:color w:val="0000FF"/>
        </w:rPr>
        <w:t xml:space="preserve">in-hospital cardiac arrest </w:t>
      </w:r>
      <w:r w:rsidR="00DE4395">
        <w:rPr>
          <w:rFonts w:cstheme="minorHAnsi"/>
          <w:color w:val="0000FF"/>
        </w:rPr>
        <w:t xml:space="preserve">who were </w:t>
      </w:r>
      <w:r w:rsidRPr="00F618D7">
        <w:rPr>
          <w:rFonts w:cstheme="minorHAnsi"/>
          <w:color w:val="0000FF"/>
        </w:rPr>
        <w:t xml:space="preserve">of black race.  </w:t>
      </w:r>
      <w:r w:rsidR="003D377A">
        <w:rPr>
          <w:rFonts w:cstheme="minorHAnsi"/>
          <w:color w:val="0000FF"/>
        </w:rPr>
        <w:t>Across hospitals, t</w:t>
      </w:r>
      <w:r w:rsidRPr="00F618D7">
        <w:rPr>
          <w:rFonts w:cstheme="minorHAnsi"/>
          <w:color w:val="0000FF"/>
        </w:rPr>
        <w:t xml:space="preserve">he median percentage of </w:t>
      </w:r>
      <w:r w:rsidR="003D377A">
        <w:rPr>
          <w:rFonts w:cstheme="minorHAnsi"/>
          <w:color w:val="0000FF"/>
        </w:rPr>
        <w:t>in-hospital cardiac arrest</w:t>
      </w:r>
      <w:r w:rsidR="003D377A" w:rsidRPr="00F618D7">
        <w:rPr>
          <w:rFonts w:cstheme="minorHAnsi"/>
          <w:color w:val="0000FF"/>
        </w:rPr>
        <w:t xml:space="preserve"> </w:t>
      </w:r>
      <w:r w:rsidRPr="00F618D7">
        <w:rPr>
          <w:rFonts w:cstheme="minorHAnsi"/>
          <w:color w:val="0000FF"/>
        </w:rPr>
        <w:t>patients of black race was 11</w:t>
      </w:r>
      <w:r w:rsidR="00505A42">
        <w:rPr>
          <w:rFonts w:cstheme="minorHAnsi"/>
          <w:color w:val="0000FF"/>
        </w:rPr>
        <w:t>% (IQR: 4% to 27</w:t>
      </w:r>
      <w:r w:rsidRPr="00F618D7">
        <w:rPr>
          <w:rFonts w:cstheme="minorHAnsi"/>
          <w:color w:val="0000FF"/>
        </w:rPr>
        <w:t xml:space="preserve">%).  </w:t>
      </w:r>
      <w:r w:rsidR="004C16A4">
        <w:rPr>
          <w:rFonts w:cstheme="minorHAnsi"/>
          <w:color w:val="0000FF"/>
        </w:rPr>
        <w:t>In the table below, we outline that h</w:t>
      </w:r>
      <w:r w:rsidRPr="00F618D7">
        <w:rPr>
          <w:rFonts w:cstheme="minorHAnsi"/>
          <w:color w:val="0000FF"/>
        </w:rPr>
        <w:t xml:space="preserve">ospitals with the </w:t>
      </w:r>
      <w:r w:rsidR="00DE4395">
        <w:rPr>
          <w:rFonts w:cstheme="minorHAnsi"/>
          <w:color w:val="0000FF"/>
        </w:rPr>
        <w:t>lowest proportion</w:t>
      </w:r>
      <w:r w:rsidRPr="00F618D7">
        <w:rPr>
          <w:rFonts w:cstheme="minorHAnsi"/>
          <w:color w:val="0000FF"/>
        </w:rPr>
        <w:t xml:space="preserve"> of black patients </w:t>
      </w:r>
      <w:r w:rsidR="008253DE">
        <w:rPr>
          <w:rFonts w:cstheme="minorHAnsi"/>
          <w:color w:val="0000FF"/>
        </w:rPr>
        <w:t xml:space="preserve">with </w:t>
      </w:r>
      <w:r w:rsidR="003D377A">
        <w:rPr>
          <w:rFonts w:cstheme="minorHAnsi"/>
          <w:color w:val="0000FF"/>
        </w:rPr>
        <w:t xml:space="preserve">in-hospital cardiac arrest </w:t>
      </w:r>
      <w:r w:rsidRPr="00F618D7">
        <w:rPr>
          <w:rFonts w:cstheme="minorHAnsi"/>
          <w:color w:val="0000FF"/>
        </w:rPr>
        <w:t xml:space="preserve">(quartile 1) had a higher </w:t>
      </w:r>
      <w:r w:rsidR="008253DE">
        <w:rPr>
          <w:rFonts w:cstheme="minorHAnsi"/>
          <w:color w:val="0000FF"/>
        </w:rPr>
        <w:t>rate</w:t>
      </w:r>
      <w:r w:rsidR="00DE4395">
        <w:rPr>
          <w:rFonts w:cstheme="minorHAnsi"/>
          <w:color w:val="0000FF"/>
        </w:rPr>
        <w:t xml:space="preserve"> of </w:t>
      </w:r>
      <w:r w:rsidRPr="00F618D7">
        <w:rPr>
          <w:rFonts w:cstheme="minorHAnsi"/>
          <w:color w:val="0000FF"/>
        </w:rPr>
        <w:t xml:space="preserve">unadjusted </w:t>
      </w:r>
      <w:r w:rsidR="00DE4395">
        <w:rPr>
          <w:rFonts w:cstheme="minorHAnsi"/>
          <w:color w:val="0000FF"/>
        </w:rPr>
        <w:t>and risk-standardized survival</w:t>
      </w:r>
      <w:r w:rsidRPr="00F618D7">
        <w:rPr>
          <w:rFonts w:cstheme="minorHAnsi"/>
          <w:color w:val="0000FF"/>
        </w:rPr>
        <w:t xml:space="preserve"> for </w:t>
      </w:r>
      <w:r w:rsidR="003D377A">
        <w:rPr>
          <w:rFonts w:cstheme="minorHAnsi"/>
          <w:color w:val="0000FF"/>
        </w:rPr>
        <w:t>cardiac arrest</w:t>
      </w:r>
      <w:r w:rsidR="003D377A" w:rsidRPr="00F618D7">
        <w:rPr>
          <w:rFonts w:cstheme="minorHAnsi"/>
          <w:color w:val="0000FF"/>
        </w:rPr>
        <w:t xml:space="preserve"> </w:t>
      </w:r>
      <w:r w:rsidRPr="00F618D7">
        <w:rPr>
          <w:rFonts w:cstheme="minorHAnsi"/>
          <w:color w:val="0000FF"/>
        </w:rPr>
        <w:t xml:space="preserve">as compared with hospitals that had the highest </w:t>
      </w:r>
      <w:r w:rsidR="00DE4395">
        <w:rPr>
          <w:rFonts w:cstheme="minorHAnsi"/>
          <w:color w:val="0000FF"/>
        </w:rPr>
        <w:t>proportion</w:t>
      </w:r>
      <w:r w:rsidR="00DE4395" w:rsidRPr="00F618D7">
        <w:rPr>
          <w:rFonts w:cstheme="minorHAnsi"/>
          <w:color w:val="0000FF"/>
        </w:rPr>
        <w:t xml:space="preserve"> </w:t>
      </w:r>
      <w:r w:rsidRPr="00F618D7">
        <w:rPr>
          <w:rFonts w:cstheme="minorHAnsi"/>
          <w:color w:val="0000FF"/>
        </w:rPr>
        <w:t xml:space="preserve">of black patients (quartile 4), suggesting some degree of disparity in </w:t>
      </w:r>
      <w:r w:rsidR="004838E6">
        <w:rPr>
          <w:rFonts w:cstheme="minorHAnsi"/>
          <w:color w:val="0000FF"/>
        </w:rPr>
        <w:t xml:space="preserve">risk-standardized survival rates </w:t>
      </w:r>
      <w:r w:rsidRPr="00F618D7">
        <w:rPr>
          <w:rFonts w:cstheme="minorHAnsi"/>
          <w:color w:val="0000FF"/>
        </w:rPr>
        <w:t>by hospital racial composition</w:t>
      </w:r>
      <w:r w:rsidR="008253DE">
        <w:rPr>
          <w:rFonts w:cstheme="minorHAnsi"/>
          <w:color w:val="0000FF"/>
        </w:rPr>
        <w:t xml:space="preserve"> despite adjustment for patient case-mix severity</w:t>
      </w:r>
      <w:r w:rsidRPr="00F618D7">
        <w:rPr>
          <w:rFonts w:cstheme="minorHAnsi"/>
          <w:color w:val="0000FF"/>
        </w:rPr>
        <w:t xml:space="preserve"> (see table below).</w:t>
      </w:r>
      <w:r w:rsidRPr="00F618D7">
        <w:rPr>
          <w:rFonts w:cstheme="minorHAnsi"/>
          <w:bCs/>
          <w:color w:val="0000FF"/>
        </w:rPr>
        <w:t xml:space="preserve"> </w:t>
      </w:r>
    </w:p>
    <w:p w14:paraId="0B8EF3A4" w14:textId="77777777" w:rsidR="00D7500A" w:rsidRPr="00F618D7" w:rsidRDefault="00D7500A" w:rsidP="00D7500A">
      <w:pPr>
        <w:autoSpaceDE w:val="0"/>
        <w:autoSpaceDN w:val="0"/>
        <w:adjustRightInd w:val="0"/>
        <w:spacing w:after="0" w:line="240" w:lineRule="auto"/>
        <w:rPr>
          <w:rFonts w:cstheme="minorHAnsi"/>
          <w:bCs/>
          <w:color w:val="0000FF"/>
        </w:rPr>
      </w:pPr>
    </w:p>
    <w:p w14:paraId="062585E4" w14:textId="1FFBCCC0" w:rsidR="00D7500A" w:rsidRPr="00F618D7" w:rsidRDefault="003D377A" w:rsidP="00D7500A">
      <w:pPr>
        <w:autoSpaceDE w:val="0"/>
        <w:autoSpaceDN w:val="0"/>
        <w:adjustRightInd w:val="0"/>
        <w:spacing w:after="0" w:line="240" w:lineRule="auto"/>
        <w:rPr>
          <w:rFonts w:cstheme="minorHAnsi"/>
          <w:bCs/>
          <w:color w:val="0000FF"/>
        </w:rPr>
      </w:pPr>
      <w:r>
        <w:rPr>
          <w:rFonts w:cstheme="minorHAnsi"/>
          <w:bCs/>
          <w:color w:val="0000FF"/>
        </w:rPr>
        <w:t>In our models, w</w:t>
      </w:r>
      <w:r w:rsidR="00D7500A" w:rsidRPr="00F618D7">
        <w:rPr>
          <w:rFonts w:cstheme="minorHAnsi"/>
          <w:bCs/>
          <w:color w:val="0000FF"/>
        </w:rPr>
        <w:t xml:space="preserve">e </w:t>
      </w:r>
      <w:r w:rsidR="008253DE">
        <w:rPr>
          <w:rFonts w:cstheme="minorHAnsi"/>
          <w:bCs/>
          <w:color w:val="0000FF"/>
        </w:rPr>
        <w:t>deliberately</w:t>
      </w:r>
      <w:r w:rsidR="008253DE" w:rsidRPr="00F618D7">
        <w:rPr>
          <w:rFonts w:cstheme="minorHAnsi"/>
          <w:bCs/>
          <w:color w:val="0000FF"/>
        </w:rPr>
        <w:t xml:space="preserve"> </w:t>
      </w:r>
      <w:r w:rsidR="008253DE">
        <w:rPr>
          <w:rFonts w:cstheme="minorHAnsi"/>
          <w:bCs/>
          <w:color w:val="0000FF"/>
        </w:rPr>
        <w:t>chose to</w:t>
      </w:r>
      <w:r w:rsidR="00D7500A" w:rsidRPr="00F618D7">
        <w:rPr>
          <w:rFonts w:cstheme="minorHAnsi"/>
          <w:bCs/>
          <w:color w:val="0000FF"/>
        </w:rPr>
        <w:t xml:space="preserve"> not include race/ethnicity as a covariate</w:t>
      </w:r>
      <w:r w:rsidR="008253DE">
        <w:rPr>
          <w:rFonts w:cstheme="minorHAnsi"/>
          <w:bCs/>
          <w:color w:val="0000FF"/>
        </w:rPr>
        <w:t xml:space="preserve"> in deriving our model for risk-standardized survival for </w:t>
      </w:r>
      <w:r w:rsidR="004C16A4">
        <w:rPr>
          <w:rFonts w:cstheme="minorHAnsi"/>
          <w:bCs/>
          <w:color w:val="0000FF"/>
        </w:rPr>
        <w:t>in-hospital cardiac arrest</w:t>
      </w:r>
      <w:r w:rsidR="008253DE">
        <w:rPr>
          <w:rFonts w:cstheme="minorHAnsi"/>
          <w:bCs/>
          <w:color w:val="0000FF"/>
        </w:rPr>
        <w:t xml:space="preserve"> so as to not mask disparities in care and outcomes </w:t>
      </w:r>
      <w:r w:rsidR="004C16A4">
        <w:rPr>
          <w:rFonts w:cstheme="minorHAnsi"/>
          <w:bCs/>
          <w:color w:val="0000FF"/>
        </w:rPr>
        <w:t xml:space="preserve">for this condition </w:t>
      </w:r>
      <w:r w:rsidR="008253DE">
        <w:rPr>
          <w:rFonts w:cstheme="minorHAnsi"/>
          <w:bCs/>
          <w:color w:val="0000FF"/>
        </w:rPr>
        <w:t>by race</w:t>
      </w:r>
      <w:r w:rsidR="00D7500A" w:rsidRPr="00F618D7">
        <w:rPr>
          <w:rFonts w:cstheme="minorHAnsi"/>
          <w:bCs/>
          <w:color w:val="0000FF"/>
        </w:rPr>
        <w:t xml:space="preserve">.  </w:t>
      </w:r>
      <w:r w:rsidR="008253DE">
        <w:rPr>
          <w:rFonts w:cstheme="minorHAnsi"/>
          <w:bCs/>
          <w:color w:val="0000FF"/>
        </w:rPr>
        <w:t xml:space="preserve">Including race in the model would have, in effect, made it more acceptable for hospitals with higher proportions of black patients with </w:t>
      </w:r>
      <w:r w:rsidR="004C16A4">
        <w:rPr>
          <w:rFonts w:cstheme="minorHAnsi"/>
          <w:bCs/>
          <w:color w:val="0000FF"/>
        </w:rPr>
        <w:t xml:space="preserve">in-hospital cardiac arrest </w:t>
      </w:r>
      <w:r w:rsidR="008253DE">
        <w:rPr>
          <w:rFonts w:cstheme="minorHAnsi"/>
          <w:bCs/>
          <w:color w:val="0000FF"/>
        </w:rPr>
        <w:t>to have lower survival rates compared with other hospitals.</w:t>
      </w:r>
      <w:r w:rsidR="00D7500A" w:rsidRPr="00F618D7">
        <w:rPr>
          <w:rFonts w:cstheme="minorHAnsi"/>
          <w:bCs/>
          <w:color w:val="0000FF"/>
        </w:rPr>
        <w:t xml:space="preserve">  </w:t>
      </w:r>
    </w:p>
    <w:p w14:paraId="688E2EDA" w14:textId="77777777" w:rsidR="00D7500A" w:rsidRDefault="00D7500A" w:rsidP="00E37E1B">
      <w:pPr>
        <w:autoSpaceDE w:val="0"/>
        <w:autoSpaceDN w:val="0"/>
        <w:adjustRightInd w:val="0"/>
        <w:spacing w:after="0" w:line="240" w:lineRule="auto"/>
        <w:rPr>
          <w:rFonts w:cstheme="minorHAnsi"/>
          <w:bCs/>
        </w:rPr>
      </w:pPr>
    </w:p>
    <w:p w14:paraId="31A855C9" w14:textId="19EAA796" w:rsidR="00D7500A" w:rsidRPr="00A332CC" w:rsidRDefault="00D7500A" w:rsidP="00D7500A">
      <w:pPr>
        <w:autoSpaceDE w:val="0"/>
        <w:autoSpaceDN w:val="0"/>
        <w:adjustRightInd w:val="0"/>
        <w:spacing w:after="0" w:line="240" w:lineRule="auto"/>
        <w:rPr>
          <w:rFonts w:cstheme="minorHAnsi"/>
          <w:bCs/>
          <w:color w:val="0000FF"/>
        </w:rPr>
      </w:pPr>
    </w:p>
    <w:tbl>
      <w:tblPr>
        <w:tblW w:w="10620" w:type="dxa"/>
        <w:tblInd w:w="-190" w:type="dxa"/>
        <w:tblLayout w:type="fixed"/>
        <w:tblLook w:val="04A0" w:firstRow="1" w:lastRow="0" w:firstColumn="1" w:lastColumn="0" w:noHBand="0" w:noVBand="1"/>
      </w:tblPr>
      <w:tblGrid>
        <w:gridCol w:w="1530"/>
        <w:gridCol w:w="1710"/>
        <w:gridCol w:w="1620"/>
        <w:gridCol w:w="1620"/>
        <w:gridCol w:w="1620"/>
        <w:gridCol w:w="1620"/>
        <w:gridCol w:w="900"/>
      </w:tblGrid>
      <w:tr w:rsidR="00D7500A" w:rsidRPr="00A332CC" w14:paraId="412E85F0" w14:textId="77777777" w:rsidTr="0031553D">
        <w:trPr>
          <w:trHeight w:val="315"/>
        </w:trPr>
        <w:tc>
          <w:tcPr>
            <w:tcW w:w="1530" w:type="dxa"/>
            <w:vMerge w:val="restart"/>
            <w:tcBorders>
              <w:top w:val="single" w:sz="8" w:space="0" w:color="000000"/>
              <w:left w:val="single" w:sz="8" w:space="0" w:color="000000"/>
              <w:bottom w:val="single" w:sz="8" w:space="0" w:color="000000"/>
              <w:right w:val="single" w:sz="8" w:space="0" w:color="000000"/>
            </w:tcBorders>
            <w:shd w:val="clear" w:color="000000" w:fill="BBBBBB"/>
            <w:vAlign w:val="bottom"/>
            <w:hideMark/>
          </w:tcPr>
          <w:p w14:paraId="21EFCBC6" w14:textId="77777777" w:rsidR="00D7500A" w:rsidRPr="00A332CC" w:rsidRDefault="00D7500A" w:rsidP="00677E04">
            <w:pPr>
              <w:spacing w:after="0" w:line="240" w:lineRule="auto"/>
              <w:rPr>
                <w:rFonts w:eastAsia="Times New Roman" w:cstheme="minorHAnsi"/>
                <w:b/>
                <w:bCs/>
                <w:color w:val="0000FF"/>
              </w:rPr>
            </w:pPr>
            <w:r w:rsidRPr="00A332CC">
              <w:rPr>
                <w:rFonts w:eastAsia="Times New Roman" w:cstheme="minorHAnsi"/>
                <w:b/>
                <w:bCs/>
                <w:color w:val="0000FF"/>
              </w:rPr>
              <w:t> </w:t>
            </w:r>
          </w:p>
        </w:tc>
        <w:tc>
          <w:tcPr>
            <w:tcW w:w="6570" w:type="dxa"/>
            <w:gridSpan w:val="4"/>
            <w:tcBorders>
              <w:top w:val="single" w:sz="8" w:space="0" w:color="000000"/>
              <w:left w:val="nil"/>
              <w:bottom w:val="single" w:sz="8" w:space="0" w:color="000000"/>
              <w:right w:val="single" w:sz="8" w:space="0" w:color="000000"/>
            </w:tcBorders>
            <w:shd w:val="clear" w:color="000000" w:fill="BBBBBB"/>
            <w:vAlign w:val="bottom"/>
            <w:hideMark/>
          </w:tcPr>
          <w:p w14:paraId="076936E9" w14:textId="5A2BE40E" w:rsidR="00D7500A" w:rsidRPr="00A332CC" w:rsidRDefault="00D7500A" w:rsidP="004C16A4">
            <w:pPr>
              <w:spacing w:after="0" w:line="240" w:lineRule="auto"/>
              <w:jc w:val="center"/>
              <w:rPr>
                <w:rFonts w:eastAsia="Times New Roman" w:cstheme="minorHAnsi"/>
                <w:b/>
                <w:bCs/>
                <w:color w:val="0000FF"/>
              </w:rPr>
            </w:pPr>
            <w:r w:rsidRPr="00A332CC">
              <w:rPr>
                <w:rFonts w:eastAsia="Times New Roman" w:cstheme="minorHAnsi"/>
                <w:b/>
                <w:bCs/>
                <w:color w:val="0000FF"/>
              </w:rPr>
              <w:t xml:space="preserve">Hospital Quartile </w:t>
            </w:r>
            <w:r w:rsidR="004C16A4">
              <w:rPr>
                <w:rFonts w:eastAsia="Times New Roman" w:cstheme="minorHAnsi"/>
                <w:b/>
                <w:bCs/>
                <w:color w:val="0000FF"/>
              </w:rPr>
              <w:t xml:space="preserve">By Proportion </w:t>
            </w:r>
            <w:r w:rsidRPr="00A332CC">
              <w:rPr>
                <w:rFonts w:eastAsia="Times New Roman" w:cstheme="minorHAnsi"/>
                <w:b/>
                <w:bCs/>
                <w:color w:val="0000FF"/>
              </w:rPr>
              <w:t>of Black IHCA Patients</w:t>
            </w:r>
          </w:p>
        </w:tc>
        <w:tc>
          <w:tcPr>
            <w:tcW w:w="1620" w:type="dxa"/>
            <w:tcBorders>
              <w:top w:val="single" w:sz="8" w:space="0" w:color="000000"/>
              <w:left w:val="nil"/>
              <w:bottom w:val="single" w:sz="8" w:space="0" w:color="000000"/>
              <w:right w:val="nil"/>
            </w:tcBorders>
            <w:shd w:val="clear" w:color="000000" w:fill="BBBBBB"/>
            <w:vAlign w:val="bottom"/>
            <w:hideMark/>
          </w:tcPr>
          <w:p w14:paraId="6A6C4329" w14:textId="77777777" w:rsidR="00D7500A" w:rsidRPr="00A332CC" w:rsidRDefault="00D7500A" w:rsidP="00677E04">
            <w:pPr>
              <w:spacing w:after="0" w:line="240" w:lineRule="auto"/>
              <w:jc w:val="center"/>
              <w:rPr>
                <w:rFonts w:eastAsia="Times New Roman" w:cstheme="minorHAnsi"/>
                <w:b/>
                <w:bCs/>
                <w:color w:val="0000FF"/>
              </w:rPr>
            </w:pPr>
          </w:p>
        </w:tc>
        <w:tc>
          <w:tcPr>
            <w:tcW w:w="900" w:type="dxa"/>
            <w:vMerge w:val="restart"/>
            <w:tcBorders>
              <w:top w:val="single" w:sz="8" w:space="0" w:color="000000"/>
              <w:left w:val="single" w:sz="8" w:space="0" w:color="000000"/>
              <w:bottom w:val="single" w:sz="8" w:space="0" w:color="000000"/>
              <w:right w:val="single" w:sz="8" w:space="0" w:color="000000"/>
            </w:tcBorders>
            <w:shd w:val="clear" w:color="000000" w:fill="BBBBBB"/>
            <w:vAlign w:val="bottom"/>
            <w:hideMark/>
          </w:tcPr>
          <w:p w14:paraId="565976C7" w14:textId="77777777" w:rsidR="00D7500A" w:rsidRPr="00A332CC" w:rsidRDefault="00D7500A" w:rsidP="004759D9">
            <w:pPr>
              <w:spacing w:after="0" w:line="240" w:lineRule="auto"/>
              <w:jc w:val="center"/>
              <w:rPr>
                <w:rFonts w:eastAsia="Times New Roman" w:cstheme="minorHAnsi"/>
                <w:b/>
                <w:bCs/>
                <w:color w:val="0000FF"/>
              </w:rPr>
            </w:pPr>
            <w:r w:rsidRPr="00A332CC">
              <w:rPr>
                <w:rFonts w:eastAsia="Times New Roman" w:cstheme="minorHAnsi"/>
                <w:b/>
                <w:bCs/>
                <w:color w:val="0000FF"/>
              </w:rPr>
              <w:t>P</w:t>
            </w:r>
          </w:p>
        </w:tc>
      </w:tr>
      <w:tr w:rsidR="00D7500A" w:rsidRPr="00A332CC" w14:paraId="005C0F22" w14:textId="77777777" w:rsidTr="0031553D">
        <w:trPr>
          <w:cantSplit/>
          <w:trHeight w:val="187"/>
        </w:trPr>
        <w:tc>
          <w:tcPr>
            <w:tcW w:w="1530" w:type="dxa"/>
            <w:vMerge/>
            <w:tcBorders>
              <w:top w:val="single" w:sz="8" w:space="0" w:color="000000"/>
              <w:left w:val="single" w:sz="8" w:space="0" w:color="000000"/>
              <w:bottom w:val="single" w:sz="8" w:space="0" w:color="000000"/>
              <w:right w:val="single" w:sz="8" w:space="0" w:color="000000"/>
            </w:tcBorders>
            <w:vAlign w:val="center"/>
            <w:hideMark/>
          </w:tcPr>
          <w:p w14:paraId="30D51344" w14:textId="77777777" w:rsidR="00D7500A" w:rsidRPr="00A332CC" w:rsidRDefault="00D7500A" w:rsidP="00677E04">
            <w:pPr>
              <w:spacing w:after="0" w:line="240" w:lineRule="auto"/>
              <w:rPr>
                <w:rFonts w:eastAsia="Times New Roman" w:cstheme="minorHAnsi"/>
                <w:b/>
                <w:bCs/>
                <w:color w:val="0000FF"/>
              </w:rPr>
            </w:pPr>
          </w:p>
        </w:tc>
        <w:tc>
          <w:tcPr>
            <w:tcW w:w="1710" w:type="dxa"/>
            <w:tcBorders>
              <w:top w:val="nil"/>
              <w:left w:val="nil"/>
              <w:bottom w:val="nil"/>
              <w:right w:val="nil"/>
            </w:tcBorders>
            <w:shd w:val="clear" w:color="000000" w:fill="BBBBBB"/>
            <w:vAlign w:val="bottom"/>
            <w:hideMark/>
          </w:tcPr>
          <w:p w14:paraId="7950F1B0"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Least Black</w:t>
            </w:r>
          </w:p>
        </w:tc>
        <w:tc>
          <w:tcPr>
            <w:tcW w:w="1620" w:type="dxa"/>
            <w:tcBorders>
              <w:top w:val="nil"/>
              <w:left w:val="single" w:sz="8" w:space="0" w:color="000000"/>
              <w:bottom w:val="nil"/>
              <w:right w:val="nil"/>
            </w:tcBorders>
            <w:shd w:val="clear" w:color="000000" w:fill="BBBBBB"/>
            <w:vAlign w:val="bottom"/>
            <w:hideMark/>
          </w:tcPr>
          <w:p w14:paraId="3154F2E9"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 </w:t>
            </w:r>
          </w:p>
        </w:tc>
        <w:tc>
          <w:tcPr>
            <w:tcW w:w="1620" w:type="dxa"/>
            <w:tcBorders>
              <w:top w:val="nil"/>
              <w:left w:val="single" w:sz="8" w:space="0" w:color="000000"/>
              <w:bottom w:val="nil"/>
              <w:right w:val="nil"/>
            </w:tcBorders>
            <w:shd w:val="clear" w:color="000000" w:fill="BBBBBB"/>
            <w:vAlign w:val="bottom"/>
            <w:hideMark/>
          </w:tcPr>
          <w:p w14:paraId="22F7A5CB"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 </w:t>
            </w:r>
          </w:p>
        </w:tc>
        <w:tc>
          <w:tcPr>
            <w:tcW w:w="1620" w:type="dxa"/>
            <w:tcBorders>
              <w:top w:val="nil"/>
              <w:left w:val="single" w:sz="8" w:space="0" w:color="000000"/>
              <w:bottom w:val="nil"/>
              <w:right w:val="nil"/>
            </w:tcBorders>
            <w:shd w:val="clear" w:color="000000" w:fill="BBBBBB"/>
            <w:vAlign w:val="bottom"/>
            <w:hideMark/>
          </w:tcPr>
          <w:p w14:paraId="11A02BB9"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Most Black</w:t>
            </w:r>
          </w:p>
        </w:tc>
        <w:tc>
          <w:tcPr>
            <w:tcW w:w="1620" w:type="dxa"/>
            <w:vMerge w:val="restart"/>
            <w:tcBorders>
              <w:top w:val="nil"/>
              <w:left w:val="single" w:sz="8" w:space="0" w:color="000000"/>
              <w:bottom w:val="single" w:sz="8" w:space="0" w:color="000000"/>
              <w:right w:val="single" w:sz="8" w:space="0" w:color="000000"/>
            </w:tcBorders>
            <w:shd w:val="clear" w:color="000000" w:fill="BBBBBB"/>
            <w:vAlign w:val="bottom"/>
            <w:hideMark/>
          </w:tcPr>
          <w:p w14:paraId="48BA1CEB"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All Hospitals n = 288</w:t>
            </w:r>
          </w:p>
        </w:tc>
        <w:tc>
          <w:tcPr>
            <w:tcW w:w="900" w:type="dxa"/>
            <w:vMerge/>
            <w:tcBorders>
              <w:top w:val="single" w:sz="8" w:space="0" w:color="000000"/>
              <w:left w:val="single" w:sz="8" w:space="0" w:color="000000"/>
              <w:bottom w:val="single" w:sz="8" w:space="0" w:color="000000"/>
              <w:right w:val="single" w:sz="8" w:space="0" w:color="000000"/>
            </w:tcBorders>
            <w:vAlign w:val="center"/>
            <w:hideMark/>
          </w:tcPr>
          <w:p w14:paraId="26F42C81" w14:textId="77777777" w:rsidR="00D7500A" w:rsidRPr="00A332CC" w:rsidRDefault="00D7500A" w:rsidP="00677E04">
            <w:pPr>
              <w:spacing w:after="0" w:line="240" w:lineRule="auto"/>
              <w:rPr>
                <w:rFonts w:eastAsia="Times New Roman" w:cstheme="minorHAnsi"/>
                <w:b/>
                <w:bCs/>
                <w:color w:val="0000FF"/>
              </w:rPr>
            </w:pPr>
          </w:p>
        </w:tc>
      </w:tr>
      <w:tr w:rsidR="00D7500A" w:rsidRPr="00A332CC" w14:paraId="57C55810" w14:textId="77777777" w:rsidTr="0031553D">
        <w:trPr>
          <w:trHeight w:val="315"/>
        </w:trPr>
        <w:tc>
          <w:tcPr>
            <w:tcW w:w="1530" w:type="dxa"/>
            <w:vMerge/>
            <w:tcBorders>
              <w:top w:val="single" w:sz="8" w:space="0" w:color="000000"/>
              <w:left w:val="single" w:sz="8" w:space="0" w:color="000000"/>
              <w:bottom w:val="single" w:sz="8" w:space="0" w:color="000000"/>
              <w:right w:val="single" w:sz="8" w:space="0" w:color="000000"/>
            </w:tcBorders>
            <w:vAlign w:val="center"/>
            <w:hideMark/>
          </w:tcPr>
          <w:p w14:paraId="66BD3CA7" w14:textId="77777777" w:rsidR="00D7500A" w:rsidRPr="00A332CC" w:rsidRDefault="00D7500A" w:rsidP="00677E04">
            <w:pPr>
              <w:spacing w:after="0" w:line="240" w:lineRule="auto"/>
              <w:rPr>
                <w:rFonts w:eastAsia="Times New Roman" w:cstheme="minorHAnsi"/>
                <w:b/>
                <w:bCs/>
                <w:color w:val="0000FF"/>
              </w:rPr>
            </w:pPr>
          </w:p>
        </w:tc>
        <w:tc>
          <w:tcPr>
            <w:tcW w:w="1710" w:type="dxa"/>
            <w:tcBorders>
              <w:top w:val="nil"/>
              <w:left w:val="nil"/>
              <w:bottom w:val="single" w:sz="8" w:space="0" w:color="000000"/>
              <w:right w:val="nil"/>
            </w:tcBorders>
            <w:shd w:val="clear" w:color="000000" w:fill="BBBBBB"/>
            <w:vAlign w:val="bottom"/>
            <w:hideMark/>
          </w:tcPr>
          <w:p w14:paraId="04CCC071"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Q1; n=72</w:t>
            </w:r>
          </w:p>
        </w:tc>
        <w:tc>
          <w:tcPr>
            <w:tcW w:w="1620" w:type="dxa"/>
            <w:tcBorders>
              <w:top w:val="nil"/>
              <w:left w:val="single" w:sz="8" w:space="0" w:color="000000"/>
              <w:bottom w:val="single" w:sz="8" w:space="0" w:color="000000"/>
              <w:right w:val="nil"/>
            </w:tcBorders>
            <w:shd w:val="clear" w:color="000000" w:fill="BBBBBB"/>
            <w:vAlign w:val="bottom"/>
            <w:hideMark/>
          </w:tcPr>
          <w:p w14:paraId="3DFF74E2"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Q2; n = 72</w:t>
            </w:r>
          </w:p>
        </w:tc>
        <w:tc>
          <w:tcPr>
            <w:tcW w:w="1620" w:type="dxa"/>
            <w:tcBorders>
              <w:top w:val="nil"/>
              <w:left w:val="single" w:sz="8" w:space="0" w:color="000000"/>
              <w:bottom w:val="single" w:sz="8" w:space="0" w:color="000000"/>
              <w:right w:val="nil"/>
            </w:tcBorders>
            <w:shd w:val="clear" w:color="000000" w:fill="BBBBBB"/>
            <w:vAlign w:val="bottom"/>
            <w:hideMark/>
          </w:tcPr>
          <w:p w14:paraId="0C33E709"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Q3; n = 72</w:t>
            </w:r>
          </w:p>
        </w:tc>
        <w:tc>
          <w:tcPr>
            <w:tcW w:w="1620" w:type="dxa"/>
            <w:tcBorders>
              <w:top w:val="nil"/>
              <w:left w:val="single" w:sz="8" w:space="0" w:color="000000"/>
              <w:bottom w:val="single" w:sz="8" w:space="0" w:color="000000"/>
              <w:right w:val="nil"/>
            </w:tcBorders>
            <w:shd w:val="clear" w:color="000000" w:fill="BBBBBB"/>
            <w:vAlign w:val="bottom"/>
            <w:hideMark/>
          </w:tcPr>
          <w:p w14:paraId="3E32EB15" w14:textId="77777777" w:rsidR="00D7500A" w:rsidRPr="00A332CC" w:rsidRDefault="00D7500A" w:rsidP="00677E04">
            <w:pPr>
              <w:spacing w:after="0" w:line="240" w:lineRule="auto"/>
              <w:jc w:val="center"/>
              <w:rPr>
                <w:rFonts w:eastAsia="Times New Roman" w:cstheme="minorHAnsi"/>
                <w:b/>
                <w:bCs/>
                <w:color w:val="0000FF"/>
              </w:rPr>
            </w:pPr>
            <w:r w:rsidRPr="00A332CC">
              <w:rPr>
                <w:rFonts w:eastAsia="Times New Roman" w:cstheme="minorHAnsi"/>
                <w:b/>
                <w:bCs/>
                <w:color w:val="0000FF"/>
              </w:rPr>
              <w:t>Q4; n = 72</w:t>
            </w:r>
          </w:p>
        </w:tc>
        <w:tc>
          <w:tcPr>
            <w:tcW w:w="1620" w:type="dxa"/>
            <w:vMerge/>
            <w:tcBorders>
              <w:top w:val="nil"/>
              <w:left w:val="single" w:sz="8" w:space="0" w:color="000000"/>
              <w:bottom w:val="single" w:sz="8" w:space="0" w:color="000000"/>
              <w:right w:val="single" w:sz="8" w:space="0" w:color="000000"/>
            </w:tcBorders>
            <w:vAlign w:val="center"/>
            <w:hideMark/>
          </w:tcPr>
          <w:p w14:paraId="427161EA" w14:textId="77777777" w:rsidR="00D7500A" w:rsidRPr="00A332CC" w:rsidRDefault="00D7500A" w:rsidP="00677E04">
            <w:pPr>
              <w:spacing w:after="0" w:line="240" w:lineRule="auto"/>
              <w:rPr>
                <w:rFonts w:eastAsia="Times New Roman" w:cstheme="minorHAnsi"/>
                <w:b/>
                <w:bCs/>
                <w:color w:val="0000FF"/>
              </w:rPr>
            </w:pPr>
          </w:p>
        </w:tc>
        <w:tc>
          <w:tcPr>
            <w:tcW w:w="900" w:type="dxa"/>
            <w:vMerge/>
            <w:tcBorders>
              <w:top w:val="single" w:sz="8" w:space="0" w:color="000000"/>
              <w:left w:val="single" w:sz="8" w:space="0" w:color="000000"/>
              <w:bottom w:val="single" w:sz="8" w:space="0" w:color="000000"/>
              <w:right w:val="single" w:sz="8" w:space="0" w:color="000000"/>
            </w:tcBorders>
            <w:vAlign w:val="center"/>
            <w:hideMark/>
          </w:tcPr>
          <w:p w14:paraId="12C62D52" w14:textId="77777777" w:rsidR="00D7500A" w:rsidRPr="00A332CC" w:rsidRDefault="00D7500A" w:rsidP="00677E04">
            <w:pPr>
              <w:spacing w:after="0" w:line="240" w:lineRule="auto"/>
              <w:rPr>
                <w:rFonts w:eastAsia="Times New Roman" w:cstheme="minorHAnsi"/>
                <w:b/>
                <w:bCs/>
                <w:color w:val="0000FF"/>
              </w:rPr>
            </w:pPr>
          </w:p>
        </w:tc>
      </w:tr>
      <w:tr w:rsidR="00D7500A" w:rsidRPr="00A332CC" w14:paraId="4A832F17" w14:textId="77777777" w:rsidTr="0031553D">
        <w:trPr>
          <w:cantSplit/>
          <w:trHeight w:val="300"/>
        </w:trPr>
        <w:tc>
          <w:tcPr>
            <w:tcW w:w="1530" w:type="dxa"/>
            <w:tcBorders>
              <w:top w:val="nil"/>
              <w:left w:val="single" w:sz="8" w:space="0" w:color="000000"/>
              <w:bottom w:val="nil"/>
              <w:right w:val="nil"/>
            </w:tcBorders>
            <w:shd w:val="clear" w:color="000000" w:fill="FFFFFF"/>
            <w:hideMark/>
          </w:tcPr>
          <w:p w14:paraId="48D03D45" w14:textId="77777777" w:rsidR="00D7500A" w:rsidRPr="00A332CC" w:rsidRDefault="00D7500A" w:rsidP="00323F0D">
            <w:pPr>
              <w:spacing w:after="0" w:line="240" w:lineRule="auto"/>
              <w:rPr>
                <w:rFonts w:eastAsia="Times New Roman" w:cstheme="minorHAnsi"/>
                <w:b/>
                <w:color w:val="0000FF"/>
                <w:sz w:val="20"/>
                <w:szCs w:val="20"/>
              </w:rPr>
            </w:pPr>
            <w:r w:rsidRPr="00A332CC">
              <w:rPr>
                <w:rFonts w:eastAsia="Times New Roman" w:cstheme="minorHAnsi"/>
                <w:b/>
                <w:color w:val="0000FF"/>
                <w:sz w:val="20"/>
                <w:szCs w:val="20"/>
              </w:rPr>
              <w:t>Observed </w:t>
            </w:r>
          </w:p>
          <w:p w14:paraId="77CB69A3" w14:textId="77777777" w:rsidR="00D7500A" w:rsidRPr="00A332CC" w:rsidRDefault="00D7500A" w:rsidP="00323F0D">
            <w:pPr>
              <w:spacing w:after="0" w:line="240" w:lineRule="auto"/>
              <w:rPr>
                <w:rFonts w:eastAsia="Times New Roman" w:cstheme="minorHAnsi"/>
                <w:b/>
                <w:color w:val="0000FF"/>
                <w:sz w:val="20"/>
                <w:szCs w:val="20"/>
              </w:rPr>
            </w:pPr>
            <w:r w:rsidRPr="00A332CC">
              <w:rPr>
                <w:rFonts w:eastAsia="Times New Roman" w:cstheme="minorHAnsi"/>
                <w:b/>
                <w:color w:val="0000FF"/>
                <w:sz w:val="20"/>
                <w:szCs w:val="20"/>
              </w:rPr>
              <w:t>Rate</w:t>
            </w:r>
          </w:p>
        </w:tc>
        <w:tc>
          <w:tcPr>
            <w:tcW w:w="1710" w:type="dxa"/>
            <w:tcBorders>
              <w:top w:val="nil"/>
              <w:left w:val="single" w:sz="8" w:space="0" w:color="000000"/>
              <w:bottom w:val="nil"/>
              <w:right w:val="nil"/>
            </w:tcBorders>
            <w:shd w:val="clear" w:color="000000" w:fill="FFFFFF"/>
            <w:hideMark/>
          </w:tcPr>
          <w:p w14:paraId="51A08FCB"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17B94912"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3A3507B7"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1F75B898"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02377324"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900" w:type="dxa"/>
            <w:vMerge w:val="restart"/>
            <w:tcBorders>
              <w:top w:val="nil"/>
              <w:left w:val="single" w:sz="8" w:space="0" w:color="000000"/>
              <w:bottom w:val="single" w:sz="8" w:space="0" w:color="000000"/>
              <w:right w:val="single" w:sz="8" w:space="0" w:color="000000"/>
            </w:tcBorders>
            <w:shd w:val="clear" w:color="000000" w:fill="FFFFFF"/>
            <w:hideMark/>
          </w:tcPr>
          <w:p w14:paraId="2448F057" w14:textId="77777777" w:rsidR="00323F0D" w:rsidRDefault="00323F0D" w:rsidP="004759D9">
            <w:pPr>
              <w:spacing w:after="0" w:line="240" w:lineRule="auto"/>
              <w:rPr>
                <w:rFonts w:eastAsia="Times New Roman" w:cstheme="minorHAnsi"/>
                <w:color w:val="0000FF"/>
                <w:sz w:val="20"/>
                <w:szCs w:val="20"/>
              </w:rPr>
            </w:pPr>
          </w:p>
          <w:p w14:paraId="1D38FF4B" w14:textId="77777777" w:rsidR="00323F0D" w:rsidRDefault="00323F0D" w:rsidP="00677E04">
            <w:pPr>
              <w:spacing w:after="0" w:line="240" w:lineRule="auto"/>
              <w:jc w:val="center"/>
              <w:rPr>
                <w:rFonts w:eastAsia="Times New Roman" w:cstheme="minorHAnsi"/>
                <w:color w:val="0000FF"/>
                <w:sz w:val="20"/>
                <w:szCs w:val="20"/>
              </w:rPr>
            </w:pPr>
          </w:p>
          <w:p w14:paraId="2EA6A7E1"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&lt; 0.001</w:t>
            </w:r>
          </w:p>
        </w:tc>
      </w:tr>
      <w:tr w:rsidR="00D7500A" w:rsidRPr="00A332CC" w14:paraId="5FD329E4" w14:textId="77777777" w:rsidTr="0031553D">
        <w:trPr>
          <w:trHeight w:val="300"/>
        </w:trPr>
        <w:tc>
          <w:tcPr>
            <w:tcW w:w="1530" w:type="dxa"/>
            <w:tcBorders>
              <w:top w:val="nil"/>
              <w:left w:val="single" w:sz="8" w:space="0" w:color="000000"/>
              <w:bottom w:val="nil"/>
              <w:right w:val="nil"/>
            </w:tcBorders>
            <w:shd w:val="clear" w:color="000000" w:fill="FFFFFF"/>
            <w:hideMark/>
          </w:tcPr>
          <w:p w14:paraId="25B262B8" w14:textId="77777777" w:rsidR="00D7500A" w:rsidRPr="00A332CC" w:rsidRDefault="00D7500A" w:rsidP="00323F0D">
            <w:pPr>
              <w:spacing w:after="0" w:line="240" w:lineRule="auto"/>
              <w:rPr>
                <w:rFonts w:eastAsia="Times New Roman" w:cstheme="minorHAnsi"/>
                <w:color w:val="0000FF"/>
                <w:sz w:val="20"/>
                <w:szCs w:val="20"/>
              </w:rPr>
            </w:pPr>
            <w:r w:rsidRPr="00A332CC">
              <w:rPr>
                <w:rFonts w:eastAsia="Times New Roman" w:cstheme="minorHAnsi"/>
                <w:color w:val="0000FF"/>
                <w:sz w:val="20"/>
                <w:szCs w:val="20"/>
              </w:rPr>
              <w:t>     Mean ± SD</w:t>
            </w:r>
          </w:p>
        </w:tc>
        <w:tc>
          <w:tcPr>
            <w:tcW w:w="1710" w:type="dxa"/>
            <w:tcBorders>
              <w:top w:val="nil"/>
              <w:left w:val="single" w:sz="8" w:space="0" w:color="000000"/>
              <w:bottom w:val="nil"/>
              <w:right w:val="nil"/>
            </w:tcBorders>
            <w:shd w:val="clear" w:color="000000" w:fill="FFFFFF"/>
            <w:hideMark/>
          </w:tcPr>
          <w:p w14:paraId="4781ECC2" w14:textId="77777777" w:rsidR="00D7500A" w:rsidRPr="00A332CC" w:rsidRDefault="00F94450"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0.26</w:t>
            </w:r>
            <w:r w:rsidR="003342D4">
              <w:rPr>
                <w:rFonts w:eastAsia="Times New Roman" w:cstheme="minorHAnsi"/>
                <w:color w:val="0000FF"/>
                <w:sz w:val="20"/>
                <w:szCs w:val="20"/>
              </w:rPr>
              <w:t> ± </w:t>
            </w:r>
            <w:r w:rsidR="00846F3E">
              <w:rPr>
                <w:rFonts w:eastAsia="Times New Roman" w:cstheme="minorHAnsi"/>
                <w:color w:val="0000FF"/>
                <w:sz w:val="20"/>
                <w:szCs w:val="20"/>
              </w:rPr>
              <w:t>0.09</w:t>
            </w:r>
          </w:p>
        </w:tc>
        <w:tc>
          <w:tcPr>
            <w:tcW w:w="1620" w:type="dxa"/>
            <w:tcBorders>
              <w:top w:val="nil"/>
              <w:left w:val="single" w:sz="8" w:space="0" w:color="000000"/>
              <w:bottom w:val="nil"/>
              <w:right w:val="nil"/>
            </w:tcBorders>
            <w:shd w:val="clear" w:color="000000" w:fill="FFFFFF"/>
            <w:hideMark/>
          </w:tcPr>
          <w:p w14:paraId="5E64A5FE"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 </w:t>
            </w:r>
            <w:r>
              <w:rPr>
                <w:rFonts w:eastAsia="Times New Roman" w:cstheme="minorHAnsi"/>
                <w:color w:val="0000FF"/>
                <w:sz w:val="20"/>
                <w:szCs w:val="20"/>
              </w:rPr>
              <w:t>0.08</w:t>
            </w:r>
          </w:p>
        </w:tc>
        <w:tc>
          <w:tcPr>
            <w:tcW w:w="1620" w:type="dxa"/>
            <w:tcBorders>
              <w:top w:val="nil"/>
              <w:left w:val="single" w:sz="8" w:space="0" w:color="000000"/>
              <w:bottom w:val="nil"/>
              <w:right w:val="nil"/>
            </w:tcBorders>
            <w:shd w:val="clear" w:color="000000" w:fill="FFFFFF"/>
            <w:hideMark/>
          </w:tcPr>
          <w:p w14:paraId="5640E11B"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 </w:t>
            </w:r>
            <w:r>
              <w:rPr>
                <w:rFonts w:eastAsia="Times New Roman" w:cstheme="minorHAnsi"/>
                <w:color w:val="0000FF"/>
                <w:sz w:val="20"/>
                <w:szCs w:val="20"/>
              </w:rPr>
              <w:t>0.07</w:t>
            </w:r>
          </w:p>
        </w:tc>
        <w:tc>
          <w:tcPr>
            <w:tcW w:w="1620" w:type="dxa"/>
            <w:tcBorders>
              <w:top w:val="nil"/>
              <w:left w:val="single" w:sz="8" w:space="0" w:color="000000"/>
              <w:bottom w:val="nil"/>
              <w:right w:val="nil"/>
            </w:tcBorders>
            <w:shd w:val="clear" w:color="000000" w:fill="FFFFFF"/>
            <w:hideMark/>
          </w:tcPr>
          <w:p w14:paraId="1208AEDD"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0.20</w:t>
            </w:r>
            <w:r w:rsidR="003342D4">
              <w:rPr>
                <w:rFonts w:eastAsia="Times New Roman" w:cstheme="minorHAnsi"/>
                <w:color w:val="0000FF"/>
                <w:sz w:val="20"/>
                <w:szCs w:val="20"/>
              </w:rPr>
              <w:t xml:space="preserve"> ± </w:t>
            </w:r>
            <w:r>
              <w:rPr>
                <w:rFonts w:eastAsia="Times New Roman" w:cstheme="minorHAnsi"/>
                <w:color w:val="0000FF"/>
                <w:sz w:val="20"/>
                <w:szCs w:val="20"/>
              </w:rPr>
              <w:t>0.07</w:t>
            </w:r>
          </w:p>
        </w:tc>
        <w:tc>
          <w:tcPr>
            <w:tcW w:w="1620" w:type="dxa"/>
            <w:tcBorders>
              <w:top w:val="nil"/>
              <w:left w:val="single" w:sz="8" w:space="0" w:color="000000"/>
              <w:bottom w:val="nil"/>
              <w:right w:val="nil"/>
            </w:tcBorders>
            <w:shd w:val="clear" w:color="000000" w:fill="FFFFFF"/>
            <w:hideMark/>
          </w:tcPr>
          <w:p w14:paraId="722916E5"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 </w:t>
            </w:r>
            <w:r>
              <w:rPr>
                <w:rFonts w:eastAsia="Times New Roman" w:cstheme="minorHAnsi"/>
                <w:color w:val="0000FF"/>
                <w:sz w:val="20"/>
                <w:szCs w:val="20"/>
              </w:rPr>
              <w:t>0.08</w:t>
            </w:r>
          </w:p>
        </w:tc>
        <w:tc>
          <w:tcPr>
            <w:tcW w:w="900" w:type="dxa"/>
            <w:vMerge/>
            <w:tcBorders>
              <w:top w:val="nil"/>
              <w:left w:val="single" w:sz="8" w:space="0" w:color="000000"/>
              <w:bottom w:val="single" w:sz="8" w:space="0" w:color="000000"/>
              <w:right w:val="single" w:sz="8" w:space="0" w:color="000000"/>
            </w:tcBorders>
            <w:vAlign w:val="center"/>
            <w:hideMark/>
          </w:tcPr>
          <w:p w14:paraId="2D603B64" w14:textId="77777777" w:rsidR="00D7500A" w:rsidRPr="00A332CC" w:rsidRDefault="00D7500A" w:rsidP="00677E04">
            <w:pPr>
              <w:spacing w:after="0" w:line="240" w:lineRule="auto"/>
              <w:jc w:val="center"/>
              <w:rPr>
                <w:rFonts w:eastAsia="Times New Roman" w:cstheme="minorHAnsi"/>
                <w:color w:val="0000FF"/>
                <w:sz w:val="20"/>
                <w:szCs w:val="20"/>
              </w:rPr>
            </w:pPr>
          </w:p>
        </w:tc>
      </w:tr>
      <w:tr w:rsidR="00D7500A" w:rsidRPr="00A332CC" w14:paraId="1121CE10" w14:textId="77777777" w:rsidTr="0031553D">
        <w:trPr>
          <w:trHeight w:val="315"/>
        </w:trPr>
        <w:tc>
          <w:tcPr>
            <w:tcW w:w="1530" w:type="dxa"/>
            <w:tcBorders>
              <w:top w:val="nil"/>
              <w:left w:val="single" w:sz="8" w:space="0" w:color="000000"/>
              <w:bottom w:val="single" w:sz="8" w:space="0" w:color="000000"/>
              <w:right w:val="nil"/>
            </w:tcBorders>
            <w:shd w:val="clear" w:color="000000" w:fill="FFFFFF"/>
            <w:hideMark/>
          </w:tcPr>
          <w:p w14:paraId="42FB035E" w14:textId="77777777" w:rsidR="00D7500A" w:rsidRPr="00A332CC" w:rsidRDefault="00D7500A" w:rsidP="00323F0D">
            <w:pPr>
              <w:spacing w:after="0" w:line="240" w:lineRule="auto"/>
              <w:rPr>
                <w:rFonts w:eastAsia="Times New Roman" w:cstheme="minorHAnsi"/>
                <w:color w:val="0000FF"/>
                <w:sz w:val="20"/>
                <w:szCs w:val="20"/>
              </w:rPr>
            </w:pPr>
            <w:r w:rsidRPr="00A332CC">
              <w:rPr>
                <w:rFonts w:eastAsia="Times New Roman" w:cstheme="minorHAnsi"/>
                <w:color w:val="0000FF"/>
                <w:sz w:val="20"/>
                <w:szCs w:val="20"/>
              </w:rPr>
              <w:t>     Median (IQR)</w:t>
            </w:r>
          </w:p>
        </w:tc>
        <w:tc>
          <w:tcPr>
            <w:tcW w:w="1710" w:type="dxa"/>
            <w:tcBorders>
              <w:top w:val="nil"/>
              <w:left w:val="single" w:sz="8" w:space="0" w:color="000000"/>
              <w:bottom w:val="single" w:sz="8" w:space="0" w:color="000000"/>
              <w:right w:val="nil"/>
            </w:tcBorders>
            <w:shd w:val="clear" w:color="000000" w:fill="FFFFFF"/>
            <w:hideMark/>
          </w:tcPr>
          <w:p w14:paraId="32BD0A6F"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0.27</w:t>
            </w:r>
            <w:r w:rsidR="003342D4">
              <w:rPr>
                <w:rFonts w:eastAsia="Times New Roman" w:cstheme="minorHAnsi"/>
                <w:color w:val="0000FF"/>
                <w:sz w:val="20"/>
                <w:szCs w:val="20"/>
              </w:rPr>
              <w:t>(</w:t>
            </w:r>
            <w:r>
              <w:rPr>
                <w:rFonts w:eastAsia="Times New Roman" w:cstheme="minorHAnsi"/>
                <w:color w:val="0000FF"/>
                <w:sz w:val="20"/>
                <w:szCs w:val="20"/>
              </w:rPr>
              <w:t>0.20</w:t>
            </w:r>
            <w:r w:rsidR="003342D4">
              <w:rPr>
                <w:rFonts w:eastAsia="Times New Roman" w:cstheme="minorHAnsi"/>
                <w:color w:val="0000FF"/>
                <w:sz w:val="20"/>
                <w:szCs w:val="20"/>
              </w:rPr>
              <w:t>, </w:t>
            </w:r>
            <w:r>
              <w:rPr>
                <w:rFonts w:eastAsia="Times New Roman" w:cstheme="minorHAnsi"/>
                <w:color w:val="0000FF"/>
                <w:sz w:val="20"/>
                <w:szCs w:val="20"/>
              </w:rPr>
              <w:t>0.31)</w:t>
            </w:r>
          </w:p>
        </w:tc>
        <w:tc>
          <w:tcPr>
            <w:tcW w:w="1620" w:type="dxa"/>
            <w:tcBorders>
              <w:top w:val="nil"/>
              <w:left w:val="single" w:sz="8" w:space="0" w:color="000000"/>
              <w:bottom w:val="single" w:sz="8" w:space="0" w:color="000000"/>
              <w:right w:val="nil"/>
            </w:tcBorders>
            <w:shd w:val="clear" w:color="000000" w:fill="FFFFFF"/>
            <w:hideMark/>
          </w:tcPr>
          <w:p w14:paraId="194623A3"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0.23</w:t>
            </w:r>
            <w:r w:rsidR="003342D4">
              <w:rPr>
                <w:rFonts w:eastAsia="Times New Roman" w:cstheme="minorHAnsi"/>
                <w:color w:val="0000FF"/>
                <w:sz w:val="20"/>
                <w:szCs w:val="20"/>
              </w:rPr>
              <w:t> (</w:t>
            </w:r>
            <w:r>
              <w:rPr>
                <w:rFonts w:eastAsia="Times New Roman" w:cstheme="minorHAnsi"/>
                <w:color w:val="0000FF"/>
                <w:sz w:val="20"/>
                <w:szCs w:val="20"/>
              </w:rPr>
              <w:t>0.19,</w:t>
            </w:r>
            <w:r w:rsidR="003342D4">
              <w:rPr>
                <w:rFonts w:eastAsia="Times New Roman" w:cstheme="minorHAnsi"/>
                <w:color w:val="0000FF"/>
                <w:sz w:val="20"/>
                <w:szCs w:val="20"/>
              </w:rPr>
              <w:t> </w:t>
            </w:r>
            <w:r>
              <w:rPr>
                <w:rFonts w:eastAsia="Times New Roman" w:cstheme="minorHAnsi"/>
                <w:color w:val="0000FF"/>
                <w:sz w:val="20"/>
                <w:szCs w:val="20"/>
              </w:rPr>
              <w:t>0.28)</w:t>
            </w:r>
          </w:p>
        </w:tc>
        <w:tc>
          <w:tcPr>
            <w:tcW w:w="1620" w:type="dxa"/>
            <w:tcBorders>
              <w:top w:val="nil"/>
              <w:left w:val="single" w:sz="8" w:space="0" w:color="000000"/>
              <w:bottom w:val="single" w:sz="8" w:space="0" w:color="000000"/>
              <w:right w:val="nil"/>
            </w:tcBorders>
            <w:shd w:val="clear" w:color="000000" w:fill="FFFFFF"/>
            <w:hideMark/>
          </w:tcPr>
          <w:p w14:paraId="32D1D97D"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w:t>
            </w:r>
            <w:r>
              <w:rPr>
                <w:rFonts w:eastAsia="Times New Roman" w:cstheme="minorHAnsi"/>
                <w:color w:val="0000FF"/>
                <w:sz w:val="20"/>
                <w:szCs w:val="20"/>
              </w:rPr>
              <w:t>0.20</w:t>
            </w:r>
            <w:r w:rsidR="003342D4">
              <w:rPr>
                <w:rFonts w:eastAsia="Times New Roman" w:cstheme="minorHAnsi"/>
                <w:color w:val="0000FF"/>
                <w:sz w:val="20"/>
                <w:szCs w:val="20"/>
              </w:rPr>
              <w:t>, </w:t>
            </w:r>
            <w:r>
              <w:rPr>
                <w:rFonts w:eastAsia="Times New Roman" w:cstheme="minorHAnsi"/>
                <w:color w:val="0000FF"/>
                <w:sz w:val="20"/>
                <w:szCs w:val="20"/>
              </w:rPr>
              <w:t>0.28</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37916FDF"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0.20</w:t>
            </w:r>
            <w:r w:rsidR="003342D4">
              <w:rPr>
                <w:rFonts w:eastAsia="Times New Roman" w:cstheme="minorHAnsi"/>
                <w:color w:val="0000FF"/>
                <w:sz w:val="20"/>
                <w:szCs w:val="20"/>
              </w:rPr>
              <w:t> (</w:t>
            </w:r>
            <w:r>
              <w:rPr>
                <w:rFonts w:eastAsia="Times New Roman" w:cstheme="minorHAnsi"/>
                <w:color w:val="0000FF"/>
                <w:sz w:val="20"/>
                <w:szCs w:val="20"/>
              </w:rPr>
              <w:t>0.17</w:t>
            </w:r>
            <w:r w:rsidR="003342D4">
              <w:rPr>
                <w:rFonts w:eastAsia="Times New Roman" w:cstheme="minorHAnsi"/>
                <w:color w:val="0000FF"/>
                <w:sz w:val="20"/>
                <w:szCs w:val="20"/>
              </w:rPr>
              <w:t>, </w:t>
            </w:r>
            <w:r>
              <w:rPr>
                <w:rFonts w:eastAsia="Times New Roman" w:cstheme="minorHAnsi"/>
                <w:color w:val="0000FF"/>
                <w:sz w:val="20"/>
                <w:szCs w:val="20"/>
              </w:rPr>
              <w:t>0.23</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617D8138"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0.23</w:t>
            </w:r>
            <w:r w:rsidR="003342D4">
              <w:rPr>
                <w:rFonts w:eastAsia="Times New Roman" w:cstheme="minorHAnsi"/>
                <w:color w:val="0000FF"/>
                <w:sz w:val="20"/>
                <w:szCs w:val="20"/>
              </w:rPr>
              <w:t> (</w:t>
            </w:r>
            <w:r>
              <w:rPr>
                <w:rFonts w:eastAsia="Times New Roman" w:cstheme="minorHAnsi"/>
                <w:color w:val="0000FF"/>
                <w:sz w:val="20"/>
                <w:szCs w:val="20"/>
              </w:rPr>
              <w:t>0.19</w:t>
            </w:r>
            <w:r w:rsidR="003342D4">
              <w:rPr>
                <w:rFonts w:eastAsia="Times New Roman" w:cstheme="minorHAnsi"/>
                <w:color w:val="0000FF"/>
                <w:sz w:val="20"/>
                <w:szCs w:val="20"/>
              </w:rPr>
              <w:t>, </w:t>
            </w:r>
            <w:r>
              <w:rPr>
                <w:rFonts w:eastAsia="Times New Roman" w:cstheme="minorHAnsi"/>
                <w:color w:val="0000FF"/>
                <w:sz w:val="20"/>
                <w:szCs w:val="20"/>
              </w:rPr>
              <w:t>0.28</w:t>
            </w:r>
            <w:r w:rsidR="00D7500A" w:rsidRPr="00A332CC">
              <w:rPr>
                <w:rFonts w:eastAsia="Times New Roman" w:cstheme="minorHAnsi"/>
                <w:color w:val="0000FF"/>
                <w:sz w:val="20"/>
                <w:szCs w:val="20"/>
              </w:rPr>
              <w:t>)</w:t>
            </w:r>
          </w:p>
        </w:tc>
        <w:tc>
          <w:tcPr>
            <w:tcW w:w="900" w:type="dxa"/>
            <w:vMerge/>
            <w:tcBorders>
              <w:top w:val="nil"/>
              <w:left w:val="single" w:sz="8" w:space="0" w:color="000000"/>
              <w:bottom w:val="single" w:sz="8" w:space="0" w:color="000000"/>
              <w:right w:val="single" w:sz="8" w:space="0" w:color="000000"/>
            </w:tcBorders>
            <w:vAlign w:val="center"/>
            <w:hideMark/>
          </w:tcPr>
          <w:p w14:paraId="26D33EED" w14:textId="77777777" w:rsidR="00D7500A" w:rsidRPr="00A332CC" w:rsidRDefault="00D7500A" w:rsidP="00677E04">
            <w:pPr>
              <w:spacing w:after="0" w:line="240" w:lineRule="auto"/>
              <w:jc w:val="center"/>
              <w:rPr>
                <w:rFonts w:eastAsia="Times New Roman" w:cstheme="minorHAnsi"/>
                <w:color w:val="0000FF"/>
                <w:sz w:val="20"/>
                <w:szCs w:val="20"/>
              </w:rPr>
            </w:pPr>
          </w:p>
        </w:tc>
      </w:tr>
      <w:tr w:rsidR="00D7500A" w:rsidRPr="00A332CC" w14:paraId="6820144A" w14:textId="77777777" w:rsidTr="0031553D">
        <w:trPr>
          <w:cantSplit/>
          <w:trHeight w:val="300"/>
        </w:trPr>
        <w:tc>
          <w:tcPr>
            <w:tcW w:w="1530" w:type="dxa"/>
            <w:tcBorders>
              <w:top w:val="nil"/>
              <w:left w:val="single" w:sz="8" w:space="0" w:color="000000"/>
              <w:bottom w:val="nil"/>
              <w:right w:val="nil"/>
            </w:tcBorders>
            <w:shd w:val="clear" w:color="000000" w:fill="FFFFFF"/>
            <w:hideMark/>
          </w:tcPr>
          <w:p w14:paraId="58EAE59F" w14:textId="75BC6DED" w:rsidR="00D7500A" w:rsidRPr="00A332CC" w:rsidRDefault="004838E6" w:rsidP="00323F0D">
            <w:pPr>
              <w:spacing w:after="0" w:line="240" w:lineRule="auto"/>
              <w:rPr>
                <w:rFonts w:eastAsia="Times New Roman" w:cstheme="minorHAnsi"/>
                <w:b/>
                <w:color w:val="0000FF"/>
                <w:sz w:val="20"/>
                <w:szCs w:val="20"/>
              </w:rPr>
            </w:pPr>
            <w:r>
              <w:rPr>
                <w:rFonts w:eastAsia="Times New Roman" w:cstheme="minorHAnsi"/>
                <w:b/>
                <w:color w:val="0000FF"/>
                <w:sz w:val="20"/>
                <w:szCs w:val="20"/>
              </w:rPr>
              <w:t>R</w:t>
            </w:r>
            <w:r w:rsidRPr="004838E6">
              <w:rPr>
                <w:rFonts w:eastAsia="Times New Roman" w:cstheme="minorHAnsi"/>
                <w:b/>
                <w:color w:val="0000FF"/>
                <w:sz w:val="20"/>
                <w:szCs w:val="20"/>
              </w:rPr>
              <w:t>isk-standardized survival rate</w:t>
            </w:r>
          </w:p>
        </w:tc>
        <w:tc>
          <w:tcPr>
            <w:tcW w:w="1710" w:type="dxa"/>
            <w:tcBorders>
              <w:top w:val="nil"/>
              <w:left w:val="single" w:sz="8" w:space="0" w:color="000000"/>
              <w:bottom w:val="nil"/>
              <w:right w:val="nil"/>
            </w:tcBorders>
            <w:shd w:val="clear" w:color="000000" w:fill="FFFFFF"/>
            <w:hideMark/>
          </w:tcPr>
          <w:p w14:paraId="4677EC3D"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01AEB415"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263F4DE4"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659BE983"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1620" w:type="dxa"/>
            <w:tcBorders>
              <w:top w:val="nil"/>
              <w:left w:val="single" w:sz="8" w:space="0" w:color="000000"/>
              <w:bottom w:val="nil"/>
              <w:right w:val="nil"/>
            </w:tcBorders>
            <w:shd w:val="clear" w:color="000000" w:fill="FFFFFF"/>
            <w:hideMark/>
          </w:tcPr>
          <w:p w14:paraId="295A3496"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 </w:t>
            </w:r>
          </w:p>
        </w:tc>
        <w:tc>
          <w:tcPr>
            <w:tcW w:w="900" w:type="dxa"/>
            <w:vMerge w:val="restart"/>
            <w:tcBorders>
              <w:top w:val="nil"/>
              <w:left w:val="single" w:sz="8" w:space="0" w:color="000000"/>
              <w:bottom w:val="single" w:sz="8" w:space="0" w:color="000000"/>
              <w:right w:val="single" w:sz="8" w:space="0" w:color="000000"/>
            </w:tcBorders>
            <w:shd w:val="clear" w:color="000000" w:fill="FFFFFF"/>
            <w:hideMark/>
          </w:tcPr>
          <w:p w14:paraId="04A02AD9" w14:textId="77777777" w:rsidR="00323F0D" w:rsidRDefault="00323F0D" w:rsidP="00677E04">
            <w:pPr>
              <w:spacing w:after="0" w:line="240" w:lineRule="auto"/>
              <w:jc w:val="center"/>
              <w:rPr>
                <w:rFonts w:eastAsia="Times New Roman" w:cstheme="minorHAnsi"/>
                <w:color w:val="0000FF"/>
                <w:sz w:val="20"/>
                <w:szCs w:val="20"/>
              </w:rPr>
            </w:pPr>
          </w:p>
          <w:p w14:paraId="0F987DD5" w14:textId="77777777" w:rsidR="00D7500A" w:rsidRPr="00A332CC" w:rsidRDefault="00D7500A" w:rsidP="00677E04">
            <w:pPr>
              <w:spacing w:after="0" w:line="240" w:lineRule="auto"/>
              <w:jc w:val="center"/>
              <w:rPr>
                <w:rFonts w:eastAsia="Times New Roman" w:cstheme="minorHAnsi"/>
                <w:color w:val="0000FF"/>
                <w:sz w:val="20"/>
                <w:szCs w:val="20"/>
              </w:rPr>
            </w:pPr>
            <w:r w:rsidRPr="00A332CC">
              <w:rPr>
                <w:rFonts w:eastAsia="Times New Roman" w:cstheme="minorHAnsi"/>
                <w:color w:val="0000FF"/>
                <w:sz w:val="20"/>
                <w:szCs w:val="20"/>
              </w:rPr>
              <w:t>0.002</w:t>
            </w:r>
          </w:p>
        </w:tc>
      </w:tr>
      <w:tr w:rsidR="00D7500A" w:rsidRPr="00A332CC" w14:paraId="7D307F97" w14:textId="77777777" w:rsidTr="0031553D">
        <w:trPr>
          <w:trHeight w:val="300"/>
        </w:trPr>
        <w:tc>
          <w:tcPr>
            <w:tcW w:w="1530" w:type="dxa"/>
            <w:tcBorders>
              <w:top w:val="nil"/>
              <w:left w:val="single" w:sz="8" w:space="0" w:color="000000"/>
              <w:bottom w:val="nil"/>
              <w:right w:val="nil"/>
            </w:tcBorders>
            <w:shd w:val="clear" w:color="000000" w:fill="FFFFFF"/>
            <w:hideMark/>
          </w:tcPr>
          <w:p w14:paraId="31B758C3" w14:textId="77777777" w:rsidR="00D7500A" w:rsidRPr="00A332CC" w:rsidRDefault="00D7500A" w:rsidP="00323F0D">
            <w:pPr>
              <w:spacing w:after="0" w:line="240" w:lineRule="auto"/>
              <w:rPr>
                <w:rFonts w:eastAsia="Times New Roman" w:cstheme="minorHAnsi"/>
                <w:color w:val="0000FF"/>
                <w:sz w:val="20"/>
                <w:szCs w:val="20"/>
              </w:rPr>
            </w:pPr>
            <w:r w:rsidRPr="00A332CC">
              <w:rPr>
                <w:rFonts w:eastAsia="Times New Roman" w:cstheme="minorHAnsi"/>
                <w:color w:val="0000FF"/>
                <w:sz w:val="20"/>
                <w:szCs w:val="20"/>
              </w:rPr>
              <w:t>     Mean ± SD</w:t>
            </w:r>
          </w:p>
        </w:tc>
        <w:tc>
          <w:tcPr>
            <w:tcW w:w="1710" w:type="dxa"/>
            <w:tcBorders>
              <w:top w:val="nil"/>
              <w:left w:val="single" w:sz="8" w:space="0" w:color="000000"/>
              <w:bottom w:val="nil"/>
              <w:right w:val="nil"/>
            </w:tcBorders>
            <w:shd w:val="clear" w:color="000000" w:fill="FFFFFF"/>
            <w:hideMark/>
          </w:tcPr>
          <w:p w14:paraId="61D510AC"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0.25</w:t>
            </w:r>
            <w:r w:rsidR="003342D4">
              <w:rPr>
                <w:rFonts w:eastAsia="Times New Roman" w:cstheme="minorHAnsi"/>
                <w:color w:val="0000FF"/>
                <w:sz w:val="20"/>
                <w:szCs w:val="20"/>
              </w:rPr>
              <w:t> ± </w:t>
            </w:r>
            <w:r>
              <w:rPr>
                <w:rFonts w:eastAsia="Times New Roman" w:cstheme="minorHAnsi"/>
                <w:color w:val="0000FF"/>
                <w:sz w:val="20"/>
                <w:szCs w:val="20"/>
              </w:rPr>
              <w:t>0.05</w:t>
            </w:r>
          </w:p>
        </w:tc>
        <w:tc>
          <w:tcPr>
            <w:tcW w:w="1620" w:type="dxa"/>
            <w:tcBorders>
              <w:top w:val="nil"/>
              <w:left w:val="single" w:sz="8" w:space="0" w:color="000000"/>
              <w:bottom w:val="nil"/>
              <w:right w:val="nil"/>
            </w:tcBorders>
            <w:shd w:val="clear" w:color="000000" w:fill="FFFFFF"/>
            <w:hideMark/>
          </w:tcPr>
          <w:p w14:paraId="45ED7C89"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 </w:t>
            </w:r>
            <w:r>
              <w:rPr>
                <w:rFonts w:eastAsia="Times New Roman" w:cstheme="minorHAnsi"/>
                <w:color w:val="0000FF"/>
                <w:sz w:val="20"/>
                <w:szCs w:val="20"/>
              </w:rPr>
              <w:t>0.05</w:t>
            </w:r>
          </w:p>
        </w:tc>
        <w:tc>
          <w:tcPr>
            <w:tcW w:w="1620" w:type="dxa"/>
            <w:tcBorders>
              <w:top w:val="nil"/>
              <w:left w:val="single" w:sz="8" w:space="0" w:color="000000"/>
              <w:bottom w:val="nil"/>
              <w:right w:val="nil"/>
            </w:tcBorders>
            <w:shd w:val="clear" w:color="000000" w:fill="FFFFFF"/>
            <w:hideMark/>
          </w:tcPr>
          <w:p w14:paraId="42CF7CBF"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0.25</w:t>
            </w:r>
            <w:r w:rsidR="003342D4">
              <w:rPr>
                <w:rFonts w:eastAsia="Times New Roman" w:cstheme="minorHAnsi"/>
                <w:color w:val="0000FF"/>
                <w:sz w:val="20"/>
                <w:szCs w:val="20"/>
              </w:rPr>
              <w:t> ± </w:t>
            </w:r>
            <w:r>
              <w:rPr>
                <w:rFonts w:eastAsia="Times New Roman" w:cstheme="minorHAnsi"/>
                <w:color w:val="0000FF"/>
                <w:sz w:val="20"/>
                <w:szCs w:val="20"/>
              </w:rPr>
              <w:t>0.06</w:t>
            </w:r>
          </w:p>
        </w:tc>
        <w:tc>
          <w:tcPr>
            <w:tcW w:w="1620" w:type="dxa"/>
            <w:tcBorders>
              <w:top w:val="nil"/>
              <w:left w:val="single" w:sz="8" w:space="0" w:color="000000"/>
              <w:bottom w:val="nil"/>
              <w:right w:val="nil"/>
            </w:tcBorders>
            <w:shd w:val="clear" w:color="000000" w:fill="FFFFFF"/>
            <w:hideMark/>
          </w:tcPr>
          <w:p w14:paraId="2CF17139"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0.22</w:t>
            </w:r>
            <w:r w:rsidR="003342D4">
              <w:rPr>
                <w:rFonts w:eastAsia="Times New Roman" w:cstheme="minorHAnsi"/>
                <w:color w:val="0000FF"/>
                <w:sz w:val="20"/>
                <w:szCs w:val="20"/>
              </w:rPr>
              <w:t> ± </w:t>
            </w:r>
            <w:r>
              <w:rPr>
                <w:rFonts w:eastAsia="Times New Roman" w:cstheme="minorHAnsi"/>
                <w:color w:val="0000FF"/>
                <w:sz w:val="20"/>
                <w:szCs w:val="20"/>
              </w:rPr>
              <w:t>0.05</w:t>
            </w:r>
          </w:p>
        </w:tc>
        <w:tc>
          <w:tcPr>
            <w:tcW w:w="1620" w:type="dxa"/>
            <w:tcBorders>
              <w:top w:val="nil"/>
              <w:left w:val="single" w:sz="8" w:space="0" w:color="000000"/>
              <w:bottom w:val="nil"/>
              <w:right w:val="nil"/>
            </w:tcBorders>
            <w:shd w:val="clear" w:color="000000" w:fill="FFFFFF"/>
            <w:hideMark/>
          </w:tcPr>
          <w:p w14:paraId="45915646"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 </w:t>
            </w:r>
            <w:r>
              <w:rPr>
                <w:rFonts w:eastAsia="Times New Roman" w:cstheme="minorHAnsi"/>
                <w:color w:val="0000FF"/>
                <w:sz w:val="20"/>
                <w:szCs w:val="20"/>
              </w:rPr>
              <w:t>0.05</w:t>
            </w:r>
          </w:p>
        </w:tc>
        <w:tc>
          <w:tcPr>
            <w:tcW w:w="900" w:type="dxa"/>
            <w:vMerge/>
            <w:tcBorders>
              <w:top w:val="nil"/>
              <w:left w:val="single" w:sz="8" w:space="0" w:color="000000"/>
              <w:bottom w:val="single" w:sz="8" w:space="0" w:color="000000"/>
              <w:right w:val="single" w:sz="8" w:space="0" w:color="000000"/>
            </w:tcBorders>
            <w:vAlign w:val="center"/>
            <w:hideMark/>
          </w:tcPr>
          <w:p w14:paraId="73A7889A" w14:textId="77777777" w:rsidR="00D7500A" w:rsidRPr="00A332CC" w:rsidRDefault="00D7500A" w:rsidP="00677E04">
            <w:pPr>
              <w:spacing w:after="0" w:line="240" w:lineRule="auto"/>
              <w:rPr>
                <w:rFonts w:ascii="Times New Roman" w:eastAsia="Times New Roman" w:hAnsi="Times New Roman" w:cs="Times New Roman"/>
                <w:color w:val="0000FF"/>
              </w:rPr>
            </w:pPr>
          </w:p>
        </w:tc>
      </w:tr>
      <w:tr w:rsidR="00D7500A" w:rsidRPr="00A332CC" w14:paraId="7C57800B" w14:textId="77777777" w:rsidTr="0031553D">
        <w:trPr>
          <w:trHeight w:val="315"/>
        </w:trPr>
        <w:tc>
          <w:tcPr>
            <w:tcW w:w="1530" w:type="dxa"/>
            <w:tcBorders>
              <w:top w:val="nil"/>
              <w:left w:val="single" w:sz="8" w:space="0" w:color="000000"/>
              <w:bottom w:val="single" w:sz="8" w:space="0" w:color="000000"/>
              <w:right w:val="nil"/>
            </w:tcBorders>
            <w:shd w:val="clear" w:color="000000" w:fill="FFFFFF"/>
            <w:hideMark/>
          </w:tcPr>
          <w:p w14:paraId="489BC99A" w14:textId="77777777" w:rsidR="00D7500A" w:rsidRPr="00A332CC" w:rsidRDefault="00D7500A" w:rsidP="00323F0D">
            <w:pPr>
              <w:spacing w:after="0" w:line="240" w:lineRule="auto"/>
              <w:rPr>
                <w:rFonts w:eastAsia="Times New Roman" w:cstheme="minorHAnsi"/>
                <w:color w:val="0000FF"/>
                <w:sz w:val="20"/>
                <w:szCs w:val="20"/>
              </w:rPr>
            </w:pPr>
            <w:r w:rsidRPr="00A332CC">
              <w:rPr>
                <w:rFonts w:eastAsia="Times New Roman" w:cstheme="minorHAnsi"/>
                <w:color w:val="0000FF"/>
                <w:sz w:val="20"/>
                <w:szCs w:val="20"/>
              </w:rPr>
              <w:t>     Median (IQR)</w:t>
            </w:r>
          </w:p>
        </w:tc>
        <w:tc>
          <w:tcPr>
            <w:tcW w:w="1710" w:type="dxa"/>
            <w:tcBorders>
              <w:top w:val="nil"/>
              <w:left w:val="single" w:sz="8" w:space="0" w:color="000000"/>
              <w:bottom w:val="single" w:sz="8" w:space="0" w:color="000000"/>
              <w:right w:val="nil"/>
            </w:tcBorders>
            <w:shd w:val="clear" w:color="000000" w:fill="FFFFFF"/>
            <w:hideMark/>
          </w:tcPr>
          <w:p w14:paraId="1B91FBA1"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0.25</w:t>
            </w:r>
            <w:r w:rsidR="003342D4">
              <w:rPr>
                <w:rFonts w:eastAsia="Times New Roman" w:cstheme="minorHAnsi"/>
                <w:color w:val="0000FF"/>
                <w:sz w:val="20"/>
                <w:szCs w:val="20"/>
              </w:rPr>
              <w:t> (</w:t>
            </w:r>
            <w:r>
              <w:rPr>
                <w:rFonts w:eastAsia="Times New Roman" w:cstheme="minorHAnsi"/>
                <w:color w:val="0000FF"/>
                <w:sz w:val="20"/>
                <w:szCs w:val="20"/>
              </w:rPr>
              <w:t>0.22</w:t>
            </w:r>
            <w:r w:rsidR="003342D4">
              <w:rPr>
                <w:rFonts w:eastAsia="Times New Roman" w:cstheme="minorHAnsi"/>
                <w:color w:val="0000FF"/>
                <w:sz w:val="20"/>
                <w:szCs w:val="20"/>
              </w:rPr>
              <w:t>, </w:t>
            </w:r>
            <w:r>
              <w:rPr>
                <w:rFonts w:eastAsia="Times New Roman" w:cstheme="minorHAnsi"/>
                <w:color w:val="0000FF"/>
                <w:sz w:val="20"/>
                <w:szCs w:val="20"/>
              </w:rPr>
              <w:t>0.29</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4A6F0B6E"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w:t>
            </w:r>
            <w:r>
              <w:rPr>
                <w:rFonts w:eastAsia="Times New Roman" w:cstheme="minorHAnsi"/>
                <w:color w:val="0000FF"/>
                <w:sz w:val="20"/>
                <w:szCs w:val="20"/>
              </w:rPr>
              <w:t>0.20</w:t>
            </w:r>
            <w:r w:rsidR="003342D4">
              <w:rPr>
                <w:rFonts w:eastAsia="Times New Roman" w:cstheme="minorHAnsi"/>
                <w:color w:val="0000FF"/>
                <w:sz w:val="20"/>
                <w:szCs w:val="20"/>
              </w:rPr>
              <w:t>, </w:t>
            </w:r>
            <w:r>
              <w:rPr>
                <w:rFonts w:eastAsia="Times New Roman" w:cstheme="minorHAnsi"/>
                <w:color w:val="0000FF"/>
                <w:sz w:val="20"/>
                <w:szCs w:val="20"/>
              </w:rPr>
              <w:t>0.28</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211660CA"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0.25</w:t>
            </w:r>
            <w:r w:rsidR="003342D4">
              <w:rPr>
                <w:rFonts w:eastAsia="Times New Roman" w:cstheme="minorHAnsi"/>
                <w:color w:val="0000FF"/>
                <w:sz w:val="20"/>
                <w:szCs w:val="20"/>
              </w:rPr>
              <w:t> (</w:t>
            </w:r>
            <w:r>
              <w:rPr>
                <w:rFonts w:eastAsia="Times New Roman" w:cstheme="minorHAnsi"/>
                <w:color w:val="0000FF"/>
                <w:sz w:val="20"/>
                <w:szCs w:val="20"/>
              </w:rPr>
              <w:t>0.21</w:t>
            </w:r>
            <w:r w:rsidR="003342D4">
              <w:rPr>
                <w:rFonts w:eastAsia="Times New Roman" w:cstheme="minorHAnsi"/>
                <w:color w:val="0000FF"/>
                <w:sz w:val="20"/>
                <w:szCs w:val="20"/>
              </w:rPr>
              <w:t>, </w:t>
            </w:r>
            <w:r>
              <w:rPr>
                <w:rFonts w:eastAsia="Times New Roman" w:cstheme="minorHAnsi"/>
                <w:color w:val="0000FF"/>
                <w:sz w:val="20"/>
                <w:szCs w:val="20"/>
              </w:rPr>
              <w:t>0.29</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728BF973"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0.23</w:t>
            </w:r>
            <w:r w:rsidR="003342D4">
              <w:rPr>
                <w:rFonts w:eastAsia="Times New Roman" w:cstheme="minorHAnsi"/>
                <w:color w:val="0000FF"/>
                <w:sz w:val="20"/>
                <w:szCs w:val="20"/>
              </w:rPr>
              <w:t> (</w:t>
            </w:r>
            <w:r>
              <w:rPr>
                <w:rFonts w:eastAsia="Times New Roman" w:cstheme="minorHAnsi"/>
                <w:color w:val="0000FF"/>
                <w:sz w:val="20"/>
                <w:szCs w:val="20"/>
              </w:rPr>
              <w:t>0.19</w:t>
            </w:r>
            <w:r w:rsidR="003342D4">
              <w:rPr>
                <w:rFonts w:eastAsia="Times New Roman" w:cstheme="minorHAnsi"/>
                <w:color w:val="0000FF"/>
                <w:sz w:val="20"/>
                <w:szCs w:val="20"/>
              </w:rPr>
              <w:t>, </w:t>
            </w:r>
            <w:r>
              <w:rPr>
                <w:rFonts w:eastAsia="Times New Roman" w:cstheme="minorHAnsi"/>
                <w:color w:val="0000FF"/>
                <w:sz w:val="20"/>
                <w:szCs w:val="20"/>
              </w:rPr>
              <w:t>0.26</w:t>
            </w:r>
            <w:r w:rsidR="00D7500A" w:rsidRPr="00A332CC">
              <w:rPr>
                <w:rFonts w:eastAsia="Times New Roman" w:cstheme="minorHAnsi"/>
                <w:color w:val="0000FF"/>
                <w:sz w:val="20"/>
                <w:szCs w:val="20"/>
              </w:rPr>
              <w:t>)</w:t>
            </w:r>
          </w:p>
        </w:tc>
        <w:tc>
          <w:tcPr>
            <w:tcW w:w="1620" w:type="dxa"/>
            <w:tcBorders>
              <w:top w:val="nil"/>
              <w:left w:val="single" w:sz="8" w:space="0" w:color="000000"/>
              <w:bottom w:val="single" w:sz="8" w:space="0" w:color="000000"/>
              <w:right w:val="nil"/>
            </w:tcBorders>
            <w:shd w:val="clear" w:color="000000" w:fill="FFFFFF"/>
            <w:hideMark/>
          </w:tcPr>
          <w:p w14:paraId="7EEDA955" w14:textId="77777777" w:rsidR="00D7500A" w:rsidRPr="00A332CC" w:rsidRDefault="00846F3E" w:rsidP="00677E04">
            <w:pPr>
              <w:spacing w:after="0" w:line="240" w:lineRule="auto"/>
              <w:jc w:val="center"/>
              <w:rPr>
                <w:rFonts w:eastAsia="Times New Roman" w:cstheme="minorHAnsi"/>
                <w:color w:val="0000FF"/>
                <w:sz w:val="20"/>
                <w:szCs w:val="20"/>
              </w:rPr>
            </w:pPr>
            <w:r>
              <w:rPr>
                <w:rFonts w:eastAsia="Times New Roman" w:cstheme="minorHAnsi"/>
                <w:color w:val="0000FF"/>
                <w:sz w:val="20"/>
                <w:szCs w:val="20"/>
              </w:rPr>
              <w:t>0.24</w:t>
            </w:r>
            <w:r w:rsidR="003342D4">
              <w:rPr>
                <w:rFonts w:eastAsia="Times New Roman" w:cstheme="minorHAnsi"/>
                <w:color w:val="0000FF"/>
                <w:sz w:val="20"/>
                <w:szCs w:val="20"/>
              </w:rPr>
              <w:t> (</w:t>
            </w:r>
            <w:r>
              <w:rPr>
                <w:rFonts w:eastAsia="Times New Roman" w:cstheme="minorHAnsi"/>
                <w:color w:val="0000FF"/>
                <w:sz w:val="20"/>
                <w:szCs w:val="20"/>
              </w:rPr>
              <w:t>0.21</w:t>
            </w:r>
            <w:r w:rsidR="003342D4">
              <w:rPr>
                <w:rFonts w:eastAsia="Times New Roman" w:cstheme="minorHAnsi"/>
                <w:color w:val="0000FF"/>
                <w:sz w:val="20"/>
                <w:szCs w:val="20"/>
              </w:rPr>
              <w:t>, </w:t>
            </w:r>
            <w:r>
              <w:rPr>
                <w:rFonts w:eastAsia="Times New Roman" w:cstheme="minorHAnsi"/>
                <w:color w:val="0000FF"/>
                <w:sz w:val="20"/>
                <w:szCs w:val="20"/>
              </w:rPr>
              <w:t>0.28</w:t>
            </w:r>
            <w:r w:rsidR="00D7500A" w:rsidRPr="00A332CC">
              <w:rPr>
                <w:rFonts w:eastAsia="Times New Roman" w:cstheme="minorHAnsi"/>
                <w:color w:val="0000FF"/>
                <w:sz w:val="20"/>
                <w:szCs w:val="20"/>
              </w:rPr>
              <w:t>)</w:t>
            </w:r>
          </w:p>
        </w:tc>
        <w:tc>
          <w:tcPr>
            <w:tcW w:w="900" w:type="dxa"/>
            <w:vMerge/>
            <w:tcBorders>
              <w:top w:val="nil"/>
              <w:left w:val="single" w:sz="8" w:space="0" w:color="000000"/>
              <w:bottom w:val="single" w:sz="8" w:space="0" w:color="000000"/>
              <w:right w:val="single" w:sz="8" w:space="0" w:color="000000"/>
            </w:tcBorders>
            <w:vAlign w:val="center"/>
            <w:hideMark/>
          </w:tcPr>
          <w:p w14:paraId="7E862C1E" w14:textId="77777777" w:rsidR="00D7500A" w:rsidRPr="00A332CC" w:rsidRDefault="00D7500A" w:rsidP="00677E04">
            <w:pPr>
              <w:spacing w:after="0" w:line="240" w:lineRule="auto"/>
              <w:rPr>
                <w:rFonts w:ascii="Times New Roman" w:eastAsia="Times New Roman" w:hAnsi="Times New Roman" w:cs="Times New Roman"/>
                <w:color w:val="0000FF"/>
              </w:rPr>
            </w:pPr>
          </w:p>
        </w:tc>
      </w:tr>
    </w:tbl>
    <w:p w14:paraId="43D81DA8" w14:textId="40067CD5" w:rsidR="00D7500A" w:rsidRDefault="004C16A4" w:rsidP="00E37E1B">
      <w:pPr>
        <w:autoSpaceDE w:val="0"/>
        <w:autoSpaceDN w:val="0"/>
        <w:adjustRightInd w:val="0"/>
        <w:spacing w:after="0" w:line="240" w:lineRule="auto"/>
        <w:rPr>
          <w:rFonts w:cstheme="minorHAnsi"/>
          <w:bCs/>
        </w:rPr>
      </w:pPr>
      <w:r>
        <w:rPr>
          <w:rFonts w:cstheme="minorHAnsi"/>
          <w:bCs/>
        </w:rPr>
        <w:t>Abbreviation: IHCA, in-hospital cardiac arrest</w:t>
      </w:r>
    </w:p>
    <w:bookmarkEnd w:id="11"/>
    <w:p w14:paraId="54F69304" w14:textId="77777777" w:rsidR="00D7500A" w:rsidRDefault="00D7500A" w:rsidP="00E37E1B">
      <w:pPr>
        <w:autoSpaceDE w:val="0"/>
        <w:autoSpaceDN w:val="0"/>
        <w:adjustRightInd w:val="0"/>
        <w:spacing w:after="0" w:line="240" w:lineRule="auto"/>
        <w:rPr>
          <w:rFonts w:cstheme="minorHAnsi"/>
          <w:bCs/>
        </w:rPr>
      </w:pPr>
    </w:p>
    <w:p w14:paraId="1272EA41" w14:textId="77777777" w:rsidR="004348CC" w:rsidRDefault="00D7500A" w:rsidP="00E37E1B">
      <w:pPr>
        <w:autoSpaceDE w:val="0"/>
        <w:autoSpaceDN w:val="0"/>
        <w:adjustRightInd w:val="0"/>
        <w:spacing w:after="0" w:line="240" w:lineRule="auto"/>
        <w:rPr>
          <w:rFonts w:cstheme="minorHAnsi"/>
          <w:noProof/>
        </w:rPr>
      </w:pPr>
      <w:r>
        <w:rPr>
          <w:rFonts w:cstheme="minorHAnsi"/>
          <w:noProof/>
        </w:rPr>
        <w:t>__</w:t>
      </w:r>
      <w:r w:rsidR="00483E94">
        <w:rPr>
          <w:rFonts w:cstheme="minorHAnsi"/>
          <w:noProof/>
        </w:rPr>
        <w:t>____</w:t>
      </w:r>
      <w:r w:rsidR="00E37E1B">
        <w:rPr>
          <w:rFonts w:cstheme="minorHAnsi"/>
          <w:noProof/>
        </w:rPr>
        <w:t>_______________</w:t>
      </w:r>
      <w:r w:rsidR="003755CB">
        <w:rPr>
          <w:rFonts w:cstheme="minorHAnsi"/>
          <w:noProof/>
        </w:rPr>
        <w:t>_________</w:t>
      </w:r>
    </w:p>
    <w:p w14:paraId="5D91855F" w14:textId="77777777" w:rsidR="00D7500A" w:rsidRPr="00E37E1B" w:rsidRDefault="00D7500A" w:rsidP="00E37E1B">
      <w:pPr>
        <w:autoSpaceDE w:val="0"/>
        <w:autoSpaceDN w:val="0"/>
        <w:adjustRightInd w:val="0"/>
        <w:spacing w:after="0" w:line="240" w:lineRule="auto"/>
        <w:rPr>
          <w:rFonts w:cstheme="minorHAnsi"/>
          <w:bCs/>
        </w:rPr>
      </w:pPr>
    </w:p>
    <w:p w14:paraId="32B66B79"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45D242"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609FE486" w14:textId="77777777" w:rsidR="008C54A9" w:rsidRPr="00A25024" w:rsidRDefault="008C54A9" w:rsidP="00DB3627">
      <w:pPr>
        <w:autoSpaceDE w:val="0"/>
        <w:autoSpaceDN w:val="0"/>
        <w:adjustRightInd w:val="0"/>
        <w:spacing w:after="0" w:line="240" w:lineRule="auto"/>
        <w:rPr>
          <w:rFonts w:cstheme="minorHAnsi"/>
          <w:b/>
          <w:bCs/>
        </w:rPr>
      </w:pPr>
    </w:p>
    <w:p w14:paraId="710ECB82" w14:textId="40CFFFCF" w:rsidR="001969C5" w:rsidRDefault="00092566" w:rsidP="008C54A9">
      <w:pPr>
        <w:autoSpaceDE w:val="0"/>
        <w:autoSpaceDN w:val="0"/>
        <w:adjustRightInd w:val="0"/>
        <w:spacing w:after="0" w:line="240" w:lineRule="auto"/>
        <w:rPr>
          <w:rFonts w:cstheme="minorHAnsi"/>
          <w:bCs/>
        </w:rPr>
      </w:pPr>
      <w:r>
        <w:rPr>
          <w:rFonts w:cstheme="minorHAnsi"/>
          <w:b/>
          <w:bCs/>
        </w:rPr>
        <w:lastRenderedPageBreak/>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677E04">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FA22A78" w14:textId="77777777" w:rsidR="00677E04" w:rsidRDefault="00677E04" w:rsidP="008C54A9">
      <w:pPr>
        <w:autoSpaceDE w:val="0"/>
        <w:autoSpaceDN w:val="0"/>
        <w:adjustRightInd w:val="0"/>
        <w:spacing w:after="0" w:line="240" w:lineRule="auto"/>
        <w:rPr>
          <w:rFonts w:cstheme="minorHAnsi"/>
          <w:bCs/>
        </w:rPr>
      </w:pPr>
    </w:p>
    <w:p w14:paraId="6B441B54" w14:textId="77777777" w:rsidR="00677E04" w:rsidRPr="005C0E46" w:rsidRDefault="00677E04" w:rsidP="00152BA4">
      <w:pPr>
        <w:spacing w:line="240" w:lineRule="auto"/>
        <w:rPr>
          <w:strike/>
          <w:color w:val="0000FF"/>
          <w:szCs w:val="20"/>
        </w:rPr>
      </w:pPr>
      <w:r w:rsidRPr="00AC31B5">
        <w:rPr>
          <w:color w:val="0000FF"/>
          <w:szCs w:val="20"/>
        </w:rPr>
        <w:t>Reliabilit</w:t>
      </w:r>
      <w:r>
        <w:rPr>
          <w:color w:val="0000FF"/>
          <w:szCs w:val="20"/>
        </w:rPr>
        <w:t>y of</w:t>
      </w:r>
      <w:r w:rsidRPr="00AC31B5">
        <w:rPr>
          <w:color w:val="0000FF"/>
          <w:szCs w:val="20"/>
        </w:rPr>
        <w:t xml:space="preserve"> the computed measure score was measured as the ratio of signal to noise. The signal in this case is the proportion of the variability in measured performance that can be explained by real differences in </w:t>
      </w:r>
      <w:r>
        <w:rPr>
          <w:color w:val="0000FF"/>
          <w:szCs w:val="20"/>
        </w:rPr>
        <w:t>hospital</w:t>
      </w:r>
      <w:r w:rsidRPr="00AC31B5">
        <w:rPr>
          <w:color w:val="0000FF"/>
          <w:szCs w:val="20"/>
        </w:rPr>
        <w:t xml:space="preserve"> performance</w:t>
      </w:r>
      <w:r w:rsidR="00FB2943">
        <w:rPr>
          <w:color w:val="0000FF"/>
          <w:szCs w:val="20"/>
        </w:rPr>
        <w:t xml:space="preserve"> </w:t>
      </w:r>
      <w:r w:rsidR="00FB2943" w:rsidRPr="00FB2943">
        <w:rPr>
          <w:color w:val="0000FF"/>
          <w:szCs w:val="20"/>
        </w:rPr>
        <w:t>and the noise is the total variability in measured performance</w:t>
      </w:r>
      <w:r w:rsidR="00FB2943">
        <w:rPr>
          <w:color w:val="0000FF"/>
          <w:szCs w:val="20"/>
        </w:rPr>
        <w:t xml:space="preserve">.  </w:t>
      </w:r>
      <w:r w:rsidRPr="00AC31B5">
        <w:rPr>
          <w:color w:val="0000FF"/>
          <w:szCs w:val="20"/>
        </w:rPr>
        <w:t xml:space="preserve">A reliability of zero implies that all the variability in a measure is attributable to measurement error. A reliability of one implies that all the variability is attributable to real differences in </w:t>
      </w:r>
      <w:r>
        <w:rPr>
          <w:color w:val="0000FF"/>
          <w:szCs w:val="20"/>
        </w:rPr>
        <w:t>hospital</w:t>
      </w:r>
      <w:r w:rsidRPr="00AC31B5">
        <w:rPr>
          <w:color w:val="0000FF"/>
          <w:szCs w:val="20"/>
        </w:rPr>
        <w:t xml:space="preserve"> performance.</w:t>
      </w:r>
    </w:p>
    <w:p w14:paraId="2ED94846" w14:textId="77777777" w:rsidR="00677E04" w:rsidRPr="007A55E5" w:rsidRDefault="00677E04" w:rsidP="00152BA4">
      <w:pPr>
        <w:autoSpaceDE w:val="0"/>
        <w:autoSpaceDN w:val="0"/>
        <w:adjustRightInd w:val="0"/>
        <w:spacing w:after="0" w:line="240" w:lineRule="auto"/>
        <w:rPr>
          <w:rFonts w:cstheme="minorHAnsi"/>
          <w:bCs/>
          <w:color w:val="0000FF"/>
        </w:rPr>
      </w:pPr>
      <w:r w:rsidRPr="007A55E5">
        <w:rPr>
          <w:rFonts w:cstheme="minorHAnsi"/>
          <w:bCs/>
          <w:color w:val="0000FF"/>
        </w:rPr>
        <w:t>Our signal-to-noise ratio testing was conducted by</w:t>
      </w:r>
      <w:r>
        <w:rPr>
          <w:rFonts w:cstheme="minorHAnsi"/>
          <w:bCs/>
          <w:color w:val="0000FF"/>
        </w:rPr>
        <w:t xml:space="preserve"> fitting</w:t>
      </w:r>
      <w:r w:rsidRPr="007A55E5">
        <w:rPr>
          <w:rFonts w:cstheme="minorHAnsi"/>
          <w:bCs/>
          <w:color w:val="0000FF"/>
        </w:rPr>
        <w:t xml:space="preserve"> a hierarchical</w:t>
      </w:r>
      <w:r w:rsidR="00497D22">
        <w:rPr>
          <w:rFonts w:cstheme="minorHAnsi"/>
          <w:bCs/>
          <w:color w:val="0000FF"/>
        </w:rPr>
        <w:t xml:space="preserve"> </w:t>
      </w:r>
      <w:r w:rsidR="0017142F">
        <w:rPr>
          <w:rFonts w:cstheme="minorHAnsi"/>
          <w:bCs/>
          <w:color w:val="0000FF"/>
        </w:rPr>
        <w:t>mixed effects</w:t>
      </w:r>
      <w:r w:rsidRPr="007A55E5">
        <w:rPr>
          <w:rFonts w:cstheme="minorHAnsi"/>
          <w:bCs/>
          <w:color w:val="0000FF"/>
        </w:rPr>
        <w:t xml:space="preserve"> model to derive the two shape parameters – alpha and beta; the model was built on a specified beta-binomial distribution.  The two estimated model parameters were then used to calculate between-site (hospital-to-hospital) and within-site (hospital-specific) variances.  The formulas used are described below: </w:t>
      </w:r>
    </w:p>
    <w:p w14:paraId="60B6687D" w14:textId="77777777" w:rsidR="00677E04" w:rsidRDefault="00677E04" w:rsidP="00677E04">
      <w:pPr>
        <w:autoSpaceDE w:val="0"/>
        <w:autoSpaceDN w:val="0"/>
        <w:adjustRightInd w:val="0"/>
        <w:spacing w:after="0" w:line="240" w:lineRule="auto"/>
        <w:rPr>
          <w:rFonts w:cstheme="minorHAnsi"/>
          <w:bCs/>
        </w:rPr>
      </w:pPr>
    </w:p>
    <w:p w14:paraId="50D3730D" w14:textId="77777777" w:rsidR="00B8253B" w:rsidRDefault="00B8253B" w:rsidP="00B8253B">
      <w:pPr>
        <w:pStyle w:val="NoSpacing"/>
        <w:rPr>
          <w:color w:val="0070C0"/>
        </w:rPr>
      </w:pPr>
    </w:p>
    <w:p w14:paraId="5AF1AC49" w14:textId="194C739E" w:rsidR="00677E04" w:rsidRPr="006225A5" w:rsidRDefault="00677E04" w:rsidP="00B8253B">
      <w:pPr>
        <w:pStyle w:val="NoSpacing"/>
        <w:ind w:left="1440" w:hanging="1440"/>
        <w:rPr>
          <w:rFonts w:asciiTheme="minorHAnsi" w:eastAsiaTheme="minorEastAsia" w:hAnsiTheme="minorHAnsi" w:cstheme="minorHAnsi"/>
          <w:bCs/>
          <w:color w:val="0000FF"/>
        </w:rPr>
      </w:pPr>
      <w:r w:rsidRPr="006225A5">
        <w:rPr>
          <w:rFonts w:asciiTheme="minorHAnsi" w:eastAsiaTheme="minorEastAsia" w:hAnsiTheme="minorHAnsi" w:cstheme="minorHAnsi"/>
          <w:bCs/>
          <w:color w:val="0000FF"/>
        </w:rPr>
        <w:t xml:space="preserve">Reliability </w:t>
      </w:r>
      <w:r w:rsidR="004A5037">
        <w:rPr>
          <w:rFonts w:asciiTheme="minorHAnsi" w:eastAsiaTheme="minorEastAsia" w:hAnsiTheme="minorHAnsi" w:cstheme="minorHAnsi"/>
          <w:bCs/>
          <w:color w:val="0000FF"/>
        </w:rPr>
        <w:t xml:space="preserve">   </w:t>
      </w:r>
      <w:r w:rsidRPr="00461C0D">
        <w:rPr>
          <w:rFonts w:asciiTheme="minorHAnsi" w:eastAsiaTheme="minorEastAsia" w:hAnsiTheme="minorHAnsi" w:cstheme="minorHAnsi"/>
          <w:bCs/>
          <w:color w:val="0000FF"/>
          <w:sz w:val="28"/>
        </w:rPr>
        <w:t xml:space="preserve">= </w:t>
      </w:r>
      <w:r w:rsidR="00497D22" w:rsidRPr="006225A5">
        <w:rPr>
          <w:rFonts w:asciiTheme="minorHAnsi" w:eastAsiaTheme="minorEastAsia" w:hAnsiTheme="minorHAnsi" w:cstheme="minorHAnsi"/>
          <w:bCs/>
          <w:color w:val="0000FF"/>
        </w:rPr>
        <w:tab/>
      </w:r>
      <w:r w:rsidR="00497D22" w:rsidRPr="004B331E">
        <w:rPr>
          <w:rFonts w:asciiTheme="minorHAnsi" w:eastAsiaTheme="minorEastAsia" w:hAnsiTheme="minorHAnsi" w:cstheme="minorHAnsi"/>
          <w:bCs/>
          <w:color w:val="0000FF"/>
          <w:u w:val="single"/>
        </w:rPr>
        <w:tab/>
      </w:r>
      <w:r w:rsidR="00905201">
        <w:rPr>
          <w:rFonts w:asciiTheme="minorHAnsi" w:eastAsiaTheme="minorEastAsia" w:hAnsiTheme="minorHAnsi" w:cstheme="minorHAnsi"/>
          <w:bCs/>
          <w:color w:val="0000FF"/>
          <w:u w:val="single"/>
        </w:rPr>
        <w:t xml:space="preserve">                  </w:t>
      </w:r>
      <w:r w:rsidRPr="004B331E">
        <w:rPr>
          <w:rFonts w:asciiTheme="minorHAnsi" w:eastAsiaTheme="minorEastAsia" w:hAnsiTheme="minorHAnsi" w:cstheme="minorHAnsi"/>
          <w:bCs/>
          <w:color w:val="0000FF"/>
          <w:u w:val="single"/>
        </w:rPr>
        <w:t xml:space="preserve">(hospital-to-hospital variance) </w:t>
      </w:r>
      <w:r w:rsidR="00497D22" w:rsidRPr="004B331E">
        <w:rPr>
          <w:rFonts w:asciiTheme="minorHAnsi" w:eastAsiaTheme="minorEastAsia" w:hAnsiTheme="minorHAnsi" w:cstheme="minorHAnsi"/>
          <w:bCs/>
          <w:color w:val="0000FF"/>
          <w:u w:val="single"/>
        </w:rPr>
        <w:tab/>
      </w:r>
      <w:r w:rsidR="00497D22" w:rsidRPr="004B331E">
        <w:rPr>
          <w:rFonts w:asciiTheme="minorHAnsi" w:eastAsiaTheme="minorEastAsia" w:hAnsiTheme="minorHAnsi" w:cstheme="minorHAnsi"/>
          <w:bCs/>
          <w:color w:val="0000FF"/>
          <w:u w:val="single"/>
        </w:rPr>
        <w:tab/>
      </w:r>
      <w:r w:rsidR="00497D22" w:rsidRPr="004B331E">
        <w:rPr>
          <w:rFonts w:asciiTheme="minorHAnsi" w:eastAsiaTheme="minorEastAsia" w:hAnsiTheme="minorHAnsi" w:cstheme="minorHAnsi"/>
          <w:bCs/>
          <w:color w:val="0000FF"/>
          <w:u w:val="single"/>
        </w:rPr>
        <w:tab/>
      </w:r>
      <w:r w:rsidR="00B8253B" w:rsidRPr="006225A5">
        <w:rPr>
          <w:rFonts w:asciiTheme="minorHAnsi" w:eastAsiaTheme="minorEastAsia" w:hAnsiTheme="minorHAnsi" w:cstheme="minorHAnsi"/>
          <w:bCs/>
          <w:color w:val="0000FF"/>
        </w:rPr>
        <w:tab/>
        <w:t xml:space="preserve">                                  </w:t>
      </w:r>
      <w:r w:rsidR="00905201">
        <w:rPr>
          <w:rFonts w:asciiTheme="minorHAnsi" w:eastAsiaTheme="minorEastAsia" w:hAnsiTheme="minorHAnsi" w:cstheme="minorHAnsi"/>
          <w:bCs/>
          <w:color w:val="0000FF"/>
        </w:rPr>
        <w:t>(</w:t>
      </w:r>
      <w:r w:rsidRPr="006225A5">
        <w:rPr>
          <w:rFonts w:asciiTheme="minorHAnsi" w:eastAsiaTheme="minorEastAsia" w:hAnsiTheme="minorHAnsi" w:cstheme="minorHAnsi"/>
          <w:bCs/>
          <w:color w:val="0000FF"/>
        </w:rPr>
        <w:t>(hospital-to-hospital variance</w:t>
      </w:r>
      <w:r w:rsidR="00497D22" w:rsidRPr="006225A5">
        <w:rPr>
          <w:rFonts w:asciiTheme="minorHAnsi" w:eastAsiaTheme="minorEastAsia" w:hAnsiTheme="minorHAnsi" w:cstheme="minorHAnsi"/>
          <w:bCs/>
          <w:color w:val="0000FF"/>
        </w:rPr>
        <w:t>)</w:t>
      </w:r>
      <w:r w:rsidRPr="006225A5">
        <w:rPr>
          <w:rFonts w:asciiTheme="minorHAnsi" w:eastAsiaTheme="minorEastAsia" w:hAnsiTheme="minorHAnsi" w:cstheme="minorHAnsi"/>
          <w:bCs/>
          <w:color w:val="0000FF"/>
        </w:rPr>
        <w:t xml:space="preserve"> + </w:t>
      </w:r>
      <w:r w:rsidR="00497D22" w:rsidRPr="006225A5">
        <w:rPr>
          <w:rFonts w:asciiTheme="minorHAnsi" w:eastAsiaTheme="minorEastAsia" w:hAnsiTheme="minorHAnsi" w:cstheme="minorHAnsi"/>
          <w:bCs/>
          <w:color w:val="0000FF"/>
        </w:rPr>
        <w:t>(</w:t>
      </w:r>
      <w:r w:rsidRPr="006225A5">
        <w:rPr>
          <w:rFonts w:asciiTheme="minorHAnsi" w:eastAsiaTheme="minorEastAsia" w:hAnsiTheme="minorHAnsi" w:cstheme="minorHAnsi"/>
          <w:bCs/>
          <w:color w:val="0000FF"/>
        </w:rPr>
        <w:t>hospital-specific variance)</w:t>
      </w:r>
      <w:r w:rsidR="00905201">
        <w:rPr>
          <w:rFonts w:asciiTheme="minorHAnsi" w:eastAsiaTheme="minorEastAsia" w:hAnsiTheme="minorHAnsi" w:cstheme="minorHAnsi"/>
          <w:bCs/>
          <w:color w:val="0000FF"/>
        </w:rPr>
        <w:t>)</w:t>
      </w:r>
    </w:p>
    <w:p w14:paraId="046B6250" w14:textId="77777777" w:rsidR="00497D22" w:rsidRPr="007A55E5" w:rsidRDefault="00497D22" w:rsidP="00B8253B">
      <w:pPr>
        <w:pStyle w:val="NoSpacing"/>
      </w:pPr>
    </w:p>
    <w:p w14:paraId="26A738DB" w14:textId="77777777" w:rsidR="00DA4704" w:rsidRDefault="00DA4704" w:rsidP="00677E04">
      <w:pPr>
        <w:autoSpaceDE w:val="0"/>
        <w:autoSpaceDN w:val="0"/>
        <w:adjustRightInd w:val="0"/>
        <w:spacing w:after="0" w:line="240" w:lineRule="auto"/>
        <w:rPr>
          <w:rFonts w:cstheme="minorHAnsi"/>
          <w:bCs/>
          <w:color w:val="0000FF"/>
        </w:rPr>
      </w:pPr>
    </w:p>
    <w:p w14:paraId="783D0053" w14:textId="77777777" w:rsidR="00DA4704" w:rsidRDefault="00DA4704" w:rsidP="00677E04">
      <w:pPr>
        <w:autoSpaceDE w:val="0"/>
        <w:autoSpaceDN w:val="0"/>
        <w:adjustRightInd w:val="0"/>
        <w:spacing w:after="0" w:line="240" w:lineRule="auto"/>
        <w:rPr>
          <w:rFonts w:cstheme="minorHAnsi"/>
          <w:bCs/>
          <w:color w:val="0000FF"/>
        </w:rPr>
      </w:pPr>
    </w:p>
    <w:p w14:paraId="57425707" w14:textId="77777777" w:rsidR="00DA4704" w:rsidRDefault="00DA4704" w:rsidP="00677E04">
      <w:pPr>
        <w:autoSpaceDE w:val="0"/>
        <w:autoSpaceDN w:val="0"/>
        <w:adjustRightInd w:val="0"/>
        <w:spacing w:after="0" w:line="240" w:lineRule="auto"/>
        <w:rPr>
          <w:rFonts w:cstheme="minorHAnsi"/>
          <w:bCs/>
          <w:color w:val="0000FF"/>
        </w:rPr>
      </w:pPr>
    </w:p>
    <w:p w14:paraId="27119085" w14:textId="77777777" w:rsidR="00DF120B" w:rsidRPr="00BC257E" w:rsidRDefault="00677E04" w:rsidP="00677E04">
      <w:pPr>
        <w:autoSpaceDE w:val="0"/>
        <w:autoSpaceDN w:val="0"/>
        <w:adjustRightInd w:val="0"/>
        <w:spacing w:after="0" w:line="240" w:lineRule="auto"/>
        <w:rPr>
          <w:rFonts w:cstheme="minorHAnsi"/>
          <w:bCs/>
          <w:color w:val="0000FF"/>
          <w:sz w:val="28"/>
          <w:szCs w:val="28"/>
          <w:u w:val="single"/>
        </w:rPr>
      </w:pPr>
      <w:r>
        <w:rPr>
          <w:rFonts w:cstheme="minorHAnsi"/>
          <w:bCs/>
          <w:color w:val="0000FF"/>
        </w:rPr>
        <w:t>Between-site (</w:t>
      </w:r>
      <w:r w:rsidR="00497D22">
        <w:rPr>
          <w:rFonts w:cstheme="minorHAnsi"/>
          <w:bCs/>
          <w:color w:val="0000FF"/>
        </w:rPr>
        <w:t xml:space="preserve">or </w:t>
      </w:r>
      <w:r w:rsidRPr="007A55E5">
        <w:rPr>
          <w:rFonts w:cstheme="minorHAnsi"/>
          <w:bCs/>
          <w:color w:val="0000FF"/>
        </w:rPr>
        <w:t>hospital-to-hospital</w:t>
      </w:r>
      <w:r>
        <w:rPr>
          <w:rFonts w:cstheme="minorHAnsi"/>
          <w:bCs/>
          <w:color w:val="0000FF"/>
        </w:rPr>
        <w:t>)</w:t>
      </w:r>
      <w:r w:rsidRPr="007A55E5">
        <w:rPr>
          <w:rFonts w:cstheme="minorHAnsi"/>
          <w:bCs/>
          <w:color w:val="0000FF"/>
        </w:rPr>
        <w:t xml:space="preserve"> variance</w:t>
      </w:r>
      <w:r w:rsidRPr="007A55E5">
        <w:rPr>
          <w:rFonts w:cstheme="minorHAnsi"/>
          <w:bCs/>
          <w:color w:val="0000FF"/>
          <w:sz w:val="28"/>
          <w:szCs w:val="28"/>
        </w:rPr>
        <w:t xml:space="preserve"> </w:t>
      </w:r>
      <w:r>
        <w:rPr>
          <w:rFonts w:cstheme="minorHAnsi"/>
          <w:bCs/>
          <w:color w:val="0000FF"/>
          <w:sz w:val="28"/>
          <w:szCs w:val="28"/>
        </w:rPr>
        <w:t>=</w:t>
      </w:r>
      <w:r w:rsidR="00084CD5">
        <w:rPr>
          <w:rFonts w:cstheme="minorHAnsi"/>
          <w:bCs/>
          <w:color w:val="0000FF"/>
          <w:sz w:val="28"/>
          <w:szCs w:val="28"/>
        </w:rPr>
        <w:t xml:space="preserve"> </w:t>
      </w:r>
      <w:r w:rsidR="00DF120B" w:rsidRPr="00BC257E">
        <w:rPr>
          <w:rFonts w:cstheme="minorHAnsi"/>
          <w:bCs/>
          <w:color w:val="0000FF"/>
          <w:sz w:val="28"/>
          <w:szCs w:val="28"/>
          <w:u w:val="single"/>
        </w:rPr>
        <w:tab/>
      </w:r>
      <w:r w:rsidR="00BC257E" w:rsidRPr="00BC257E">
        <w:rPr>
          <w:rFonts w:cstheme="minorHAnsi"/>
          <w:bCs/>
          <w:color w:val="0000FF"/>
          <w:sz w:val="28"/>
          <w:szCs w:val="28"/>
          <w:u w:val="single"/>
        </w:rPr>
        <w:t xml:space="preserve"> </w:t>
      </w:r>
      <w:r w:rsidRPr="00BC257E">
        <w:rPr>
          <w:rFonts w:cstheme="minorHAnsi"/>
          <w:bCs/>
          <w:color w:val="0000FF"/>
          <w:sz w:val="28"/>
          <w:szCs w:val="28"/>
          <w:u w:val="single"/>
        </w:rPr>
        <w:t>αβ</w:t>
      </w:r>
      <w:r w:rsidR="00BC257E" w:rsidRPr="00BC257E">
        <w:rPr>
          <w:rFonts w:cstheme="minorHAnsi"/>
          <w:bCs/>
          <w:color w:val="0000FF"/>
          <w:sz w:val="28"/>
          <w:szCs w:val="28"/>
          <w:u w:val="single"/>
        </w:rPr>
        <w:tab/>
      </w:r>
      <w:r w:rsidR="00BC257E" w:rsidRPr="00BC257E">
        <w:rPr>
          <w:rFonts w:cstheme="minorHAnsi"/>
          <w:bCs/>
          <w:color w:val="0000FF"/>
          <w:sz w:val="28"/>
          <w:szCs w:val="28"/>
          <w:u w:val="single"/>
        </w:rPr>
        <w:tab/>
      </w:r>
      <w:r w:rsidR="00497D22" w:rsidRPr="00BC257E">
        <w:rPr>
          <w:rFonts w:cstheme="minorHAnsi"/>
          <w:bCs/>
          <w:color w:val="0000FF"/>
          <w:sz w:val="28"/>
          <w:szCs w:val="28"/>
          <w:u w:val="single"/>
        </w:rPr>
        <w:t xml:space="preserve"> </w:t>
      </w:r>
    </w:p>
    <w:p w14:paraId="67E20426" w14:textId="77777777" w:rsidR="00677E04" w:rsidRPr="007A55E5" w:rsidRDefault="00084CD5" w:rsidP="00FB2943">
      <w:pPr>
        <w:autoSpaceDE w:val="0"/>
        <w:autoSpaceDN w:val="0"/>
        <w:adjustRightInd w:val="0"/>
        <w:spacing w:after="0" w:line="240" w:lineRule="auto"/>
        <w:rPr>
          <w:rFonts w:cstheme="minorHAnsi"/>
          <w:bCs/>
          <w:color w:val="0000FF"/>
          <w:sz w:val="28"/>
          <w:szCs w:val="28"/>
        </w:rPr>
      </w:pPr>
      <w:r>
        <w:rPr>
          <w:rFonts w:cstheme="minorHAnsi"/>
          <w:bCs/>
          <w:color w:val="0000FF"/>
          <w:sz w:val="28"/>
          <w:szCs w:val="28"/>
        </w:rPr>
        <w:t xml:space="preserve">                </w:t>
      </w:r>
      <w:r>
        <w:rPr>
          <w:rFonts w:cstheme="minorHAnsi"/>
          <w:bCs/>
          <w:color w:val="0000FF"/>
          <w:sz w:val="28"/>
          <w:szCs w:val="28"/>
        </w:rPr>
        <w:tab/>
      </w:r>
      <w:r>
        <w:rPr>
          <w:rFonts w:cstheme="minorHAnsi"/>
          <w:bCs/>
          <w:color w:val="0000FF"/>
          <w:sz w:val="28"/>
          <w:szCs w:val="28"/>
        </w:rPr>
        <w:tab/>
      </w:r>
      <w:r>
        <w:rPr>
          <w:rFonts w:cstheme="minorHAnsi"/>
          <w:bCs/>
          <w:color w:val="0000FF"/>
          <w:sz w:val="28"/>
          <w:szCs w:val="28"/>
        </w:rPr>
        <w:tab/>
      </w:r>
      <w:r>
        <w:rPr>
          <w:rFonts w:cstheme="minorHAnsi"/>
          <w:bCs/>
          <w:color w:val="0000FF"/>
          <w:sz w:val="28"/>
          <w:szCs w:val="28"/>
        </w:rPr>
        <w:tab/>
      </w:r>
      <w:r>
        <w:rPr>
          <w:rFonts w:cstheme="minorHAnsi"/>
          <w:bCs/>
          <w:color w:val="0000FF"/>
          <w:sz w:val="28"/>
          <w:szCs w:val="28"/>
        </w:rPr>
        <w:tab/>
        <w:t xml:space="preserve">    </w:t>
      </w:r>
      <w:r w:rsidR="00677E04" w:rsidRPr="007A55E5">
        <w:rPr>
          <w:rFonts w:cstheme="minorHAnsi"/>
          <w:bCs/>
          <w:color w:val="0000FF"/>
          <w:sz w:val="28"/>
          <w:szCs w:val="28"/>
        </w:rPr>
        <w:t>(α + β + 1)(α+β)</w:t>
      </w:r>
      <w:r w:rsidR="00677E04" w:rsidRPr="007A55E5">
        <w:rPr>
          <w:rFonts w:cstheme="minorHAnsi"/>
          <w:bCs/>
          <w:color w:val="0000FF"/>
          <w:sz w:val="28"/>
          <w:szCs w:val="28"/>
          <w:vertAlign w:val="superscript"/>
        </w:rPr>
        <w:t xml:space="preserve">2  </w:t>
      </w:r>
      <w:r w:rsidR="00677E04" w:rsidRPr="007A55E5">
        <w:rPr>
          <w:rFonts w:cstheme="minorHAnsi"/>
          <w:bCs/>
          <w:color w:val="0000FF"/>
          <w:sz w:val="28"/>
          <w:szCs w:val="28"/>
        </w:rPr>
        <w:t xml:space="preserve"> </w:t>
      </w:r>
    </w:p>
    <w:p w14:paraId="64C60ABB" w14:textId="77777777" w:rsidR="00677E04" w:rsidRPr="007A55E5" w:rsidRDefault="00677E04" w:rsidP="00677E04">
      <w:pPr>
        <w:autoSpaceDE w:val="0"/>
        <w:autoSpaceDN w:val="0"/>
        <w:adjustRightInd w:val="0"/>
        <w:spacing w:after="0" w:line="240" w:lineRule="auto"/>
        <w:rPr>
          <w:rFonts w:cstheme="minorHAnsi"/>
          <w:bCs/>
          <w:color w:val="0000FF"/>
          <w:sz w:val="28"/>
          <w:szCs w:val="28"/>
        </w:rPr>
      </w:pPr>
    </w:p>
    <w:p w14:paraId="1C969B7A" w14:textId="77777777" w:rsidR="00BC257E" w:rsidRDefault="00677E04" w:rsidP="00677E04">
      <w:pPr>
        <w:autoSpaceDE w:val="0"/>
        <w:autoSpaceDN w:val="0"/>
        <w:adjustRightInd w:val="0"/>
        <w:spacing w:after="0" w:line="240" w:lineRule="auto"/>
        <w:rPr>
          <w:rFonts w:cstheme="minorHAnsi"/>
          <w:bCs/>
          <w:color w:val="0000FF"/>
          <w:sz w:val="28"/>
          <w:szCs w:val="28"/>
        </w:rPr>
      </w:pPr>
      <w:r>
        <w:rPr>
          <w:rFonts w:cstheme="minorHAnsi"/>
          <w:bCs/>
          <w:color w:val="0000FF"/>
        </w:rPr>
        <w:t>W</w:t>
      </w:r>
      <w:r w:rsidRPr="007A55E5">
        <w:rPr>
          <w:rFonts w:cstheme="minorHAnsi"/>
          <w:bCs/>
          <w:color w:val="0000FF"/>
        </w:rPr>
        <w:t xml:space="preserve">ithin-site </w:t>
      </w:r>
      <w:r>
        <w:rPr>
          <w:rFonts w:cstheme="minorHAnsi"/>
          <w:bCs/>
          <w:color w:val="0000FF"/>
        </w:rPr>
        <w:t>(</w:t>
      </w:r>
      <w:r w:rsidR="00497D22">
        <w:rPr>
          <w:rFonts w:cstheme="minorHAnsi"/>
          <w:bCs/>
          <w:color w:val="0000FF"/>
        </w:rPr>
        <w:t xml:space="preserve">or </w:t>
      </w:r>
      <w:r w:rsidRPr="007A55E5">
        <w:rPr>
          <w:rFonts w:cstheme="minorHAnsi"/>
          <w:bCs/>
          <w:color w:val="0000FF"/>
        </w:rPr>
        <w:t>hospital-specific</w:t>
      </w:r>
      <w:r>
        <w:rPr>
          <w:rFonts w:cstheme="minorHAnsi"/>
          <w:bCs/>
          <w:color w:val="0000FF"/>
        </w:rPr>
        <w:t>)</w:t>
      </w:r>
      <w:r w:rsidRPr="007A55E5">
        <w:rPr>
          <w:rFonts w:cstheme="minorHAnsi"/>
          <w:bCs/>
          <w:color w:val="0000FF"/>
        </w:rPr>
        <w:t xml:space="preserve"> variance</w:t>
      </w:r>
      <w:r w:rsidRPr="007A55E5">
        <w:rPr>
          <w:rFonts w:cstheme="minorHAnsi"/>
          <w:bCs/>
          <w:color w:val="0000FF"/>
          <w:sz w:val="28"/>
          <w:szCs w:val="28"/>
        </w:rPr>
        <w:t xml:space="preserve"> =</w:t>
      </w:r>
      <w:r w:rsidR="00BC257E">
        <w:rPr>
          <w:rFonts w:cstheme="minorHAnsi"/>
          <w:bCs/>
          <w:color w:val="0000FF"/>
          <w:sz w:val="28"/>
          <w:szCs w:val="28"/>
        </w:rPr>
        <w:t xml:space="preserve">    </w:t>
      </w:r>
      <w:r w:rsidR="00BC257E" w:rsidRPr="00BC257E">
        <w:rPr>
          <w:rFonts w:cstheme="minorHAnsi"/>
          <w:bCs/>
          <w:color w:val="0000FF"/>
          <w:sz w:val="28"/>
          <w:szCs w:val="28"/>
          <w:u w:val="single"/>
        </w:rPr>
        <w:t xml:space="preserve"> </w:t>
      </w:r>
      <w:r w:rsidR="00BC257E">
        <w:rPr>
          <w:rFonts w:cstheme="minorHAnsi"/>
          <w:bCs/>
          <w:color w:val="0000FF"/>
          <w:sz w:val="28"/>
          <w:szCs w:val="28"/>
          <w:u w:val="single"/>
        </w:rPr>
        <w:t xml:space="preserve">   </w:t>
      </w:r>
      <w:r w:rsidRPr="00BC257E">
        <w:rPr>
          <w:rFonts w:cstheme="minorHAnsi"/>
          <w:bCs/>
          <w:color w:val="0000FF"/>
          <w:sz w:val="28"/>
          <w:szCs w:val="28"/>
          <w:u w:val="single"/>
        </w:rPr>
        <w:t xml:space="preserve"> </w:t>
      </w:r>
      <m:oMath>
        <m:acc>
          <m:accPr>
            <m:ctrlPr>
              <w:rPr>
                <w:rFonts w:ascii="Cambria Math" w:hAnsi="Cambria Math" w:cstheme="minorHAnsi"/>
                <w:bCs/>
                <w:i/>
                <w:color w:val="0000FF"/>
                <w:sz w:val="28"/>
                <w:szCs w:val="28"/>
                <w:u w:val="single"/>
              </w:rPr>
            </m:ctrlPr>
          </m:accPr>
          <m:e>
            <m:r>
              <w:rPr>
                <w:rFonts w:ascii="Cambria Math" w:hAnsi="Cambria Math" w:cstheme="minorHAnsi"/>
                <w:color w:val="0000FF"/>
                <w:sz w:val="28"/>
                <w:szCs w:val="28"/>
                <w:u w:val="single"/>
              </w:rPr>
              <m:t>p</m:t>
            </m:r>
          </m:e>
        </m:acc>
      </m:oMath>
      <w:r w:rsidRPr="00FB2943">
        <w:rPr>
          <w:rFonts w:cstheme="minorHAnsi"/>
          <w:bCs/>
          <w:color w:val="0000FF"/>
          <w:sz w:val="28"/>
          <w:szCs w:val="28"/>
          <w:u w:val="single"/>
          <w:vertAlign w:val="subscript"/>
        </w:rPr>
        <w:t>ί</w:t>
      </w:r>
      <w:r w:rsidRPr="00FB2943">
        <w:rPr>
          <w:rFonts w:cstheme="minorHAnsi"/>
          <w:bCs/>
          <w:color w:val="0000FF"/>
          <w:sz w:val="28"/>
          <w:szCs w:val="28"/>
          <w:u w:val="single"/>
          <w:vertAlign w:val="superscript"/>
        </w:rPr>
        <w:t xml:space="preserve"> </w:t>
      </w:r>
      <w:r w:rsidRPr="00FB2943">
        <w:rPr>
          <w:rFonts w:cstheme="minorHAnsi"/>
          <w:bCs/>
          <w:color w:val="0000FF"/>
          <w:sz w:val="28"/>
          <w:szCs w:val="28"/>
          <w:u w:val="single"/>
        </w:rPr>
        <w:t>(1 –</w:t>
      </w:r>
      <w:r w:rsidRPr="00FB2943">
        <w:rPr>
          <w:rFonts w:cstheme="minorHAnsi"/>
          <w:bCs/>
          <w:color w:val="0000FF"/>
          <w:sz w:val="28"/>
          <w:szCs w:val="28"/>
          <w:u w:val="single"/>
          <w:vertAlign w:val="superscript"/>
        </w:rPr>
        <w:t xml:space="preserve"> </w:t>
      </w:r>
      <w:r w:rsidRPr="00FB2943">
        <w:rPr>
          <w:rFonts w:cstheme="minorHAnsi"/>
          <w:bCs/>
          <w:color w:val="0000FF"/>
          <w:sz w:val="28"/>
          <w:szCs w:val="28"/>
          <w:u w:val="single"/>
        </w:rPr>
        <w:t xml:space="preserve"> </w:t>
      </w:r>
      <m:oMath>
        <m:acc>
          <m:accPr>
            <m:ctrlPr>
              <w:rPr>
                <w:rFonts w:ascii="Cambria Math" w:hAnsi="Cambria Math" w:cstheme="minorHAnsi"/>
                <w:bCs/>
                <w:i/>
                <w:color w:val="0000FF"/>
                <w:sz w:val="28"/>
                <w:szCs w:val="28"/>
                <w:u w:val="single"/>
              </w:rPr>
            </m:ctrlPr>
          </m:accPr>
          <m:e>
            <m:r>
              <w:rPr>
                <w:rFonts w:ascii="Cambria Math" w:hAnsi="Cambria Math" w:cstheme="minorHAnsi"/>
                <w:color w:val="0000FF"/>
                <w:sz w:val="28"/>
                <w:szCs w:val="28"/>
                <w:u w:val="single"/>
              </w:rPr>
              <m:t>p</m:t>
            </m:r>
          </m:e>
        </m:acc>
      </m:oMath>
      <w:r w:rsidRPr="00FB2943">
        <w:rPr>
          <w:rFonts w:cstheme="minorHAnsi"/>
          <w:bCs/>
          <w:color w:val="0000FF"/>
          <w:sz w:val="28"/>
          <w:szCs w:val="28"/>
          <w:u w:val="single"/>
          <w:vertAlign w:val="subscript"/>
        </w:rPr>
        <w:t>ί</w:t>
      </w:r>
      <w:r w:rsidRPr="00FB2943">
        <w:rPr>
          <w:rFonts w:cstheme="minorHAnsi"/>
          <w:bCs/>
          <w:color w:val="0000FF"/>
          <w:sz w:val="28"/>
          <w:szCs w:val="28"/>
          <w:u w:val="single"/>
          <w:vertAlign w:val="superscript"/>
        </w:rPr>
        <w:t xml:space="preserve"> </w:t>
      </w:r>
      <w:r w:rsidRPr="00FB2943">
        <w:rPr>
          <w:rFonts w:cstheme="minorHAnsi"/>
          <w:bCs/>
          <w:color w:val="0000FF"/>
          <w:sz w:val="28"/>
          <w:szCs w:val="28"/>
          <w:u w:val="single"/>
        </w:rPr>
        <w:t>)</w:t>
      </w:r>
      <w:r w:rsidR="00BC257E" w:rsidRPr="00BC257E">
        <w:rPr>
          <w:rFonts w:cstheme="minorHAnsi"/>
          <w:bCs/>
          <w:color w:val="0000FF"/>
          <w:sz w:val="28"/>
          <w:szCs w:val="28"/>
          <w:u w:val="single"/>
        </w:rPr>
        <w:t xml:space="preserve"> </w:t>
      </w:r>
      <w:r w:rsidR="00BC257E" w:rsidRPr="00BC257E">
        <w:rPr>
          <w:rFonts w:cstheme="minorHAnsi"/>
          <w:bCs/>
          <w:color w:val="0000FF"/>
          <w:sz w:val="28"/>
          <w:szCs w:val="28"/>
          <w:u w:val="single"/>
        </w:rPr>
        <w:tab/>
      </w:r>
      <w:r w:rsidR="00497D22" w:rsidRPr="00FB2943">
        <w:rPr>
          <w:rFonts w:cstheme="minorHAnsi"/>
          <w:bCs/>
          <w:color w:val="0000FF"/>
          <w:sz w:val="28"/>
          <w:szCs w:val="28"/>
          <w:u w:val="single"/>
        </w:rPr>
        <w:t xml:space="preserve"> </w:t>
      </w:r>
    </w:p>
    <w:p w14:paraId="58D74E3E" w14:textId="77777777" w:rsidR="00677E04" w:rsidRPr="007A55E5" w:rsidRDefault="00BC257E" w:rsidP="00FB2943">
      <w:pPr>
        <w:autoSpaceDE w:val="0"/>
        <w:autoSpaceDN w:val="0"/>
        <w:adjustRightInd w:val="0"/>
        <w:spacing w:after="0" w:line="240" w:lineRule="auto"/>
        <w:ind w:left="3600" w:firstLine="720"/>
        <w:rPr>
          <w:rFonts w:cstheme="minorHAnsi"/>
          <w:bCs/>
          <w:color w:val="0000FF"/>
        </w:rPr>
      </w:pPr>
      <w:r>
        <w:rPr>
          <w:rFonts w:cstheme="minorHAnsi"/>
          <w:bCs/>
          <w:color w:val="0000FF"/>
          <w:sz w:val="28"/>
          <w:szCs w:val="28"/>
        </w:rPr>
        <w:t xml:space="preserve">   </w:t>
      </w:r>
      <w:r w:rsidR="00084CD5">
        <w:rPr>
          <w:rFonts w:cstheme="minorHAnsi"/>
          <w:bCs/>
          <w:color w:val="0000FF"/>
          <w:sz w:val="28"/>
          <w:szCs w:val="28"/>
        </w:rPr>
        <w:t xml:space="preserve">  </w:t>
      </w:r>
      <w:r>
        <w:rPr>
          <w:rFonts w:cstheme="minorHAnsi"/>
          <w:bCs/>
          <w:color w:val="0000FF"/>
          <w:sz w:val="28"/>
          <w:szCs w:val="28"/>
        </w:rPr>
        <w:t xml:space="preserve">  </w:t>
      </w:r>
      <w:r w:rsidR="00677E04" w:rsidRPr="007A55E5">
        <w:rPr>
          <w:rFonts w:cstheme="minorHAnsi"/>
          <w:bCs/>
          <w:color w:val="0000FF"/>
          <w:sz w:val="28"/>
          <w:szCs w:val="28"/>
        </w:rPr>
        <w:t>n</w:t>
      </w:r>
      <w:r w:rsidR="00677E04" w:rsidRPr="007A55E5">
        <w:rPr>
          <w:rFonts w:cstheme="minorHAnsi"/>
          <w:bCs/>
          <w:color w:val="0000FF"/>
          <w:sz w:val="28"/>
          <w:szCs w:val="28"/>
          <w:vertAlign w:val="subscript"/>
        </w:rPr>
        <w:t>ί</w:t>
      </w:r>
      <w:r w:rsidR="00677E04" w:rsidRPr="007A55E5">
        <w:rPr>
          <w:rFonts w:cstheme="minorHAnsi"/>
          <w:bCs/>
          <w:color w:val="0000FF"/>
          <w:sz w:val="28"/>
          <w:szCs w:val="28"/>
          <w:vertAlign w:val="superscript"/>
        </w:rPr>
        <w:t xml:space="preserve"> </w:t>
      </w:r>
      <w:r w:rsidR="00677E04" w:rsidRPr="007A55E5">
        <w:rPr>
          <w:rFonts w:cstheme="minorHAnsi"/>
          <w:bCs/>
          <w:color w:val="0000FF"/>
          <w:sz w:val="28"/>
          <w:szCs w:val="28"/>
          <w:vertAlign w:val="subscript"/>
        </w:rPr>
        <w:t xml:space="preserve">s    </w:t>
      </w:r>
    </w:p>
    <w:p w14:paraId="56E17FD5" w14:textId="77777777" w:rsidR="00677E04" w:rsidRDefault="00677E04" w:rsidP="00677E04">
      <w:pPr>
        <w:autoSpaceDE w:val="0"/>
        <w:autoSpaceDN w:val="0"/>
        <w:adjustRightInd w:val="0"/>
        <w:spacing w:after="0" w:line="240" w:lineRule="auto"/>
        <w:rPr>
          <w:rFonts w:cstheme="minorHAnsi"/>
          <w:bCs/>
          <w:color w:val="0000FF"/>
        </w:rPr>
      </w:pPr>
    </w:p>
    <w:p w14:paraId="23F1EA05" w14:textId="77777777" w:rsidR="00677E04" w:rsidRPr="007A55E5" w:rsidRDefault="00677E04" w:rsidP="00677E04">
      <w:pPr>
        <w:autoSpaceDE w:val="0"/>
        <w:autoSpaceDN w:val="0"/>
        <w:adjustRightInd w:val="0"/>
        <w:spacing w:after="0" w:line="240" w:lineRule="auto"/>
        <w:rPr>
          <w:rFonts w:cstheme="minorHAnsi"/>
          <w:bCs/>
          <w:color w:val="0000FF"/>
        </w:rPr>
      </w:pPr>
      <w:r w:rsidRPr="007A55E5">
        <w:rPr>
          <w:rFonts w:cstheme="minorHAnsi"/>
          <w:bCs/>
          <w:color w:val="0000FF"/>
        </w:rPr>
        <w:t xml:space="preserve">Where, </w:t>
      </w:r>
    </w:p>
    <w:p w14:paraId="12AB7AEA" w14:textId="77777777" w:rsidR="00677E04" w:rsidRPr="007A55E5" w:rsidRDefault="00677E04" w:rsidP="00677E04">
      <w:pPr>
        <w:autoSpaceDE w:val="0"/>
        <w:autoSpaceDN w:val="0"/>
        <w:adjustRightInd w:val="0"/>
        <w:spacing w:after="0" w:line="240" w:lineRule="auto"/>
        <w:rPr>
          <w:rFonts w:cstheme="minorHAnsi"/>
          <w:bCs/>
          <w:color w:val="0000FF"/>
        </w:rPr>
      </w:pPr>
    </w:p>
    <w:p w14:paraId="57972638" w14:textId="77777777" w:rsidR="00677E04" w:rsidRPr="007A55E5" w:rsidRDefault="00524AAC" w:rsidP="00677E04">
      <w:pPr>
        <w:autoSpaceDE w:val="0"/>
        <w:autoSpaceDN w:val="0"/>
        <w:adjustRightInd w:val="0"/>
        <w:spacing w:after="0" w:line="240" w:lineRule="auto"/>
        <w:rPr>
          <w:rFonts w:cstheme="minorHAnsi"/>
          <w:bCs/>
          <w:color w:val="0000FF"/>
        </w:rPr>
      </w:pPr>
      <m:oMath>
        <m:acc>
          <m:accPr>
            <m:ctrlPr>
              <w:rPr>
                <w:rFonts w:ascii="Cambria Math" w:hAnsi="Cambria Math" w:cstheme="minorHAnsi"/>
                <w:bCs/>
                <w:i/>
                <w:color w:val="0000FF"/>
                <w:sz w:val="28"/>
                <w:szCs w:val="28"/>
              </w:rPr>
            </m:ctrlPr>
          </m:accPr>
          <m:e>
            <m:r>
              <w:rPr>
                <w:rFonts w:ascii="Cambria Math" w:hAnsi="Cambria Math" w:cstheme="minorHAnsi"/>
                <w:color w:val="0000FF"/>
                <w:sz w:val="28"/>
                <w:szCs w:val="28"/>
              </w:rPr>
              <m:t>p</m:t>
            </m:r>
          </m:e>
        </m:acc>
      </m:oMath>
      <w:r w:rsidR="00BE231A" w:rsidRPr="007A55E5">
        <w:rPr>
          <w:rFonts w:cstheme="minorHAnsi"/>
          <w:bCs/>
          <w:color w:val="0000FF"/>
          <w:sz w:val="28"/>
          <w:szCs w:val="28"/>
          <w:vertAlign w:val="subscript"/>
        </w:rPr>
        <w:t>ί</w:t>
      </w:r>
      <w:r w:rsidR="00BE231A" w:rsidRPr="007A55E5">
        <w:rPr>
          <w:rFonts w:cstheme="minorHAnsi"/>
          <w:bCs/>
          <w:color w:val="0000FF"/>
          <w:sz w:val="28"/>
          <w:szCs w:val="28"/>
          <w:vertAlign w:val="superscript"/>
        </w:rPr>
        <w:t xml:space="preserve"> </w:t>
      </w:r>
      <w:r w:rsidR="00677E04" w:rsidRPr="007A55E5">
        <w:rPr>
          <w:rFonts w:ascii="Arial Unicode MS" w:eastAsia="Arial Unicode MS" w:hAnsi="Arial Unicode MS" w:cs="Arial Unicode MS"/>
          <w:bCs/>
          <w:color w:val="0000FF"/>
        </w:rPr>
        <w:t xml:space="preserve"> </w:t>
      </w:r>
      <w:r w:rsidR="00677E04" w:rsidRPr="007A55E5">
        <w:rPr>
          <w:rFonts w:cstheme="minorHAnsi"/>
          <w:bCs/>
          <w:color w:val="0000FF"/>
        </w:rPr>
        <w:t xml:space="preserve">= the proportion of patients who survived to discharge at hospital </w:t>
      </w:r>
      <w:r w:rsidR="00677E04" w:rsidRPr="007A55E5">
        <w:rPr>
          <w:rFonts w:cstheme="minorHAnsi"/>
          <w:bCs/>
          <w:color w:val="0000FF"/>
          <w:sz w:val="28"/>
          <w:szCs w:val="28"/>
          <w:vertAlign w:val="subscript"/>
        </w:rPr>
        <w:t>ί</w:t>
      </w:r>
      <w:r w:rsidR="00677E04" w:rsidRPr="007A55E5">
        <w:rPr>
          <w:rFonts w:cstheme="minorHAnsi"/>
          <w:bCs/>
          <w:color w:val="0000FF"/>
        </w:rPr>
        <w:t xml:space="preserve">.  </w:t>
      </w:r>
    </w:p>
    <w:p w14:paraId="5CA2098F" w14:textId="77777777" w:rsidR="00677E04" w:rsidRPr="007A55E5" w:rsidRDefault="00677E04" w:rsidP="00677E04">
      <w:pPr>
        <w:autoSpaceDE w:val="0"/>
        <w:autoSpaceDN w:val="0"/>
        <w:adjustRightInd w:val="0"/>
        <w:spacing w:after="0" w:line="240" w:lineRule="auto"/>
        <w:rPr>
          <w:rFonts w:cstheme="minorHAnsi"/>
          <w:bCs/>
          <w:color w:val="0000FF"/>
        </w:rPr>
      </w:pPr>
    </w:p>
    <w:p w14:paraId="4F559D46" w14:textId="734CA326" w:rsidR="00677E04" w:rsidRDefault="00677E04" w:rsidP="008C54A9">
      <w:pPr>
        <w:autoSpaceDE w:val="0"/>
        <w:autoSpaceDN w:val="0"/>
        <w:adjustRightInd w:val="0"/>
        <w:spacing w:after="0" w:line="240" w:lineRule="auto"/>
        <w:rPr>
          <w:rFonts w:cstheme="minorHAnsi"/>
          <w:bCs/>
          <w:color w:val="0000FF"/>
        </w:rPr>
      </w:pPr>
      <w:r w:rsidRPr="007A55E5">
        <w:rPr>
          <w:rFonts w:cstheme="minorHAnsi"/>
          <w:bCs/>
          <w:color w:val="0000FF"/>
          <w:sz w:val="28"/>
          <w:szCs w:val="28"/>
        </w:rPr>
        <w:t>n</w:t>
      </w:r>
      <w:r w:rsidRPr="007A55E5">
        <w:rPr>
          <w:rFonts w:cstheme="minorHAnsi"/>
          <w:bCs/>
          <w:color w:val="0000FF"/>
          <w:sz w:val="28"/>
          <w:szCs w:val="28"/>
          <w:vertAlign w:val="subscript"/>
        </w:rPr>
        <w:t>ί</w:t>
      </w:r>
      <w:r w:rsidRPr="007A55E5">
        <w:rPr>
          <w:rFonts w:cstheme="minorHAnsi"/>
          <w:bCs/>
          <w:color w:val="0000FF"/>
          <w:vertAlign w:val="subscript"/>
        </w:rPr>
        <w:t>s</w:t>
      </w:r>
      <w:r w:rsidRPr="007A55E5">
        <w:rPr>
          <w:rFonts w:cstheme="minorHAnsi"/>
          <w:bCs/>
          <w:color w:val="0000FF"/>
        </w:rPr>
        <w:t xml:space="preserve"> = the total number of cardiac arrest events at hospital </w:t>
      </w:r>
      <w:r w:rsidRPr="007A55E5">
        <w:rPr>
          <w:rFonts w:cstheme="minorHAnsi"/>
          <w:bCs/>
          <w:color w:val="0000FF"/>
          <w:sz w:val="28"/>
          <w:szCs w:val="28"/>
          <w:vertAlign w:val="subscript"/>
        </w:rPr>
        <w:t>ί</w:t>
      </w:r>
      <w:r>
        <w:rPr>
          <w:rFonts w:cstheme="minorHAnsi"/>
          <w:bCs/>
          <w:color w:val="0000FF"/>
        </w:rPr>
        <w:t xml:space="preserve">. </w:t>
      </w:r>
    </w:p>
    <w:p w14:paraId="5E1BCF01" w14:textId="6BE15046" w:rsidR="00613764" w:rsidRDefault="00613764" w:rsidP="008C54A9">
      <w:pPr>
        <w:autoSpaceDE w:val="0"/>
        <w:autoSpaceDN w:val="0"/>
        <w:adjustRightInd w:val="0"/>
        <w:spacing w:after="0" w:line="240" w:lineRule="auto"/>
        <w:rPr>
          <w:rFonts w:cstheme="minorHAnsi"/>
          <w:bCs/>
          <w:color w:val="0000FF"/>
        </w:rPr>
      </w:pPr>
    </w:p>
    <w:p w14:paraId="3DD17162" w14:textId="7FFB843D" w:rsidR="00613764" w:rsidRPr="00613764" w:rsidRDefault="00613764" w:rsidP="008C54A9">
      <w:pPr>
        <w:autoSpaceDE w:val="0"/>
        <w:autoSpaceDN w:val="0"/>
        <w:adjustRightInd w:val="0"/>
        <w:spacing w:after="0" w:line="240" w:lineRule="auto"/>
        <w:rPr>
          <w:rFonts w:cstheme="minorHAnsi"/>
          <w:bCs/>
          <w:color w:val="0000FF"/>
          <w:szCs w:val="28"/>
        </w:rPr>
      </w:pPr>
      <w:r w:rsidRPr="00461C0D">
        <w:rPr>
          <w:rFonts w:cstheme="minorHAnsi"/>
          <w:bCs/>
          <w:color w:val="0000FF"/>
          <w:sz w:val="28"/>
          <w:szCs w:val="28"/>
        </w:rPr>
        <w:t>α</w:t>
      </w:r>
      <w:r w:rsidRPr="00613764">
        <w:rPr>
          <w:rFonts w:cstheme="minorHAnsi"/>
          <w:bCs/>
          <w:color w:val="0000FF"/>
          <w:szCs w:val="28"/>
        </w:rPr>
        <w:t xml:space="preserve">, β = </w:t>
      </w:r>
      <w:r>
        <w:rPr>
          <w:rFonts w:cstheme="minorHAnsi"/>
          <w:bCs/>
          <w:color w:val="0000FF"/>
          <w:szCs w:val="28"/>
        </w:rPr>
        <w:t xml:space="preserve">shape parameters </w:t>
      </w:r>
    </w:p>
    <w:p w14:paraId="227F569B" w14:textId="77777777" w:rsidR="008C54A9" w:rsidRPr="00A25024" w:rsidRDefault="008C54A9" w:rsidP="008C54A9">
      <w:pPr>
        <w:autoSpaceDE w:val="0"/>
        <w:autoSpaceDN w:val="0"/>
        <w:adjustRightInd w:val="0"/>
        <w:spacing w:after="0" w:line="240" w:lineRule="auto"/>
        <w:rPr>
          <w:rFonts w:cstheme="minorHAnsi"/>
          <w:bCs/>
        </w:rPr>
      </w:pPr>
    </w:p>
    <w:p w14:paraId="0A2A396D" w14:textId="77777777" w:rsidR="00677E04" w:rsidRDefault="00092566" w:rsidP="008C54A9">
      <w:pPr>
        <w:autoSpaceDE w:val="0"/>
        <w:autoSpaceDN w:val="0"/>
        <w:adjustRightInd w:val="0"/>
        <w:spacing w:after="0" w:line="240" w:lineRule="auto"/>
        <w:rPr>
          <w:rFonts w:cstheme="minorHAnsi"/>
          <w:bCs/>
        </w:rPr>
      </w:pPr>
      <w:r w:rsidRPr="001E0817">
        <w:rPr>
          <w:rFonts w:cstheme="minorHAnsi"/>
          <w:b/>
          <w:bCs/>
        </w:rPr>
        <w:t>2a2.</w:t>
      </w:r>
      <w:r w:rsidR="008C54A9" w:rsidRPr="001E0817">
        <w:rPr>
          <w:rFonts w:cstheme="minorHAnsi"/>
          <w:b/>
          <w:bCs/>
        </w:rPr>
        <w:t xml:space="preserve">3. For each level </w:t>
      </w:r>
      <w:r w:rsidR="008F7E67" w:rsidRPr="001E0817">
        <w:rPr>
          <w:rFonts w:cstheme="minorHAnsi"/>
          <w:b/>
          <w:bCs/>
        </w:rPr>
        <w:t xml:space="preserve">of testing </w:t>
      </w:r>
      <w:r w:rsidR="008C54A9" w:rsidRPr="001E0817">
        <w:rPr>
          <w:rFonts w:cstheme="minorHAnsi"/>
          <w:b/>
          <w:bCs/>
        </w:rPr>
        <w:t>checked above, w</w:t>
      </w:r>
      <w:r w:rsidR="00900DBF" w:rsidRPr="001E0817">
        <w:rPr>
          <w:rFonts w:cstheme="minorHAnsi"/>
          <w:b/>
          <w:bCs/>
        </w:rPr>
        <w:t>hat were the statistical results</w:t>
      </w:r>
      <w:r w:rsidR="007422FD" w:rsidRPr="001E0817">
        <w:rPr>
          <w:rFonts w:cstheme="minorHAnsi"/>
          <w:b/>
          <w:bCs/>
        </w:rPr>
        <w:t xml:space="preserve"> from reliability testing</w:t>
      </w:r>
      <w:r w:rsidR="00900DBF" w:rsidRPr="001E0817">
        <w:rPr>
          <w:rFonts w:cstheme="minorHAnsi"/>
          <w:bCs/>
        </w:rPr>
        <w:t>?</w:t>
      </w:r>
      <w:r w:rsidR="00B037BA" w:rsidRPr="001E0817">
        <w:rPr>
          <w:rFonts w:cstheme="minorHAnsi"/>
          <w:bCs/>
        </w:rPr>
        <w:t xml:space="preserve"> </w:t>
      </w:r>
      <w:r w:rsidR="00AA5213" w:rsidRPr="001E0817">
        <w:rPr>
          <w:rFonts w:cstheme="minorHAnsi"/>
          <w:bCs/>
        </w:rPr>
        <w:t xml:space="preserve"> (e</w:t>
      </w:r>
      <w:r w:rsidR="00AA5213" w:rsidRPr="001E0817">
        <w:rPr>
          <w:rFonts w:cstheme="minorHAnsi"/>
          <w:bCs/>
          <w:i/>
        </w:rPr>
        <w:t>.g., percent agreement and kappa for the critical data elements; distribution of reliability statistics from a signal-to-noise analysis</w:t>
      </w:r>
      <w:r w:rsidR="00AA5213" w:rsidRPr="001E0817">
        <w:rPr>
          <w:rFonts w:cstheme="minorHAnsi"/>
          <w:bCs/>
        </w:rPr>
        <w:t>)</w:t>
      </w:r>
    </w:p>
    <w:p w14:paraId="10E9B828" w14:textId="78A7AF65" w:rsidR="00677E04" w:rsidRDefault="00677E04" w:rsidP="008C54A9">
      <w:pPr>
        <w:autoSpaceDE w:val="0"/>
        <w:autoSpaceDN w:val="0"/>
        <w:adjustRightInd w:val="0"/>
        <w:spacing w:after="0" w:line="240" w:lineRule="auto"/>
        <w:rPr>
          <w:rFonts w:cstheme="minorHAnsi"/>
          <w:bCs/>
        </w:rPr>
      </w:pPr>
    </w:p>
    <w:p w14:paraId="2119F1CF" w14:textId="77777777" w:rsidR="00CB7C67" w:rsidRDefault="00203D9E" w:rsidP="00677E04">
      <w:pPr>
        <w:pStyle w:val="NoSpacing"/>
        <w:rPr>
          <w:color w:val="0000FF"/>
        </w:rPr>
      </w:pPr>
      <w:r w:rsidRPr="00461C0D">
        <w:rPr>
          <w:color w:val="0000FF"/>
        </w:rPr>
        <w:lastRenderedPageBreak/>
        <w:t xml:space="preserve">We calculated reliability statistics for the entire prospective validation period, and then for years 2013 and 2014 separately.  </w:t>
      </w:r>
    </w:p>
    <w:p w14:paraId="02071D13" w14:textId="77777777" w:rsidR="00CB7C67" w:rsidRDefault="00CB7C67" w:rsidP="00677E04">
      <w:pPr>
        <w:pStyle w:val="NoSpacing"/>
        <w:rPr>
          <w:color w:val="0000FF"/>
        </w:rPr>
      </w:pPr>
    </w:p>
    <w:p w14:paraId="5621236E" w14:textId="7568BBC7" w:rsidR="00FA5091" w:rsidRPr="008816B2" w:rsidRDefault="00CB7C67" w:rsidP="00677E04">
      <w:pPr>
        <w:pStyle w:val="NoSpacing"/>
        <w:rPr>
          <w:color w:val="0000FF"/>
        </w:rPr>
      </w:pPr>
      <w:r>
        <w:rPr>
          <w:color w:val="0000FF"/>
        </w:rPr>
        <w:t>For the entire prospective validation period of 2011 to May 2015, t</w:t>
      </w:r>
      <w:r w:rsidR="00FA5091">
        <w:rPr>
          <w:color w:val="0000FF"/>
        </w:rPr>
        <w:t xml:space="preserve">he signal-to noise analysis </w:t>
      </w:r>
      <w:r w:rsidR="00EC060A">
        <w:rPr>
          <w:color w:val="0000FF"/>
        </w:rPr>
        <w:t>resulted</w:t>
      </w:r>
      <w:r w:rsidR="00AC7EB8">
        <w:rPr>
          <w:color w:val="0000FF"/>
        </w:rPr>
        <w:t xml:space="preserve"> in</w:t>
      </w:r>
      <w:r w:rsidR="00FA5091">
        <w:rPr>
          <w:color w:val="0000FF"/>
        </w:rPr>
        <w:t xml:space="preserve"> a mean reliability </w:t>
      </w:r>
      <w:r w:rsidR="00AC7EB8">
        <w:rPr>
          <w:color w:val="0000FF"/>
        </w:rPr>
        <w:t xml:space="preserve">score </w:t>
      </w:r>
      <w:r w:rsidR="00FA5091">
        <w:rPr>
          <w:color w:val="0000FF"/>
        </w:rPr>
        <w:t xml:space="preserve">of </w:t>
      </w:r>
      <w:r>
        <w:rPr>
          <w:color w:val="0000FF"/>
        </w:rPr>
        <w:t>0</w:t>
      </w:r>
      <w:r w:rsidR="00397E93">
        <w:rPr>
          <w:color w:val="0000FF"/>
        </w:rPr>
        <w:t xml:space="preserve">.76 and </w:t>
      </w:r>
      <w:r>
        <w:rPr>
          <w:color w:val="0000FF"/>
        </w:rPr>
        <w:t xml:space="preserve">a </w:t>
      </w:r>
      <w:r w:rsidR="00397E93">
        <w:rPr>
          <w:color w:val="0000FF"/>
        </w:rPr>
        <w:t xml:space="preserve">median reliability score was </w:t>
      </w:r>
      <w:r>
        <w:rPr>
          <w:color w:val="0000FF"/>
        </w:rPr>
        <w:t>0</w:t>
      </w:r>
      <w:r w:rsidR="00397E93">
        <w:rPr>
          <w:color w:val="0000FF"/>
        </w:rPr>
        <w:t>.78</w:t>
      </w:r>
      <w:r>
        <w:rPr>
          <w:color w:val="0000FF"/>
        </w:rPr>
        <w:t xml:space="preserve"> for hospitals eligible for the measure</w:t>
      </w:r>
      <w:r w:rsidR="00397E93">
        <w:rPr>
          <w:color w:val="0000FF"/>
        </w:rPr>
        <w:t>.</w:t>
      </w:r>
      <w:r w:rsidR="00FA5091">
        <w:rPr>
          <w:color w:val="0000FF"/>
        </w:rPr>
        <w:t xml:space="preserve">  </w:t>
      </w:r>
      <w:r>
        <w:rPr>
          <w:color w:val="0000FF"/>
        </w:rPr>
        <w:t>For the 1-year period of 2013, the mean and median reliability scores were 0.70 and 0.72, respectively.  And for year 2014, the mean and median reliability scores were 0.67 and 0.68, respectively.</w:t>
      </w:r>
    </w:p>
    <w:p w14:paraId="50590A1A" w14:textId="77777777" w:rsidR="007422FD" w:rsidRPr="009E1674" w:rsidRDefault="007422FD" w:rsidP="008C54A9">
      <w:pPr>
        <w:autoSpaceDE w:val="0"/>
        <w:autoSpaceDN w:val="0"/>
        <w:adjustRightInd w:val="0"/>
        <w:spacing w:after="0" w:line="240" w:lineRule="auto"/>
        <w:rPr>
          <w:rFonts w:ascii="Calibri" w:eastAsia="Calibri" w:hAnsi="Calibri" w:cs="Times New Roman"/>
          <w:color w:val="0000FF"/>
        </w:rPr>
      </w:pPr>
    </w:p>
    <w:p w14:paraId="0E015A3E" w14:textId="64F80CC8" w:rsidR="003B22AB" w:rsidRPr="00A25024" w:rsidRDefault="00941F42" w:rsidP="008C54A9">
      <w:pPr>
        <w:autoSpaceDE w:val="0"/>
        <w:autoSpaceDN w:val="0"/>
        <w:adjustRightInd w:val="0"/>
        <w:spacing w:after="0" w:line="240" w:lineRule="auto"/>
        <w:rPr>
          <w:rFonts w:cstheme="minorHAnsi"/>
          <w:bCs/>
        </w:rPr>
      </w:pPr>
      <w:r>
        <w:rPr>
          <w:rFonts w:ascii="Calibri" w:eastAsia="Calibri" w:hAnsi="Calibri" w:cs="Times New Roman"/>
          <w:color w:val="0000FF"/>
        </w:rPr>
        <w:t xml:space="preserve"> </w:t>
      </w:r>
    </w:p>
    <w:p w14:paraId="64EFBEE8"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5C7BC7EF" w14:textId="13B26927" w:rsidR="00677E04" w:rsidRPr="00677E04" w:rsidRDefault="00E553CB" w:rsidP="00677E04">
      <w:pPr>
        <w:spacing w:after="0" w:line="240" w:lineRule="auto"/>
        <w:rPr>
          <w:color w:val="0000FF"/>
          <w:szCs w:val="20"/>
        </w:rPr>
      </w:pPr>
      <w:r>
        <w:rPr>
          <w:color w:val="0000FF"/>
          <w:szCs w:val="20"/>
        </w:rPr>
        <w:t>There was moderate r</w:t>
      </w:r>
      <w:r w:rsidR="00677E04">
        <w:rPr>
          <w:color w:val="0000FF"/>
          <w:szCs w:val="20"/>
        </w:rPr>
        <w:t xml:space="preserve">eliability </w:t>
      </w:r>
      <w:r>
        <w:rPr>
          <w:color w:val="0000FF"/>
          <w:szCs w:val="20"/>
        </w:rPr>
        <w:t xml:space="preserve">in the </w:t>
      </w:r>
      <w:r w:rsidR="004838E6">
        <w:rPr>
          <w:rFonts w:cstheme="minorHAnsi"/>
          <w:color w:val="0000FF"/>
        </w:rPr>
        <w:t xml:space="preserve">risk-standardized survival rate </w:t>
      </w:r>
      <w:r>
        <w:rPr>
          <w:color w:val="0000FF"/>
          <w:szCs w:val="20"/>
        </w:rPr>
        <w:t xml:space="preserve">measure, based on </w:t>
      </w:r>
      <w:r w:rsidR="002B748F">
        <w:rPr>
          <w:color w:val="0000FF"/>
          <w:szCs w:val="20"/>
        </w:rPr>
        <w:t xml:space="preserve">the </w:t>
      </w:r>
      <w:r w:rsidR="0031553D">
        <w:rPr>
          <w:color w:val="0000FF"/>
          <w:szCs w:val="20"/>
        </w:rPr>
        <w:t xml:space="preserve">results of the </w:t>
      </w:r>
      <w:r>
        <w:rPr>
          <w:color w:val="0000FF"/>
          <w:szCs w:val="20"/>
        </w:rPr>
        <w:t xml:space="preserve">signal to noise </w:t>
      </w:r>
      <w:r w:rsidR="0031553D">
        <w:rPr>
          <w:color w:val="0000FF"/>
          <w:szCs w:val="20"/>
        </w:rPr>
        <w:t>analysis.</w:t>
      </w:r>
    </w:p>
    <w:p w14:paraId="13B20D1E"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30AE03F4"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1EDA6921" w14:textId="11B9CF87"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BFFE763" w14:textId="68CFA4EF" w:rsidR="00696262" w:rsidRPr="00A25024" w:rsidRDefault="00524AA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677E0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635C96FB" w14:textId="04EFB508" w:rsidR="000574AB" w:rsidRPr="00A25024" w:rsidRDefault="00524AA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677E0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7219091A" w14:textId="77777777" w:rsidR="00CA06D8" w:rsidRPr="00A25024" w:rsidRDefault="00CA06D8" w:rsidP="00DB3627">
      <w:pPr>
        <w:autoSpaceDE w:val="0"/>
        <w:autoSpaceDN w:val="0"/>
        <w:adjustRightInd w:val="0"/>
        <w:spacing w:after="0" w:line="240" w:lineRule="auto"/>
        <w:rPr>
          <w:rFonts w:cstheme="minorHAnsi"/>
        </w:rPr>
      </w:pPr>
    </w:p>
    <w:p w14:paraId="457F1631" w14:textId="77777777"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783376F" w14:textId="77777777" w:rsidR="00677E04" w:rsidRPr="00A2388E" w:rsidRDefault="00677E04" w:rsidP="00677E04">
      <w:pPr>
        <w:rPr>
          <w:color w:val="0000FF"/>
          <w:szCs w:val="20"/>
          <w:u w:val="single"/>
        </w:rPr>
      </w:pPr>
      <w:r w:rsidRPr="00A2388E">
        <w:rPr>
          <w:color w:val="0000FF"/>
          <w:szCs w:val="20"/>
          <w:u w:val="single"/>
        </w:rPr>
        <w:t>Face validity of the measure score as an indicator of quality was systematically assessed as follows:</w:t>
      </w:r>
    </w:p>
    <w:p w14:paraId="3FF26ACD" w14:textId="77777777" w:rsidR="00833325" w:rsidRPr="00677E04" w:rsidRDefault="00677E04" w:rsidP="00677E04">
      <w:pPr>
        <w:rPr>
          <w:color w:val="0000FF"/>
          <w:szCs w:val="20"/>
        </w:rPr>
      </w:pPr>
      <w:r w:rsidRPr="00AC31B5">
        <w:rPr>
          <w:color w:val="0000FF"/>
          <w:szCs w:val="20"/>
        </w:rPr>
        <w:t>After the measure was fully specified, the expert panel was asked to rate their agreement with the following statement:</w:t>
      </w:r>
      <w:r w:rsidR="00272FC7">
        <w:rPr>
          <w:color w:val="0000FF"/>
          <w:szCs w:val="20"/>
        </w:rPr>
        <w:t xml:space="preserve">  “</w:t>
      </w:r>
      <w:r w:rsidRPr="00AC31B5">
        <w:rPr>
          <w:color w:val="0000FF"/>
          <w:szCs w:val="20"/>
        </w:rPr>
        <w:t>The scores obtained from the measure as specified will provide an accurate reflection of quality and can be used to distinguish good and poor quality.</w:t>
      </w:r>
      <w:r w:rsidR="00272FC7">
        <w:rPr>
          <w:color w:val="0000FF"/>
          <w:szCs w:val="20"/>
        </w:rPr>
        <w:t>” The following rating scale from 1 to 5 was used</w:t>
      </w:r>
      <w:r w:rsidRPr="00AC31B5">
        <w:rPr>
          <w:color w:val="0000FF"/>
          <w:szCs w:val="20"/>
        </w:rPr>
        <w:t xml:space="preserve">, where 1= Strongly Disagree; 3= Neither Agree nor Disagree; </w:t>
      </w:r>
      <w:r w:rsidR="00272FC7">
        <w:rPr>
          <w:color w:val="0000FF"/>
          <w:szCs w:val="20"/>
        </w:rPr>
        <w:t xml:space="preserve">and </w:t>
      </w:r>
      <w:r w:rsidRPr="00AC31B5">
        <w:rPr>
          <w:color w:val="0000FF"/>
          <w:szCs w:val="20"/>
        </w:rPr>
        <w:t>5= Strongly Agree</w:t>
      </w:r>
      <w:r w:rsidR="00272FC7">
        <w:rPr>
          <w:color w:val="0000FF"/>
          <w:szCs w:val="20"/>
        </w:rPr>
        <w:t xml:space="preserve">.  </w:t>
      </w:r>
      <w:r>
        <w:rPr>
          <w:color w:val="0000FF"/>
          <w:szCs w:val="20"/>
        </w:rPr>
        <w:t>The</w:t>
      </w:r>
      <w:r w:rsidRPr="00AC31B5">
        <w:rPr>
          <w:color w:val="0000FF"/>
          <w:szCs w:val="20"/>
        </w:rPr>
        <w:t xml:space="preserve"> expert panel included </w:t>
      </w:r>
      <w:r>
        <w:rPr>
          <w:color w:val="0000FF"/>
          <w:szCs w:val="20"/>
        </w:rPr>
        <w:t xml:space="preserve">34 </w:t>
      </w:r>
      <w:r w:rsidRPr="00AC31B5">
        <w:rPr>
          <w:color w:val="0000FF"/>
          <w:szCs w:val="20"/>
        </w:rPr>
        <w:t xml:space="preserve">members. </w:t>
      </w:r>
      <w:r>
        <w:rPr>
          <w:color w:val="0000FF"/>
          <w:szCs w:val="20"/>
        </w:rPr>
        <w:t xml:space="preserve">Panel members were comprised of experts from the PCPI Cardiovascular Technical Expert Panel and the AHA Emergency Cardiac Care Committee. </w:t>
      </w:r>
    </w:p>
    <w:p w14:paraId="51F80D45" w14:textId="77777777" w:rsidR="00677E04"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421DEE4" w14:textId="77777777" w:rsidR="00677E04" w:rsidRDefault="00677E04" w:rsidP="00092566">
      <w:pPr>
        <w:autoSpaceDE w:val="0"/>
        <w:autoSpaceDN w:val="0"/>
        <w:adjustRightInd w:val="0"/>
        <w:spacing w:after="0" w:line="240" w:lineRule="auto"/>
        <w:rPr>
          <w:rFonts w:cstheme="minorHAnsi"/>
          <w:bCs/>
        </w:rPr>
      </w:pPr>
    </w:p>
    <w:p w14:paraId="1270ADF8" w14:textId="77777777" w:rsidR="00677E04" w:rsidRPr="00CC4A28" w:rsidRDefault="00677E04" w:rsidP="00677E04">
      <w:pPr>
        <w:rPr>
          <w:color w:val="0000FF"/>
          <w:szCs w:val="20"/>
          <w:u w:val="single"/>
        </w:rPr>
      </w:pPr>
      <w:r w:rsidRPr="00CC4A28">
        <w:rPr>
          <w:color w:val="0000FF"/>
          <w:szCs w:val="20"/>
          <w:u w:val="single"/>
        </w:rPr>
        <w:t>Frequency Distribution of Rating</w:t>
      </w:r>
      <w:r>
        <w:rPr>
          <w:color w:val="0000FF"/>
          <w:szCs w:val="20"/>
          <w:u w:val="single"/>
        </w:rPr>
        <w:t>s</w:t>
      </w:r>
    </w:p>
    <w:p w14:paraId="07CEAE1B" w14:textId="77777777" w:rsidR="00677E04" w:rsidRPr="00CC4A28" w:rsidRDefault="00677E04" w:rsidP="00272FC7">
      <w:pPr>
        <w:spacing w:after="0" w:line="240" w:lineRule="auto"/>
        <w:rPr>
          <w:color w:val="0000FF"/>
          <w:szCs w:val="20"/>
        </w:rPr>
      </w:pPr>
      <w:r>
        <w:rPr>
          <w:color w:val="0000FF"/>
          <w:szCs w:val="20"/>
        </w:rPr>
        <w:t xml:space="preserve">1 </w:t>
      </w:r>
      <w:r w:rsidRPr="00CC4A28">
        <w:rPr>
          <w:color w:val="0000FF"/>
          <w:szCs w:val="20"/>
        </w:rPr>
        <w:t>(Strongly Disagree)</w:t>
      </w:r>
      <w:r w:rsidR="00272FC7">
        <w:rPr>
          <w:color w:val="0000FF"/>
          <w:szCs w:val="20"/>
        </w:rPr>
        <w:t xml:space="preserve"> - 1 response (2.9%)</w:t>
      </w:r>
    </w:p>
    <w:p w14:paraId="1EF9FF54" w14:textId="77777777" w:rsidR="00677E04" w:rsidRPr="00CC4A28" w:rsidRDefault="00677E04" w:rsidP="00272FC7">
      <w:pPr>
        <w:spacing w:after="0" w:line="240" w:lineRule="auto"/>
        <w:rPr>
          <w:color w:val="0000FF"/>
          <w:szCs w:val="20"/>
        </w:rPr>
      </w:pPr>
      <w:r>
        <w:rPr>
          <w:color w:val="0000FF"/>
          <w:szCs w:val="20"/>
        </w:rPr>
        <w:t>2 (Disagree)</w:t>
      </w:r>
      <w:r w:rsidR="00272FC7">
        <w:rPr>
          <w:color w:val="0000FF"/>
          <w:szCs w:val="20"/>
        </w:rPr>
        <w:t xml:space="preserve"> - 3 </w:t>
      </w:r>
      <w:r w:rsidR="00272FC7" w:rsidRPr="00CC4A28">
        <w:rPr>
          <w:color w:val="0000FF"/>
          <w:szCs w:val="20"/>
        </w:rPr>
        <w:t>responses</w:t>
      </w:r>
      <w:r w:rsidR="00272FC7">
        <w:rPr>
          <w:color w:val="0000FF"/>
          <w:szCs w:val="20"/>
        </w:rPr>
        <w:t xml:space="preserve"> (8.8%)</w:t>
      </w:r>
    </w:p>
    <w:p w14:paraId="77C4F1DC" w14:textId="77777777" w:rsidR="00677E04" w:rsidRPr="00CC4A28" w:rsidRDefault="00677E04" w:rsidP="00272FC7">
      <w:pPr>
        <w:spacing w:after="0" w:line="240" w:lineRule="auto"/>
        <w:rPr>
          <w:color w:val="0000FF"/>
          <w:szCs w:val="20"/>
        </w:rPr>
      </w:pPr>
      <w:r>
        <w:rPr>
          <w:color w:val="0000FF"/>
          <w:szCs w:val="20"/>
        </w:rPr>
        <w:t xml:space="preserve">3 </w:t>
      </w:r>
      <w:r w:rsidRPr="00CC4A28">
        <w:rPr>
          <w:color w:val="0000FF"/>
          <w:szCs w:val="20"/>
        </w:rPr>
        <w:t>(Neither Agree nor Disagree)</w:t>
      </w:r>
      <w:r w:rsidR="00272FC7">
        <w:rPr>
          <w:color w:val="0000FF"/>
          <w:szCs w:val="20"/>
        </w:rPr>
        <w:t xml:space="preserve"> - 6 responses (17.6%)</w:t>
      </w:r>
    </w:p>
    <w:p w14:paraId="597F758A" w14:textId="77777777" w:rsidR="00677E04" w:rsidRPr="00CC4A28" w:rsidRDefault="00677E04" w:rsidP="00272FC7">
      <w:pPr>
        <w:spacing w:after="0" w:line="240" w:lineRule="auto"/>
        <w:rPr>
          <w:color w:val="0000FF"/>
          <w:szCs w:val="20"/>
        </w:rPr>
      </w:pPr>
      <w:r>
        <w:rPr>
          <w:color w:val="0000FF"/>
          <w:szCs w:val="20"/>
        </w:rPr>
        <w:t>4 (Agree)</w:t>
      </w:r>
      <w:r w:rsidR="00272FC7">
        <w:rPr>
          <w:color w:val="0000FF"/>
          <w:szCs w:val="20"/>
        </w:rPr>
        <w:t xml:space="preserve"> - 17</w:t>
      </w:r>
      <w:r w:rsidR="00272FC7" w:rsidRPr="00CC4A28">
        <w:rPr>
          <w:color w:val="0000FF"/>
          <w:szCs w:val="20"/>
        </w:rPr>
        <w:t xml:space="preserve"> responses</w:t>
      </w:r>
      <w:r w:rsidR="00272FC7">
        <w:rPr>
          <w:color w:val="0000FF"/>
          <w:szCs w:val="20"/>
        </w:rPr>
        <w:t xml:space="preserve"> (50%)</w:t>
      </w:r>
    </w:p>
    <w:p w14:paraId="09CD0946" w14:textId="77777777" w:rsidR="00677E04" w:rsidRPr="00AC31B5" w:rsidRDefault="00677E04" w:rsidP="00272FC7">
      <w:pPr>
        <w:spacing w:after="0" w:line="240" w:lineRule="auto"/>
        <w:rPr>
          <w:color w:val="0000FF"/>
          <w:szCs w:val="20"/>
        </w:rPr>
      </w:pPr>
      <w:r w:rsidRPr="00CC4A28">
        <w:rPr>
          <w:color w:val="0000FF"/>
          <w:szCs w:val="20"/>
        </w:rPr>
        <w:t>5 (Strongly Agree)</w:t>
      </w:r>
      <w:r w:rsidR="00272FC7">
        <w:rPr>
          <w:color w:val="0000FF"/>
          <w:szCs w:val="20"/>
        </w:rPr>
        <w:t xml:space="preserve"> - 7</w:t>
      </w:r>
      <w:r w:rsidR="00272FC7" w:rsidRPr="00CC4A28">
        <w:rPr>
          <w:color w:val="0000FF"/>
          <w:szCs w:val="20"/>
        </w:rPr>
        <w:t xml:space="preserve"> responses</w:t>
      </w:r>
      <w:r w:rsidR="00272FC7">
        <w:rPr>
          <w:color w:val="0000FF"/>
          <w:szCs w:val="20"/>
        </w:rPr>
        <w:t xml:space="preserve"> (20.6%)</w:t>
      </w:r>
    </w:p>
    <w:p w14:paraId="19E9899D" w14:textId="2176598F" w:rsidR="00677E04" w:rsidRDefault="00A07D0C" w:rsidP="00677E04">
      <w:pPr>
        <w:autoSpaceDE w:val="0"/>
        <w:autoSpaceDN w:val="0"/>
        <w:adjustRightInd w:val="0"/>
        <w:spacing w:after="0" w:line="240" w:lineRule="auto"/>
        <w:rPr>
          <w:rFonts w:cstheme="minorHAnsi"/>
          <w:bCs/>
        </w:rPr>
      </w:pPr>
      <w:r>
        <w:rPr>
          <w:rFonts w:cstheme="minorHAnsi"/>
          <w:bCs/>
        </w:rPr>
        <w:lastRenderedPageBreak/>
        <w:t xml:space="preserve">  </w:t>
      </w:r>
    </w:p>
    <w:p w14:paraId="56CC2BCE" w14:textId="29C7BCD9" w:rsidR="00D63859" w:rsidRDefault="00677E04" w:rsidP="00677E04">
      <w:pPr>
        <w:spacing w:after="0" w:line="240" w:lineRule="auto"/>
        <w:rPr>
          <w:color w:val="0000FF"/>
          <w:szCs w:val="20"/>
        </w:rPr>
      </w:pPr>
      <w:r w:rsidRPr="0083696C">
        <w:rPr>
          <w:color w:val="0000FF"/>
          <w:szCs w:val="20"/>
        </w:rPr>
        <w:t xml:space="preserve">The </w:t>
      </w:r>
      <w:r w:rsidR="00D63859">
        <w:rPr>
          <w:color w:val="0000FF"/>
          <w:szCs w:val="20"/>
        </w:rPr>
        <w:t>summary</w:t>
      </w:r>
      <w:r w:rsidR="00D63859" w:rsidRPr="0083696C">
        <w:rPr>
          <w:color w:val="0000FF"/>
          <w:szCs w:val="20"/>
        </w:rPr>
        <w:t xml:space="preserve"> </w:t>
      </w:r>
      <w:r w:rsidRPr="0083696C">
        <w:rPr>
          <w:color w:val="0000FF"/>
          <w:szCs w:val="20"/>
        </w:rPr>
        <w:t>of the expert panel rating</w:t>
      </w:r>
      <w:r w:rsidR="00D63859">
        <w:rPr>
          <w:color w:val="0000FF"/>
          <w:szCs w:val="20"/>
        </w:rPr>
        <w:t>s</w:t>
      </w:r>
      <w:r w:rsidRPr="0083696C">
        <w:rPr>
          <w:color w:val="0000FF"/>
          <w:szCs w:val="20"/>
        </w:rPr>
        <w:t xml:space="preserve"> of the validity st</w:t>
      </w:r>
      <w:r>
        <w:rPr>
          <w:color w:val="0000FF"/>
          <w:szCs w:val="20"/>
        </w:rPr>
        <w:t>atement were as fol</w:t>
      </w:r>
      <w:r w:rsidR="0099657F">
        <w:rPr>
          <w:color w:val="0000FF"/>
          <w:szCs w:val="20"/>
        </w:rPr>
        <w:t xml:space="preserve">lows:  </w:t>
      </w:r>
    </w:p>
    <w:p w14:paraId="35760D39" w14:textId="77777777" w:rsidR="00D41E21" w:rsidRDefault="00D41E21" w:rsidP="001E0817">
      <w:pPr>
        <w:spacing w:after="0" w:line="240" w:lineRule="auto"/>
        <w:rPr>
          <w:color w:val="0000FF"/>
          <w:szCs w:val="20"/>
        </w:rPr>
      </w:pPr>
    </w:p>
    <w:p w14:paraId="767576F8" w14:textId="77777777" w:rsidR="00D41E21" w:rsidRDefault="0099657F" w:rsidP="001E0817">
      <w:pPr>
        <w:spacing w:after="0" w:line="240" w:lineRule="auto"/>
        <w:rPr>
          <w:color w:val="0000FF"/>
          <w:szCs w:val="20"/>
        </w:rPr>
      </w:pPr>
      <w:r>
        <w:rPr>
          <w:color w:val="0000FF"/>
          <w:szCs w:val="20"/>
        </w:rPr>
        <w:t xml:space="preserve">N = 34; Mean rating = </w:t>
      </w:r>
      <w:r w:rsidRPr="00FB2943">
        <w:rPr>
          <w:color w:val="0000FF"/>
          <w:szCs w:val="20"/>
        </w:rPr>
        <w:t>3.76</w:t>
      </w:r>
      <w:r w:rsidR="00677E04" w:rsidRPr="00FB2943">
        <w:rPr>
          <w:color w:val="0000FF"/>
          <w:szCs w:val="20"/>
        </w:rPr>
        <w:t xml:space="preserve"> </w:t>
      </w:r>
      <w:r w:rsidR="00D63859">
        <w:rPr>
          <w:color w:val="0000FF"/>
          <w:szCs w:val="20"/>
        </w:rPr>
        <w:t xml:space="preserve">with </w:t>
      </w:r>
      <w:r w:rsidR="00677E04">
        <w:rPr>
          <w:color w:val="0000FF"/>
          <w:szCs w:val="20"/>
        </w:rPr>
        <w:t>71</w:t>
      </w:r>
      <w:r w:rsidR="00677E04" w:rsidRPr="0083696C">
        <w:rPr>
          <w:color w:val="0000FF"/>
          <w:szCs w:val="20"/>
        </w:rPr>
        <w:t xml:space="preserve">% of respondents </w:t>
      </w:r>
      <w:r w:rsidR="00D63859">
        <w:rPr>
          <w:color w:val="0000FF"/>
          <w:szCs w:val="20"/>
        </w:rPr>
        <w:t xml:space="preserve">with </w:t>
      </w:r>
      <w:r w:rsidR="00677E04" w:rsidRPr="0083696C">
        <w:rPr>
          <w:color w:val="0000FF"/>
          <w:szCs w:val="20"/>
        </w:rPr>
        <w:t xml:space="preserve">either </w:t>
      </w:r>
      <w:r w:rsidR="00D63859">
        <w:rPr>
          <w:color w:val="0000FF"/>
          <w:szCs w:val="20"/>
        </w:rPr>
        <w:t>an ‘</w:t>
      </w:r>
      <w:r w:rsidR="00677E04" w:rsidRPr="0083696C">
        <w:rPr>
          <w:color w:val="0000FF"/>
          <w:szCs w:val="20"/>
        </w:rPr>
        <w:t>agree</w:t>
      </w:r>
      <w:r w:rsidR="00D63859">
        <w:rPr>
          <w:color w:val="0000FF"/>
          <w:szCs w:val="20"/>
        </w:rPr>
        <w:t>’</w:t>
      </w:r>
      <w:r w:rsidR="00677E04" w:rsidRPr="0083696C">
        <w:rPr>
          <w:color w:val="0000FF"/>
          <w:szCs w:val="20"/>
        </w:rPr>
        <w:t xml:space="preserve"> or </w:t>
      </w:r>
      <w:r w:rsidR="00D63859">
        <w:rPr>
          <w:color w:val="0000FF"/>
          <w:szCs w:val="20"/>
        </w:rPr>
        <w:t>a ‘</w:t>
      </w:r>
      <w:r w:rsidR="00677E04" w:rsidRPr="0083696C">
        <w:rPr>
          <w:color w:val="0000FF"/>
          <w:szCs w:val="20"/>
        </w:rPr>
        <w:t>strongly agree</w:t>
      </w:r>
      <w:r w:rsidR="00D63859">
        <w:rPr>
          <w:color w:val="0000FF"/>
          <w:szCs w:val="20"/>
        </w:rPr>
        <w:t>’ response</w:t>
      </w:r>
      <w:r w:rsidR="00677E04" w:rsidRPr="0083696C">
        <w:rPr>
          <w:color w:val="0000FF"/>
          <w:szCs w:val="20"/>
        </w:rPr>
        <w:t xml:space="preserve"> that this measure can accurately distinguish good and poor quality.</w:t>
      </w:r>
      <w:r w:rsidR="001E0817">
        <w:rPr>
          <w:color w:val="0000FF"/>
          <w:szCs w:val="20"/>
        </w:rPr>
        <w:t xml:space="preserve"> </w:t>
      </w:r>
      <w:r w:rsidR="001E0817" w:rsidRPr="001E0817">
        <w:rPr>
          <w:color w:val="0000FF"/>
          <w:szCs w:val="20"/>
        </w:rPr>
        <w:t xml:space="preserve">Respondents had an opportunity to provide additional comments as part of the face validity survey. </w:t>
      </w:r>
    </w:p>
    <w:p w14:paraId="6EE34FCA" w14:textId="77777777" w:rsidR="00D41E21" w:rsidRDefault="00D41E21" w:rsidP="001E0817">
      <w:pPr>
        <w:spacing w:after="0" w:line="240" w:lineRule="auto"/>
        <w:rPr>
          <w:color w:val="0000FF"/>
          <w:szCs w:val="20"/>
        </w:rPr>
      </w:pPr>
    </w:p>
    <w:p w14:paraId="4EAB1733" w14:textId="77777777" w:rsidR="00DB4C92" w:rsidRPr="00DB4C92" w:rsidRDefault="00DB4C92" w:rsidP="00DB4C92">
      <w:pPr>
        <w:spacing w:after="0" w:line="240" w:lineRule="auto"/>
        <w:rPr>
          <w:color w:val="0000FF"/>
          <w:szCs w:val="20"/>
        </w:rPr>
      </w:pPr>
      <w:r w:rsidRPr="00DB4C92">
        <w:rPr>
          <w:color w:val="0000FF"/>
          <w:szCs w:val="20"/>
        </w:rPr>
        <w:t>(a) Of 24 persons with either an ‘agree’ or ‘strongly agree’ response, 12 provided comments.  In the strongly agree category, the majority of commenters felt that the risk adjustment strategy was well vetted, scientifically sound, and addressed appropriately performed model validation. Those in the agreed category noted that the measure does not address some potential confounders (e.g. racial/ethnic variation, regional differences in outcomes, socioeconomic status).</w:t>
      </w:r>
    </w:p>
    <w:p w14:paraId="14A5EA3A" w14:textId="77777777" w:rsidR="00DB4C92" w:rsidRPr="00DB4C92" w:rsidRDefault="00DB4C92" w:rsidP="00DB4C92">
      <w:pPr>
        <w:spacing w:after="0" w:line="240" w:lineRule="auto"/>
        <w:rPr>
          <w:color w:val="0000FF"/>
          <w:szCs w:val="20"/>
        </w:rPr>
      </w:pPr>
    </w:p>
    <w:p w14:paraId="3C177FB9" w14:textId="77777777" w:rsidR="00DB4C92" w:rsidRPr="00DB4C92" w:rsidRDefault="00DB4C92" w:rsidP="00DB4C92">
      <w:pPr>
        <w:spacing w:after="0" w:line="240" w:lineRule="auto"/>
        <w:rPr>
          <w:color w:val="0000FF"/>
          <w:szCs w:val="20"/>
        </w:rPr>
      </w:pPr>
      <w:r w:rsidRPr="00DB4C92">
        <w:rPr>
          <w:color w:val="0000FF"/>
          <w:szCs w:val="20"/>
        </w:rPr>
        <w:t xml:space="preserve">(b) Of 6 persons with either a ‘neither agree or disagree’ response, 5 provided comments. Some noted that risk adjustment was not their expertise and another noted they were a non-clinician. One clinician noted that the measure does not account for DNR rates across hospitals and may have some unintended effect.  </w:t>
      </w:r>
    </w:p>
    <w:p w14:paraId="6C8BAF13" w14:textId="77777777" w:rsidR="00DB4C92" w:rsidRPr="00DB4C92" w:rsidRDefault="00DB4C92" w:rsidP="00DB4C92">
      <w:pPr>
        <w:spacing w:after="0" w:line="240" w:lineRule="auto"/>
        <w:rPr>
          <w:color w:val="0000FF"/>
          <w:szCs w:val="20"/>
        </w:rPr>
      </w:pPr>
    </w:p>
    <w:p w14:paraId="549D3146" w14:textId="5B82C837" w:rsidR="00677E04" w:rsidRDefault="00DB4C92" w:rsidP="00677E04">
      <w:pPr>
        <w:autoSpaceDE w:val="0"/>
        <w:autoSpaceDN w:val="0"/>
        <w:adjustRightInd w:val="0"/>
        <w:spacing w:after="0" w:line="240" w:lineRule="auto"/>
        <w:rPr>
          <w:rFonts w:cstheme="minorHAnsi"/>
          <w:bCs/>
          <w:color w:val="0000FF"/>
        </w:rPr>
      </w:pPr>
      <w:r w:rsidRPr="00DB4C92">
        <w:rPr>
          <w:color w:val="0000FF"/>
          <w:szCs w:val="20"/>
        </w:rPr>
        <w:t>(c) Of 4 persons with either a ‘disagree’ or ‘strongly disagree’ response, 3 provided comments. One commenter that strongly disagreed noted that the measure was reasonable and pragmatic but the denominator may have limitations (e.g. cannot risk adjust for DNR or selection of healthier patients for resuscitation). Those that disagreed noted that, despite risk adjustment, other patient factors and race may remain confounders.</w:t>
      </w:r>
    </w:p>
    <w:p w14:paraId="0DE55772" w14:textId="77777777" w:rsidR="00DB4C92" w:rsidRPr="007744FA" w:rsidRDefault="00DB4C92" w:rsidP="00677E04">
      <w:pPr>
        <w:autoSpaceDE w:val="0"/>
        <w:autoSpaceDN w:val="0"/>
        <w:adjustRightInd w:val="0"/>
        <w:spacing w:after="0" w:line="240" w:lineRule="auto"/>
        <w:rPr>
          <w:rFonts w:cstheme="minorHAnsi"/>
          <w:bCs/>
          <w:color w:val="0000FF"/>
        </w:rPr>
      </w:pPr>
    </w:p>
    <w:p w14:paraId="2D782E76" w14:textId="2BBFAD75" w:rsidR="00677E04" w:rsidRPr="007744FA" w:rsidRDefault="00D63859" w:rsidP="00677E04">
      <w:pPr>
        <w:autoSpaceDE w:val="0"/>
        <w:autoSpaceDN w:val="0"/>
        <w:adjustRightInd w:val="0"/>
        <w:spacing w:after="0" w:line="240" w:lineRule="auto"/>
        <w:rPr>
          <w:rFonts w:cstheme="minorHAnsi"/>
          <w:bCs/>
          <w:color w:val="0000FF"/>
        </w:rPr>
      </w:pPr>
      <w:r>
        <w:rPr>
          <w:rFonts w:cstheme="minorHAnsi"/>
          <w:bCs/>
          <w:color w:val="0000FF"/>
        </w:rPr>
        <w:t>In the</w:t>
      </w:r>
      <w:r w:rsidR="00677E04">
        <w:rPr>
          <w:rFonts w:cstheme="minorHAnsi"/>
          <w:bCs/>
          <w:color w:val="0000FF"/>
        </w:rPr>
        <w:t xml:space="preserve"> table</w:t>
      </w:r>
      <w:r w:rsidR="00677E04" w:rsidRPr="007744FA">
        <w:rPr>
          <w:rFonts w:cstheme="minorHAnsi"/>
          <w:bCs/>
          <w:color w:val="0000FF"/>
        </w:rPr>
        <w:t xml:space="preserve"> below</w:t>
      </w:r>
      <w:r>
        <w:rPr>
          <w:rFonts w:cstheme="minorHAnsi"/>
          <w:bCs/>
          <w:color w:val="0000FF"/>
        </w:rPr>
        <w:t xml:space="preserve">, the </w:t>
      </w:r>
      <w:r w:rsidR="00677E04" w:rsidRPr="007744FA">
        <w:rPr>
          <w:rFonts w:cstheme="minorHAnsi"/>
          <w:bCs/>
          <w:color w:val="0000FF"/>
        </w:rPr>
        <w:t>specialty</w:t>
      </w:r>
      <w:r>
        <w:rPr>
          <w:rFonts w:cstheme="minorHAnsi"/>
          <w:bCs/>
          <w:color w:val="0000FF"/>
        </w:rPr>
        <w:t xml:space="preserve"> of the expert panel is summarized</w:t>
      </w:r>
      <w:r w:rsidR="00677E04" w:rsidRPr="007744FA">
        <w:rPr>
          <w:rFonts w:cstheme="minorHAnsi"/>
          <w:bCs/>
          <w:color w:val="0000FF"/>
        </w:rPr>
        <w:t>.  Our face validity survey was administered to a diverse group of experts</w:t>
      </w:r>
      <w:r>
        <w:rPr>
          <w:rFonts w:cstheme="minorHAnsi"/>
          <w:bCs/>
          <w:color w:val="0000FF"/>
        </w:rPr>
        <w:t xml:space="preserve"> with the goal of </w:t>
      </w:r>
      <w:r w:rsidR="00677E04" w:rsidRPr="007744FA">
        <w:rPr>
          <w:rFonts w:cstheme="minorHAnsi"/>
          <w:bCs/>
          <w:color w:val="0000FF"/>
        </w:rPr>
        <w:t xml:space="preserve">reducing bias.  </w:t>
      </w:r>
    </w:p>
    <w:p w14:paraId="39D3392E" w14:textId="736E36FF" w:rsidR="00677E04" w:rsidRPr="00A332CC" w:rsidRDefault="00677E04" w:rsidP="00677E04">
      <w:pPr>
        <w:autoSpaceDE w:val="0"/>
        <w:autoSpaceDN w:val="0"/>
        <w:adjustRightInd w:val="0"/>
        <w:spacing w:after="0" w:line="240" w:lineRule="auto"/>
        <w:rPr>
          <w:rFonts w:cstheme="minorHAnsi"/>
          <w:bCs/>
          <w:color w:val="0000FF"/>
        </w:rPr>
      </w:pPr>
    </w:p>
    <w:tbl>
      <w:tblPr>
        <w:tblW w:w="4315" w:type="dxa"/>
        <w:tblCellMar>
          <w:top w:w="15" w:type="dxa"/>
          <w:bottom w:w="15" w:type="dxa"/>
        </w:tblCellMar>
        <w:tblLook w:val="04A0" w:firstRow="1" w:lastRow="0" w:firstColumn="1" w:lastColumn="0" w:noHBand="0" w:noVBand="1"/>
      </w:tblPr>
      <w:tblGrid>
        <w:gridCol w:w="3144"/>
        <w:gridCol w:w="1171"/>
      </w:tblGrid>
      <w:tr w:rsidR="00677E04" w:rsidRPr="007744FA" w14:paraId="40B82A0D"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77457499" w14:textId="77777777" w:rsidR="00677E04" w:rsidRPr="007744FA" w:rsidRDefault="00677E04" w:rsidP="00677E04">
            <w:pPr>
              <w:spacing w:after="0" w:line="240" w:lineRule="auto"/>
              <w:jc w:val="center"/>
              <w:rPr>
                <w:rFonts w:ascii="Calibri" w:eastAsia="Times New Roman" w:hAnsi="Calibri" w:cs="Calibri"/>
                <w:b/>
                <w:bCs/>
                <w:color w:val="0000FF"/>
              </w:rPr>
            </w:pPr>
            <w:r w:rsidRPr="007744FA">
              <w:rPr>
                <w:rFonts w:ascii="Calibri" w:eastAsia="Times New Roman" w:hAnsi="Calibri" w:cs="Calibri"/>
                <w:b/>
                <w:bCs/>
                <w:color w:val="0000FF"/>
              </w:rPr>
              <w:t xml:space="preserve">Specialty of Respondents </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3E96F816" w14:textId="77777777" w:rsidR="00677E04" w:rsidRPr="007744FA" w:rsidRDefault="00677E04" w:rsidP="00677E04">
            <w:pPr>
              <w:spacing w:after="0" w:line="240" w:lineRule="auto"/>
              <w:jc w:val="center"/>
              <w:rPr>
                <w:rFonts w:ascii="Calibri" w:eastAsia="Times New Roman" w:hAnsi="Calibri" w:cs="Calibri"/>
                <w:b/>
                <w:bCs/>
                <w:color w:val="0000FF"/>
              </w:rPr>
            </w:pPr>
            <w:r w:rsidRPr="007744FA">
              <w:rPr>
                <w:rFonts w:ascii="Calibri" w:eastAsia="Times New Roman" w:hAnsi="Calibri" w:cs="Calibri"/>
                <w:b/>
                <w:bCs/>
                <w:color w:val="0000FF"/>
              </w:rPr>
              <w:t>Count</w:t>
            </w:r>
          </w:p>
        </w:tc>
      </w:tr>
      <w:tr w:rsidR="00677E04" w:rsidRPr="007744FA" w14:paraId="15F1234F"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74320831"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Pharmacy</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3E7126FA"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1</w:t>
            </w:r>
          </w:p>
        </w:tc>
      </w:tr>
      <w:tr w:rsidR="00677E04" w:rsidRPr="007744FA" w14:paraId="219D497A"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5EE4430C"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Psychology</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75ED09C9"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1</w:t>
            </w:r>
          </w:p>
        </w:tc>
      </w:tr>
      <w:tr w:rsidR="00677E04" w:rsidRPr="007744FA" w14:paraId="7EA8B41B"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2A187EB3"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Pulmonary medicine</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08C16768"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1</w:t>
            </w:r>
          </w:p>
        </w:tc>
      </w:tr>
      <w:tr w:rsidR="00677E04" w:rsidRPr="007744FA" w14:paraId="4019B07C"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291259E9"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Preventive medicine</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400FFAEA"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1</w:t>
            </w:r>
          </w:p>
        </w:tc>
      </w:tr>
      <w:tr w:rsidR="00677E04" w:rsidRPr="007744FA" w14:paraId="64E2C261"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349457D8"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Nursing</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39FAC84B"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2</w:t>
            </w:r>
          </w:p>
        </w:tc>
      </w:tr>
      <w:tr w:rsidR="00677E04" w:rsidRPr="007744FA" w14:paraId="0C23EFF4"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6A47FAF9"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Research science/outcomes</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66740656"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2</w:t>
            </w:r>
          </w:p>
        </w:tc>
      </w:tr>
      <w:tr w:rsidR="00677E04" w:rsidRPr="007744FA" w14:paraId="37389831"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59B92DE5"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Anesthesia</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30228442"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3</w:t>
            </w:r>
          </w:p>
        </w:tc>
      </w:tr>
      <w:tr w:rsidR="00677E04" w:rsidRPr="007744FA" w14:paraId="2883D756"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11335CD5"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 xml:space="preserve">Internal/family medicine </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7A7D005D"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4</w:t>
            </w:r>
          </w:p>
        </w:tc>
      </w:tr>
      <w:tr w:rsidR="00677E04" w:rsidRPr="007744FA" w14:paraId="7D3F549C"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64E8D947"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Cardiology (include pediatrics)</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53E46D3B"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7</w:t>
            </w:r>
          </w:p>
        </w:tc>
      </w:tr>
      <w:tr w:rsidR="00677E04" w:rsidRPr="007744FA" w14:paraId="01459AF4"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019DDF42" w14:textId="77777777" w:rsidR="00677E04" w:rsidRPr="007744FA" w:rsidRDefault="00677E04" w:rsidP="00677E04">
            <w:pPr>
              <w:spacing w:after="0" w:line="240" w:lineRule="auto"/>
              <w:rPr>
                <w:rFonts w:ascii="Calibri" w:eastAsia="Times New Roman" w:hAnsi="Calibri" w:cs="Calibri"/>
                <w:color w:val="0000FF"/>
              </w:rPr>
            </w:pPr>
            <w:r w:rsidRPr="007744FA">
              <w:rPr>
                <w:rFonts w:ascii="Calibri" w:eastAsia="Times New Roman" w:hAnsi="Calibri" w:cs="Calibri"/>
                <w:color w:val="0000FF"/>
              </w:rPr>
              <w:t>Emergency medicine</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208AA0C0"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12</w:t>
            </w:r>
          </w:p>
        </w:tc>
      </w:tr>
      <w:tr w:rsidR="00677E04" w:rsidRPr="007744FA" w14:paraId="2A20481E" w14:textId="77777777" w:rsidTr="00677E04">
        <w:trPr>
          <w:trHeight w:val="300"/>
        </w:trPr>
        <w:tc>
          <w:tcPr>
            <w:tcW w:w="3144" w:type="dxa"/>
            <w:tcBorders>
              <w:top w:val="single" w:sz="4" w:space="0" w:color="auto"/>
              <w:left w:val="single" w:sz="4" w:space="0" w:color="auto"/>
              <w:bottom w:val="single" w:sz="4" w:space="0" w:color="auto"/>
              <w:right w:val="single" w:sz="4" w:space="0" w:color="auto"/>
            </w:tcBorders>
            <w:noWrap/>
            <w:vAlign w:val="bottom"/>
            <w:hideMark/>
          </w:tcPr>
          <w:p w14:paraId="66564044" w14:textId="77777777" w:rsidR="00677E04" w:rsidRPr="007744FA" w:rsidRDefault="00677E04" w:rsidP="00677E04">
            <w:pPr>
              <w:spacing w:after="0" w:line="240" w:lineRule="auto"/>
              <w:jc w:val="center"/>
              <w:rPr>
                <w:rFonts w:ascii="Calibri" w:eastAsia="Times New Roman" w:hAnsi="Calibri" w:cs="Calibri"/>
                <w:b/>
                <w:bCs/>
                <w:color w:val="0000FF"/>
              </w:rPr>
            </w:pPr>
            <w:r w:rsidRPr="007744FA">
              <w:rPr>
                <w:rFonts w:ascii="Calibri" w:eastAsia="Times New Roman" w:hAnsi="Calibri" w:cs="Calibri"/>
                <w:b/>
                <w:bCs/>
                <w:color w:val="0000FF"/>
              </w:rPr>
              <w:t>Total</w:t>
            </w:r>
          </w:p>
        </w:tc>
        <w:tc>
          <w:tcPr>
            <w:tcW w:w="1171" w:type="dxa"/>
            <w:tcBorders>
              <w:top w:val="single" w:sz="4" w:space="0" w:color="auto"/>
              <w:left w:val="single" w:sz="4" w:space="0" w:color="auto"/>
              <w:bottom w:val="single" w:sz="4" w:space="0" w:color="auto"/>
              <w:right w:val="single" w:sz="4" w:space="0" w:color="auto"/>
            </w:tcBorders>
            <w:noWrap/>
            <w:vAlign w:val="bottom"/>
            <w:hideMark/>
          </w:tcPr>
          <w:p w14:paraId="15EC6D0D" w14:textId="77777777" w:rsidR="00677E04" w:rsidRPr="007744FA" w:rsidRDefault="00677E04" w:rsidP="00677E04">
            <w:pPr>
              <w:spacing w:after="0" w:line="240" w:lineRule="auto"/>
              <w:jc w:val="center"/>
              <w:rPr>
                <w:rFonts w:ascii="Calibri" w:eastAsia="Times New Roman" w:hAnsi="Calibri" w:cs="Calibri"/>
                <w:color w:val="0000FF"/>
              </w:rPr>
            </w:pPr>
            <w:r w:rsidRPr="007744FA">
              <w:rPr>
                <w:rFonts w:ascii="Calibri" w:eastAsia="Times New Roman" w:hAnsi="Calibri" w:cs="Calibri"/>
                <w:color w:val="0000FF"/>
              </w:rPr>
              <w:t>34</w:t>
            </w:r>
          </w:p>
        </w:tc>
      </w:tr>
    </w:tbl>
    <w:p w14:paraId="337B69CF" w14:textId="77777777" w:rsidR="007422FD" w:rsidRPr="00092566" w:rsidRDefault="007422FD" w:rsidP="00092566">
      <w:pPr>
        <w:autoSpaceDE w:val="0"/>
        <w:autoSpaceDN w:val="0"/>
        <w:adjustRightInd w:val="0"/>
        <w:spacing w:after="0" w:line="240" w:lineRule="auto"/>
        <w:rPr>
          <w:rFonts w:cstheme="minorHAnsi"/>
          <w:bCs/>
        </w:rPr>
      </w:pPr>
    </w:p>
    <w:p w14:paraId="20970BE8" w14:textId="77777777"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DB097B9" w14:textId="77777777" w:rsidR="00677E04" w:rsidRPr="00677E04" w:rsidRDefault="00677E04" w:rsidP="00677E04">
      <w:pPr>
        <w:spacing w:after="0" w:line="240" w:lineRule="auto"/>
        <w:rPr>
          <w:color w:val="0000FF"/>
          <w:szCs w:val="20"/>
        </w:rPr>
      </w:pPr>
      <w:r>
        <w:rPr>
          <w:color w:val="0000FF"/>
          <w:szCs w:val="20"/>
        </w:rPr>
        <w:t>Based on the mean rating by the expert panel, this measure is valid as specified.</w:t>
      </w:r>
    </w:p>
    <w:p w14:paraId="5AB9893E"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1AD30517"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2C76F69C" w14:textId="05D5773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677E04">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6ADF7B70" w14:textId="77777777" w:rsidR="00001D73" w:rsidRDefault="00001D73" w:rsidP="00DB3627">
      <w:pPr>
        <w:autoSpaceDE w:val="0"/>
        <w:autoSpaceDN w:val="0"/>
        <w:adjustRightInd w:val="0"/>
        <w:spacing w:after="0" w:line="240" w:lineRule="auto"/>
        <w:rPr>
          <w:rFonts w:cstheme="minorHAnsi"/>
          <w:b/>
          <w:bCs/>
        </w:rPr>
      </w:pPr>
    </w:p>
    <w:p w14:paraId="1A8F5D71" w14:textId="77777777"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900854E" w14:textId="77777777" w:rsidR="00833325" w:rsidRPr="00677E04" w:rsidRDefault="00677E04" w:rsidP="00DB3627">
      <w:pPr>
        <w:autoSpaceDE w:val="0"/>
        <w:autoSpaceDN w:val="0"/>
        <w:adjustRightInd w:val="0"/>
        <w:spacing w:after="0" w:line="240" w:lineRule="auto"/>
        <w:rPr>
          <w:rFonts w:cstheme="minorHAnsi"/>
          <w:bCs/>
          <w:color w:val="0000FF"/>
        </w:rPr>
      </w:pPr>
      <w:r>
        <w:rPr>
          <w:rFonts w:cstheme="minorHAnsi"/>
          <w:bCs/>
          <w:color w:val="0000FF"/>
        </w:rPr>
        <w:t xml:space="preserve">No exclusions.  </w:t>
      </w:r>
    </w:p>
    <w:p w14:paraId="7406BF39" w14:textId="77777777" w:rsidR="00677E04" w:rsidRPr="00A25024" w:rsidRDefault="00677E04" w:rsidP="00DB3627">
      <w:pPr>
        <w:autoSpaceDE w:val="0"/>
        <w:autoSpaceDN w:val="0"/>
        <w:adjustRightInd w:val="0"/>
        <w:spacing w:after="0" w:line="240" w:lineRule="auto"/>
        <w:rPr>
          <w:rFonts w:cstheme="minorHAnsi"/>
          <w:bCs/>
        </w:rPr>
      </w:pPr>
    </w:p>
    <w:p w14:paraId="41E2EF42" w14:textId="77777777" w:rsidR="00677E04" w:rsidRDefault="00092566" w:rsidP="00677E04">
      <w:pPr>
        <w:autoSpaceDE w:val="0"/>
        <w:autoSpaceDN w:val="0"/>
        <w:adjustRightInd w:val="0"/>
        <w:spacing w:after="0" w:line="240" w:lineRule="auto"/>
        <w:rPr>
          <w:rFonts w:cstheme="minorHAnsi"/>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3A019310" w14:textId="77777777" w:rsidR="00677E04" w:rsidRPr="00531B0D" w:rsidRDefault="00677E04" w:rsidP="00677E04">
      <w:pPr>
        <w:autoSpaceDE w:val="0"/>
        <w:autoSpaceDN w:val="0"/>
        <w:adjustRightInd w:val="0"/>
        <w:spacing w:after="0" w:line="240" w:lineRule="auto"/>
        <w:rPr>
          <w:rFonts w:cstheme="minorHAnsi"/>
          <w:bCs/>
          <w:color w:val="0000FF"/>
        </w:rPr>
      </w:pPr>
      <w:r>
        <w:rPr>
          <w:rFonts w:cstheme="minorHAnsi"/>
          <w:bCs/>
          <w:color w:val="0000FF"/>
        </w:rPr>
        <w:t xml:space="preserve">No exclusions.  </w:t>
      </w:r>
    </w:p>
    <w:p w14:paraId="6973AFB7" w14:textId="77777777" w:rsidR="00092566" w:rsidRPr="009D3882" w:rsidRDefault="00092566" w:rsidP="00092566">
      <w:pPr>
        <w:autoSpaceDE w:val="0"/>
        <w:autoSpaceDN w:val="0"/>
        <w:adjustRightInd w:val="0"/>
        <w:spacing w:after="0" w:line="240" w:lineRule="auto"/>
        <w:rPr>
          <w:rFonts w:cstheme="minorHAnsi"/>
          <w:bCs/>
          <w:sz w:val="12"/>
        </w:rPr>
      </w:pPr>
    </w:p>
    <w:p w14:paraId="1628F6B2"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C8CBDC4" w14:textId="77777777" w:rsidR="00677E04" w:rsidRPr="00531B0D" w:rsidRDefault="00677E04" w:rsidP="00677E04">
      <w:pPr>
        <w:autoSpaceDE w:val="0"/>
        <w:autoSpaceDN w:val="0"/>
        <w:adjustRightInd w:val="0"/>
        <w:spacing w:after="0" w:line="240" w:lineRule="auto"/>
        <w:rPr>
          <w:rFonts w:cstheme="minorHAnsi"/>
          <w:bCs/>
          <w:color w:val="0000FF"/>
        </w:rPr>
      </w:pPr>
      <w:r>
        <w:rPr>
          <w:rFonts w:cstheme="minorHAnsi"/>
          <w:bCs/>
          <w:color w:val="0000FF"/>
        </w:rPr>
        <w:t xml:space="preserve">No exclusions.  </w:t>
      </w:r>
    </w:p>
    <w:p w14:paraId="7E58DD65"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w:t>
      </w:r>
    </w:p>
    <w:p w14:paraId="323259B0"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50A7814A" w14:textId="77777777" w:rsidR="008871A9" w:rsidRDefault="008871A9" w:rsidP="00092566">
      <w:pPr>
        <w:autoSpaceDE w:val="0"/>
        <w:autoSpaceDN w:val="0"/>
        <w:adjustRightInd w:val="0"/>
        <w:spacing w:after="0" w:line="240" w:lineRule="auto"/>
        <w:rPr>
          <w:rFonts w:cstheme="minorHAnsi"/>
          <w:b/>
          <w:bCs/>
        </w:rPr>
      </w:pPr>
    </w:p>
    <w:p w14:paraId="4517D13E" w14:textId="77777777" w:rsidR="00743E46" w:rsidRDefault="00092566" w:rsidP="00092566">
      <w:pPr>
        <w:autoSpaceDE w:val="0"/>
        <w:autoSpaceDN w:val="0"/>
        <w:adjustRightInd w:val="0"/>
        <w:spacing w:after="0" w:line="240" w:lineRule="auto"/>
        <w:rPr>
          <w:rFonts w:cstheme="minorHAnsi"/>
          <w:b/>
          <w:bCs/>
        </w:rPr>
      </w:pPr>
      <w:r w:rsidRPr="00E10EAD">
        <w:rPr>
          <w:rFonts w:cstheme="minorHAnsi"/>
          <w:b/>
          <w:bCs/>
        </w:rPr>
        <w:t>2b</w:t>
      </w:r>
      <w:r w:rsidR="009C7513" w:rsidRPr="00E10EAD">
        <w:rPr>
          <w:rFonts w:cstheme="minorHAnsi"/>
          <w:b/>
          <w:bCs/>
        </w:rPr>
        <w:t>3</w:t>
      </w:r>
      <w:r w:rsidRPr="00E10EAD">
        <w:rPr>
          <w:rFonts w:cstheme="minorHAnsi"/>
          <w:b/>
          <w:bCs/>
        </w:rPr>
        <w:t xml:space="preserve">.1. </w:t>
      </w:r>
      <w:r w:rsidR="00743E46" w:rsidRPr="00E10EAD">
        <w:rPr>
          <w:rFonts w:cstheme="minorHAnsi"/>
          <w:b/>
          <w:bCs/>
        </w:rPr>
        <w:t>What method of controlling for differences in case mix is used?</w:t>
      </w:r>
    </w:p>
    <w:p w14:paraId="3DC31DCD" w14:textId="2BEB9588" w:rsidR="00033038" w:rsidRPr="005232D6" w:rsidRDefault="00524AA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15B18FE" w14:textId="108FB322" w:rsidR="00743E46" w:rsidRPr="005232D6" w:rsidRDefault="00524AA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FE3451">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290254">
            <w:rPr>
              <w:rStyle w:val="Style4"/>
              <w:u w:val="none"/>
            </w:rPr>
            <w:t>9</w:t>
          </w:r>
        </w:sdtContent>
      </w:sdt>
      <w:r w:rsidR="00E562C0" w:rsidRPr="006F22A5">
        <w:rPr>
          <w:rStyle w:val="Style4"/>
          <w:u w:val="none"/>
        </w:rPr>
        <w:t xml:space="preserve"> </w:t>
      </w:r>
      <w:r w:rsidR="00743E46" w:rsidRPr="005232D6">
        <w:rPr>
          <w:rFonts w:cstheme="minorHAnsi"/>
          <w:b/>
          <w:bCs/>
        </w:rPr>
        <w:t>risk factors</w:t>
      </w:r>
    </w:p>
    <w:p w14:paraId="1EDA81BF" w14:textId="337CDF8F" w:rsidR="00743E46" w:rsidRPr="005232D6" w:rsidRDefault="00524AA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FB03C14" w14:textId="592E9986" w:rsidR="00743E46" w:rsidRPr="005232D6" w:rsidRDefault="00524AA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29025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290254">
            <w:rPr>
              <w:rStyle w:val="Style1"/>
            </w:rPr>
            <w:t xml:space="preserve">     </w:t>
          </w:r>
        </w:sdtContent>
      </w:sdt>
    </w:p>
    <w:p w14:paraId="66FD9960" w14:textId="77777777" w:rsidR="00743E46" w:rsidRDefault="00743E46" w:rsidP="00092566">
      <w:pPr>
        <w:autoSpaceDE w:val="0"/>
        <w:autoSpaceDN w:val="0"/>
        <w:adjustRightInd w:val="0"/>
        <w:spacing w:after="0" w:line="240" w:lineRule="auto"/>
        <w:rPr>
          <w:rFonts w:cstheme="minorHAnsi"/>
          <w:b/>
          <w:bCs/>
        </w:rPr>
      </w:pPr>
    </w:p>
    <w:p w14:paraId="29F1F2C2" w14:textId="77777777" w:rsidR="00092566" w:rsidRDefault="000B7D57" w:rsidP="00F34FAB">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41FAD21F" w14:textId="77777777" w:rsidR="00FE3451" w:rsidRDefault="00FE3451" w:rsidP="00F34FAB">
      <w:pPr>
        <w:autoSpaceDE w:val="0"/>
        <w:autoSpaceDN w:val="0"/>
        <w:adjustRightInd w:val="0"/>
        <w:spacing w:after="0" w:line="240" w:lineRule="auto"/>
        <w:rPr>
          <w:rFonts w:cstheme="minorHAnsi"/>
          <w:bCs/>
        </w:rPr>
      </w:pPr>
    </w:p>
    <w:p w14:paraId="4E5BBA57" w14:textId="6AD1B77F" w:rsidR="00FE3451" w:rsidRPr="00531B0D" w:rsidRDefault="00FE3451" w:rsidP="00FE3451">
      <w:pPr>
        <w:pStyle w:val="NoSpacing"/>
        <w:rPr>
          <w:rFonts w:asciiTheme="minorHAnsi" w:hAnsiTheme="minorHAnsi" w:cstheme="minorHAnsi"/>
          <w:color w:val="0000FF"/>
        </w:rPr>
      </w:pPr>
      <w:r w:rsidRPr="00531B0D">
        <w:rPr>
          <w:rFonts w:asciiTheme="minorHAnsi" w:hAnsiTheme="minorHAnsi" w:cstheme="minorHAnsi"/>
          <w:color w:val="0000FF"/>
        </w:rPr>
        <w:t xml:space="preserve">There are several steps taken to derive and calculate a hospital’s risk standardized survival rate for in-hospital cardiac arrest.  </w:t>
      </w:r>
      <w:r w:rsidR="00D83573">
        <w:rPr>
          <w:rFonts w:asciiTheme="minorHAnsi" w:hAnsiTheme="minorHAnsi" w:cstheme="minorHAnsi"/>
          <w:color w:val="0000FF"/>
        </w:rPr>
        <w:t>These include</w:t>
      </w:r>
      <w:r w:rsidRPr="00531B0D">
        <w:rPr>
          <w:rFonts w:asciiTheme="minorHAnsi" w:hAnsiTheme="minorHAnsi" w:cstheme="minorHAnsi"/>
          <w:color w:val="0000FF"/>
        </w:rPr>
        <w:t>:</w:t>
      </w:r>
    </w:p>
    <w:p w14:paraId="30087598" w14:textId="77777777" w:rsidR="00FE3451" w:rsidRPr="00531B0D" w:rsidRDefault="00FE3451" w:rsidP="00FE3451">
      <w:pPr>
        <w:pStyle w:val="NoSpacing"/>
        <w:rPr>
          <w:rFonts w:asciiTheme="minorHAnsi" w:hAnsiTheme="minorHAnsi" w:cstheme="minorHAnsi"/>
          <w:color w:val="0000FF"/>
        </w:rPr>
      </w:pPr>
    </w:p>
    <w:p w14:paraId="4F9427D4" w14:textId="0DC25E25"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Create a model for predictors of </w:t>
      </w:r>
      <w:r w:rsidR="00312228">
        <w:rPr>
          <w:rFonts w:asciiTheme="minorHAnsi" w:hAnsiTheme="minorHAnsi" w:cstheme="minorHAnsi"/>
          <w:color w:val="0000FF"/>
        </w:rPr>
        <w:t>in-hospital cardiac arrest</w:t>
      </w:r>
      <w:r w:rsidRPr="00531B0D">
        <w:rPr>
          <w:rFonts w:asciiTheme="minorHAnsi" w:hAnsiTheme="minorHAnsi" w:cstheme="minorHAnsi"/>
          <w:color w:val="0000FF"/>
        </w:rPr>
        <w:t xml:space="preserve">.  Since patients at a given hospital with </w:t>
      </w:r>
      <w:r w:rsidR="00312228">
        <w:rPr>
          <w:rFonts w:asciiTheme="minorHAnsi" w:hAnsiTheme="minorHAnsi" w:cstheme="minorHAnsi"/>
          <w:color w:val="0000FF"/>
        </w:rPr>
        <w:t>in-hospital cardiac arrest</w:t>
      </w:r>
      <w:r w:rsidR="00312228" w:rsidRPr="00531B0D">
        <w:rPr>
          <w:rFonts w:asciiTheme="minorHAnsi" w:hAnsiTheme="minorHAnsi" w:cstheme="minorHAnsi"/>
          <w:color w:val="0000FF"/>
        </w:rPr>
        <w:t xml:space="preserve"> </w:t>
      </w:r>
      <w:r w:rsidRPr="00531B0D">
        <w:rPr>
          <w:rFonts w:asciiTheme="minorHAnsi" w:hAnsiTheme="minorHAnsi" w:cstheme="minorHAnsi"/>
          <w:color w:val="0000FF"/>
        </w:rPr>
        <w:t xml:space="preserve">will have correlated outcomes, we </w:t>
      </w:r>
      <w:r w:rsidR="00D83573">
        <w:rPr>
          <w:rFonts w:asciiTheme="minorHAnsi" w:hAnsiTheme="minorHAnsi" w:cstheme="minorHAnsi"/>
          <w:color w:val="0000FF"/>
        </w:rPr>
        <w:t>used</w:t>
      </w:r>
      <w:r w:rsidRPr="00531B0D">
        <w:rPr>
          <w:rFonts w:asciiTheme="minorHAnsi" w:hAnsiTheme="minorHAnsi" w:cstheme="minorHAnsi"/>
          <w:color w:val="0000FF"/>
        </w:rPr>
        <w:t xml:space="preserve"> multivariable hierarchical logistic regression, wherein patients </w:t>
      </w:r>
      <w:r w:rsidR="00312228">
        <w:rPr>
          <w:rFonts w:asciiTheme="minorHAnsi" w:hAnsiTheme="minorHAnsi" w:cstheme="minorHAnsi"/>
          <w:color w:val="0000FF"/>
        </w:rPr>
        <w:t>are</w:t>
      </w:r>
      <w:r w:rsidRPr="00531B0D">
        <w:rPr>
          <w:rFonts w:asciiTheme="minorHAnsi" w:hAnsiTheme="minorHAnsi" w:cstheme="minorHAnsi"/>
          <w:color w:val="0000FF"/>
        </w:rPr>
        <w:t xml:space="preserve"> nested within hospitals in the model and hospitals are modeled as random effects</w:t>
      </w:r>
      <w:r w:rsidR="00312228">
        <w:rPr>
          <w:rFonts w:asciiTheme="minorHAnsi" w:hAnsiTheme="minorHAnsi" w:cstheme="minorHAnsi"/>
          <w:color w:val="0000FF"/>
        </w:rPr>
        <w:t xml:space="preserve"> to account for clustering effects</w:t>
      </w:r>
      <w:r w:rsidRPr="00531B0D">
        <w:rPr>
          <w:rFonts w:asciiTheme="minorHAnsi" w:hAnsiTheme="minorHAnsi" w:cstheme="minorHAnsi"/>
          <w:color w:val="0000FF"/>
        </w:rPr>
        <w:t>.</w:t>
      </w:r>
    </w:p>
    <w:p w14:paraId="01C8C12B" w14:textId="74A25CF9" w:rsidR="00FE3451" w:rsidRPr="00A332CC"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A number of demographic (age category, sex) and comorbidity variables (includes pre-existing conditions and interventions in place at the time of cardiac arrest) </w:t>
      </w:r>
      <w:r w:rsidR="00D83573">
        <w:rPr>
          <w:rFonts w:asciiTheme="minorHAnsi" w:hAnsiTheme="minorHAnsi" w:cstheme="minorHAnsi"/>
          <w:color w:val="0000FF"/>
        </w:rPr>
        <w:t>we</w:t>
      </w:r>
      <w:r w:rsidRPr="00531B0D">
        <w:rPr>
          <w:rFonts w:asciiTheme="minorHAnsi" w:hAnsiTheme="minorHAnsi" w:cstheme="minorHAnsi"/>
          <w:color w:val="0000FF"/>
        </w:rPr>
        <w:t xml:space="preserve">re considered for model inclusion.  </w:t>
      </w:r>
      <w:r w:rsidR="00312228">
        <w:rPr>
          <w:rFonts w:asciiTheme="minorHAnsi" w:hAnsiTheme="minorHAnsi" w:cstheme="minorHAnsi"/>
          <w:color w:val="0000FF"/>
        </w:rPr>
        <w:t>W</w:t>
      </w:r>
      <w:r w:rsidRPr="00531B0D">
        <w:rPr>
          <w:rFonts w:asciiTheme="minorHAnsi" w:hAnsiTheme="minorHAnsi" w:cstheme="minorHAnsi"/>
          <w:color w:val="0000FF"/>
        </w:rPr>
        <w:t>e consider</w:t>
      </w:r>
      <w:r w:rsidR="00D83573">
        <w:rPr>
          <w:rFonts w:asciiTheme="minorHAnsi" w:hAnsiTheme="minorHAnsi" w:cstheme="minorHAnsi"/>
          <w:color w:val="0000FF"/>
        </w:rPr>
        <w:t>ed</w:t>
      </w:r>
      <w:r w:rsidRPr="00531B0D">
        <w:rPr>
          <w:rFonts w:asciiTheme="minorHAnsi" w:hAnsiTheme="minorHAnsi" w:cstheme="minorHAnsi"/>
          <w:color w:val="0000FF"/>
        </w:rPr>
        <w:t xml:space="preserve"> almost all variables (except race) as potential predictors in the model.  </w:t>
      </w:r>
    </w:p>
    <w:p w14:paraId="0DA7373C" w14:textId="13D5AAC1"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An initial “full” model is generated </w:t>
      </w:r>
      <w:r w:rsidR="00312228">
        <w:rPr>
          <w:rFonts w:asciiTheme="minorHAnsi" w:hAnsiTheme="minorHAnsi" w:cstheme="minorHAnsi"/>
          <w:color w:val="0000FF"/>
        </w:rPr>
        <w:t>for</w:t>
      </w:r>
      <w:r w:rsidR="00312228" w:rsidRPr="00531B0D">
        <w:rPr>
          <w:rFonts w:asciiTheme="minorHAnsi" w:hAnsiTheme="minorHAnsi" w:cstheme="minorHAnsi"/>
          <w:color w:val="0000FF"/>
        </w:rPr>
        <w:t xml:space="preserve"> </w:t>
      </w:r>
      <w:r w:rsidRPr="00531B0D">
        <w:rPr>
          <w:rFonts w:asciiTheme="minorHAnsi" w:hAnsiTheme="minorHAnsi" w:cstheme="minorHAnsi"/>
          <w:color w:val="0000FF"/>
        </w:rPr>
        <w:t xml:space="preserve">significant predictors of </w:t>
      </w:r>
      <w:r w:rsidR="00312228">
        <w:rPr>
          <w:rFonts w:asciiTheme="minorHAnsi" w:hAnsiTheme="minorHAnsi" w:cstheme="minorHAnsi"/>
          <w:color w:val="0000FF"/>
        </w:rPr>
        <w:t xml:space="preserve">the outcome of </w:t>
      </w:r>
      <w:r w:rsidRPr="00531B0D">
        <w:rPr>
          <w:rFonts w:asciiTheme="minorHAnsi" w:hAnsiTheme="minorHAnsi" w:cstheme="minorHAnsi"/>
          <w:color w:val="0000FF"/>
        </w:rPr>
        <w:t>survival to discharge.</w:t>
      </w:r>
    </w:p>
    <w:p w14:paraId="62FEBD82" w14:textId="5EC73A01" w:rsidR="00FE3451" w:rsidRPr="00290254" w:rsidRDefault="00FE3451" w:rsidP="00290254">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Within this initial “full” model, we then work to </w:t>
      </w:r>
      <w:r w:rsidR="00D83573">
        <w:rPr>
          <w:rFonts w:asciiTheme="minorHAnsi" w:hAnsiTheme="minorHAnsi" w:cstheme="minorHAnsi"/>
          <w:color w:val="0000FF"/>
        </w:rPr>
        <w:t>create a parsimonious model, by</w:t>
      </w:r>
      <w:r w:rsidR="00D83573" w:rsidRPr="00531B0D">
        <w:rPr>
          <w:rFonts w:asciiTheme="minorHAnsi" w:hAnsiTheme="minorHAnsi" w:cstheme="minorHAnsi"/>
          <w:color w:val="0000FF"/>
        </w:rPr>
        <w:t xml:space="preserve"> </w:t>
      </w:r>
      <w:r w:rsidR="00D83573">
        <w:rPr>
          <w:rFonts w:asciiTheme="minorHAnsi" w:hAnsiTheme="minorHAnsi" w:cstheme="minorHAnsi"/>
          <w:color w:val="0000FF"/>
        </w:rPr>
        <w:t xml:space="preserve">sequentially eliminating </w:t>
      </w:r>
      <w:r w:rsidRPr="00531B0D">
        <w:rPr>
          <w:rFonts w:asciiTheme="minorHAnsi" w:hAnsiTheme="minorHAnsi" w:cstheme="minorHAnsi"/>
          <w:color w:val="0000FF"/>
        </w:rPr>
        <w:t xml:space="preserve">predictors with the smallest contribution to the model.  This </w:t>
      </w:r>
      <w:r w:rsidR="00D83573">
        <w:rPr>
          <w:rFonts w:asciiTheme="minorHAnsi" w:hAnsiTheme="minorHAnsi" w:cstheme="minorHAnsi"/>
          <w:color w:val="0000FF"/>
        </w:rPr>
        <w:t xml:space="preserve">was an iterative process </w:t>
      </w:r>
      <w:r w:rsidR="00D83573">
        <w:rPr>
          <w:rFonts w:asciiTheme="minorHAnsi" w:hAnsiTheme="minorHAnsi" w:cstheme="minorHAnsi"/>
          <w:color w:val="0000FF"/>
        </w:rPr>
        <w:lastRenderedPageBreak/>
        <w:t xml:space="preserve">of reducing the number of covariates in the model until a </w:t>
      </w:r>
      <w:r w:rsidRPr="00531B0D">
        <w:rPr>
          <w:rFonts w:asciiTheme="minorHAnsi" w:hAnsiTheme="minorHAnsi" w:cstheme="minorHAnsi"/>
          <w:color w:val="0000FF"/>
        </w:rPr>
        <w:t>“reduced”</w:t>
      </w:r>
      <w:r w:rsidR="00D83573">
        <w:rPr>
          <w:rFonts w:asciiTheme="minorHAnsi" w:hAnsiTheme="minorHAnsi" w:cstheme="minorHAnsi"/>
          <w:color w:val="0000FF"/>
        </w:rPr>
        <w:t xml:space="preserve"> </w:t>
      </w:r>
      <w:r w:rsidRPr="00531B0D">
        <w:rPr>
          <w:rFonts w:asciiTheme="minorHAnsi" w:hAnsiTheme="minorHAnsi" w:cstheme="minorHAnsi"/>
          <w:color w:val="0000FF"/>
        </w:rPr>
        <w:t xml:space="preserve">model with </w:t>
      </w:r>
      <w:r w:rsidR="00312228">
        <w:rPr>
          <w:rFonts w:asciiTheme="minorHAnsi" w:hAnsiTheme="minorHAnsi" w:cstheme="minorHAnsi"/>
          <w:color w:val="0000FF"/>
        </w:rPr>
        <w:t xml:space="preserve">no less than </w:t>
      </w:r>
      <w:r w:rsidRPr="00531B0D">
        <w:rPr>
          <w:rFonts w:asciiTheme="minorHAnsi" w:hAnsiTheme="minorHAnsi" w:cstheme="minorHAnsi"/>
          <w:color w:val="0000FF"/>
        </w:rPr>
        <w:t>95% of the initial “full” model’s predictive ability</w:t>
      </w:r>
      <w:r w:rsidR="00D83573">
        <w:rPr>
          <w:rFonts w:asciiTheme="minorHAnsi" w:hAnsiTheme="minorHAnsi" w:cstheme="minorHAnsi"/>
          <w:color w:val="0000FF"/>
        </w:rPr>
        <w:t xml:space="preserve"> is achieved.</w:t>
      </w:r>
      <w:r w:rsidRPr="00531B0D">
        <w:rPr>
          <w:rFonts w:asciiTheme="minorHAnsi" w:hAnsiTheme="minorHAnsi" w:cstheme="minorHAnsi"/>
          <w:color w:val="0000FF"/>
        </w:rPr>
        <w:t xml:space="preserve"> </w:t>
      </w:r>
      <w:r w:rsidR="00D83573">
        <w:rPr>
          <w:rFonts w:asciiTheme="minorHAnsi" w:hAnsiTheme="minorHAnsi" w:cstheme="minorHAnsi"/>
          <w:color w:val="0000FF"/>
        </w:rPr>
        <w:t>I</w:t>
      </w:r>
      <w:r w:rsidRPr="00531B0D">
        <w:rPr>
          <w:rFonts w:asciiTheme="minorHAnsi" w:hAnsiTheme="minorHAnsi" w:cstheme="minorHAnsi"/>
          <w:color w:val="0000FF"/>
        </w:rPr>
        <w:t xml:space="preserve">n essence, </w:t>
      </w:r>
      <w:r w:rsidR="00D83573">
        <w:rPr>
          <w:rFonts w:asciiTheme="minorHAnsi" w:hAnsiTheme="minorHAnsi" w:cstheme="minorHAnsi"/>
          <w:color w:val="0000FF"/>
        </w:rPr>
        <w:t>this</w:t>
      </w:r>
      <w:r w:rsidR="00D83573" w:rsidRPr="00531B0D">
        <w:rPr>
          <w:rFonts w:asciiTheme="minorHAnsi" w:hAnsiTheme="minorHAnsi" w:cstheme="minorHAnsi"/>
          <w:color w:val="0000FF"/>
        </w:rPr>
        <w:t xml:space="preserve"> </w:t>
      </w:r>
      <w:r w:rsidRPr="00531B0D">
        <w:rPr>
          <w:rFonts w:asciiTheme="minorHAnsi" w:hAnsiTheme="minorHAnsi" w:cstheme="minorHAnsi"/>
          <w:color w:val="0000FF"/>
        </w:rPr>
        <w:t>creat</w:t>
      </w:r>
      <w:r w:rsidR="00D83573">
        <w:rPr>
          <w:rFonts w:asciiTheme="minorHAnsi" w:hAnsiTheme="minorHAnsi" w:cstheme="minorHAnsi"/>
          <w:color w:val="0000FF"/>
        </w:rPr>
        <w:t>es</w:t>
      </w:r>
      <w:r w:rsidRPr="00531B0D">
        <w:rPr>
          <w:rFonts w:asciiTheme="minorHAnsi" w:hAnsiTheme="minorHAnsi" w:cstheme="minorHAnsi"/>
          <w:color w:val="0000FF"/>
        </w:rPr>
        <w:t xml:space="preserve"> a model with many fewer variables </w:t>
      </w:r>
      <w:r w:rsidR="00D83573">
        <w:rPr>
          <w:rFonts w:asciiTheme="minorHAnsi" w:hAnsiTheme="minorHAnsi" w:cstheme="minorHAnsi"/>
          <w:color w:val="0000FF"/>
        </w:rPr>
        <w:t>while maintaining nearly the same</w:t>
      </w:r>
      <w:r w:rsidRPr="00531B0D">
        <w:rPr>
          <w:rFonts w:asciiTheme="minorHAnsi" w:hAnsiTheme="minorHAnsi" w:cstheme="minorHAnsi"/>
          <w:color w:val="0000FF"/>
        </w:rPr>
        <w:t xml:space="preserve"> predictive (discriminative) ability as the “full” model. </w:t>
      </w:r>
      <w:r w:rsidR="00290254" w:rsidRPr="00E10EAD">
        <w:rPr>
          <w:rFonts w:asciiTheme="minorHAnsi" w:hAnsiTheme="minorHAnsi" w:cstheme="minorHAnsi"/>
          <w:color w:val="0000FF"/>
        </w:rPr>
        <w:t>The validated parsimonious model is comprised of 9 key variables.</w:t>
      </w:r>
    </w:p>
    <w:p w14:paraId="61B9045C" w14:textId="77777777"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Model discrimination with the “reduced” model is then assessed with c-statistics, and model validation performed by comparing the R</w:t>
      </w:r>
      <w:r w:rsidRPr="00531B0D">
        <w:rPr>
          <w:rFonts w:asciiTheme="minorHAnsi" w:hAnsiTheme="minorHAnsi" w:cstheme="minorHAnsi"/>
          <w:color w:val="0000FF"/>
          <w:vertAlign w:val="superscript"/>
        </w:rPr>
        <w:t>2</w:t>
      </w:r>
      <w:r w:rsidRPr="00531B0D">
        <w:rPr>
          <w:rFonts w:asciiTheme="minorHAnsi" w:hAnsiTheme="minorHAnsi" w:cstheme="minorHAnsi"/>
          <w:color w:val="0000FF"/>
        </w:rPr>
        <w:t xml:space="preserve"> of the predicted and observed plots (this information is described in the next section).</w:t>
      </w:r>
    </w:p>
    <w:p w14:paraId="11E918FD" w14:textId="2984C26D"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Once the “reduced” model is confirmed, </w:t>
      </w:r>
      <w:r w:rsidR="004838E6">
        <w:rPr>
          <w:rFonts w:cstheme="minorHAnsi"/>
          <w:color w:val="0000FF"/>
        </w:rPr>
        <w:t xml:space="preserve">risk-standardized survival rates </w:t>
      </w:r>
      <w:r w:rsidRPr="00531B0D">
        <w:rPr>
          <w:rFonts w:asciiTheme="minorHAnsi" w:hAnsiTheme="minorHAnsi" w:cstheme="minorHAnsi"/>
          <w:color w:val="0000FF"/>
        </w:rPr>
        <w:t>for each hospital</w:t>
      </w:r>
      <w:r w:rsidR="00D83573">
        <w:rPr>
          <w:rFonts w:asciiTheme="minorHAnsi" w:hAnsiTheme="minorHAnsi" w:cstheme="minorHAnsi"/>
          <w:color w:val="0000FF"/>
        </w:rPr>
        <w:t xml:space="preserve"> are computed</w:t>
      </w:r>
      <w:r w:rsidRPr="00531B0D">
        <w:rPr>
          <w:rFonts w:asciiTheme="minorHAnsi" w:hAnsiTheme="minorHAnsi" w:cstheme="minorHAnsi"/>
          <w:color w:val="0000FF"/>
        </w:rPr>
        <w:t xml:space="preserve">.  This is accomplished by multiplying the weighted average unadjusted hospital survival rate for the entire study sample by the hospital’s predicted vs. expected survival rate.  So, a hospital with a predicted vs. expected survival rate &gt; 1 would have a </w:t>
      </w:r>
      <w:r w:rsidR="004838E6">
        <w:rPr>
          <w:rFonts w:cstheme="minorHAnsi"/>
          <w:color w:val="0000FF"/>
        </w:rPr>
        <w:t xml:space="preserve">risk-standardized survival rate </w:t>
      </w:r>
      <w:r w:rsidRPr="00531B0D">
        <w:rPr>
          <w:rFonts w:asciiTheme="minorHAnsi" w:hAnsiTheme="minorHAnsi" w:cstheme="minorHAnsi"/>
          <w:color w:val="0000FF"/>
        </w:rPr>
        <w:t xml:space="preserve">higher than the weighted mean, and one with a ratio &lt; 1 would have a </w:t>
      </w:r>
      <w:r w:rsidR="004838E6">
        <w:rPr>
          <w:rFonts w:cstheme="minorHAnsi"/>
          <w:color w:val="0000FF"/>
        </w:rPr>
        <w:t xml:space="preserve">risk-standardized survival rate </w:t>
      </w:r>
      <w:r w:rsidRPr="00531B0D">
        <w:rPr>
          <w:rFonts w:asciiTheme="minorHAnsi" w:hAnsiTheme="minorHAnsi" w:cstheme="minorHAnsi"/>
          <w:color w:val="0000FF"/>
        </w:rPr>
        <w:t xml:space="preserve">below the weighted mean. </w:t>
      </w:r>
      <w:r w:rsidRPr="00531B0D">
        <w:rPr>
          <w:rFonts w:asciiTheme="minorHAnsi" w:hAnsiTheme="minorHAnsi" w:cstheme="minorHAnsi"/>
          <w:b/>
          <w:color w:val="0000FF"/>
        </w:rPr>
        <w:t xml:space="preserve"> </w:t>
      </w:r>
    </w:p>
    <w:p w14:paraId="3670540A" w14:textId="77777777"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 xml:space="preserve">The expected survival number (denominator) </w:t>
      </w:r>
      <w:r w:rsidR="00D83573">
        <w:rPr>
          <w:rFonts w:asciiTheme="minorHAnsi" w:hAnsiTheme="minorHAnsi" w:cstheme="minorHAnsi"/>
          <w:color w:val="0000FF"/>
        </w:rPr>
        <w:t>is</w:t>
      </w:r>
      <w:r w:rsidRPr="00531B0D">
        <w:rPr>
          <w:rFonts w:asciiTheme="minorHAnsi" w:hAnsiTheme="minorHAnsi" w:cstheme="minorHAnsi"/>
          <w:color w:val="0000FF"/>
        </w:rPr>
        <w:t xml:space="preserve"> determined by applying the model’s regression coefficients for covariates to each patient and summing up the probabilities for all patients within that hospital.  This number uses the average hospital-level random intercept in the model.</w:t>
      </w:r>
    </w:p>
    <w:p w14:paraId="0E54CAF8" w14:textId="77777777" w:rsidR="00FE3451" w:rsidRPr="00531B0D" w:rsidRDefault="00FE3451" w:rsidP="00FE3451">
      <w:pPr>
        <w:pStyle w:val="NoSpacing"/>
        <w:numPr>
          <w:ilvl w:val="0"/>
          <w:numId w:val="31"/>
        </w:numPr>
        <w:rPr>
          <w:rFonts w:asciiTheme="minorHAnsi" w:hAnsiTheme="minorHAnsi" w:cstheme="minorHAnsi"/>
          <w:color w:val="0000FF"/>
        </w:rPr>
      </w:pPr>
      <w:r w:rsidRPr="00531B0D">
        <w:rPr>
          <w:rFonts w:asciiTheme="minorHAnsi" w:hAnsiTheme="minorHAnsi" w:cstheme="minorHAnsi"/>
          <w:color w:val="0000FF"/>
        </w:rPr>
        <w:t>The predicted survival number (numerator) is the number of survivors at a hospital, which is determined in the same way as the expected survival except that the hospital’s specific random intercept is used.</w:t>
      </w:r>
    </w:p>
    <w:p w14:paraId="65FB3C92" w14:textId="77777777" w:rsidR="00FE3451" w:rsidRDefault="00FE3451" w:rsidP="00FE3451">
      <w:pPr>
        <w:pStyle w:val="NoSpacing"/>
        <w:ind w:left="360"/>
        <w:rPr>
          <w:rFonts w:ascii="Times New Roman" w:hAnsi="Times New Roman"/>
          <w:color w:val="FF0000"/>
          <w:sz w:val="24"/>
          <w:szCs w:val="24"/>
        </w:rPr>
      </w:pPr>
    </w:p>
    <w:p w14:paraId="724F9AE2" w14:textId="77777777" w:rsidR="00FE3451" w:rsidRDefault="009C7513" w:rsidP="009D3882">
      <w:pPr>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72F5B4E1" w14:textId="77777777" w:rsidR="009D3882" w:rsidRPr="00FE3451" w:rsidRDefault="00FE3451" w:rsidP="009D3882">
      <w:pPr>
        <w:rPr>
          <w:rFonts w:cstheme="minorHAnsi"/>
          <w:bCs/>
          <w:color w:val="0000FF"/>
        </w:rPr>
      </w:pPr>
      <w:r w:rsidRPr="00531B0D">
        <w:rPr>
          <w:rFonts w:cstheme="minorHAnsi"/>
          <w:bCs/>
          <w:color w:val="0000FF"/>
        </w:rPr>
        <w:t xml:space="preserve">N/A.  </w:t>
      </w:r>
    </w:p>
    <w:p w14:paraId="5729016A" w14:textId="77777777" w:rsidR="00FE3451" w:rsidRDefault="009C7513" w:rsidP="00AF2D68">
      <w:pPr>
        <w:rPr>
          <w:rFonts w:cstheme="minorHAnsi"/>
          <w:bCs/>
        </w:rPr>
      </w:pPr>
      <w:r w:rsidRPr="008F211D">
        <w:rPr>
          <w:rFonts w:cstheme="minorHAnsi"/>
          <w:b/>
          <w:bCs/>
        </w:rPr>
        <w:t>2b3</w:t>
      </w:r>
      <w:r w:rsidR="00092566" w:rsidRPr="008F211D">
        <w:rPr>
          <w:rFonts w:cstheme="minorHAnsi"/>
          <w:b/>
          <w:bCs/>
        </w:rPr>
        <w:t>.3</w:t>
      </w:r>
      <w:r w:rsidR="00275563" w:rsidRPr="008F211D">
        <w:rPr>
          <w:rFonts w:cstheme="minorHAnsi"/>
          <w:b/>
          <w:bCs/>
        </w:rPr>
        <w:t>a</w:t>
      </w:r>
      <w:r w:rsidR="00092566" w:rsidRPr="008F211D">
        <w:rPr>
          <w:rFonts w:cstheme="minorHAnsi"/>
          <w:b/>
          <w:bCs/>
        </w:rPr>
        <w:t xml:space="preserve">. </w:t>
      </w:r>
      <w:r w:rsidR="00927027" w:rsidRPr="008F211D">
        <w:rPr>
          <w:rFonts w:cstheme="minorHAnsi"/>
          <w:b/>
          <w:bCs/>
        </w:rPr>
        <w:t>Describe</w:t>
      </w:r>
      <w:r w:rsidR="00092566" w:rsidRPr="008F211D">
        <w:rPr>
          <w:rFonts w:cstheme="minorHAnsi"/>
          <w:b/>
          <w:bCs/>
        </w:rPr>
        <w:t xml:space="preserve"> the conceptual/clinical </w:t>
      </w:r>
      <w:r w:rsidR="00092566" w:rsidRPr="008F211D">
        <w:rPr>
          <w:rFonts w:cstheme="minorHAnsi"/>
          <w:b/>
          <w:bCs/>
          <w:u w:val="single"/>
        </w:rPr>
        <w:t>and</w:t>
      </w:r>
      <w:r w:rsidR="00092566" w:rsidRPr="008F211D">
        <w:rPr>
          <w:rFonts w:cstheme="minorHAnsi"/>
          <w:b/>
          <w:bCs/>
        </w:rPr>
        <w:t xml:space="preserve"> statistical methods and criteria used to select </w:t>
      </w:r>
      <w:r w:rsidR="005363F1" w:rsidRPr="008F211D">
        <w:rPr>
          <w:rFonts w:cstheme="minorHAnsi"/>
          <w:b/>
          <w:bCs/>
        </w:rPr>
        <w:t xml:space="preserve">patient </w:t>
      </w:r>
      <w:r w:rsidR="00092566" w:rsidRPr="008F211D">
        <w:rPr>
          <w:rFonts w:cstheme="minorHAnsi"/>
          <w:b/>
          <w:bCs/>
        </w:rPr>
        <w:t xml:space="preserve">factors </w:t>
      </w:r>
      <w:r w:rsidR="0021054A" w:rsidRPr="008F211D">
        <w:rPr>
          <w:rFonts w:cstheme="minorHAnsi"/>
          <w:b/>
          <w:bCs/>
        </w:rPr>
        <w:t>(</w:t>
      </w:r>
      <w:r w:rsidR="00E967AD" w:rsidRPr="008F211D">
        <w:rPr>
          <w:rFonts w:cstheme="minorHAnsi"/>
          <w:b/>
          <w:bCs/>
        </w:rPr>
        <w:t xml:space="preserve">clinical factors or </w:t>
      </w:r>
      <w:r w:rsidR="00AF2D68" w:rsidRPr="008F211D">
        <w:rPr>
          <w:rFonts w:cstheme="minorHAnsi"/>
          <w:b/>
          <w:bCs/>
        </w:rPr>
        <w:t xml:space="preserve">social risk </w:t>
      </w:r>
      <w:r w:rsidR="0021054A" w:rsidRPr="008F211D">
        <w:rPr>
          <w:rFonts w:cstheme="minorHAnsi"/>
          <w:b/>
          <w:bCs/>
        </w:rPr>
        <w:t xml:space="preserve">factors) </w:t>
      </w:r>
      <w:r w:rsidR="00092566" w:rsidRPr="008F211D">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5B282C14" w14:textId="77777777" w:rsidR="00FE3451" w:rsidRPr="003134B5" w:rsidRDefault="00FE3451" w:rsidP="00FE3451">
      <w:pPr>
        <w:rPr>
          <w:rFonts w:cstheme="minorHAnsi"/>
          <w:bCs/>
          <w:color w:val="0000FF"/>
        </w:rPr>
      </w:pPr>
      <w:r w:rsidRPr="003134B5">
        <w:rPr>
          <w:rFonts w:cstheme="minorHAnsi"/>
          <w:bCs/>
          <w:color w:val="0000FF"/>
        </w:rPr>
        <w:t xml:space="preserve">Clinical </w:t>
      </w:r>
      <w:r>
        <w:rPr>
          <w:rFonts w:cstheme="minorHAnsi"/>
          <w:bCs/>
          <w:color w:val="0000FF"/>
        </w:rPr>
        <w:t xml:space="preserve">and statistical </w:t>
      </w:r>
      <w:r w:rsidRPr="003134B5">
        <w:rPr>
          <w:rFonts w:cstheme="minorHAnsi"/>
          <w:bCs/>
          <w:color w:val="0000FF"/>
        </w:rPr>
        <w:t>experts (from disciplines such as cardiology, neurology, critical care, and research)</w:t>
      </w:r>
      <w:r>
        <w:rPr>
          <w:rFonts w:cstheme="minorHAnsi"/>
          <w:bCs/>
          <w:color w:val="0000FF"/>
        </w:rPr>
        <w:t xml:space="preserve"> selected model covariates </w:t>
      </w:r>
      <w:r w:rsidRPr="003134B5">
        <w:rPr>
          <w:rFonts w:cstheme="minorHAnsi"/>
          <w:bCs/>
          <w:color w:val="0000FF"/>
        </w:rPr>
        <w:t>based on patient clinical char</w:t>
      </w:r>
      <w:r>
        <w:rPr>
          <w:rFonts w:cstheme="minorHAnsi"/>
          <w:bCs/>
          <w:color w:val="0000FF"/>
        </w:rPr>
        <w:t>acteristics that most influence</w:t>
      </w:r>
      <w:r w:rsidRPr="003134B5">
        <w:rPr>
          <w:rFonts w:cstheme="minorHAnsi"/>
          <w:bCs/>
          <w:color w:val="0000FF"/>
        </w:rPr>
        <w:t xml:space="preserve"> survival during an in-hospital cardiac arrest.  These patient factors can be categorized by the following: </w:t>
      </w:r>
    </w:p>
    <w:p w14:paraId="2F2FDCAC" w14:textId="77777777" w:rsidR="00FE3451" w:rsidRPr="003134B5" w:rsidRDefault="00FE3451" w:rsidP="00FE3451">
      <w:pPr>
        <w:pStyle w:val="ListParagraph"/>
        <w:numPr>
          <w:ilvl w:val="0"/>
          <w:numId w:val="32"/>
        </w:numPr>
        <w:rPr>
          <w:rFonts w:cstheme="minorHAnsi"/>
          <w:bCs/>
          <w:color w:val="0000FF"/>
        </w:rPr>
      </w:pPr>
      <w:r w:rsidRPr="003134B5">
        <w:rPr>
          <w:rFonts w:cstheme="minorHAnsi"/>
          <w:bCs/>
          <w:color w:val="0000FF"/>
        </w:rPr>
        <w:t>Patient demographics (i.e. age, gender)</w:t>
      </w:r>
    </w:p>
    <w:p w14:paraId="5A31916B" w14:textId="03298191" w:rsidR="00FE3451" w:rsidRPr="003134B5" w:rsidRDefault="00FE3451" w:rsidP="00FE3451">
      <w:pPr>
        <w:pStyle w:val="ListParagraph"/>
        <w:numPr>
          <w:ilvl w:val="0"/>
          <w:numId w:val="32"/>
        </w:numPr>
        <w:rPr>
          <w:rFonts w:cstheme="minorHAnsi"/>
          <w:bCs/>
          <w:color w:val="0000FF"/>
        </w:rPr>
      </w:pPr>
      <w:r w:rsidRPr="003134B5">
        <w:rPr>
          <w:rFonts w:cstheme="minorHAnsi"/>
          <w:bCs/>
          <w:color w:val="0000FF"/>
        </w:rPr>
        <w:t xml:space="preserve">Location of the cardiac arrest (i.e. intensive care, </w:t>
      </w:r>
      <w:r w:rsidR="00DD671E">
        <w:rPr>
          <w:rFonts w:cstheme="minorHAnsi"/>
          <w:bCs/>
          <w:color w:val="0000FF"/>
        </w:rPr>
        <w:t>emergency room</w:t>
      </w:r>
      <w:r w:rsidRPr="003134B5">
        <w:rPr>
          <w:rFonts w:cstheme="minorHAnsi"/>
          <w:bCs/>
          <w:color w:val="0000FF"/>
        </w:rPr>
        <w:t>)</w:t>
      </w:r>
    </w:p>
    <w:p w14:paraId="3AA49508" w14:textId="70B374BD" w:rsidR="00FE3451" w:rsidRPr="003134B5" w:rsidRDefault="00FE3451" w:rsidP="00FE3451">
      <w:pPr>
        <w:pStyle w:val="ListParagraph"/>
        <w:numPr>
          <w:ilvl w:val="0"/>
          <w:numId w:val="32"/>
        </w:numPr>
        <w:rPr>
          <w:rFonts w:cstheme="minorHAnsi"/>
          <w:bCs/>
          <w:color w:val="0000FF"/>
        </w:rPr>
      </w:pPr>
      <w:r w:rsidRPr="003134B5">
        <w:rPr>
          <w:rFonts w:cstheme="minorHAnsi"/>
          <w:bCs/>
          <w:color w:val="0000FF"/>
        </w:rPr>
        <w:t xml:space="preserve">Initial cardiac rhythm </w:t>
      </w:r>
    </w:p>
    <w:p w14:paraId="56F6219B" w14:textId="1DDBD102" w:rsidR="00FE3451" w:rsidRPr="003134B5" w:rsidRDefault="00FE3451" w:rsidP="00FE3451">
      <w:pPr>
        <w:pStyle w:val="ListParagraph"/>
        <w:numPr>
          <w:ilvl w:val="0"/>
          <w:numId w:val="32"/>
        </w:numPr>
        <w:rPr>
          <w:rFonts w:cstheme="minorHAnsi"/>
          <w:bCs/>
          <w:color w:val="0000FF"/>
        </w:rPr>
      </w:pPr>
      <w:r w:rsidRPr="003134B5">
        <w:rPr>
          <w:rFonts w:cstheme="minorHAnsi"/>
          <w:bCs/>
          <w:color w:val="0000FF"/>
        </w:rPr>
        <w:t>Pre-existing conditions/present on arrival conditions (i.e. heart failure, sep</w:t>
      </w:r>
      <w:r w:rsidR="00DD671E">
        <w:rPr>
          <w:rFonts w:cstheme="minorHAnsi"/>
          <w:bCs/>
          <w:color w:val="0000FF"/>
        </w:rPr>
        <w:t>ticemia</w:t>
      </w:r>
      <w:r w:rsidRPr="003134B5">
        <w:rPr>
          <w:rFonts w:cstheme="minorHAnsi"/>
          <w:bCs/>
          <w:color w:val="0000FF"/>
        </w:rPr>
        <w:t>)</w:t>
      </w:r>
    </w:p>
    <w:p w14:paraId="3B741F03" w14:textId="14EDF107" w:rsidR="00FE3451" w:rsidRPr="003134B5" w:rsidRDefault="00FE3451" w:rsidP="00FE3451">
      <w:pPr>
        <w:pStyle w:val="ListParagraph"/>
        <w:numPr>
          <w:ilvl w:val="0"/>
          <w:numId w:val="32"/>
        </w:numPr>
        <w:rPr>
          <w:rFonts w:cstheme="minorHAnsi"/>
          <w:bCs/>
          <w:color w:val="0000FF"/>
          <w:sz w:val="4"/>
        </w:rPr>
      </w:pPr>
      <w:r w:rsidRPr="003134B5">
        <w:rPr>
          <w:rFonts w:cstheme="minorHAnsi"/>
          <w:color w:val="0000FF"/>
        </w:rPr>
        <w:t>Critical-care interventions in place prior to the arrest (i.e. mechanical ventilation, intravenous vasopressor support)</w:t>
      </w:r>
      <w:r w:rsidRPr="003134B5">
        <w:rPr>
          <w:rFonts w:cstheme="minorHAnsi"/>
          <w:bCs/>
          <w:color w:val="0000FF"/>
        </w:rPr>
        <w:br/>
      </w:r>
    </w:p>
    <w:p w14:paraId="70D6788C" w14:textId="07444EF8" w:rsidR="00FE3451" w:rsidRPr="003134B5" w:rsidRDefault="00FE3451" w:rsidP="00FE3451">
      <w:pPr>
        <w:rPr>
          <w:rFonts w:cstheme="minorHAnsi"/>
          <w:bCs/>
          <w:color w:val="0000FF"/>
        </w:rPr>
      </w:pPr>
      <w:r w:rsidRPr="003134B5">
        <w:rPr>
          <w:rFonts w:cstheme="minorHAnsi"/>
          <w:bCs/>
          <w:color w:val="0000FF"/>
        </w:rPr>
        <w:lastRenderedPageBreak/>
        <w:t>All of these factors were carefully considered f</w:t>
      </w:r>
      <w:r>
        <w:rPr>
          <w:rFonts w:cstheme="minorHAnsi"/>
          <w:bCs/>
          <w:color w:val="0000FF"/>
        </w:rPr>
        <w:t>rom both a clinical perspective</w:t>
      </w:r>
      <w:r w:rsidRPr="003134B5">
        <w:rPr>
          <w:rFonts w:cstheme="minorHAnsi"/>
          <w:bCs/>
          <w:color w:val="0000FF"/>
        </w:rPr>
        <w:t xml:space="preserve"> and a statistical perspective.  Careful thought went into ensuring all significant risk factors were included.  </w:t>
      </w:r>
    </w:p>
    <w:p w14:paraId="6EDB977B" w14:textId="7FF404FB" w:rsidR="00500FCD" w:rsidRDefault="00FE3451" w:rsidP="00FE3451">
      <w:pPr>
        <w:pStyle w:val="NoSpacing"/>
        <w:rPr>
          <w:rFonts w:asciiTheme="minorHAnsi" w:hAnsiTheme="minorHAnsi" w:cstheme="minorHAnsi"/>
          <w:color w:val="0000FF"/>
        </w:rPr>
      </w:pPr>
      <w:r w:rsidRPr="003134B5">
        <w:rPr>
          <w:rFonts w:cstheme="minorHAnsi"/>
          <w:bCs/>
          <w:color w:val="0000FF"/>
        </w:rPr>
        <w:t xml:space="preserve">The risk factors mentioned above were included in the initial full model.  Model reduction involved a process of keeping only significantly contributing risk factors in the final model.  </w:t>
      </w:r>
      <w:r w:rsidRPr="003134B5">
        <w:rPr>
          <w:rFonts w:asciiTheme="minorHAnsi" w:hAnsiTheme="minorHAnsi" w:cstheme="minorHAnsi"/>
          <w:color w:val="0000FF"/>
        </w:rPr>
        <w:t xml:space="preserve">This was done to derive a more parsimonious, or “reduced”, model with </w:t>
      </w:r>
      <w:r w:rsidR="00DD671E">
        <w:rPr>
          <w:rFonts w:asciiTheme="minorHAnsi" w:hAnsiTheme="minorHAnsi" w:cstheme="minorHAnsi"/>
          <w:color w:val="0000FF"/>
        </w:rPr>
        <w:t xml:space="preserve">no less than </w:t>
      </w:r>
      <w:r w:rsidRPr="003134B5">
        <w:rPr>
          <w:rFonts w:asciiTheme="minorHAnsi" w:hAnsiTheme="minorHAnsi" w:cstheme="minorHAnsi"/>
          <w:color w:val="0000FF"/>
        </w:rPr>
        <w:t xml:space="preserve">95% of the initial “full” model’s predictive ability – in essence, to create a model with fewer variables with almost identical predictive (discriminative) ability as the “full” model.  </w:t>
      </w:r>
    </w:p>
    <w:p w14:paraId="794F3700" w14:textId="77777777" w:rsidR="00500FCD" w:rsidRDefault="00500FCD" w:rsidP="00FE3451">
      <w:pPr>
        <w:pStyle w:val="NoSpacing"/>
        <w:rPr>
          <w:rFonts w:asciiTheme="minorHAnsi" w:hAnsiTheme="minorHAnsi" w:cstheme="minorHAnsi"/>
          <w:color w:val="0000FF"/>
        </w:rPr>
      </w:pPr>
    </w:p>
    <w:p w14:paraId="6EFDFBCD" w14:textId="21BB1B4C" w:rsidR="00262C9A" w:rsidRPr="00A41841" w:rsidRDefault="00500FCD" w:rsidP="00FE3451">
      <w:pPr>
        <w:pStyle w:val="NoSpacing"/>
        <w:rPr>
          <w:rFonts w:asciiTheme="minorHAnsi" w:hAnsiTheme="minorHAnsi" w:cstheme="minorHAnsi"/>
          <w:color w:val="0000FF"/>
        </w:rPr>
      </w:pPr>
      <w:r w:rsidRPr="00A41841">
        <w:rPr>
          <w:rFonts w:asciiTheme="minorHAnsi" w:hAnsiTheme="minorHAnsi" w:cstheme="minorHAnsi"/>
          <w:color w:val="0000FF"/>
        </w:rPr>
        <w:t xml:space="preserve">The </w:t>
      </w:r>
      <w:r w:rsidR="004838E6">
        <w:rPr>
          <w:rFonts w:cstheme="minorHAnsi"/>
          <w:color w:val="0000FF"/>
        </w:rPr>
        <w:t xml:space="preserve">risk-standardized survival rate </w:t>
      </w:r>
      <w:r w:rsidRPr="00A41841">
        <w:rPr>
          <w:rFonts w:asciiTheme="minorHAnsi" w:hAnsiTheme="minorHAnsi" w:cstheme="minorHAnsi"/>
          <w:color w:val="0000FF"/>
        </w:rPr>
        <w:t xml:space="preserve">measure does not adjust for race in the model.  From prior work, we know that black patients have lower survival for </w:t>
      </w:r>
      <w:r w:rsidR="00DD671E">
        <w:rPr>
          <w:rFonts w:asciiTheme="minorHAnsi" w:hAnsiTheme="minorHAnsi" w:cstheme="minorHAnsi"/>
          <w:color w:val="0000FF"/>
        </w:rPr>
        <w:t>in-hospital cardiac arrest</w:t>
      </w:r>
      <w:r w:rsidR="00DD671E" w:rsidRPr="00A41841">
        <w:rPr>
          <w:rFonts w:asciiTheme="minorHAnsi" w:hAnsiTheme="minorHAnsi" w:cstheme="minorHAnsi"/>
          <w:color w:val="0000FF"/>
        </w:rPr>
        <w:t xml:space="preserve"> </w:t>
      </w:r>
      <w:r w:rsidRPr="00A41841">
        <w:rPr>
          <w:rFonts w:asciiTheme="minorHAnsi" w:hAnsiTheme="minorHAnsi" w:cstheme="minorHAnsi"/>
          <w:color w:val="0000FF"/>
        </w:rPr>
        <w:t>than white patients</w:t>
      </w:r>
      <w:r w:rsidR="00456FCE" w:rsidRPr="00A41841">
        <w:rPr>
          <w:rFonts w:asciiTheme="minorHAnsi" w:hAnsiTheme="minorHAnsi" w:cstheme="minorHAnsi"/>
          <w:color w:val="0000FF"/>
        </w:rPr>
        <w:t xml:space="preserve"> (Chan et. al., 2009</w:t>
      </w:r>
      <w:r w:rsidR="00262C9A" w:rsidRPr="00A41841">
        <w:rPr>
          <w:rFonts w:asciiTheme="minorHAnsi" w:hAnsiTheme="minorHAnsi" w:cstheme="minorHAnsi"/>
          <w:color w:val="0000FF"/>
        </w:rPr>
        <w:t>)</w:t>
      </w:r>
      <w:r w:rsidR="00456FCE" w:rsidRPr="00A41841">
        <w:rPr>
          <w:rFonts w:asciiTheme="minorHAnsi" w:hAnsiTheme="minorHAnsi" w:cstheme="minorHAnsi"/>
          <w:color w:val="0000FF"/>
        </w:rPr>
        <w:t xml:space="preserve">.  Adjusting for race in the model would, in effect, </w:t>
      </w:r>
      <w:r w:rsidR="00DD671E">
        <w:rPr>
          <w:rFonts w:asciiTheme="minorHAnsi" w:hAnsiTheme="minorHAnsi" w:cstheme="minorHAnsi"/>
          <w:color w:val="0000FF"/>
        </w:rPr>
        <w:t xml:space="preserve">would </w:t>
      </w:r>
      <w:r w:rsidR="00456FCE" w:rsidRPr="00A41841">
        <w:rPr>
          <w:rFonts w:asciiTheme="minorHAnsi" w:hAnsiTheme="minorHAnsi" w:cstheme="minorHAnsi"/>
          <w:color w:val="0000FF"/>
        </w:rPr>
        <w:t xml:space="preserve">make “acceptable” the reality that black patients </w:t>
      </w:r>
      <w:r w:rsidR="00DD671E">
        <w:rPr>
          <w:rFonts w:asciiTheme="minorHAnsi" w:hAnsiTheme="minorHAnsi" w:cstheme="minorHAnsi"/>
          <w:color w:val="0000FF"/>
        </w:rPr>
        <w:t>with in-hospital cardiac arrest have lower survival</w:t>
      </w:r>
      <w:r w:rsidR="00456FCE" w:rsidRPr="00A41841">
        <w:rPr>
          <w:rFonts w:asciiTheme="minorHAnsi" w:hAnsiTheme="minorHAnsi" w:cstheme="minorHAnsi"/>
          <w:color w:val="0000FF"/>
        </w:rPr>
        <w:t xml:space="preserve"> than white patients.  It is our belief that, while race is a significant predictor of survival outcomes for IHCA, the </w:t>
      </w:r>
      <w:r w:rsidR="004838E6">
        <w:rPr>
          <w:rFonts w:cstheme="minorHAnsi"/>
          <w:color w:val="0000FF"/>
        </w:rPr>
        <w:t xml:space="preserve">risk-standardized survival rate </w:t>
      </w:r>
      <w:r w:rsidR="00456FCE" w:rsidRPr="00A41841">
        <w:rPr>
          <w:rFonts w:asciiTheme="minorHAnsi" w:hAnsiTheme="minorHAnsi" w:cstheme="minorHAnsi"/>
          <w:color w:val="0000FF"/>
        </w:rPr>
        <w:t>measure should not provide a rationale for accepting existing disparities in care.</w:t>
      </w:r>
    </w:p>
    <w:p w14:paraId="20B1CA9B" w14:textId="77777777" w:rsidR="00456FCE" w:rsidRPr="00A41841" w:rsidRDefault="00456FCE" w:rsidP="00FE3451">
      <w:pPr>
        <w:pStyle w:val="NoSpacing"/>
        <w:rPr>
          <w:rFonts w:asciiTheme="minorHAnsi" w:hAnsiTheme="minorHAnsi" w:cstheme="minorHAnsi"/>
          <w:color w:val="0000FF"/>
        </w:rPr>
      </w:pPr>
    </w:p>
    <w:p w14:paraId="5FB65BC5" w14:textId="0E2BA818" w:rsidR="00456FCE" w:rsidRPr="00A41841" w:rsidRDefault="00290254" w:rsidP="00FE3451">
      <w:pPr>
        <w:pStyle w:val="NoSpacing"/>
        <w:rPr>
          <w:rFonts w:asciiTheme="minorHAnsi" w:hAnsiTheme="minorHAnsi" w:cstheme="minorHAnsi"/>
          <w:color w:val="0000FF"/>
        </w:rPr>
      </w:pPr>
      <w:r>
        <w:rPr>
          <w:rFonts w:asciiTheme="minorHAnsi" w:hAnsiTheme="minorHAnsi" w:cstheme="minorHAnsi"/>
          <w:color w:val="0000FF"/>
        </w:rPr>
        <w:t>In this</w:t>
      </w:r>
      <w:r w:rsidR="00456FCE" w:rsidRPr="00A41841">
        <w:rPr>
          <w:rFonts w:asciiTheme="minorHAnsi" w:hAnsiTheme="minorHAnsi" w:cstheme="minorHAnsi"/>
          <w:color w:val="0000FF"/>
        </w:rPr>
        <w:t xml:space="preserve"> NQF submission, we do conduct additional analyses illustrating that hospitals with a greater proportion of black IHCA patients have markedly lower survival for all (black and white) their patients with IHCA</w:t>
      </w:r>
      <w:r w:rsidR="00164918" w:rsidRPr="00A41841">
        <w:rPr>
          <w:rFonts w:asciiTheme="minorHAnsi" w:hAnsiTheme="minorHAnsi" w:cstheme="minorHAnsi"/>
          <w:color w:val="0000FF"/>
        </w:rPr>
        <w:t xml:space="preserve"> (see 1.8)</w:t>
      </w:r>
      <w:r w:rsidR="00456FCE" w:rsidRPr="00A41841">
        <w:rPr>
          <w:rFonts w:asciiTheme="minorHAnsi" w:hAnsiTheme="minorHAnsi" w:cstheme="minorHAnsi"/>
          <w:color w:val="0000FF"/>
        </w:rPr>
        <w:t xml:space="preserve">.  This subgroup analysis, stratified by the proportion of black patients </w:t>
      </w:r>
      <w:r w:rsidR="00DD671E">
        <w:rPr>
          <w:rFonts w:asciiTheme="minorHAnsi" w:hAnsiTheme="minorHAnsi" w:cstheme="minorHAnsi"/>
          <w:color w:val="0000FF"/>
        </w:rPr>
        <w:t xml:space="preserve">with in-hospital cardiac arrest </w:t>
      </w:r>
      <w:r w:rsidR="00456FCE" w:rsidRPr="00A41841">
        <w:rPr>
          <w:rFonts w:asciiTheme="minorHAnsi" w:hAnsiTheme="minorHAnsi" w:cstheme="minorHAnsi"/>
          <w:color w:val="0000FF"/>
        </w:rPr>
        <w:t>at each hospital, underscores the vast disparities in survival for this condition and highlights important care gaps in the contemporary management of this condition.</w:t>
      </w:r>
    </w:p>
    <w:p w14:paraId="71EB8EFF" w14:textId="77777777" w:rsidR="00456FCE" w:rsidRPr="00A41841" w:rsidRDefault="00456FCE" w:rsidP="00FE3451">
      <w:pPr>
        <w:pStyle w:val="NoSpacing"/>
        <w:rPr>
          <w:rFonts w:asciiTheme="minorHAnsi" w:hAnsiTheme="minorHAnsi" w:cstheme="minorHAnsi"/>
          <w:color w:val="0000FF"/>
        </w:rPr>
      </w:pPr>
    </w:p>
    <w:p w14:paraId="74D9C532" w14:textId="3BDD0E8A" w:rsidR="0084002C" w:rsidRPr="00A41841" w:rsidRDefault="0084002C" w:rsidP="00FE3451">
      <w:pPr>
        <w:pStyle w:val="NoSpacing"/>
        <w:rPr>
          <w:rFonts w:asciiTheme="minorHAnsi" w:hAnsiTheme="minorHAnsi" w:cstheme="minorHAnsi"/>
          <w:color w:val="0000FF"/>
        </w:rPr>
      </w:pPr>
      <w:r w:rsidRPr="00A41841">
        <w:rPr>
          <w:rFonts w:asciiTheme="minorHAnsi" w:hAnsiTheme="minorHAnsi" w:cstheme="minorHAnsi"/>
          <w:color w:val="0000FF"/>
        </w:rPr>
        <w:t xml:space="preserve">In summary, then, the model for our </w:t>
      </w:r>
      <w:r w:rsidR="004838E6">
        <w:rPr>
          <w:rFonts w:cstheme="minorHAnsi"/>
          <w:color w:val="0000FF"/>
        </w:rPr>
        <w:t xml:space="preserve">risk-standardized survival rate </w:t>
      </w:r>
      <w:r w:rsidRPr="00A41841">
        <w:rPr>
          <w:rFonts w:asciiTheme="minorHAnsi" w:hAnsiTheme="minorHAnsi" w:cstheme="minorHAnsi"/>
          <w:color w:val="0000FF"/>
        </w:rPr>
        <w:t xml:space="preserve">measure does not adjust for race, in order to not make acceptable existing disparities in </w:t>
      </w:r>
      <w:r w:rsidR="00DD671E">
        <w:rPr>
          <w:rFonts w:asciiTheme="minorHAnsi" w:hAnsiTheme="minorHAnsi" w:cstheme="minorHAnsi"/>
          <w:color w:val="0000FF"/>
        </w:rPr>
        <w:t>in-hospital cardiac arrest</w:t>
      </w:r>
      <w:r w:rsidR="00DD671E" w:rsidRPr="00A41841">
        <w:rPr>
          <w:rFonts w:asciiTheme="minorHAnsi" w:hAnsiTheme="minorHAnsi" w:cstheme="minorHAnsi"/>
          <w:color w:val="0000FF"/>
        </w:rPr>
        <w:t xml:space="preserve"> </w:t>
      </w:r>
      <w:r w:rsidRPr="00A41841">
        <w:rPr>
          <w:rFonts w:asciiTheme="minorHAnsi" w:hAnsiTheme="minorHAnsi" w:cstheme="minorHAnsi"/>
          <w:color w:val="0000FF"/>
        </w:rPr>
        <w:t>survival by race.</w:t>
      </w:r>
      <w:r w:rsidR="00290254">
        <w:rPr>
          <w:rFonts w:asciiTheme="minorHAnsi" w:hAnsiTheme="minorHAnsi" w:cstheme="minorHAnsi"/>
          <w:color w:val="0000FF"/>
        </w:rPr>
        <w:t xml:space="preserve">  The risk-standardized survival rates, however, can be aggregated based on the proportion of patients with IHCA at a given hospital that are of black race, to examine whether racial disparities in survival for IHCA do exist.</w:t>
      </w:r>
    </w:p>
    <w:p w14:paraId="616EF30B" w14:textId="77777777" w:rsidR="0084002C" w:rsidRPr="00A41841" w:rsidRDefault="0084002C" w:rsidP="00FE3451">
      <w:pPr>
        <w:pStyle w:val="NoSpacing"/>
        <w:rPr>
          <w:rFonts w:asciiTheme="minorHAnsi" w:hAnsiTheme="minorHAnsi" w:cstheme="minorHAnsi"/>
          <w:color w:val="0000FF"/>
        </w:rPr>
      </w:pPr>
    </w:p>
    <w:p w14:paraId="786ECBC7" w14:textId="132A7393" w:rsidR="0084002C" w:rsidRPr="00A41841" w:rsidRDefault="0084002C" w:rsidP="00FE3451">
      <w:pPr>
        <w:pStyle w:val="NoSpacing"/>
        <w:rPr>
          <w:rFonts w:asciiTheme="minorHAnsi" w:hAnsiTheme="minorHAnsi" w:cstheme="minorHAnsi"/>
          <w:color w:val="0000FF"/>
        </w:rPr>
      </w:pPr>
      <w:r w:rsidRPr="00A41841">
        <w:rPr>
          <w:rFonts w:asciiTheme="minorHAnsi" w:hAnsiTheme="minorHAnsi" w:cstheme="minorHAnsi"/>
          <w:color w:val="0000FF"/>
        </w:rPr>
        <w:t>Finally, GWTG-Resuscitation</w:t>
      </w:r>
      <w:r w:rsidR="00B77C93" w:rsidRPr="00A41841">
        <w:rPr>
          <w:rFonts w:asciiTheme="minorHAnsi" w:hAnsiTheme="minorHAnsi" w:cstheme="minorHAnsi"/>
          <w:color w:val="0000FF"/>
        </w:rPr>
        <w:t xml:space="preserve"> does not collect other socioeconomic variables of risk</w:t>
      </w:r>
      <w:r w:rsidR="00290254">
        <w:rPr>
          <w:rFonts w:asciiTheme="minorHAnsi" w:hAnsiTheme="minorHAnsi" w:cstheme="minorHAnsi"/>
          <w:color w:val="0000FF"/>
        </w:rPr>
        <w:t xml:space="preserve">, such as income, employment status, </w:t>
      </w:r>
      <w:r w:rsidR="00400F9F">
        <w:rPr>
          <w:rFonts w:asciiTheme="minorHAnsi" w:hAnsiTheme="minorHAnsi" w:cstheme="minorHAnsi"/>
          <w:color w:val="0000FF"/>
        </w:rPr>
        <w:t>or educational level</w:t>
      </w:r>
      <w:r w:rsidR="00B77C93" w:rsidRPr="00A41841">
        <w:rPr>
          <w:rFonts w:asciiTheme="minorHAnsi" w:hAnsiTheme="minorHAnsi" w:cstheme="minorHAnsi"/>
          <w:color w:val="0000FF"/>
        </w:rPr>
        <w:t xml:space="preserve">.  Were these </w:t>
      </w:r>
      <w:r w:rsidR="00400F9F">
        <w:rPr>
          <w:rFonts w:asciiTheme="minorHAnsi" w:hAnsiTheme="minorHAnsi" w:cstheme="minorHAnsi"/>
          <w:color w:val="0000FF"/>
        </w:rPr>
        <w:t xml:space="preserve">patient-level factors </w:t>
      </w:r>
      <w:r w:rsidR="00B77C93" w:rsidRPr="00A41841">
        <w:rPr>
          <w:rFonts w:asciiTheme="minorHAnsi" w:hAnsiTheme="minorHAnsi" w:cstheme="minorHAnsi"/>
          <w:color w:val="0000FF"/>
        </w:rPr>
        <w:t xml:space="preserve">available, we would not have included them in the derivation of the </w:t>
      </w:r>
      <w:r w:rsidR="004838E6">
        <w:rPr>
          <w:rFonts w:cstheme="minorHAnsi"/>
          <w:color w:val="0000FF"/>
        </w:rPr>
        <w:t xml:space="preserve">risk-standardized survival rate </w:t>
      </w:r>
      <w:r w:rsidR="00B77C93" w:rsidRPr="00A41841">
        <w:rPr>
          <w:rFonts w:asciiTheme="minorHAnsi" w:hAnsiTheme="minorHAnsi" w:cstheme="minorHAnsi"/>
          <w:color w:val="0000FF"/>
        </w:rPr>
        <w:t xml:space="preserve">model for the same reason as </w:t>
      </w:r>
      <w:r w:rsidR="00164918" w:rsidRPr="00A41841">
        <w:rPr>
          <w:rFonts w:asciiTheme="minorHAnsi" w:hAnsiTheme="minorHAnsi" w:cstheme="minorHAnsi"/>
          <w:color w:val="0000FF"/>
        </w:rPr>
        <w:t>we did not include race in the model, as it would provide an exception to worse care for patients of lower socioeconomic status.</w:t>
      </w:r>
      <w:r w:rsidR="00400F9F">
        <w:rPr>
          <w:rFonts w:asciiTheme="minorHAnsi" w:hAnsiTheme="minorHAnsi" w:cstheme="minorHAnsi"/>
          <w:color w:val="0000FF"/>
        </w:rPr>
        <w:t xml:space="preserve">  Nonetheless, we do not have any reason to believe that patient-level socioeconomic status would directly impact survival from IHCA, as clinicians responding to an emergency such as a cardiac arrest would not be aware of a patient’s social or economic risk factors and their treatment decisions during an acute resuscitation would not influenced by these considerations.  It is possible that IHCA patients of lower socioeconomic status may be more frequently treated at hospitals with worse survival outcomes.  To the extent that this is the case, </w:t>
      </w:r>
      <w:r w:rsidR="00400F9F" w:rsidRPr="00A41841">
        <w:rPr>
          <w:rFonts w:asciiTheme="minorHAnsi" w:hAnsiTheme="minorHAnsi" w:cstheme="minorHAnsi"/>
          <w:color w:val="0000FF"/>
        </w:rPr>
        <w:t xml:space="preserve">the model for our </w:t>
      </w:r>
      <w:r w:rsidR="00400F9F">
        <w:rPr>
          <w:rFonts w:cstheme="minorHAnsi"/>
          <w:color w:val="0000FF"/>
        </w:rPr>
        <w:t xml:space="preserve">risk-standardized survival rate </w:t>
      </w:r>
      <w:r w:rsidR="00400F9F" w:rsidRPr="00A41841">
        <w:rPr>
          <w:rFonts w:asciiTheme="minorHAnsi" w:hAnsiTheme="minorHAnsi" w:cstheme="minorHAnsi"/>
          <w:color w:val="0000FF"/>
        </w:rPr>
        <w:t xml:space="preserve">measure </w:t>
      </w:r>
      <w:r w:rsidR="00400F9F">
        <w:rPr>
          <w:rFonts w:asciiTheme="minorHAnsi" w:hAnsiTheme="minorHAnsi" w:cstheme="minorHAnsi"/>
          <w:color w:val="0000FF"/>
        </w:rPr>
        <w:t>should</w:t>
      </w:r>
      <w:r w:rsidR="00400F9F" w:rsidRPr="00A41841">
        <w:rPr>
          <w:rFonts w:asciiTheme="minorHAnsi" w:hAnsiTheme="minorHAnsi" w:cstheme="minorHAnsi"/>
          <w:color w:val="0000FF"/>
        </w:rPr>
        <w:t xml:space="preserve"> not adjust for </w:t>
      </w:r>
      <w:r w:rsidR="00400F9F">
        <w:rPr>
          <w:rFonts w:asciiTheme="minorHAnsi" w:hAnsiTheme="minorHAnsi" w:cstheme="minorHAnsi"/>
          <w:color w:val="0000FF"/>
        </w:rPr>
        <w:t xml:space="preserve">socioeconomic factors </w:t>
      </w:r>
      <w:r w:rsidR="00400F9F" w:rsidRPr="00A41841">
        <w:rPr>
          <w:rFonts w:asciiTheme="minorHAnsi" w:hAnsiTheme="minorHAnsi" w:cstheme="minorHAnsi"/>
          <w:color w:val="0000FF"/>
        </w:rPr>
        <w:t xml:space="preserve">in order to not make acceptable existing disparities in </w:t>
      </w:r>
      <w:r w:rsidR="00400F9F">
        <w:rPr>
          <w:rFonts w:asciiTheme="minorHAnsi" w:hAnsiTheme="minorHAnsi" w:cstheme="minorHAnsi"/>
          <w:color w:val="0000FF"/>
        </w:rPr>
        <w:t>in-hospital cardiac arrest</w:t>
      </w:r>
      <w:r w:rsidR="00400F9F" w:rsidRPr="00A41841">
        <w:rPr>
          <w:rFonts w:asciiTheme="minorHAnsi" w:hAnsiTheme="minorHAnsi" w:cstheme="minorHAnsi"/>
          <w:color w:val="0000FF"/>
        </w:rPr>
        <w:t xml:space="preserve"> survival by </w:t>
      </w:r>
      <w:r w:rsidR="00400F9F">
        <w:rPr>
          <w:rFonts w:asciiTheme="minorHAnsi" w:hAnsiTheme="minorHAnsi" w:cstheme="minorHAnsi"/>
          <w:color w:val="0000FF"/>
        </w:rPr>
        <w:t>socioeconomic factors.</w:t>
      </w:r>
    </w:p>
    <w:p w14:paraId="4D8C88E1" w14:textId="77777777" w:rsidR="00262C9A" w:rsidRPr="00A41841" w:rsidRDefault="00262C9A" w:rsidP="00FE3451">
      <w:pPr>
        <w:pStyle w:val="NoSpacing"/>
        <w:rPr>
          <w:rFonts w:asciiTheme="minorHAnsi" w:hAnsiTheme="minorHAnsi" w:cstheme="minorHAnsi"/>
          <w:color w:val="0000FF"/>
        </w:rPr>
      </w:pPr>
    </w:p>
    <w:p w14:paraId="236BF5AF" w14:textId="77777777" w:rsidR="00262C9A" w:rsidRPr="00A41841" w:rsidRDefault="00262C9A" w:rsidP="00FE3451">
      <w:pPr>
        <w:pStyle w:val="NoSpacing"/>
        <w:rPr>
          <w:rFonts w:asciiTheme="minorHAnsi" w:hAnsiTheme="minorHAnsi" w:cstheme="minorHAnsi"/>
          <w:color w:val="0000FF"/>
        </w:rPr>
      </w:pPr>
    </w:p>
    <w:p w14:paraId="7FBCFB29" w14:textId="77777777" w:rsidR="00001D73" w:rsidRPr="00FE3451" w:rsidRDefault="00262C9A" w:rsidP="00FE3451">
      <w:pPr>
        <w:pStyle w:val="NoSpacing"/>
        <w:rPr>
          <w:rFonts w:asciiTheme="minorHAnsi" w:hAnsiTheme="minorHAnsi" w:cstheme="minorHAnsi"/>
          <w:color w:val="0000FF"/>
        </w:rPr>
      </w:pPr>
      <w:bookmarkStart w:id="13" w:name="_Hlk512954128"/>
      <w:r w:rsidRPr="00A41841">
        <w:rPr>
          <w:rFonts w:asciiTheme="minorHAnsi" w:hAnsiTheme="minorHAnsi" w:cstheme="minorHAnsi"/>
          <w:color w:val="0000FF"/>
        </w:rPr>
        <w:t xml:space="preserve">Chan PS, Nichol G, </w:t>
      </w:r>
      <w:r w:rsidR="0063656A" w:rsidRPr="00A41841">
        <w:rPr>
          <w:rFonts w:asciiTheme="minorHAnsi" w:hAnsiTheme="minorHAnsi" w:cstheme="minorHAnsi"/>
          <w:color w:val="0000FF"/>
        </w:rPr>
        <w:t>Krumholz HM, Spertus JA, Jones PG, Peterson ED, Rathore SS, Nallamothu BK, for the American Heart Association National Registry of Cardiopulmonary Resuscitation (NRCPR) Investigators.  Racial differences after in-hospital cardiac arrest.  JAMA</w:t>
      </w:r>
      <w:r w:rsidR="00456FCE" w:rsidRPr="00A41841">
        <w:rPr>
          <w:rFonts w:asciiTheme="minorHAnsi" w:hAnsiTheme="minorHAnsi" w:cstheme="minorHAnsi"/>
          <w:color w:val="0000FF"/>
        </w:rPr>
        <w:t>.  2009;302(11):1195-1201.</w:t>
      </w:r>
      <w:bookmarkEnd w:id="13"/>
      <w:r w:rsidR="00092566" w:rsidRPr="00A41841">
        <w:rPr>
          <w:rFonts w:cstheme="minorHAnsi"/>
          <w:bCs/>
          <w:color w:val="0000FF"/>
        </w:rPr>
        <w:br/>
      </w:r>
    </w:p>
    <w:p w14:paraId="0FFC43C4" w14:textId="77777777"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5BC07105" w14:textId="43984023" w:rsidR="00275563" w:rsidRPr="005232D6" w:rsidRDefault="00524AA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FE345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00BCBD37" w14:textId="7879D450" w:rsidR="00275563" w:rsidRPr="005232D6" w:rsidRDefault="00524AA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E54C3A">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63B385C6" w14:textId="1FEF3BF6" w:rsidR="00275563" w:rsidRPr="005232D6" w:rsidRDefault="00524AA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91FEFDE" w14:textId="77777777" w:rsidR="00275563" w:rsidRDefault="00275563" w:rsidP="00001D73">
      <w:pPr>
        <w:autoSpaceDE w:val="0"/>
        <w:autoSpaceDN w:val="0"/>
        <w:adjustRightInd w:val="0"/>
        <w:spacing w:after="0" w:line="240" w:lineRule="auto"/>
        <w:rPr>
          <w:rFonts w:cstheme="minorHAnsi"/>
          <w:b/>
          <w:bCs/>
        </w:rPr>
      </w:pPr>
    </w:p>
    <w:p w14:paraId="59421560" w14:textId="77777777" w:rsidR="00FE3451"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573AFC49" w14:textId="77777777" w:rsidR="00FE3451" w:rsidRDefault="00FE3451" w:rsidP="00FE3451">
      <w:pPr>
        <w:autoSpaceDE w:val="0"/>
        <w:autoSpaceDN w:val="0"/>
        <w:adjustRightInd w:val="0"/>
        <w:spacing w:after="0" w:line="240" w:lineRule="auto"/>
        <w:rPr>
          <w:rFonts w:cstheme="minorHAnsi"/>
          <w:b/>
          <w:bCs/>
        </w:rPr>
      </w:pPr>
    </w:p>
    <w:p w14:paraId="0CED5264" w14:textId="1C7CAC8E" w:rsidR="004C037B" w:rsidRDefault="00DD671E" w:rsidP="004C037B">
      <w:pPr>
        <w:autoSpaceDE w:val="0"/>
        <w:autoSpaceDN w:val="0"/>
        <w:adjustRightInd w:val="0"/>
        <w:spacing w:after="0" w:line="240" w:lineRule="auto"/>
        <w:rPr>
          <w:rFonts w:cstheme="minorHAnsi"/>
          <w:b/>
          <w:bCs/>
          <w:color w:val="0000FF"/>
        </w:rPr>
      </w:pPr>
      <w:r>
        <w:rPr>
          <w:rFonts w:cstheme="minorHAnsi"/>
          <w:bCs/>
          <w:color w:val="0000FF"/>
        </w:rPr>
        <w:t>The following table</w:t>
      </w:r>
      <w:r w:rsidR="004C037B">
        <w:rPr>
          <w:rFonts w:cstheme="minorHAnsi"/>
          <w:bCs/>
          <w:color w:val="0000FF"/>
        </w:rPr>
        <w:t xml:space="preserve"> lists the risk factors that were included in the final parsimonious model, along with their estimates, ORs, CI and P-Values.  For our model reduction methodology, please see paragraph 3 of section 2b3.3a above.</w:t>
      </w:r>
      <w:r w:rsidR="004C037B">
        <w:rPr>
          <w:rFonts w:cstheme="minorHAnsi"/>
          <w:b/>
          <w:bCs/>
          <w:color w:val="0000FF"/>
        </w:rPr>
        <w:t xml:space="preserve">  </w:t>
      </w:r>
    </w:p>
    <w:p w14:paraId="077E7FF4" w14:textId="77777777" w:rsidR="004C037B" w:rsidRDefault="004C037B" w:rsidP="004C037B">
      <w:pPr>
        <w:autoSpaceDE w:val="0"/>
        <w:autoSpaceDN w:val="0"/>
        <w:adjustRightInd w:val="0"/>
        <w:spacing w:after="0" w:line="240" w:lineRule="auto"/>
        <w:rPr>
          <w:rFonts w:cstheme="minorHAnsi"/>
          <w:bCs/>
          <w:color w:val="0000FF"/>
        </w:rPr>
      </w:pPr>
    </w:p>
    <w:p w14:paraId="1AFF5AE8" w14:textId="56392A8B" w:rsidR="004C037B" w:rsidRDefault="004C037B" w:rsidP="004C037B">
      <w:pPr>
        <w:autoSpaceDE w:val="0"/>
        <w:autoSpaceDN w:val="0"/>
        <w:adjustRightInd w:val="0"/>
        <w:spacing w:after="0" w:line="240" w:lineRule="auto"/>
        <w:rPr>
          <w:rFonts w:cstheme="minorHAnsi"/>
          <w:bCs/>
          <w:color w:val="0000FF"/>
        </w:rPr>
      </w:pPr>
    </w:p>
    <w:p w14:paraId="6A21F607" w14:textId="33E85B16" w:rsidR="00685352" w:rsidRDefault="00685352" w:rsidP="004C037B">
      <w:pPr>
        <w:autoSpaceDE w:val="0"/>
        <w:autoSpaceDN w:val="0"/>
        <w:adjustRightInd w:val="0"/>
        <w:spacing w:after="0" w:line="240" w:lineRule="auto"/>
        <w:rPr>
          <w:rFonts w:cstheme="minorHAnsi"/>
          <w:bCs/>
          <w:color w:val="0000FF"/>
        </w:rPr>
      </w:pPr>
    </w:p>
    <w:p w14:paraId="73FB2E16" w14:textId="0623ECB2" w:rsidR="00685352" w:rsidRDefault="00685352" w:rsidP="004C037B">
      <w:pPr>
        <w:autoSpaceDE w:val="0"/>
        <w:autoSpaceDN w:val="0"/>
        <w:adjustRightInd w:val="0"/>
        <w:spacing w:after="0" w:line="240" w:lineRule="auto"/>
        <w:rPr>
          <w:rFonts w:cstheme="minorHAnsi"/>
          <w:bCs/>
          <w:color w:val="0000FF"/>
        </w:rPr>
      </w:pPr>
    </w:p>
    <w:p w14:paraId="2B3C0EF4" w14:textId="3A167983" w:rsidR="00685352" w:rsidRDefault="00685352" w:rsidP="004C037B">
      <w:pPr>
        <w:autoSpaceDE w:val="0"/>
        <w:autoSpaceDN w:val="0"/>
        <w:adjustRightInd w:val="0"/>
        <w:spacing w:after="0" w:line="240" w:lineRule="auto"/>
        <w:rPr>
          <w:rFonts w:cstheme="minorHAnsi"/>
          <w:bCs/>
          <w:color w:val="0000FF"/>
        </w:rPr>
      </w:pPr>
    </w:p>
    <w:p w14:paraId="0B406C63" w14:textId="77777777" w:rsidR="00685352" w:rsidRDefault="00685352" w:rsidP="004C037B">
      <w:pPr>
        <w:autoSpaceDE w:val="0"/>
        <w:autoSpaceDN w:val="0"/>
        <w:adjustRightInd w:val="0"/>
        <w:spacing w:after="0" w:line="240" w:lineRule="auto"/>
        <w:rPr>
          <w:rFonts w:cstheme="minorHAnsi"/>
          <w:bCs/>
          <w:color w:val="0000FF"/>
        </w:rPr>
      </w:pPr>
    </w:p>
    <w:tbl>
      <w:tblPr>
        <w:tblW w:w="9540" w:type="dxa"/>
        <w:tblInd w:w="-5" w:type="dxa"/>
        <w:tblLook w:val="04A0" w:firstRow="1" w:lastRow="0" w:firstColumn="1" w:lastColumn="0" w:noHBand="0" w:noVBand="1"/>
      </w:tblPr>
      <w:tblGrid>
        <w:gridCol w:w="3120"/>
        <w:gridCol w:w="1364"/>
        <w:gridCol w:w="1565"/>
        <w:gridCol w:w="1111"/>
        <w:gridCol w:w="1087"/>
        <w:gridCol w:w="1293"/>
      </w:tblGrid>
      <w:tr w:rsidR="004C037B" w14:paraId="31DC9E23" w14:textId="77777777" w:rsidTr="00B5776E">
        <w:trPr>
          <w:trHeight w:val="315"/>
        </w:trPr>
        <w:tc>
          <w:tcPr>
            <w:tcW w:w="9540" w:type="dxa"/>
            <w:gridSpan w:val="6"/>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514F30A6" w14:textId="77777777" w:rsidR="004C037B" w:rsidRPr="00461C0D" w:rsidRDefault="004C037B">
            <w:pPr>
              <w:spacing w:after="0" w:line="240" w:lineRule="auto"/>
              <w:jc w:val="center"/>
              <w:rPr>
                <w:rFonts w:eastAsia="Times New Roman" w:cstheme="minorHAnsi"/>
                <w:b/>
                <w:color w:val="0000FF"/>
                <w:sz w:val="28"/>
                <w:szCs w:val="28"/>
              </w:rPr>
            </w:pPr>
            <w:r w:rsidRPr="00461C0D">
              <w:rPr>
                <w:rFonts w:eastAsia="Times New Roman" w:cstheme="minorHAnsi"/>
                <w:b/>
                <w:color w:val="0000FF"/>
                <w:sz w:val="28"/>
                <w:szCs w:val="28"/>
              </w:rPr>
              <w:t>Final Reduced Model of Significant Predictors for Survival to Discharge</w:t>
            </w:r>
          </w:p>
          <w:p w14:paraId="660A3D40" w14:textId="28C6DF5B" w:rsidR="004C037B" w:rsidRDefault="004C037B" w:rsidP="005D1ADF">
            <w:pPr>
              <w:spacing w:after="0" w:line="240" w:lineRule="auto"/>
              <w:jc w:val="center"/>
              <w:rPr>
                <w:rFonts w:eastAsia="Times New Roman" w:cstheme="minorHAnsi"/>
                <w:b/>
                <w:color w:val="0000FF"/>
                <w:sz w:val="32"/>
                <w:szCs w:val="20"/>
              </w:rPr>
            </w:pPr>
            <w:r w:rsidRPr="00461C0D">
              <w:rPr>
                <w:rFonts w:eastAsia="Times New Roman" w:cstheme="minorHAnsi"/>
                <w:b/>
                <w:color w:val="0000FF"/>
                <w:sz w:val="28"/>
                <w:szCs w:val="28"/>
              </w:rPr>
              <w:t xml:space="preserve"> Prospective Validation</w:t>
            </w:r>
            <w:r w:rsidR="005D1ADF">
              <w:rPr>
                <w:rFonts w:eastAsia="Times New Roman" w:cstheme="minorHAnsi"/>
                <w:b/>
                <w:color w:val="0000FF"/>
                <w:sz w:val="28"/>
                <w:szCs w:val="28"/>
              </w:rPr>
              <w:t xml:space="preserve"> Cohort (</w:t>
            </w:r>
            <w:r w:rsidR="005D1ADF" w:rsidRPr="00E30EFD">
              <w:rPr>
                <w:rFonts w:eastAsia="Times New Roman" w:cstheme="minorHAnsi"/>
                <w:b/>
                <w:color w:val="0000FF"/>
                <w:sz w:val="28"/>
                <w:szCs w:val="28"/>
              </w:rPr>
              <w:t>2011- May 2015</w:t>
            </w:r>
            <w:r w:rsidR="005D1ADF">
              <w:rPr>
                <w:rFonts w:eastAsia="Times New Roman" w:cstheme="minorHAnsi"/>
                <w:b/>
                <w:color w:val="0000FF"/>
                <w:sz w:val="28"/>
                <w:szCs w:val="28"/>
              </w:rPr>
              <w:t>)</w:t>
            </w:r>
          </w:p>
        </w:tc>
      </w:tr>
      <w:tr w:rsidR="005D1ADF" w14:paraId="08EDD9B8"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DB3E8B9" w14:textId="77777777" w:rsidR="005D1ADF" w:rsidRDefault="005D1ADF">
            <w:pPr>
              <w:spacing w:after="0" w:line="240" w:lineRule="auto"/>
              <w:jc w:val="center"/>
              <w:rPr>
                <w:rFonts w:ascii="Calibri" w:eastAsia="Times New Roman" w:hAnsi="Calibri" w:cs="Calibri"/>
                <w:b/>
                <w:bCs/>
                <w:color w:val="0000FF"/>
                <w:sz w:val="24"/>
                <w:szCs w:val="24"/>
              </w:rPr>
            </w:pPr>
          </w:p>
          <w:p w14:paraId="27A7DB2D" w14:textId="13F4497C" w:rsidR="004C037B" w:rsidRDefault="004C037B">
            <w:pPr>
              <w:spacing w:after="0" w:line="240" w:lineRule="auto"/>
              <w:jc w:val="center"/>
              <w:rPr>
                <w:rFonts w:ascii="Calibri" w:eastAsia="Times New Roman" w:hAnsi="Calibri" w:cs="Calibri"/>
                <w:b/>
                <w:bCs/>
                <w:color w:val="0000FF"/>
                <w:sz w:val="24"/>
                <w:szCs w:val="24"/>
              </w:rPr>
            </w:pPr>
            <w:r>
              <w:rPr>
                <w:rFonts w:ascii="Calibri" w:eastAsia="Times New Roman" w:hAnsi="Calibri" w:cs="Calibri"/>
                <w:b/>
                <w:bCs/>
                <w:color w:val="0000FF"/>
                <w:sz w:val="24"/>
                <w:szCs w:val="24"/>
              </w:rPr>
              <w:t>Predictor</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D901ABF" w14:textId="7DE50AE1" w:rsidR="004C037B" w:rsidRDefault="005D1ADF">
            <w:pPr>
              <w:spacing w:after="0" w:line="240" w:lineRule="auto"/>
              <w:jc w:val="center"/>
              <w:rPr>
                <w:rFonts w:ascii="Calibri" w:eastAsia="Times New Roman" w:hAnsi="Calibri" w:cs="Calibri"/>
                <w:b/>
                <w:bCs/>
                <w:color w:val="0000FF"/>
                <w:szCs w:val="24"/>
              </w:rPr>
            </w:pPr>
            <w:r>
              <w:rPr>
                <w:rFonts w:ascii="Calibri" w:eastAsia="Times New Roman" w:hAnsi="Calibri" w:cs="Calibri"/>
                <w:b/>
                <w:bCs/>
                <w:color w:val="0000FF"/>
                <w:szCs w:val="24"/>
              </w:rPr>
              <w:t xml:space="preserve">Beta </w:t>
            </w:r>
            <w:r w:rsidR="004C037B">
              <w:rPr>
                <w:rFonts w:ascii="Calibri" w:eastAsia="Times New Roman" w:hAnsi="Calibri" w:cs="Calibri"/>
                <w:b/>
                <w:bCs/>
                <w:color w:val="0000FF"/>
                <w:szCs w:val="24"/>
              </w:rPr>
              <w:t>Estimate</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5FA22E7" w14:textId="77777777" w:rsidR="005D1ADF" w:rsidRDefault="005D1ADF">
            <w:pPr>
              <w:spacing w:after="0" w:line="240" w:lineRule="auto"/>
              <w:jc w:val="center"/>
              <w:rPr>
                <w:rFonts w:ascii="Calibri" w:eastAsia="Times New Roman" w:hAnsi="Calibri" w:cs="Calibri"/>
                <w:b/>
                <w:bCs/>
                <w:color w:val="0000FF"/>
                <w:szCs w:val="24"/>
              </w:rPr>
            </w:pPr>
          </w:p>
          <w:p w14:paraId="4C5F0394" w14:textId="5DFCCABA" w:rsidR="004C037B" w:rsidRDefault="004C037B">
            <w:pPr>
              <w:spacing w:after="0" w:line="240" w:lineRule="auto"/>
              <w:jc w:val="center"/>
              <w:rPr>
                <w:rFonts w:ascii="Calibri" w:eastAsia="Times New Roman" w:hAnsi="Calibri" w:cs="Calibri"/>
                <w:b/>
                <w:bCs/>
                <w:color w:val="0000FF"/>
                <w:szCs w:val="24"/>
              </w:rPr>
            </w:pPr>
            <w:r>
              <w:rPr>
                <w:rFonts w:ascii="Calibri" w:eastAsia="Times New Roman" w:hAnsi="Calibri" w:cs="Calibri"/>
                <w:b/>
                <w:bCs/>
                <w:color w:val="0000FF"/>
                <w:szCs w:val="24"/>
              </w:rPr>
              <w:t>Odds Ratio</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A72D1DB" w14:textId="77777777" w:rsidR="005D1ADF" w:rsidRDefault="005D1ADF" w:rsidP="005D1ADF">
            <w:pPr>
              <w:spacing w:after="0" w:line="240" w:lineRule="auto"/>
              <w:jc w:val="center"/>
              <w:rPr>
                <w:rFonts w:ascii="Calibri" w:eastAsia="Times New Roman" w:hAnsi="Calibri" w:cs="Calibri"/>
                <w:b/>
                <w:bCs/>
                <w:color w:val="0000FF"/>
                <w:szCs w:val="24"/>
              </w:rPr>
            </w:pPr>
          </w:p>
          <w:p w14:paraId="741917B5" w14:textId="3E47902D" w:rsidR="004C037B" w:rsidRDefault="004C037B" w:rsidP="002D7D79">
            <w:pPr>
              <w:spacing w:after="0" w:line="240" w:lineRule="auto"/>
              <w:jc w:val="center"/>
              <w:rPr>
                <w:rFonts w:ascii="Calibri" w:eastAsia="Times New Roman" w:hAnsi="Calibri" w:cs="Calibri"/>
                <w:b/>
                <w:bCs/>
                <w:color w:val="0000FF"/>
                <w:szCs w:val="24"/>
              </w:rPr>
            </w:pPr>
            <w:r>
              <w:rPr>
                <w:rFonts w:ascii="Calibri" w:eastAsia="Times New Roman" w:hAnsi="Calibri" w:cs="Calibri"/>
                <w:b/>
                <w:bCs/>
                <w:color w:val="0000FF"/>
                <w:szCs w:val="24"/>
              </w:rPr>
              <w:t>Lower CI</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03DCC10" w14:textId="77777777" w:rsidR="005D1ADF" w:rsidRDefault="005D1ADF">
            <w:pPr>
              <w:spacing w:after="0" w:line="240" w:lineRule="auto"/>
              <w:jc w:val="center"/>
              <w:rPr>
                <w:rFonts w:ascii="Calibri" w:eastAsia="Times New Roman" w:hAnsi="Calibri" w:cs="Calibri"/>
                <w:b/>
                <w:bCs/>
                <w:color w:val="0000FF"/>
                <w:szCs w:val="24"/>
              </w:rPr>
            </w:pPr>
          </w:p>
          <w:p w14:paraId="01AF7DE2" w14:textId="57DD4F73" w:rsidR="004C037B" w:rsidRDefault="004C037B">
            <w:pPr>
              <w:spacing w:after="0" w:line="240" w:lineRule="auto"/>
              <w:jc w:val="center"/>
              <w:rPr>
                <w:rFonts w:ascii="Calibri" w:eastAsia="Times New Roman" w:hAnsi="Calibri" w:cs="Calibri"/>
                <w:b/>
                <w:bCs/>
                <w:color w:val="0000FF"/>
                <w:szCs w:val="24"/>
              </w:rPr>
            </w:pPr>
            <w:r>
              <w:rPr>
                <w:rFonts w:ascii="Calibri" w:eastAsia="Times New Roman" w:hAnsi="Calibri" w:cs="Calibri"/>
                <w:b/>
                <w:bCs/>
                <w:color w:val="0000FF"/>
                <w:szCs w:val="24"/>
              </w:rPr>
              <w:t>Upper CI</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7DCC55E" w14:textId="77777777" w:rsidR="005D1ADF" w:rsidRDefault="005D1ADF">
            <w:pPr>
              <w:spacing w:after="0" w:line="240" w:lineRule="auto"/>
              <w:jc w:val="center"/>
              <w:rPr>
                <w:rFonts w:ascii="Calibri" w:eastAsia="Times New Roman" w:hAnsi="Calibri" w:cs="Calibri"/>
                <w:b/>
                <w:bCs/>
                <w:color w:val="0000FF"/>
                <w:szCs w:val="24"/>
              </w:rPr>
            </w:pPr>
          </w:p>
          <w:p w14:paraId="447CF5C8" w14:textId="4F3F7401" w:rsidR="004C037B" w:rsidRDefault="004C037B">
            <w:pPr>
              <w:spacing w:after="0" w:line="240" w:lineRule="auto"/>
              <w:jc w:val="center"/>
              <w:rPr>
                <w:rFonts w:ascii="Calibri" w:eastAsia="Times New Roman" w:hAnsi="Calibri" w:cs="Calibri"/>
                <w:b/>
                <w:bCs/>
                <w:color w:val="0000FF"/>
                <w:szCs w:val="24"/>
              </w:rPr>
            </w:pPr>
            <w:r>
              <w:rPr>
                <w:rFonts w:ascii="Calibri" w:eastAsia="Times New Roman" w:hAnsi="Calibri" w:cs="Calibri"/>
                <w:b/>
                <w:bCs/>
                <w:color w:val="0000FF"/>
                <w:szCs w:val="24"/>
              </w:rPr>
              <w:t>P</w:t>
            </w:r>
            <w:r w:rsidR="005D1ADF">
              <w:rPr>
                <w:rFonts w:ascii="Calibri" w:eastAsia="Times New Roman" w:hAnsi="Calibri" w:cs="Calibri"/>
                <w:b/>
                <w:bCs/>
                <w:color w:val="0000FF"/>
                <w:szCs w:val="24"/>
              </w:rPr>
              <w:t xml:space="preserve"> </w:t>
            </w:r>
            <w:r>
              <w:rPr>
                <w:rFonts w:ascii="Calibri" w:eastAsia="Times New Roman" w:hAnsi="Calibri" w:cs="Calibri"/>
                <w:b/>
                <w:bCs/>
                <w:color w:val="0000FF"/>
                <w:szCs w:val="24"/>
              </w:rPr>
              <w:t>Value</w:t>
            </w:r>
          </w:p>
        </w:tc>
      </w:tr>
      <w:tr w:rsidR="005D1ADF" w14:paraId="06C6D845"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27C62D14" w14:textId="0D13E227" w:rsidR="004C037B" w:rsidRDefault="004C037B">
            <w:pPr>
              <w:spacing w:after="0" w:line="240" w:lineRule="auto"/>
              <w:jc w:val="both"/>
              <w:rPr>
                <w:rFonts w:ascii="Calibri" w:eastAsia="Times New Roman" w:hAnsi="Calibri" w:cs="Calibri"/>
                <w:b/>
                <w:color w:val="0000FF"/>
                <w:sz w:val="24"/>
                <w:szCs w:val="24"/>
              </w:rPr>
            </w:pPr>
            <w:r>
              <w:rPr>
                <w:rFonts w:ascii="Calibri" w:eastAsia="Times New Roman" w:hAnsi="Calibri" w:cs="Calibri"/>
                <w:b/>
                <w:color w:val="0000FF"/>
                <w:szCs w:val="24"/>
              </w:rPr>
              <w:t>Age</w:t>
            </w:r>
            <w:r w:rsidR="00C70BE3">
              <w:rPr>
                <w:rFonts w:ascii="Calibri" w:eastAsia="Times New Roman" w:hAnsi="Calibri" w:cs="Calibri"/>
                <w:b/>
                <w:color w:val="0000FF"/>
                <w:szCs w:val="24"/>
              </w:rPr>
              <w:t xml:space="preserve"> (years)</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78BC2BCF" w14:textId="77777777" w:rsidR="004C037B" w:rsidRDefault="004C037B">
            <w:pPr>
              <w:spacing w:after="0" w:line="240" w:lineRule="auto"/>
              <w:jc w:val="center"/>
              <w:rPr>
                <w:rFonts w:ascii="Calibri" w:eastAsia="Times New Roman" w:hAnsi="Calibri" w:cs="Calibri"/>
                <w:color w:val="0000FF"/>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65E99258" w14:textId="77777777" w:rsidR="004C037B" w:rsidRDefault="004C037B">
            <w:pPr>
              <w:spacing w:after="0" w:line="240" w:lineRule="auto"/>
              <w:jc w:val="center"/>
              <w:rPr>
                <w:rFonts w:ascii="Times New Roman" w:eastAsia="Times New Roman" w:hAnsi="Times New Roman" w:cs="Times New Roman"/>
                <w:color w:val="0000FF"/>
                <w:sz w:val="20"/>
                <w:szCs w:val="20"/>
              </w:rPr>
            </w:pP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4CA01468" w14:textId="77777777" w:rsidR="004C037B" w:rsidRDefault="004C037B">
            <w:pPr>
              <w:spacing w:after="0" w:line="240" w:lineRule="auto"/>
              <w:jc w:val="center"/>
              <w:rPr>
                <w:rFonts w:ascii="Times New Roman" w:eastAsia="Times New Roman" w:hAnsi="Times New Roman" w:cs="Times New Roman"/>
                <w:color w:val="0000FF"/>
                <w:sz w:val="20"/>
                <w:szCs w:val="20"/>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343BBCD6" w14:textId="77777777" w:rsidR="004C037B" w:rsidRDefault="004C037B">
            <w:pPr>
              <w:spacing w:after="0" w:line="240" w:lineRule="auto"/>
              <w:jc w:val="center"/>
              <w:rPr>
                <w:rFonts w:ascii="Times New Roman" w:eastAsia="Times New Roman" w:hAnsi="Times New Roman" w:cs="Times New Roman"/>
                <w:color w:val="0000FF"/>
                <w:sz w:val="20"/>
                <w:szCs w:val="20"/>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72C83C86" w14:textId="77777777" w:rsidR="004C037B" w:rsidRDefault="004C037B">
            <w:pPr>
              <w:spacing w:after="0" w:line="240" w:lineRule="auto"/>
              <w:jc w:val="center"/>
              <w:rPr>
                <w:rFonts w:ascii="Times New Roman" w:eastAsia="Times New Roman" w:hAnsi="Times New Roman" w:cs="Times New Roman"/>
                <w:color w:val="0000FF"/>
                <w:sz w:val="20"/>
                <w:szCs w:val="20"/>
              </w:rPr>
            </w:pPr>
          </w:p>
        </w:tc>
      </w:tr>
      <w:tr w:rsidR="005D1ADF" w14:paraId="08AED2B9"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523BFA93" w14:textId="6338D0B0" w:rsidR="00C70BE3" w:rsidRDefault="00C70BE3">
            <w:pPr>
              <w:spacing w:after="0" w:line="240" w:lineRule="auto"/>
              <w:ind w:left="525"/>
              <w:rPr>
                <w:rFonts w:eastAsia="Times New Roman" w:cstheme="minorHAnsi"/>
                <w:color w:val="0000FF"/>
              </w:rPr>
            </w:pPr>
            <w:r>
              <w:rPr>
                <w:rFonts w:eastAsia="Times New Roman" w:cstheme="minorHAnsi"/>
                <w:color w:val="0000FF"/>
              </w:rPr>
              <w:t>&lt;50</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6208C167" w14:textId="77777777" w:rsidR="00C70BE3" w:rsidRDefault="00C70BE3">
            <w:pPr>
              <w:spacing w:after="0" w:line="240" w:lineRule="auto"/>
              <w:jc w:val="center"/>
              <w:rPr>
                <w:rFonts w:eastAsia="Times New Roman" w:cstheme="minorHAnsi"/>
                <w:color w:val="0000FF"/>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04F06AC2" w14:textId="67FCB831"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163C3BE4" w14:textId="77777777" w:rsidR="00C70BE3" w:rsidRDefault="00C70BE3">
            <w:pPr>
              <w:spacing w:after="0" w:line="240" w:lineRule="auto"/>
              <w:jc w:val="center"/>
              <w:rPr>
                <w:rFonts w:eastAsia="Times New Roman" w:cstheme="minorHAnsi"/>
                <w:color w:val="0000FF"/>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1FD26223" w14:textId="77777777" w:rsidR="00C70BE3" w:rsidRDefault="00C70BE3">
            <w:pPr>
              <w:spacing w:after="0" w:line="240" w:lineRule="auto"/>
              <w:jc w:val="center"/>
              <w:rPr>
                <w:rFonts w:eastAsia="Times New Roman" w:cstheme="minorHAnsi"/>
                <w:color w:val="0000FF"/>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650B970E" w14:textId="2C9A172B"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r>
      <w:tr w:rsidR="005D1ADF" w14:paraId="329E8FA9"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15637EA6" w14:textId="77777777" w:rsidR="004C037B" w:rsidRDefault="004C037B">
            <w:pPr>
              <w:spacing w:after="0" w:line="240" w:lineRule="auto"/>
              <w:ind w:left="525"/>
              <w:rPr>
                <w:rFonts w:eastAsia="Times New Roman" w:cstheme="minorHAnsi"/>
                <w:color w:val="0000FF"/>
              </w:rPr>
            </w:pPr>
            <w:r>
              <w:rPr>
                <w:rFonts w:eastAsia="Times New Roman" w:cstheme="minorHAnsi"/>
                <w:color w:val="0000FF"/>
              </w:rPr>
              <w:t>50 to &lt;60</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4FE66E5" w14:textId="707364D9" w:rsidR="004C037B" w:rsidRDefault="004C037B">
            <w:pPr>
              <w:spacing w:after="0" w:line="240" w:lineRule="auto"/>
              <w:jc w:val="center"/>
              <w:rPr>
                <w:rFonts w:eastAsia="Times New Roman" w:cstheme="minorHAnsi"/>
                <w:color w:val="0000FF"/>
              </w:rPr>
            </w:pPr>
            <w:r>
              <w:rPr>
                <w:rFonts w:eastAsia="Times New Roman" w:cstheme="minorHAnsi"/>
                <w:color w:val="0000FF"/>
              </w:rPr>
              <w:t>0.0</w:t>
            </w:r>
            <w:r w:rsidR="005D1ADF">
              <w:rPr>
                <w:rFonts w:eastAsia="Times New Roman" w:cstheme="minorHAnsi"/>
                <w:color w:val="0000FF"/>
              </w:rPr>
              <w:t>46</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EBE28B2"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1.05</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02C15C5"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0.98</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64C0FF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1.12</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F0E4CA2"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0.18</w:t>
            </w:r>
          </w:p>
        </w:tc>
      </w:tr>
      <w:tr w:rsidR="005D1ADF" w14:paraId="76E35023"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07FA11B4" w14:textId="77777777" w:rsidR="004C037B" w:rsidRDefault="004C037B">
            <w:pPr>
              <w:spacing w:after="0" w:line="240" w:lineRule="auto"/>
              <w:ind w:left="525"/>
              <w:rPr>
                <w:rFonts w:eastAsia="Times New Roman" w:cstheme="minorHAnsi"/>
                <w:color w:val="0000FF"/>
              </w:rPr>
            </w:pPr>
            <w:r>
              <w:rPr>
                <w:rFonts w:eastAsia="Times New Roman" w:cstheme="minorHAnsi"/>
                <w:color w:val="0000FF"/>
              </w:rPr>
              <w:t>60 to &lt;70</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F85C88F" w14:textId="15F0BAEB" w:rsidR="004C037B" w:rsidRDefault="004C037B">
            <w:pPr>
              <w:spacing w:after="0" w:line="240" w:lineRule="auto"/>
              <w:jc w:val="center"/>
              <w:rPr>
                <w:rFonts w:eastAsia="Times New Roman" w:cstheme="minorHAnsi"/>
                <w:color w:val="0000FF"/>
              </w:rPr>
            </w:pPr>
            <w:r>
              <w:rPr>
                <w:rFonts w:eastAsia="Times New Roman" w:cstheme="minorHAnsi"/>
                <w:color w:val="0000FF"/>
              </w:rPr>
              <w:t>-0.1</w:t>
            </w:r>
            <w:r w:rsidR="005D1ADF">
              <w:rPr>
                <w:rFonts w:eastAsia="Times New Roman" w:cstheme="minorHAnsi"/>
                <w:color w:val="0000FF"/>
              </w:rPr>
              <w:t>15</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A6BE931"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0.89</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8DDF56F"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0.84</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61D8E1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0.95</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6E128B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0.00</w:t>
            </w:r>
          </w:p>
        </w:tc>
      </w:tr>
      <w:tr w:rsidR="005D1ADF" w14:paraId="30DCF137"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09864B40" w14:textId="77777777" w:rsidR="004C037B" w:rsidRDefault="004C037B">
            <w:pPr>
              <w:spacing w:after="0" w:line="240" w:lineRule="auto"/>
              <w:ind w:left="525"/>
              <w:rPr>
                <w:rFonts w:eastAsia="Times New Roman" w:cstheme="minorHAnsi"/>
                <w:color w:val="0000FF"/>
              </w:rPr>
            </w:pPr>
            <w:r>
              <w:rPr>
                <w:rFonts w:eastAsia="Times New Roman" w:cstheme="minorHAnsi"/>
                <w:color w:val="0000FF"/>
              </w:rPr>
              <w:t>70 to &lt;80</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0018589" w14:textId="58E6DE1A" w:rsidR="004C037B" w:rsidRDefault="004C037B">
            <w:pPr>
              <w:spacing w:after="0" w:line="240" w:lineRule="auto"/>
              <w:jc w:val="center"/>
              <w:rPr>
                <w:rFonts w:eastAsia="Times New Roman" w:cstheme="minorHAnsi"/>
                <w:color w:val="0000FF"/>
              </w:rPr>
            </w:pPr>
            <w:r>
              <w:rPr>
                <w:rFonts w:eastAsia="Times New Roman" w:cstheme="minorHAnsi"/>
                <w:color w:val="0000FF"/>
              </w:rPr>
              <w:t>-0.34</w:t>
            </w:r>
            <w:r w:rsidR="005D1ADF">
              <w:rPr>
                <w:rFonts w:eastAsia="Times New Roman" w:cstheme="minorHAnsi"/>
                <w:color w:val="0000FF"/>
              </w:rPr>
              <w:t>2</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56C7D7C"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0.71</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E16D80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0.67</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D6ABEB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0.76</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32440F6"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2EF3C5E8"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271E8846" w14:textId="505231C3" w:rsidR="004C037B" w:rsidRDefault="00C70BE3">
            <w:pPr>
              <w:spacing w:after="0" w:line="240" w:lineRule="auto"/>
              <w:ind w:left="525"/>
              <w:rPr>
                <w:rFonts w:eastAsia="Times New Roman" w:cstheme="minorHAnsi"/>
                <w:color w:val="0000FF"/>
              </w:rPr>
            </w:pPr>
            <w:r>
              <w:rPr>
                <w:rFonts w:eastAsia="Times New Roman" w:cstheme="minorHAnsi"/>
                <w:color w:val="0000FF"/>
                <w:u w:val="single"/>
              </w:rPr>
              <w:t>&gt;</w:t>
            </w:r>
            <w:r>
              <w:rPr>
                <w:rFonts w:eastAsia="Times New Roman" w:cstheme="minorHAnsi"/>
                <w:color w:val="0000FF"/>
              </w:rPr>
              <w:t xml:space="preserve"> </w:t>
            </w:r>
            <w:r w:rsidR="004C037B">
              <w:rPr>
                <w:rFonts w:eastAsia="Times New Roman" w:cstheme="minorHAnsi"/>
                <w:color w:val="0000FF"/>
              </w:rPr>
              <w:t>80</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95EAF3C" w14:textId="6E2FF5EB" w:rsidR="004C037B" w:rsidRDefault="004C037B">
            <w:pPr>
              <w:spacing w:after="0" w:line="240" w:lineRule="auto"/>
              <w:jc w:val="center"/>
              <w:rPr>
                <w:rFonts w:eastAsia="Times New Roman" w:cstheme="minorHAnsi"/>
                <w:color w:val="0000FF"/>
              </w:rPr>
            </w:pPr>
            <w:r>
              <w:rPr>
                <w:rFonts w:eastAsia="Times New Roman" w:cstheme="minorHAnsi"/>
                <w:color w:val="0000FF"/>
              </w:rPr>
              <w:t>-0.68</w:t>
            </w:r>
            <w:r w:rsidR="005D1ADF">
              <w:rPr>
                <w:rFonts w:eastAsia="Times New Roman" w:cstheme="minorHAnsi"/>
                <w:color w:val="0000FF"/>
              </w:rPr>
              <w:t>0</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075676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0.51</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30D2672"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0.47</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A88D48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0.54</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E4F3011"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0ED1BD45"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58FC24EE" w14:textId="77777777" w:rsidR="004C037B" w:rsidRDefault="004C037B">
            <w:pPr>
              <w:spacing w:after="0" w:line="240" w:lineRule="auto"/>
              <w:rPr>
                <w:rFonts w:eastAsia="Times New Roman" w:cstheme="minorHAnsi"/>
                <w:b/>
                <w:color w:val="0000FF"/>
              </w:rPr>
            </w:pPr>
            <w:r>
              <w:rPr>
                <w:rFonts w:eastAsia="Times New Roman" w:cstheme="minorHAnsi"/>
                <w:b/>
                <w:color w:val="0000FF"/>
              </w:rPr>
              <w:t>Location</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5C219B85" w14:textId="77777777" w:rsidR="004C037B" w:rsidRDefault="004C037B">
            <w:pPr>
              <w:spacing w:after="0" w:line="240" w:lineRule="auto"/>
              <w:jc w:val="center"/>
              <w:rPr>
                <w:rFonts w:eastAsia="Times New Roman" w:cstheme="minorHAnsi"/>
                <w:color w:val="0000FF"/>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10582E16" w14:textId="77777777" w:rsidR="004C037B" w:rsidRDefault="004C037B">
            <w:pPr>
              <w:spacing w:after="0" w:line="240" w:lineRule="auto"/>
              <w:jc w:val="center"/>
              <w:rPr>
                <w:rFonts w:eastAsia="Times New Roman" w:cstheme="minorHAnsi"/>
                <w:color w:val="0000FF"/>
              </w:rPr>
            </w:pP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21ECC3A2" w14:textId="77777777" w:rsidR="004C037B" w:rsidRDefault="004C037B">
            <w:pPr>
              <w:spacing w:after="0" w:line="240" w:lineRule="auto"/>
              <w:jc w:val="center"/>
              <w:rPr>
                <w:rFonts w:eastAsia="Times New Roman" w:cstheme="minorHAnsi"/>
                <w:color w:val="0000FF"/>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1319D5D3" w14:textId="77777777" w:rsidR="004C037B" w:rsidRDefault="004C037B">
            <w:pPr>
              <w:spacing w:after="0" w:line="240" w:lineRule="auto"/>
              <w:jc w:val="center"/>
              <w:rPr>
                <w:rFonts w:eastAsia="Times New Roman" w:cstheme="minorHAnsi"/>
                <w:color w:val="0000FF"/>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612CCD6D" w14:textId="77777777" w:rsidR="004C037B" w:rsidRDefault="004C037B">
            <w:pPr>
              <w:spacing w:after="0" w:line="240" w:lineRule="auto"/>
              <w:jc w:val="center"/>
              <w:rPr>
                <w:rFonts w:eastAsia="Times New Roman" w:cstheme="minorHAnsi"/>
                <w:color w:val="0000FF"/>
              </w:rPr>
            </w:pPr>
          </w:p>
        </w:tc>
      </w:tr>
      <w:tr w:rsidR="005D1ADF" w14:paraId="276BAD2C"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1E52E83D" w14:textId="15C87AF0" w:rsidR="00C70BE3" w:rsidRDefault="00C70BE3">
            <w:pPr>
              <w:spacing w:after="0" w:line="240" w:lineRule="auto"/>
              <w:ind w:left="525"/>
              <w:rPr>
                <w:rFonts w:eastAsia="Times New Roman" w:cstheme="minorHAnsi"/>
                <w:color w:val="0000FF"/>
              </w:rPr>
            </w:pPr>
            <w:r>
              <w:rPr>
                <w:rFonts w:eastAsia="Times New Roman" w:cstheme="minorHAnsi"/>
                <w:color w:val="0000FF"/>
              </w:rPr>
              <w:t>Non-monitored</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6DA434BA" w14:textId="77777777" w:rsidR="00C70BE3" w:rsidRDefault="00C70BE3">
            <w:pPr>
              <w:spacing w:after="0" w:line="240" w:lineRule="auto"/>
              <w:jc w:val="center"/>
              <w:rPr>
                <w:rFonts w:eastAsia="Times New Roman" w:cstheme="minorHAnsi"/>
                <w:color w:val="0000FF"/>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4F87AD7B" w14:textId="29755A03"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23172B1E" w14:textId="77777777" w:rsidR="00C70BE3" w:rsidRDefault="00C70BE3">
            <w:pPr>
              <w:spacing w:after="0" w:line="240" w:lineRule="auto"/>
              <w:jc w:val="center"/>
              <w:rPr>
                <w:rFonts w:eastAsia="Times New Roman" w:cstheme="minorHAnsi"/>
                <w:color w:val="0000FF"/>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4ADDD2CC" w14:textId="77777777" w:rsidR="00C70BE3" w:rsidRDefault="00C70BE3">
            <w:pPr>
              <w:spacing w:after="0" w:line="240" w:lineRule="auto"/>
              <w:jc w:val="center"/>
              <w:rPr>
                <w:rFonts w:eastAsia="Times New Roman" w:cstheme="minorHAnsi"/>
                <w:color w:val="0000FF"/>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3AECBF17" w14:textId="17FCD8B8"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r>
      <w:tr w:rsidR="005D1ADF" w14:paraId="6F235737"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1F56BE69" w14:textId="09A23BEA" w:rsidR="004C037B" w:rsidRDefault="004C037B" w:rsidP="005D1ADF">
            <w:pPr>
              <w:spacing w:after="0" w:line="240" w:lineRule="auto"/>
              <w:ind w:left="525"/>
              <w:rPr>
                <w:rFonts w:eastAsia="Times New Roman" w:cstheme="minorHAnsi"/>
                <w:color w:val="0000FF"/>
              </w:rPr>
            </w:pPr>
            <w:r>
              <w:rPr>
                <w:rFonts w:eastAsia="Times New Roman" w:cstheme="minorHAnsi"/>
                <w:color w:val="0000FF"/>
              </w:rPr>
              <w:t>I</w:t>
            </w:r>
            <w:r w:rsidR="00C70BE3">
              <w:rPr>
                <w:rFonts w:eastAsia="Times New Roman" w:cstheme="minorHAnsi"/>
                <w:color w:val="0000FF"/>
              </w:rPr>
              <w:t>ntensive care</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DD37A6A" w14:textId="2FE14578" w:rsidR="004C037B" w:rsidRDefault="004C037B">
            <w:pPr>
              <w:spacing w:after="0" w:line="240" w:lineRule="auto"/>
              <w:jc w:val="center"/>
              <w:rPr>
                <w:rFonts w:eastAsia="Times New Roman" w:cstheme="minorHAnsi"/>
                <w:color w:val="0000FF"/>
              </w:rPr>
            </w:pPr>
            <w:r>
              <w:rPr>
                <w:rFonts w:eastAsia="Times New Roman" w:cstheme="minorHAnsi"/>
                <w:color w:val="0000FF"/>
              </w:rPr>
              <w:t>0.1</w:t>
            </w:r>
            <w:r w:rsidR="005D1ADF">
              <w:rPr>
                <w:rFonts w:eastAsia="Times New Roman" w:cstheme="minorHAnsi"/>
                <w:color w:val="0000FF"/>
              </w:rPr>
              <w:t>88</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50C1E2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1.21</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CEDC2B8"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1.13</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853CCAF"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1.29</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1E0261F"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714AFA10"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39D5BEA9" w14:textId="7032CEAE" w:rsidR="004C037B" w:rsidRDefault="004C037B" w:rsidP="005D1ADF">
            <w:pPr>
              <w:spacing w:after="0" w:line="240" w:lineRule="auto"/>
              <w:ind w:left="525"/>
              <w:rPr>
                <w:rFonts w:eastAsia="Times New Roman" w:cstheme="minorHAnsi"/>
                <w:color w:val="0000FF"/>
              </w:rPr>
            </w:pPr>
            <w:r>
              <w:rPr>
                <w:rFonts w:eastAsia="Times New Roman" w:cstheme="minorHAnsi"/>
                <w:color w:val="0000FF"/>
              </w:rPr>
              <w:t xml:space="preserve">Monitored </w:t>
            </w:r>
            <w:r w:rsidR="00C70BE3">
              <w:rPr>
                <w:rFonts w:eastAsia="Times New Roman" w:cstheme="minorHAnsi"/>
                <w:color w:val="0000FF"/>
              </w:rPr>
              <w:t>unit</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8001F9A" w14:textId="682FCAFE" w:rsidR="004C037B" w:rsidRDefault="004C037B">
            <w:pPr>
              <w:spacing w:after="0" w:line="240" w:lineRule="auto"/>
              <w:jc w:val="center"/>
              <w:rPr>
                <w:rFonts w:eastAsia="Times New Roman" w:cstheme="minorHAnsi"/>
                <w:color w:val="0000FF"/>
              </w:rPr>
            </w:pPr>
            <w:r>
              <w:rPr>
                <w:rFonts w:eastAsia="Times New Roman" w:cstheme="minorHAnsi"/>
                <w:color w:val="0000FF"/>
              </w:rPr>
              <w:t>0.3</w:t>
            </w:r>
            <w:r w:rsidR="005D1ADF">
              <w:rPr>
                <w:rFonts w:eastAsia="Times New Roman" w:cstheme="minorHAnsi"/>
                <w:color w:val="0000FF"/>
              </w:rPr>
              <w:t>18</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7C9385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1.37</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D83B3A2"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1.28</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08F06A5"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1.48</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9FEDC01"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38B3D35A"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646820A3" w14:textId="0C8B4DC4" w:rsidR="004C037B" w:rsidRDefault="00C70BE3">
            <w:pPr>
              <w:spacing w:after="0" w:line="240" w:lineRule="auto"/>
              <w:ind w:left="525"/>
              <w:rPr>
                <w:rFonts w:eastAsia="Times New Roman" w:cstheme="minorHAnsi"/>
                <w:color w:val="0000FF"/>
              </w:rPr>
            </w:pPr>
            <w:r>
              <w:rPr>
                <w:rFonts w:eastAsia="Times New Roman" w:cstheme="minorHAnsi"/>
                <w:color w:val="0000FF"/>
              </w:rPr>
              <w:t>Emergency room</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9B8EB8E" w14:textId="4B72EBAA" w:rsidR="004C037B" w:rsidRDefault="004C037B">
            <w:pPr>
              <w:spacing w:after="0" w:line="240" w:lineRule="auto"/>
              <w:jc w:val="center"/>
              <w:rPr>
                <w:rFonts w:eastAsia="Times New Roman" w:cstheme="minorHAnsi"/>
                <w:color w:val="0000FF"/>
              </w:rPr>
            </w:pPr>
            <w:r>
              <w:rPr>
                <w:rFonts w:eastAsia="Times New Roman" w:cstheme="minorHAnsi"/>
                <w:color w:val="0000FF"/>
              </w:rPr>
              <w:t>0.20</w:t>
            </w:r>
            <w:r w:rsidR="005D1ADF">
              <w:rPr>
                <w:rFonts w:eastAsia="Times New Roman" w:cstheme="minorHAnsi"/>
                <w:color w:val="0000FF"/>
              </w:rPr>
              <w:t>1</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6314E00"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1.22</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C8A1E4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1.13</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9B97B0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1.32</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BB20D45"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60758374"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65C001E1" w14:textId="5733035C" w:rsidR="004C037B" w:rsidRDefault="004C037B" w:rsidP="005D1ADF">
            <w:pPr>
              <w:spacing w:after="0" w:line="240" w:lineRule="auto"/>
              <w:ind w:left="525"/>
              <w:rPr>
                <w:rFonts w:eastAsia="Times New Roman" w:cstheme="minorHAnsi"/>
                <w:color w:val="0000FF"/>
              </w:rPr>
            </w:pPr>
            <w:r>
              <w:rPr>
                <w:rFonts w:eastAsia="Times New Roman" w:cstheme="minorHAnsi"/>
                <w:color w:val="0000FF"/>
              </w:rPr>
              <w:t xml:space="preserve">Procedural </w:t>
            </w:r>
            <w:r w:rsidR="00C70BE3">
              <w:rPr>
                <w:rFonts w:eastAsia="Times New Roman" w:cstheme="minorHAnsi"/>
                <w:color w:val="0000FF"/>
              </w:rPr>
              <w:t>area</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214FAF2" w14:textId="2169DEF4" w:rsidR="004C037B" w:rsidRDefault="004C037B">
            <w:pPr>
              <w:spacing w:after="0" w:line="240" w:lineRule="auto"/>
              <w:jc w:val="center"/>
              <w:rPr>
                <w:rFonts w:eastAsia="Times New Roman" w:cstheme="minorHAnsi"/>
                <w:color w:val="0000FF"/>
              </w:rPr>
            </w:pPr>
            <w:r>
              <w:rPr>
                <w:rFonts w:eastAsia="Times New Roman" w:cstheme="minorHAnsi"/>
                <w:color w:val="0000FF"/>
              </w:rPr>
              <w:t>0.94</w:t>
            </w:r>
            <w:r w:rsidR="005D1ADF">
              <w:rPr>
                <w:rFonts w:eastAsia="Times New Roman" w:cstheme="minorHAnsi"/>
                <w:color w:val="0000FF"/>
              </w:rPr>
              <w:t>1</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9EBC01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2.56</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435630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2.36</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F2535F3"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2.79</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193717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6E807D21"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1740D814" w14:textId="5B14D23D" w:rsidR="004C037B" w:rsidRDefault="004C037B" w:rsidP="005D1ADF">
            <w:pPr>
              <w:spacing w:after="0" w:line="240" w:lineRule="auto"/>
              <w:ind w:left="525"/>
              <w:rPr>
                <w:rFonts w:eastAsia="Times New Roman" w:cstheme="minorHAnsi"/>
                <w:color w:val="0000FF"/>
              </w:rPr>
            </w:pPr>
            <w:r>
              <w:rPr>
                <w:rFonts w:eastAsia="Times New Roman" w:cstheme="minorHAnsi"/>
                <w:color w:val="0000FF"/>
              </w:rPr>
              <w:t xml:space="preserve">Other </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DAE3010" w14:textId="48D244A1" w:rsidR="004C037B" w:rsidRDefault="004C037B">
            <w:pPr>
              <w:spacing w:after="0" w:line="240" w:lineRule="auto"/>
              <w:jc w:val="center"/>
              <w:rPr>
                <w:rFonts w:eastAsia="Times New Roman" w:cstheme="minorHAnsi"/>
                <w:color w:val="0000FF"/>
              </w:rPr>
            </w:pPr>
            <w:r>
              <w:rPr>
                <w:rFonts w:eastAsia="Times New Roman" w:cstheme="minorHAnsi"/>
                <w:color w:val="0000FF"/>
              </w:rPr>
              <w:t>0.4</w:t>
            </w:r>
            <w:r w:rsidR="005D1ADF">
              <w:rPr>
                <w:rFonts w:eastAsia="Times New Roman" w:cstheme="minorHAnsi"/>
                <w:color w:val="0000FF"/>
              </w:rPr>
              <w:t>39</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E76A38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1.55</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86BC04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1.35</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8BCBFB5"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1.78</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C136116"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435C5EDF"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524D49A8" w14:textId="77777777" w:rsidR="004C037B" w:rsidRDefault="004C037B">
            <w:pPr>
              <w:spacing w:after="0" w:line="240" w:lineRule="auto"/>
              <w:jc w:val="both"/>
              <w:rPr>
                <w:rFonts w:eastAsia="Times New Roman" w:cstheme="minorHAnsi"/>
                <w:b/>
                <w:color w:val="0000FF"/>
              </w:rPr>
            </w:pPr>
            <w:r>
              <w:rPr>
                <w:rFonts w:eastAsia="Times New Roman" w:cstheme="minorHAnsi"/>
                <w:b/>
                <w:color w:val="0000FF"/>
              </w:rPr>
              <w:t>Arrest Rhythm</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7A0F96CE" w14:textId="77777777" w:rsidR="004C037B" w:rsidRDefault="004C037B">
            <w:pPr>
              <w:spacing w:after="0" w:line="240" w:lineRule="auto"/>
              <w:jc w:val="center"/>
              <w:rPr>
                <w:rFonts w:eastAsia="Times New Roman" w:cstheme="minorHAnsi"/>
                <w:color w:val="0000FF"/>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431968CD" w14:textId="77777777" w:rsidR="004C037B" w:rsidRDefault="004C037B">
            <w:pPr>
              <w:spacing w:after="0" w:line="240" w:lineRule="auto"/>
              <w:jc w:val="center"/>
              <w:rPr>
                <w:rFonts w:eastAsia="Times New Roman" w:cstheme="minorHAnsi"/>
                <w:color w:val="0000FF"/>
              </w:rPr>
            </w:pP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40D66600" w14:textId="77777777" w:rsidR="004C037B" w:rsidRDefault="004C037B">
            <w:pPr>
              <w:spacing w:after="0" w:line="240" w:lineRule="auto"/>
              <w:jc w:val="center"/>
              <w:rPr>
                <w:rFonts w:eastAsia="Times New Roman" w:cstheme="minorHAnsi"/>
                <w:color w:val="0000FF"/>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7C13EC8E" w14:textId="77777777" w:rsidR="004C037B" w:rsidRDefault="004C037B">
            <w:pPr>
              <w:spacing w:after="0" w:line="240" w:lineRule="auto"/>
              <w:jc w:val="center"/>
              <w:rPr>
                <w:rFonts w:eastAsia="Times New Roman" w:cstheme="minorHAnsi"/>
                <w:color w:val="0000FF"/>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23670CA2" w14:textId="77777777" w:rsidR="004C037B" w:rsidRDefault="004C037B">
            <w:pPr>
              <w:spacing w:after="0" w:line="240" w:lineRule="auto"/>
              <w:jc w:val="center"/>
              <w:rPr>
                <w:rFonts w:eastAsia="Times New Roman" w:cstheme="minorHAnsi"/>
                <w:color w:val="0000FF"/>
              </w:rPr>
            </w:pPr>
          </w:p>
        </w:tc>
      </w:tr>
      <w:tr w:rsidR="005D1ADF" w14:paraId="4005C606"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tcPr>
          <w:p w14:paraId="4F828D92" w14:textId="1B365FD4" w:rsidR="00C70BE3" w:rsidRDefault="00C70BE3">
            <w:pPr>
              <w:spacing w:after="0" w:line="240" w:lineRule="auto"/>
              <w:ind w:left="525"/>
              <w:rPr>
                <w:rFonts w:eastAsia="Times New Roman" w:cstheme="minorHAnsi"/>
                <w:color w:val="0000FF"/>
              </w:rPr>
            </w:pPr>
            <w:r>
              <w:rPr>
                <w:rFonts w:eastAsia="Times New Roman" w:cstheme="minorHAnsi"/>
                <w:color w:val="0000FF"/>
              </w:rPr>
              <w:t>Asystole</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5E7E0B54" w14:textId="77777777" w:rsidR="00C70BE3" w:rsidRDefault="00C70BE3">
            <w:pPr>
              <w:spacing w:after="0" w:line="240" w:lineRule="auto"/>
              <w:jc w:val="center"/>
              <w:rPr>
                <w:rFonts w:eastAsia="Times New Roman" w:cstheme="minorHAnsi"/>
                <w:color w:val="0000FF"/>
              </w:rPr>
            </w:pP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248587EF" w14:textId="01C9294C"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31BC9D50" w14:textId="77777777" w:rsidR="00C70BE3" w:rsidRDefault="00C70BE3">
            <w:pPr>
              <w:spacing w:after="0" w:line="240" w:lineRule="auto"/>
              <w:jc w:val="center"/>
              <w:rPr>
                <w:rFonts w:eastAsia="Times New Roman" w:cstheme="minorHAnsi"/>
                <w:color w:val="0000FF"/>
              </w:rPr>
            </w:pP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2BEBD676" w14:textId="77777777" w:rsidR="00C70BE3" w:rsidRDefault="00C70BE3">
            <w:pPr>
              <w:spacing w:after="0" w:line="240" w:lineRule="auto"/>
              <w:jc w:val="center"/>
              <w:rPr>
                <w:rFonts w:eastAsia="Times New Roman" w:cstheme="minorHAnsi"/>
                <w:color w:val="0000FF"/>
              </w:rPr>
            </w:pP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tcPr>
          <w:p w14:paraId="118F42E3" w14:textId="48D1CBF4" w:rsidR="00C70BE3" w:rsidRDefault="00C70BE3">
            <w:pPr>
              <w:spacing w:after="0" w:line="240" w:lineRule="auto"/>
              <w:jc w:val="center"/>
              <w:rPr>
                <w:rFonts w:eastAsia="Times New Roman" w:cstheme="minorHAnsi"/>
                <w:color w:val="0000FF"/>
              </w:rPr>
            </w:pPr>
            <w:r>
              <w:rPr>
                <w:rFonts w:eastAsia="Times New Roman" w:cstheme="minorHAnsi"/>
                <w:color w:val="0000FF"/>
              </w:rPr>
              <w:t>Reference</w:t>
            </w:r>
          </w:p>
        </w:tc>
      </w:tr>
      <w:tr w:rsidR="005D1ADF" w14:paraId="6A222F87"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49B05772" w14:textId="459F9F7E" w:rsidR="004C037B" w:rsidRDefault="004C037B" w:rsidP="005D1ADF">
            <w:pPr>
              <w:spacing w:after="0" w:line="240" w:lineRule="auto"/>
              <w:ind w:left="525"/>
              <w:rPr>
                <w:rFonts w:eastAsia="Times New Roman" w:cstheme="minorHAnsi"/>
                <w:color w:val="0000FF"/>
              </w:rPr>
            </w:pPr>
            <w:r>
              <w:rPr>
                <w:rFonts w:eastAsia="Times New Roman" w:cstheme="minorHAnsi"/>
                <w:color w:val="0000FF"/>
              </w:rPr>
              <w:t>P</w:t>
            </w:r>
            <w:r w:rsidR="00C70BE3">
              <w:rPr>
                <w:rFonts w:eastAsia="Times New Roman" w:cstheme="minorHAnsi"/>
                <w:color w:val="0000FF"/>
              </w:rPr>
              <w:t>ulseless electrical activity</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D17805E" w14:textId="673A4C7D" w:rsidR="004C037B" w:rsidRDefault="004C037B">
            <w:pPr>
              <w:spacing w:after="0" w:line="240" w:lineRule="auto"/>
              <w:jc w:val="center"/>
              <w:rPr>
                <w:rFonts w:eastAsia="Times New Roman" w:cstheme="minorHAnsi"/>
                <w:color w:val="0000FF"/>
              </w:rPr>
            </w:pPr>
            <w:r>
              <w:rPr>
                <w:rFonts w:eastAsia="Times New Roman" w:cstheme="minorHAnsi"/>
                <w:color w:val="0000FF"/>
              </w:rPr>
              <w:t>0.00</w:t>
            </w:r>
            <w:r w:rsidR="005D1ADF">
              <w:rPr>
                <w:rFonts w:eastAsia="Times New Roman" w:cstheme="minorHAnsi"/>
                <w:color w:val="0000FF"/>
              </w:rPr>
              <w:t>5</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9A4425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1.00</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D927D58"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0.96</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7DF5C1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1.05</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EDD480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0.85</w:t>
            </w:r>
          </w:p>
        </w:tc>
      </w:tr>
      <w:tr w:rsidR="005D1ADF" w14:paraId="226247B4"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3C864435" w14:textId="17B677CC" w:rsidR="004C037B" w:rsidRDefault="00C70BE3">
            <w:pPr>
              <w:spacing w:after="0" w:line="240" w:lineRule="auto"/>
              <w:ind w:left="525"/>
              <w:rPr>
                <w:rFonts w:eastAsia="Times New Roman" w:cstheme="minorHAnsi"/>
                <w:color w:val="0000FF"/>
              </w:rPr>
            </w:pPr>
            <w:r>
              <w:rPr>
                <w:rFonts w:eastAsia="Times New Roman" w:cstheme="minorHAnsi"/>
                <w:color w:val="0000FF"/>
              </w:rPr>
              <w:t>Ventricular fibrillation</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5F369E4" w14:textId="4E1E8A7A" w:rsidR="004C037B" w:rsidRDefault="004C037B">
            <w:pPr>
              <w:spacing w:after="0" w:line="240" w:lineRule="auto"/>
              <w:jc w:val="center"/>
              <w:rPr>
                <w:rFonts w:eastAsia="Times New Roman" w:cstheme="minorHAnsi"/>
                <w:color w:val="0000FF"/>
              </w:rPr>
            </w:pPr>
            <w:r>
              <w:rPr>
                <w:rFonts w:eastAsia="Times New Roman" w:cstheme="minorHAnsi"/>
                <w:color w:val="0000FF"/>
              </w:rPr>
              <w:t>1.1</w:t>
            </w:r>
            <w:r w:rsidR="005D1ADF">
              <w:rPr>
                <w:rFonts w:eastAsia="Times New Roman" w:cstheme="minorHAnsi"/>
                <w:color w:val="0000FF"/>
              </w:rPr>
              <w:t>05</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63211F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3.02</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9E8FFA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2.83</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AA4CDAF"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3.23</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F73A3D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549E79CF"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2F6585E1" w14:textId="04B33B19" w:rsidR="004C037B" w:rsidRDefault="00C70BE3">
            <w:pPr>
              <w:spacing w:after="0" w:line="240" w:lineRule="auto"/>
              <w:ind w:left="525"/>
              <w:rPr>
                <w:rFonts w:eastAsia="Times New Roman" w:cstheme="minorHAnsi"/>
                <w:color w:val="0000FF"/>
              </w:rPr>
            </w:pPr>
            <w:r>
              <w:rPr>
                <w:rFonts w:eastAsia="Times New Roman" w:cstheme="minorHAnsi"/>
                <w:color w:val="0000FF"/>
              </w:rPr>
              <w:t>Pulseless VT</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4CDD922" w14:textId="669F9AB2" w:rsidR="004C037B" w:rsidRDefault="004C037B">
            <w:pPr>
              <w:spacing w:after="0" w:line="240" w:lineRule="auto"/>
              <w:jc w:val="center"/>
              <w:rPr>
                <w:rFonts w:eastAsia="Times New Roman" w:cstheme="minorHAnsi"/>
                <w:color w:val="0000FF"/>
              </w:rPr>
            </w:pPr>
            <w:r>
              <w:rPr>
                <w:rFonts w:eastAsia="Times New Roman" w:cstheme="minorHAnsi"/>
                <w:color w:val="0000FF"/>
              </w:rPr>
              <w:t>1.07</w:t>
            </w:r>
            <w:r w:rsidR="005D1ADF">
              <w:rPr>
                <w:rFonts w:eastAsia="Times New Roman" w:cstheme="minorHAnsi"/>
                <w:color w:val="0000FF"/>
              </w:rPr>
              <w:t>2</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80FE9B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2.92</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58698D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2.71</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7A2CEF1"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3.14</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BE9D507"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5A28DFB1"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5EB3D53C" w14:textId="77777777" w:rsidR="004C037B" w:rsidRDefault="004C037B">
            <w:pPr>
              <w:spacing w:after="0" w:line="240" w:lineRule="auto"/>
              <w:rPr>
                <w:rFonts w:eastAsia="Times New Roman" w:cstheme="minorHAnsi"/>
                <w:color w:val="0000FF"/>
              </w:rPr>
            </w:pPr>
            <w:r>
              <w:rPr>
                <w:rFonts w:eastAsia="Times New Roman" w:cstheme="minorHAnsi"/>
                <w:color w:val="0000FF"/>
              </w:rPr>
              <w:t>Hepatic Insufficiency</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408533D" w14:textId="6AEEDA36" w:rsidR="004C037B" w:rsidRDefault="004C037B">
            <w:pPr>
              <w:spacing w:after="0" w:line="240" w:lineRule="auto"/>
              <w:jc w:val="center"/>
              <w:rPr>
                <w:rFonts w:eastAsia="Times New Roman" w:cstheme="minorHAnsi"/>
                <w:color w:val="0000FF"/>
              </w:rPr>
            </w:pPr>
            <w:r>
              <w:rPr>
                <w:rFonts w:eastAsia="Times New Roman" w:cstheme="minorHAnsi"/>
                <w:color w:val="0000FF"/>
              </w:rPr>
              <w:t>-0.5</w:t>
            </w:r>
            <w:r w:rsidR="005D1ADF">
              <w:rPr>
                <w:rFonts w:eastAsia="Times New Roman" w:cstheme="minorHAnsi"/>
                <w:color w:val="0000FF"/>
              </w:rPr>
              <w:t>87</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E6E08F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0.56</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E5B330B"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0.51</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BC1E6C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0.61</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8BEC8C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64C3B70F"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6D1A76FE" w14:textId="77777777" w:rsidR="004C037B" w:rsidRDefault="004C037B">
            <w:pPr>
              <w:spacing w:after="0" w:line="240" w:lineRule="auto"/>
              <w:rPr>
                <w:rFonts w:eastAsia="Times New Roman" w:cstheme="minorHAnsi"/>
                <w:color w:val="0000FF"/>
              </w:rPr>
            </w:pPr>
            <w:r>
              <w:rPr>
                <w:rFonts w:eastAsia="Times New Roman" w:cstheme="minorHAnsi"/>
                <w:color w:val="0000FF"/>
              </w:rPr>
              <w:t>Hypotension</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B53EB7B" w14:textId="794F671D" w:rsidR="004C037B" w:rsidRDefault="004C037B">
            <w:pPr>
              <w:spacing w:after="0" w:line="240" w:lineRule="auto"/>
              <w:jc w:val="center"/>
              <w:rPr>
                <w:rFonts w:eastAsia="Times New Roman" w:cstheme="minorHAnsi"/>
                <w:color w:val="0000FF"/>
              </w:rPr>
            </w:pPr>
            <w:r>
              <w:rPr>
                <w:rFonts w:eastAsia="Times New Roman" w:cstheme="minorHAnsi"/>
                <w:color w:val="0000FF"/>
              </w:rPr>
              <w:t>-0.51</w:t>
            </w:r>
            <w:r w:rsidR="005D1ADF">
              <w:rPr>
                <w:rFonts w:eastAsia="Times New Roman" w:cstheme="minorHAnsi"/>
                <w:color w:val="0000FF"/>
              </w:rPr>
              <w:t>3</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D7D953D"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0.60</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5D330E8"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0.57</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720815C3"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0.63</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B37BFB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079DDA0D"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4352AEE3" w14:textId="77777777" w:rsidR="004C037B" w:rsidRDefault="004C037B">
            <w:pPr>
              <w:spacing w:after="0" w:line="240" w:lineRule="auto"/>
              <w:rPr>
                <w:rFonts w:eastAsia="Times New Roman" w:cstheme="minorHAnsi"/>
                <w:color w:val="0000FF"/>
              </w:rPr>
            </w:pPr>
            <w:r>
              <w:rPr>
                <w:rFonts w:eastAsia="Times New Roman" w:cstheme="minorHAnsi"/>
                <w:color w:val="0000FF"/>
              </w:rPr>
              <w:t>Septicemia</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60C1EA5" w14:textId="42682910" w:rsidR="004C037B" w:rsidRDefault="004C037B">
            <w:pPr>
              <w:spacing w:after="0" w:line="240" w:lineRule="auto"/>
              <w:jc w:val="center"/>
              <w:rPr>
                <w:rFonts w:eastAsia="Times New Roman" w:cstheme="minorHAnsi"/>
                <w:color w:val="0000FF"/>
              </w:rPr>
            </w:pPr>
            <w:r>
              <w:rPr>
                <w:rFonts w:eastAsia="Times New Roman" w:cstheme="minorHAnsi"/>
                <w:color w:val="0000FF"/>
              </w:rPr>
              <w:t>-0.35</w:t>
            </w:r>
            <w:r w:rsidR="005D1ADF">
              <w:rPr>
                <w:rFonts w:eastAsia="Times New Roman" w:cstheme="minorHAnsi"/>
                <w:color w:val="0000FF"/>
              </w:rPr>
              <w:t>0</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2A00742A"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0.70</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E752906"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0.66</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FB3CD1C"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0.75</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FD05D73"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4866D1D7"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4DC2CCF5" w14:textId="77777777" w:rsidR="004C037B" w:rsidRDefault="004C037B">
            <w:pPr>
              <w:spacing w:after="0" w:line="240" w:lineRule="auto"/>
              <w:rPr>
                <w:rFonts w:eastAsia="Times New Roman" w:cstheme="minorHAnsi"/>
                <w:color w:val="0000FF"/>
              </w:rPr>
            </w:pPr>
            <w:r>
              <w:rPr>
                <w:rFonts w:eastAsia="Times New Roman" w:cstheme="minorHAnsi"/>
                <w:color w:val="0000FF"/>
              </w:rPr>
              <w:lastRenderedPageBreak/>
              <w:t>Metastatic Malignancy</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53DC199" w14:textId="730BB13F" w:rsidR="004C037B" w:rsidRDefault="004C037B">
            <w:pPr>
              <w:spacing w:after="0" w:line="240" w:lineRule="auto"/>
              <w:jc w:val="center"/>
              <w:rPr>
                <w:rFonts w:eastAsia="Times New Roman" w:cstheme="minorHAnsi"/>
                <w:color w:val="0000FF"/>
              </w:rPr>
            </w:pPr>
            <w:r>
              <w:rPr>
                <w:rFonts w:eastAsia="Times New Roman" w:cstheme="minorHAnsi"/>
                <w:color w:val="0000FF"/>
              </w:rPr>
              <w:t>-0.70</w:t>
            </w:r>
            <w:r w:rsidR="005D1ADF">
              <w:rPr>
                <w:rFonts w:eastAsia="Times New Roman" w:cstheme="minorHAnsi"/>
                <w:color w:val="0000FF"/>
              </w:rPr>
              <w:t>3</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D38E851"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0.49</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B354E2F"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0.46</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705242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0.53</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B481BF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6E46F890"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2B8CF49B" w14:textId="77777777" w:rsidR="004C037B" w:rsidRDefault="004C037B">
            <w:pPr>
              <w:spacing w:after="0" w:line="240" w:lineRule="auto"/>
              <w:rPr>
                <w:rFonts w:eastAsia="Times New Roman" w:cstheme="minorHAnsi"/>
                <w:color w:val="0000FF"/>
              </w:rPr>
            </w:pPr>
            <w:r>
              <w:rPr>
                <w:rFonts w:eastAsia="Times New Roman" w:cstheme="minorHAnsi"/>
                <w:color w:val="0000FF"/>
              </w:rPr>
              <w:t>Mechanical Ventilation</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990AD6E" w14:textId="10882971" w:rsidR="004C037B" w:rsidRDefault="004C037B">
            <w:pPr>
              <w:spacing w:after="0" w:line="240" w:lineRule="auto"/>
              <w:jc w:val="center"/>
              <w:rPr>
                <w:rFonts w:eastAsia="Times New Roman" w:cstheme="minorHAnsi"/>
                <w:color w:val="0000FF"/>
              </w:rPr>
            </w:pPr>
            <w:r>
              <w:rPr>
                <w:rFonts w:eastAsia="Times New Roman" w:cstheme="minorHAnsi"/>
                <w:color w:val="0000FF"/>
              </w:rPr>
              <w:t>-0.48</w:t>
            </w:r>
            <w:r w:rsidR="005D1ADF">
              <w:rPr>
                <w:rFonts w:eastAsia="Times New Roman" w:cstheme="minorHAnsi"/>
                <w:color w:val="0000FF"/>
              </w:rPr>
              <w:t>3</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E5A4DF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0.62</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096E0A59"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0.59</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5D8FB758"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0.65</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6D79A1F4"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r w:rsidR="005D1ADF" w14:paraId="55212506" w14:textId="77777777" w:rsidTr="00B5776E">
        <w:trPr>
          <w:trHeight w:val="315"/>
        </w:trPr>
        <w:tc>
          <w:tcPr>
            <w:tcW w:w="3120"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vAlign w:val="bottom"/>
            <w:hideMark/>
          </w:tcPr>
          <w:p w14:paraId="33BA8DF2" w14:textId="05A6AFDF" w:rsidR="004C037B" w:rsidRDefault="004C037B">
            <w:pPr>
              <w:spacing w:after="0" w:line="240" w:lineRule="auto"/>
              <w:rPr>
                <w:rFonts w:eastAsia="Times New Roman" w:cstheme="minorHAnsi"/>
                <w:color w:val="0000FF"/>
              </w:rPr>
            </w:pPr>
            <w:r>
              <w:rPr>
                <w:rFonts w:eastAsia="Times New Roman" w:cstheme="minorHAnsi"/>
                <w:color w:val="0000FF"/>
              </w:rPr>
              <w:t>Continuous Vaso</w:t>
            </w:r>
            <w:r w:rsidR="005D1ADF">
              <w:rPr>
                <w:rFonts w:eastAsia="Times New Roman" w:cstheme="minorHAnsi"/>
                <w:color w:val="0000FF"/>
              </w:rPr>
              <w:t>p</w:t>
            </w:r>
            <w:r>
              <w:rPr>
                <w:rFonts w:eastAsia="Times New Roman" w:cstheme="minorHAnsi"/>
                <w:color w:val="0000FF"/>
              </w:rPr>
              <w:t>ressor</w:t>
            </w:r>
          </w:p>
        </w:tc>
        <w:tc>
          <w:tcPr>
            <w:tcW w:w="1364"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6E44A78" w14:textId="334D226E" w:rsidR="004C037B" w:rsidRDefault="004C037B">
            <w:pPr>
              <w:spacing w:after="0" w:line="240" w:lineRule="auto"/>
              <w:jc w:val="center"/>
              <w:rPr>
                <w:rFonts w:eastAsia="Times New Roman" w:cstheme="minorHAnsi"/>
                <w:color w:val="0000FF"/>
              </w:rPr>
            </w:pPr>
            <w:r>
              <w:rPr>
                <w:rFonts w:eastAsia="Times New Roman" w:cstheme="minorHAnsi"/>
                <w:color w:val="0000FF"/>
              </w:rPr>
              <w:t>-0.70</w:t>
            </w:r>
            <w:r w:rsidR="005D1ADF">
              <w:rPr>
                <w:rFonts w:eastAsia="Times New Roman" w:cstheme="minorHAnsi"/>
                <w:color w:val="0000FF"/>
              </w:rPr>
              <w:t>2</w:t>
            </w:r>
          </w:p>
        </w:tc>
        <w:tc>
          <w:tcPr>
            <w:tcW w:w="1565"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F0990F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0.50</w:t>
            </w:r>
          </w:p>
        </w:tc>
        <w:tc>
          <w:tcPr>
            <w:tcW w:w="1111"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3D0C5157"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0.47</w:t>
            </w:r>
          </w:p>
        </w:tc>
        <w:tc>
          <w:tcPr>
            <w:tcW w:w="1087"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1C99541E"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0.53</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15" w:type="dxa"/>
              <w:left w:w="108" w:type="dxa"/>
              <w:bottom w:w="15" w:type="dxa"/>
              <w:right w:w="108" w:type="dxa"/>
            </w:tcMar>
            <w:hideMark/>
          </w:tcPr>
          <w:p w14:paraId="413CD0C0" w14:textId="77777777" w:rsidR="004C037B" w:rsidRDefault="004C037B">
            <w:pPr>
              <w:spacing w:after="0" w:line="240" w:lineRule="auto"/>
              <w:jc w:val="center"/>
              <w:rPr>
                <w:rFonts w:eastAsia="Times New Roman" w:cstheme="minorHAnsi"/>
                <w:color w:val="0000FF"/>
              </w:rPr>
            </w:pPr>
            <w:r>
              <w:rPr>
                <w:rFonts w:eastAsia="Times New Roman" w:cstheme="minorHAnsi"/>
                <w:color w:val="0000FF"/>
              </w:rPr>
              <w:t>&lt;.0001</w:t>
            </w:r>
          </w:p>
        </w:tc>
      </w:tr>
    </w:tbl>
    <w:p w14:paraId="739637C2" w14:textId="77777777" w:rsidR="00092566" w:rsidRDefault="00001D73" w:rsidP="00001D73">
      <w:pPr>
        <w:autoSpaceDE w:val="0"/>
        <w:autoSpaceDN w:val="0"/>
        <w:adjustRightInd w:val="0"/>
        <w:spacing w:after="0" w:line="240" w:lineRule="auto"/>
        <w:rPr>
          <w:rFonts w:cstheme="minorHAnsi"/>
          <w:b/>
          <w:bCs/>
        </w:rPr>
      </w:pPr>
      <w:r>
        <w:rPr>
          <w:rFonts w:cstheme="minorHAnsi"/>
          <w:b/>
          <w:bCs/>
        </w:rPr>
        <w:br/>
      </w:r>
    </w:p>
    <w:p w14:paraId="64E612D9" w14:textId="77777777" w:rsidR="00001D73"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696DF4F5" w14:textId="77777777" w:rsidR="000C1BC4" w:rsidRDefault="000C1BC4" w:rsidP="00001D73">
      <w:pPr>
        <w:autoSpaceDE w:val="0"/>
        <w:autoSpaceDN w:val="0"/>
        <w:adjustRightInd w:val="0"/>
        <w:spacing w:after="0" w:line="240" w:lineRule="auto"/>
        <w:rPr>
          <w:rFonts w:cstheme="minorHAnsi"/>
          <w:b/>
          <w:bCs/>
        </w:rPr>
      </w:pPr>
    </w:p>
    <w:p w14:paraId="3A5B4AF3" w14:textId="77777777" w:rsidR="00C1695E" w:rsidRDefault="000C1BC4" w:rsidP="00001D73">
      <w:pPr>
        <w:autoSpaceDE w:val="0"/>
        <w:autoSpaceDN w:val="0"/>
        <w:adjustRightInd w:val="0"/>
        <w:spacing w:after="0" w:line="240" w:lineRule="auto"/>
        <w:rPr>
          <w:rFonts w:cstheme="minorHAnsi"/>
          <w:bCs/>
          <w:color w:val="0000FF"/>
        </w:rPr>
      </w:pPr>
      <w:r w:rsidRPr="000C1BC4">
        <w:rPr>
          <w:rFonts w:cstheme="minorHAnsi"/>
          <w:bCs/>
          <w:color w:val="0000FF"/>
        </w:rPr>
        <w:t>Based on the information provided in 1.8, the decision was made to not adjust the measure based</w:t>
      </w:r>
      <w:r>
        <w:rPr>
          <w:rFonts w:cstheme="minorHAnsi"/>
          <w:bCs/>
          <w:color w:val="0000FF"/>
        </w:rPr>
        <w:t xml:space="preserve"> on SDS factors, as identification of differences on these factors is an</w:t>
      </w:r>
      <w:r w:rsidRPr="000C1BC4">
        <w:rPr>
          <w:rFonts w:cstheme="minorHAnsi"/>
          <w:bCs/>
          <w:color w:val="0000FF"/>
        </w:rPr>
        <w:t xml:space="preserve"> important indicator of identifying variability in quality.</w:t>
      </w:r>
    </w:p>
    <w:p w14:paraId="5B570DFD" w14:textId="77777777" w:rsidR="000C1BC4" w:rsidRPr="000C1BC4" w:rsidRDefault="000C1BC4" w:rsidP="00001D73">
      <w:pPr>
        <w:autoSpaceDE w:val="0"/>
        <w:autoSpaceDN w:val="0"/>
        <w:adjustRightInd w:val="0"/>
        <w:spacing w:after="0" w:line="240" w:lineRule="auto"/>
        <w:rPr>
          <w:rFonts w:cstheme="minorHAnsi"/>
          <w:bCs/>
          <w:color w:val="0000FF"/>
        </w:rPr>
      </w:pPr>
    </w:p>
    <w:p w14:paraId="35C08837" w14:textId="77777777" w:rsidR="000C1BC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36366FA3" w14:textId="77777777" w:rsidR="000C1BC4" w:rsidRDefault="000C1BC4" w:rsidP="00092566">
      <w:pPr>
        <w:autoSpaceDE w:val="0"/>
        <w:autoSpaceDN w:val="0"/>
        <w:adjustRightInd w:val="0"/>
        <w:spacing w:after="0" w:line="240" w:lineRule="auto"/>
        <w:rPr>
          <w:rFonts w:cstheme="minorHAnsi"/>
          <w:bCs/>
        </w:rPr>
      </w:pPr>
    </w:p>
    <w:p w14:paraId="616588E5" w14:textId="1CF878E4" w:rsidR="000C1BC4" w:rsidRPr="00155D88" w:rsidRDefault="000C1BC4" w:rsidP="000C1BC4">
      <w:pPr>
        <w:autoSpaceDE w:val="0"/>
        <w:autoSpaceDN w:val="0"/>
        <w:adjustRightInd w:val="0"/>
        <w:spacing w:after="0" w:line="240" w:lineRule="auto"/>
        <w:rPr>
          <w:rFonts w:cstheme="minorHAnsi"/>
          <w:color w:val="0000FF"/>
        </w:rPr>
      </w:pPr>
      <w:r w:rsidRPr="00155D88">
        <w:rPr>
          <w:rFonts w:cstheme="minorHAnsi"/>
          <w:color w:val="0000FF"/>
        </w:rPr>
        <w:t xml:space="preserve">Model discrimination was assessed with the C-statistic, and model validation was performed by examining observed vs. predicted plots.  </w:t>
      </w:r>
    </w:p>
    <w:p w14:paraId="0F419A60" w14:textId="77777777" w:rsidR="00092566" w:rsidRPr="00A25024" w:rsidRDefault="00092566" w:rsidP="00092566">
      <w:pPr>
        <w:autoSpaceDE w:val="0"/>
        <w:autoSpaceDN w:val="0"/>
        <w:adjustRightInd w:val="0"/>
        <w:spacing w:after="0" w:line="240" w:lineRule="auto"/>
        <w:rPr>
          <w:rFonts w:cstheme="minorHAnsi"/>
          <w:bCs/>
        </w:rPr>
      </w:pPr>
    </w:p>
    <w:p w14:paraId="62CC1EE7"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4BCA6F71" w14:textId="77777777" w:rsidR="00743E46" w:rsidRDefault="00743E46" w:rsidP="00092566">
      <w:pPr>
        <w:autoSpaceDE w:val="0"/>
        <w:autoSpaceDN w:val="0"/>
        <w:adjustRightInd w:val="0"/>
        <w:spacing w:after="0" w:line="240" w:lineRule="auto"/>
        <w:rPr>
          <w:rFonts w:cstheme="minorHAnsi"/>
          <w:b/>
          <w:bCs/>
        </w:rPr>
      </w:pPr>
    </w:p>
    <w:p w14:paraId="30220EA1" w14:textId="77777777" w:rsidR="000C1BC4"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5980265" w14:textId="77777777" w:rsidR="000C1BC4" w:rsidRDefault="000C1BC4" w:rsidP="00092566">
      <w:pPr>
        <w:autoSpaceDE w:val="0"/>
        <w:autoSpaceDN w:val="0"/>
        <w:adjustRightInd w:val="0"/>
        <w:spacing w:after="0" w:line="240" w:lineRule="auto"/>
        <w:rPr>
          <w:rFonts w:cstheme="minorHAnsi"/>
          <w:b/>
          <w:bCs/>
        </w:rPr>
      </w:pPr>
    </w:p>
    <w:p w14:paraId="53A0903E" w14:textId="4019652B" w:rsidR="000C1BC4" w:rsidRPr="005C2FA2" w:rsidRDefault="000C1BC4" w:rsidP="000C1BC4">
      <w:pPr>
        <w:pStyle w:val="NoSpacing"/>
        <w:rPr>
          <w:rFonts w:asciiTheme="minorHAnsi" w:hAnsiTheme="minorHAnsi" w:cstheme="minorHAnsi"/>
          <w:color w:val="0000FF"/>
        </w:rPr>
      </w:pPr>
      <w:r w:rsidRPr="005C2FA2">
        <w:rPr>
          <w:rFonts w:asciiTheme="minorHAnsi" w:hAnsiTheme="minorHAnsi" w:cstheme="minorHAnsi"/>
          <w:color w:val="0000FF"/>
        </w:rPr>
        <w:t xml:space="preserve">Initially, 18 independent predictors were identified in the derivation cohort with the multivariable model, resulting in a model C-statistic of 0.708.  After model reduction to generate a parsimonious model with no more than 5% loss in model prediction, our final model was comprised of 9 variables, with only a small change in the C-statistic (0.704).  When the model was tested in the independent </w:t>
      </w:r>
      <w:r w:rsidR="00DD671E">
        <w:rPr>
          <w:rFonts w:asciiTheme="minorHAnsi" w:hAnsiTheme="minorHAnsi" w:cstheme="minorHAnsi"/>
          <w:color w:val="0000FF"/>
        </w:rPr>
        <w:t xml:space="preserve">prospective </w:t>
      </w:r>
      <w:r w:rsidRPr="005C2FA2">
        <w:rPr>
          <w:rFonts w:asciiTheme="minorHAnsi" w:hAnsiTheme="minorHAnsi" w:cstheme="minorHAnsi"/>
          <w:color w:val="0000FF"/>
        </w:rPr>
        <w:t>validation cohort</w:t>
      </w:r>
      <w:r w:rsidR="00DD671E">
        <w:rPr>
          <w:rFonts w:asciiTheme="minorHAnsi" w:hAnsiTheme="minorHAnsi" w:cstheme="minorHAnsi"/>
          <w:color w:val="0000FF"/>
        </w:rPr>
        <w:t xml:space="preserve"> (2011 to May 2015)</w:t>
      </w:r>
      <w:r w:rsidRPr="005C2FA2">
        <w:rPr>
          <w:rFonts w:asciiTheme="minorHAnsi" w:hAnsiTheme="minorHAnsi" w:cstheme="minorHAnsi"/>
          <w:color w:val="0000FF"/>
        </w:rPr>
        <w:t xml:space="preserve">, model discrimination was similar (C-statistic of 0.707).  </w:t>
      </w:r>
    </w:p>
    <w:p w14:paraId="51CA732A" w14:textId="77777777" w:rsidR="00001D73" w:rsidRPr="00001D73" w:rsidRDefault="00001D73" w:rsidP="00092566">
      <w:pPr>
        <w:autoSpaceDE w:val="0"/>
        <w:autoSpaceDN w:val="0"/>
        <w:adjustRightInd w:val="0"/>
        <w:spacing w:after="0" w:line="240" w:lineRule="auto"/>
        <w:rPr>
          <w:rFonts w:cstheme="minorHAnsi"/>
          <w:b/>
          <w:bCs/>
        </w:rPr>
      </w:pPr>
    </w:p>
    <w:p w14:paraId="5EB0E786" w14:textId="77777777" w:rsidR="000C1BC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43AEF4A5" w14:textId="77777777" w:rsidR="000C1BC4" w:rsidRDefault="000C1BC4" w:rsidP="00092566">
      <w:pPr>
        <w:autoSpaceDE w:val="0"/>
        <w:autoSpaceDN w:val="0"/>
        <w:adjustRightInd w:val="0"/>
        <w:spacing w:after="0" w:line="240" w:lineRule="auto"/>
        <w:rPr>
          <w:rFonts w:cstheme="minorHAnsi"/>
          <w:bCs/>
        </w:rPr>
      </w:pPr>
    </w:p>
    <w:p w14:paraId="29EC262D" w14:textId="5CED38A8" w:rsidR="000C1BC4" w:rsidRPr="005C2FA2" w:rsidRDefault="000C1BC4" w:rsidP="000C1BC4">
      <w:pPr>
        <w:pStyle w:val="NoSpacing"/>
        <w:rPr>
          <w:rFonts w:asciiTheme="minorHAnsi" w:hAnsiTheme="minorHAnsi" w:cstheme="minorHAnsi"/>
          <w:color w:val="0000FF"/>
        </w:rPr>
      </w:pPr>
      <w:r w:rsidRPr="005C2FA2">
        <w:rPr>
          <w:rFonts w:asciiTheme="minorHAnsi" w:hAnsiTheme="minorHAnsi" w:cstheme="minorHAnsi"/>
          <w:color w:val="0000FF"/>
        </w:rPr>
        <w:t>Below</w:t>
      </w:r>
      <w:r w:rsidR="00DD671E">
        <w:rPr>
          <w:rFonts w:asciiTheme="minorHAnsi" w:hAnsiTheme="minorHAnsi" w:cstheme="minorHAnsi"/>
          <w:color w:val="0000FF"/>
        </w:rPr>
        <w:t>, we</w:t>
      </w:r>
      <w:r w:rsidRPr="005C2FA2">
        <w:rPr>
          <w:rFonts w:asciiTheme="minorHAnsi" w:hAnsiTheme="minorHAnsi" w:cstheme="minorHAnsi"/>
          <w:color w:val="0000FF"/>
        </w:rPr>
        <w:t xml:space="preserve"> describe our risk model calibration statistics</w:t>
      </w:r>
      <w:r w:rsidR="00DD671E">
        <w:rPr>
          <w:rFonts w:asciiTheme="minorHAnsi" w:hAnsiTheme="minorHAnsi" w:cstheme="minorHAnsi"/>
          <w:color w:val="0000FF"/>
        </w:rPr>
        <w:t xml:space="preserve"> for the prospective validation cohort (2011 to May 2015)</w:t>
      </w:r>
      <w:r w:rsidRPr="005C2FA2">
        <w:rPr>
          <w:rFonts w:asciiTheme="minorHAnsi" w:hAnsiTheme="minorHAnsi" w:cstheme="minorHAnsi"/>
          <w:color w:val="0000FF"/>
        </w:rPr>
        <w:t xml:space="preserve">.  We describe </w:t>
      </w:r>
      <w:r w:rsidR="00DD671E">
        <w:rPr>
          <w:rFonts w:asciiTheme="minorHAnsi" w:hAnsiTheme="minorHAnsi" w:cstheme="minorHAnsi"/>
          <w:color w:val="0000FF"/>
        </w:rPr>
        <w:t xml:space="preserve">them for year </w:t>
      </w:r>
      <w:r w:rsidRPr="005C2FA2">
        <w:rPr>
          <w:rFonts w:asciiTheme="minorHAnsi" w:hAnsiTheme="minorHAnsi" w:cstheme="minorHAnsi"/>
          <w:color w:val="0000FF"/>
        </w:rPr>
        <w:t>2012, 2013, and 2014 separately, and 2011-</w:t>
      </w:r>
      <w:r w:rsidR="00E91DE9">
        <w:rPr>
          <w:rFonts w:asciiTheme="minorHAnsi" w:hAnsiTheme="minorHAnsi" w:cstheme="minorHAnsi"/>
          <w:color w:val="0000FF"/>
        </w:rPr>
        <w:t xml:space="preserve">May </w:t>
      </w:r>
      <w:r w:rsidRPr="005C2FA2">
        <w:rPr>
          <w:rFonts w:asciiTheme="minorHAnsi" w:hAnsiTheme="minorHAnsi" w:cstheme="minorHAnsi"/>
          <w:color w:val="0000FF"/>
        </w:rPr>
        <w:t xml:space="preserve">2015 as a whole.   </w:t>
      </w:r>
    </w:p>
    <w:p w14:paraId="638143B8" w14:textId="77777777" w:rsidR="000C1BC4" w:rsidRPr="005C2FA2" w:rsidRDefault="000C1BC4" w:rsidP="000C1BC4">
      <w:pPr>
        <w:autoSpaceDE w:val="0"/>
        <w:autoSpaceDN w:val="0"/>
        <w:adjustRightInd w:val="0"/>
        <w:spacing w:after="0" w:line="240" w:lineRule="auto"/>
        <w:rPr>
          <w:rFonts w:cstheme="minorHAnsi"/>
          <w:bCs/>
          <w:color w:val="0000FF"/>
        </w:rPr>
      </w:pPr>
    </w:p>
    <w:p w14:paraId="710FCC99" w14:textId="77777777" w:rsidR="000C1BC4" w:rsidRPr="005C2FA2" w:rsidRDefault="000C1BC4" w:rsidP="000C1BC4">
      <w:pPr>
        <w:autoSpaceDE w:val="0"/>
        <w:autoSpaceDN w:val="0"/>
        <w:adjustRightInd w:val="0"/>
        <w:spacing w:after="0" w:line="240" w:lineRule="auto"/>
        <w:rPr>
          <w:rFonts w:cstheme="minorHAnsi"/>
          <w:b/>
          <w:bCs/>
          <w:color w:val="0000FF"/>
        </w:rPr>
      </w:pPr>
      <w:r w:rsidRPr="005C2FA2">
        <w:rPr>
          <w:rFonts w:cstheme="minorHAnsi"/>
          <w:b/>
          <w:bCs/>
          <w:color w:val="0000FF"/>
        </w:rPr>
        <w:t>2012 DATA</w:t>
      </w:r>
    </w:p>
    <w:p w14:paraId="0628F2DC" w14:textId="77777777" w:rsidR="000C1BC4" w:rsidRPr="005C2FA2" w:rsidRDefault="000C1BC4" w:rsidP="000C1BC4">
      <w:pPr>
        <w:autoSpaceDE w:val="0"/>
        <w:autoSpaceDN w:val="0"/>
        <w:adjustRightInd w:val="0"/>
        <w:spacing w:after="0" w:line="240" w:lineRule="auto"/>
        <w:rPr>
          <w:rFonts w:cstheme="minorHAnsi"/>
          <w:b/>
          <w:bCs/>
          <w:color w:val="0000FF"/>
        </w:rPr>
      </w:pPr>
    </w:p>
    <w:p w14:paraId="6BF99D56" w14:textId="327DC20C" w:rsidR="000C1BC4" w:rsidRPr="005C2FA2" w:rsidRDefault="00DD671E" w:rsidP="000C1BC4">
      <w:pPr>
        <w:pStyle w:val="NoSpacing"/>
        <w:rPr>
          <w:rFonts w:asciiTheme="minorHAnsi" w:hAnsiTheme="minorHAnsi" w:cstheme="minorHAnsi"/>
          <w:color w:val="0000FF"/>
        </w:rPr>
      </w:pPr>
      <w:r>
        <w:rPr>
          <w:rFonts w:asciiTheme="minorHAnsi" w:hAnsiTheme="minorHAnsi" w:cstheme="minorHAnsi"/>
          <w:color w:val="0000FF"/>
        </w:rPr>
        <w:t xml:space="preserve">Using data from this year alone, we </w:t>
      </w:r>
      <w:r w:rsidR="000C1BC4" w:rsidRPr="005C2FA2">
        <w:rPr>
          <w:rFonts w:asciiTheme="minorHAnsi" w:hAnsiTheme="minorHAnsi" w:cstheme="minorHAnsi"/>
          <w:color w:val="0000FF"/>
        </w:rPr>
        <w:t>re-developed a</w:t>
      </w:r>
      <w:r>
        <w:rPr>
          <w:rFonts w:asciiTheme="minorHAnsi" w:hAnsiTheme="minorHAnsi" w:cstheme="minorHAnsi"/>
          <w:color w:val="0000FF"/>
        </w:rPr>
        <w:t>nd confirmed that the</w:t>
      </w:r>
      <w:r w:rsidR="000C1BC4" w:rsidRPr="005C2FA2">
        <w:rPr>
          <w:rFonts w:asciiTheme="minorHAnsi" w:hAnsiTheme="minorHAnsi" w:cstheme="minorHAnsi"/>
          <w:color w:val="0000FF"/>
        </w:rPr>
        <w:t xml:space="preserve"> parsimonious model</w:t>
      </w:r>
      <w:r>
        <w:rPr>
          <w:rFonts w:asciiTheme="minorHAnsi" w:hAnsiTheme="minorHAnsi" w:cstheme="minorHAnsi"/>
          <w:color w:val="0000FF"/>
        </w:rPr>
        <w:t xml:space="preserve"> would be comprised of the same 9 predictors</w:t>
      </w:r>
      <w:r w:rsidR="000C1BC4" w:rsidRPr="005C2FA2">
        <w:rPr>
          <w:rFonts w:asciiTheme="minorHAnsi" w:hAnsiTheme="minorHAnsi" w:cstheme="minorHAnsi"/>
          <w:color w:val="0000FF"/>
        </w:rPr>
        <w:t xml:space="preserve"> (c-statistic 0.694).  The model for 2012 data calibrated well, with an R</w:t>
      </w:r>
      <w:r w:rsidR="000C1BC4" w:rsidRPr="005C2FA2">
        <w:rPr>
          <w:rFonts w:asciiTheme="minorHAnsi" w:hAnsiTheme="minorHAnsi" w:cstheme="minorHAnsi"/>
          <w:color w:val="0000FF"/>
          <w:vertAlign w:val="superscript"/>
        </w:rPr>
        <w:t>2</w:t>
      </w:r>
      <w:r w:rsidR="000C1BC4" w:rsidRPr="005C2FA2">
        <w:rPr>
          <w:rFonts w:asciiTheme="minorHAnsi" w:hAnsiTheme="minorHAnsi" w:cstheme="minorHAnsi"/>
          <w:color w:val="0000FF"/>
        </w:rPr>
        <w:t xml:space="preserve"> of 0.99</w:t>
      </w:r>
      <w:r w:rsidR="00847A4E">
        <w:rPr>
          <w:rFonts w:asciiTheme="minorHAnsi" w:hAnsiTheme="minorHAnsi" w:cstheme="minorHAnsi"/>
          <w:color w:val="0000FF"/>
        </w:rPr>
        <w:t>2</w:t>
      </w:r>
      <w:r w:rsidR="000C1BC4" w:rsidRPr="005C2FA2">
        <w:rPr>
          <w:rFonts w:asciiTheme="minorHAnsi" w:hAnsiTheme="minorHAnsi" w:cstheme="minorHAnsi"/>
          <w:color w:val="0000FF"/>
        </w:rPr>
        <w:t xml:space="preserve"> (below).  The discrimination and validation analyses using 2012 data prospectively validates the initial </w:t>
      </w:r>
      <w:r w:rsidR="004838E6">
        <w:rPr>
          <w:rFonts w:cstheme="minorHAnsi"/>
          <w:color w:val="0000FF"/>
        </w:rPr>
        <w:t xml:space="preserve">risk-standardized survival rate </w:t>
      </w:r>
      <w:r w:rsidR="000C1BC4" w:rsidRPr="005C2FA2">
        <w:rPr>
          <w:rFonts w:asciiTheme="minorHAnsi" w:hAnsiTheme="minorHAnsi" w:cstheme="minorHAnsi"/>
          <w:color w:val="0000FF"/>
        </w:rPr>
        <w:t>model using data between 2007 and 2010.</w:t>
      </w:r>
    </w:p>
    <w:p w14:paraId="6215EE04" w14:textId="77777777" w:rsidR="000C1BC4" w:rsidRPr="005C2FA2" w:rsidRDefault="000C1BC4" w:rsidP="000C1BC4">
      <w:pPr>
        <w:autoSpaceDE w:val="0"/>
        <w:autoSpaceDN w:val="0"/>
        <w:adjustRightInd w:val="0"/>
        <w:spacing w:after="0" w:line="240" w:lineRule="auto"/>
        <w:rPr>
          <w:rFonts w:cstheme="minorHAnsi"/>
          <w:bCs/>
          <w:color w:val="0000FF"/>
        </w:rPr>
      </w:pPr>
    </w:p>
    <w:p w14:paraId="7E59005E" w14:textId="77777777" w:rsidR="000C1BC4" w:rsidRPr="005C2FA2" w:rsidRDefault="000C1BC4" w:rsidP="000C1BC4">
      <w:pPr>
        <w:autoSpaceDE w:val="0"/>
        <w:autoSpaceDN w:val="0"/>
        <w:adjustRightInd w:val="0"/>
        <w:spacing w:after="0" w:line="240" w:lineRule="auto"/>
        <w:rPr>
          <w:rFonts w:cstheme="minorHAnsi"/>
          <w:b/>
          <w:bCs/>
          <w:color w:val="0000FF"/>
        </w:rPr>
      </w:pPr>
      <w:r w:rsidRPr="005C2FA2">
        <w:rPr>
          <w:rFonts w:cstheme="minorHAnsi"/>
          <w:b/>
          <w:bCs/>
          <w:color w:val="0000FF"/>
        </w:rPr>
        <w:t>2013 DATA</w:t>
      </w:r>
    </w:p>
    <w:p w14:paraId="37700C16" w14:textId="77777777" w:rsidR="000C1BC4" w:rsidRPr="005C2FA2" w:rsidRDefault="000C1BC4" w:rsidP="000C1BC4">
      <w:pPr>
        <w:autoSpaceDE w:val="0"/>
        <w:autoSpaceDN w:val="0"/>
        <w:adjustRightInd w:val="0"/>
        <w:spacing w:after="0" w:line="240" w:lineRule="auto"/>
        <w:rPr>
          <w:rFonts w:cstheme="minorHAnsi"/>
          <w:b/>
          <w:bCs/>
          <w:color w:val="0000FF"/>
        </w:rPr>
      </w:pPr>
    </w:p>
    <w:p w14:paraId="608C7E3C" w14:textId="0A6B09A2" w:rsidR="000C1BC4" w:rsidRPr="005C2FA2" w:rsidRDefault="00DD671E" w:rsidP="000C1BC4">
      <w:pPr>
        <w:pStyle w:val="NoSpacing"/>
        <w:rPr>
          <w:rFonts w:asciiTheme="minorHAnsi" w:hAnsiTheme="minorHAnsi" w:cstheme="minorHAnsi"/>
          <w:color w:val="0000FF"/>
        </w:rPr>
      </w:pPr>
      <w:r>
        <w:rPr>
          <w:rFonts w:asciiTheme="minorHAnsi" w:hAnsiTheme="minorHAnsi" w:cstheme="minorHAnsi"/>
          <w:color w:val="0000FF"/>
        </w:rPr>
        <w:t xml:space="preserve">Using data from this year alone, we </w:t>
      </w:r>
      <w:r w:rsidRPr="005C2FA2">
        <w:rPr>
          <w:rFonts w:asciiTheme="minorHAnsi" w:hAnsiTheme="minorHAnsi" w:cstheme="minorHAnsi"/>
          <w:color w:val="0000FF"/>
        </w:rPr>
        <w:t>re-developed a</w:t>
      </w:r>
      <w:r>
        <w:rPr>
          <w:rFonts w:asciiTheme="minorHAnsi" w:hAnsiTheme="minorHAnsi" w:cstheme="minorHAnsi"/>
          <w:color w:val="0000FF"/>
        </w:rPr>
        <w:t>nd confirmed that the</w:t>
      </w:r>
      <w:r w:rsidRPr="005C2FA2">
        <w:rPr>
          <w:rFonts w:asciiTheme="minorHAnsi" w:hAnsiTheme="minorHAnsi" w:cstheme="minorHAnsi"/>
          <w:color w:val="0000FF"/>
        </w:rPr>
        <w:t xml:space="preserve"> parsimonious model</w:t>
      </w:r>
      <w:r>
        <w:rPr>
          <w:rFonts w:asciiTheme="minorHAnsi" w:hAnsiTheme="minorHAnsi" w:cstheme="minorHAnsi"/>
          <w:color w:val="0000FF"/>
        </w:rPr>
        <w:t xml:space="preserve"> would be comprised of the same 9 </w:t>
      </w:r>
      <w:r w:rsidR="007C1769">
        <w:rPr>
          <w:rFonts w:asciiTheme="minorHAnsi" w:hAnsiTheme="minorHAnsi" w:cstheme="minorHAnsi"/>
          <w:color w:val="0000FF"/>
        </w:rPr>
        <w:t>predictors</w:t>
      </w:r>
      <w:r w:rsidR="007C1769" w:rsidRPr="005C2FA2">
        <w:rPr>
          <w:rFonts w:asciiTheme="minorHAnsi" w:hAnsiTheme="minorHAnsi" w:cstheme="minorHAnsi"/>
          <w:color w:val="0000FF"/>
        </w:rPr>
        <w:t xml:space="preserve"> (</w:t>
      </w:r>
      <w:r w:rsidR="000C1BC4" w:rsidRPr="005C2FA2">
        <w:rPr>
          <w:rFonts w:asciiTheme="minorHAnsi" w:hAnsiTheme="minorHAnsi" w:cstheme="minorHAnsi"/>
          <w:color w:val="0000FF"/>
        </w:rPr>
        <w:t>c-statistic 0.709).  The model for 2013 data also calibrated well, with an R</w:t>
      </w:r>
      <w:r w:rsidR="000C1BC4" w:rsidRPr="005C2FA2">
        <w:rPr>
          <w:rFonts w:asciiTheme="minorHAnsi" w:hAnsiTheme="minorHAnsi" w:cstheme="minorHAnsi"/>
          <w:color w:val="0000FF"/>
          <w:vertAlign w:val="superscript"/>
        </w:rPr>
        <w:t>2</w:t>
      </w:r>
      <w:r w:rsidR="000C1BC4" w:rsidRPr="005C2FA2">
        <w:rPr>
          <w:rFonts w:asciiTheme="minorHAnsi" w:hAnsiTheme="minorHAnsi" w:cstheme="minorHAnsi"/>
          <w:color w:val="0000FF"/>
        </w:rPr>
        <w:t xml:space="preserve"> of 0.99</w:t>
      </w:r>
      <w:r w:rsidR="00847A4E">
        <w:rPr>
          <w:rFonts w:asciiTheme="minorHAnsi" w:hAnsiTheme="minorHAnsi" w:cstheme="minorHAnsi"/>
          <w:color w:val="0000FF"/>
        </w:rPr>
        <w:t>2</w:t>
      </w:r>
      <w:r w:rsidR="000C1BC4" w:rsidRPr="005C2FA2">
        <w:rPr>
          <w:rFonts w:asciiTheme="minorHAnsi" w:hAnsiTheme="minorHAnsi" w:cstheme="minorHAnsi"/>
          <w:color w:val="0000FF"/>
        </w:rPr>
        <w:t xml:space="preserve"> (below).  The discrimination and validation analyses using 2013 data prospectively validates the prior </w:t>
      </w:r>
      <w:r w:rsidR="004838E6">
        <w:rPr>
          <w:rFonts w:cstheme="minorHAnsi"/>
          <w:color w:val="0000FF"/>
        </w:rPr>
        <w:t xml:space="preserve">risk-standardized survival rate </w:t>
      </w:r>
      <w:r w:rsidR="000C1BC4" w:rsidRPr="005C2FA2">
        <w:rPr>
          <w:rFonts w:asciiTheme="minorHAnsi" w:hAnsiTheme="minorHAnsi" w:cstheme="minorHAnsi"/>
          <w:color w:val="0000FF"/>
        </w:rPr>
        <w:t>model using data between 2007 and 2010.</w:t>
      </w:r>
    </w:p>
    <w:p w14:paraId="08D3A043" w14:textId="77777777" w:rsidR="00A16ED5" w:rsidRDefault="00A16ED5" w:rsidP="000C1BC4">
      <w:pPr>
        <w:autoSpaceDE w:val="0"/>
        <w:autoSpaceDN w:val="0"/>
        <w:adjustRightInd w:val="0"/>
        <w:spacing w:after="0" w:line="240" w:lineRule="auto"/>
        <w:rPr>
          <w:rFonts w:cstheme="minorHAnsi"/>
          <w:b/>
          <w:bCs/>
          <w:color w:val="0000FF"/>
        </w:rPr>
      </w:pPr>
    </w:p>
    <w:p w14:paraId="39B7E35C" w14:textId="77777777" w:rsidR="000C1BC4" w:rsidRPr="005C2FA2" w:rsidRDefault="000C1BC4" w:rsidP="000C1BC4">
      <w:pPr>
        <w:autoSpaceDE w:val="0"/>
        <w:autoSpaceDN w:val="0"/>
        <w:adjustRightInd w:val="0"/>
        <w:spacing w:after="0" w:line="240" w:lineRule="auto"/>
        <w:rPr>
          <w:rFonts w:cstheme="minorHAnsi"/>
          <w:b/>
          <w:bCs/>
          <w:color w:val="0000FF"/>
        </w:rPr>
      </w:pPr>
      <w:r w:rsidRPr="005C2FA2">
        <w:rPr>
          <w:rFonts w:cstheme="minorHAnsi"/>
          <w:b/>
          <w:bCs/>
          <w:color w:val="0000FF"/>
        </w:rPr>
        <w:t>2014 DATA</w:t>
      </w:r>
    </w:p>
    <w:p w14:paraId="5E9A2307" w14:textId="77777777" w:rsidR="000C1BC4" w:rsidRPr="005C2FA2" w:rsidRDefault="000C1BC4" w:rsidP="000C1BC4">
      <w:pPr>
        <w:autoSpaceDE w:val="0"/>
        <w:autoSpaceDN w:val="0"/>
        <w:adjustRightInd w:val="0"/>
        <w:spacing w:after="0" w:line="240" w:lineRule="auto"/>
        <w:rPr>
          <w:rFonts w:cstheme="minorHAnsi"/>
          <w:b/>
          <w:bCs/>
          <w:color w:val="0000FF"/>
        </w:rPr>
      </w:pPr>
    </w:p>
    <w:p w14:paraId="5A3E9EE1" w14:textId="2B8FB7D1" w:rsidR="000C1BC4" w:rsidRPr="005C2FA2" w:rsidRDefault="00DD671E" w:rsidP="000C1BC4">
      <w:pPr>
        <w:pStyle w:val="NoSpacing"/>
        <w:rPr>
          <w:rFonts w:asciiTheme="minorHAnsi" w:hAnsiTheme="minorHAnsi" w:cstheme="minorHAnsi"/>
          <w:color w:val="0000FF"/>
        </w:rPr>
      </w:pPr>
      <w:r>
        <w:rPr>
          <w:rFonts w:asciiTheme="minorHAnsi" w:hAnsiTheme="minorHAnsi" w:cstheme="minorHAnsi"/>
          <w:color w:val="0000FF"/>
        </w:rPr>
        <w:t xml:space="preserve">Using data from this year alone, we </w:t>
      </w:r>
      <w:r w:rsidRPr="005C2FA2">
        <w:rPr>
          <w:rFonts w:asciiTheme="minorHAnsi" w:hAnsiTheme="minorHAnsi" w:cstheme="minorHAnsi"/>
          <w:color w:val="0000FF"/>
        </w:rPr>
        <w:t>re-developed a</w:t>
      </w:r>
      <w:r>
        <w:rPr>
          <w:rFonts w:asciiTheme="minorHAnsi" w:hAnsiTheme="minorHAnsi" w:cstheme="minorHAnsi"/>
          <w:color w:val="0000FF"/>
        </w:rPr>
        <w:t>nd confirmed that the</w:t>
      </w:r>
      <w:r w:rsidRPr="005C2FA2">
        <w:rPr>
          <w:rFonts w:asciiTheme="minorHAnsi" w:hAnsiTheme="minorHAnsi" w:cstheme="minorHAnsi"/>
          <w:color w:val="0000FF"/>
        </w:rPr>
        <w:t xml:space="preserve"> parsimonious model</w:t>
      </w:r>
      <w:r>
        <w:rPr>
          <w:rFonts w:asciiTheme="minorHAnsi" w:hAnsiTheme="minorHAnsi" w:cstheme="minorHAnsi"/>
          <w:color w:val="0000FF"/>
        </w:rPr>
        <w:t xml:space="preserve"> would be comprised of the same 9 </w:t>
      </w:r>
      <w:r w:rsidR="007C1769">
        <w:rPr>
          <w:rFonts w:asciiTheme="minorHAnsi" w:hAnsiTheme="minorHAnsi" w:cstheme="minorHAnsi"/>
          <w:color w:val="0000FF"/>
        </w:rPr>
        <w:t>predictors</w:t>
      </w:r>
      <w:r w:rsidR="007C1769" w:rsidRPr="005C2FA2">
        <w:rPr>
          <w:rFonts w:asciiTheme="minorHAnsi" w:hAnsiTheme="minorHAnsi" w:cstheme="minorHAnsi"/>
          <w:color w:val="0000FF"/>
        </w:rPr>
        <w:t xml:space="preserve"> (</w:t>
      </w:r>
      <w:r w:rsidR="000C1BC4" w:rsidRPr="005C2FA2">
        <w:rPr>
          <w:rFonts w:asciiTheme="minorHAnsi" w:hAnsiTheme="minorHAnsi" w:cstheme="minorHAnsi"/>
          <w:color w:val="0000FF"/>
        </w:rPr>
        <w:t>c-statistic 0.703).  The model for 2014 data also calibrated well, with an R</w:t>
      </w:r>
      <w:r w:rsidR="000C1BC4" w:rsidRPr="005C2FA2">
        <w:rPr>
          <w:rFonts w:asciiTheme="minorHAnsi" w:hAnsiTheme="minorHAnsi" w:cstheme="minorHAnsi"/>
          <w:color w:val="0000FF"/>
          <w:vertAlign w:val="superscript"/>
        </w:rPr>
        <w:t>2</w:t>
      </w:r>
      <w:r w:rsidR="000C1BC4" w:rsidRPr="005C2FA2">
        <w:rPr>
          <w:rFonts w:asciiTheme="minorHAnsi" w:hAnsiTheme="minorHAnsi" w:cstheme="minorHAnsi"/>
          <w:color w:val="0000FF"/>
        </w:rPr>
        <w:t xml:space="preserve"> of 0.99 (below).  The discrimination and validation analyses using 2014 data prospectively validates the prior </w:t>
      </w:r>
      <w:r w:rsidR="004838E6">
        <w:rPr>
          <w:rFonts w:cstheme="minorHAnsi"/>
          <w:color w:val="0000FF"/>
        </w:rPr>
        <w:t xml:space="preserve">risk-standardized survival rate </w:t>
      </w:r>
      <w:r w:rsidR="000C1BC4" w:rsidRPr="005C2FA2">
        <w:rPr>
          <w:rFonts w:asciiTheme="minorHAnsi" w:hAnsiTheme="minorHAnsi" w:cstheme="minorHAnsi"/>
          <w:color w:val="0000FF"/>
        </w:rPr>
        <w:t>model using data between 2007 and 2010.</w:t>
      </w:r>
    </w:p>
    <w:p w14:paraId="2F6207B0" w14:textId="77777777" w:rsidR="000C1BC4" w:rsidRPr="005C2FA2" w:rsidRDefault="000C1BC4" w:rsidP="000C1BC4">
      <w:pPr>
        <w:pStyle w:val="NoSpacing"/>
        <w:rPr>
          <w:b/>
          <w:color w:val="0000FF"/>
        </w:rPr>
      </w:pPr>
    </w:p>
    <w:p w14:paraId="5ECDBEA1" w14:textId="77777777" w:rsidR="000C1BC4" w:rsidRPr="005C2FA2" w:rsidRDefault="000C1BC4" w:rsidP="000C1BC4">
      <w:pPr>
        <w:pStyle w:val="NoSpacing"/>
        <w:rPr>
          <w:b/>
          <w:color w:val="0000FF"/>
        </w:rPr>
      </w:pPr>
      <w:r w:rsidRPr="005C2FA2">
        <w:rPr>
          <w:b/>
          <w:color w:val="0000FF"/>
        </w:rPr>
        <w:t>2011-</w:t>
      </w:r>
      <w:r w:rsidR="00E91DE9">
        <w:rPr>
          <w:b/>
          <w:color w:val="0000FF"/>
        </w:rPr>
        <w:t xml:space="preserve"> May </w:t>
      </w:r>
      <w:r w:rsidRPr="005C2FA2">
        <w:rPr>
          <w:b/>
          <w:color w:val="0000FF"/>
        </w:rPr>
        <w:t>2015</w:t>
      </w:r>
    </w:p>
    <w:p w14:paraId="16172293" w14:textId="77777777" w:rsidR="000C1BC4" w:rsidRPr="005C2FA2" w:rsidRDefault="000C1BC4" w:rsidP="000C1BC4">
      <w:pPr>
        <w:pStyle w:val="NoSpacing"/>
        <w:rPr>
          <w:rFonts w:asciiTheme="minorHAnsi" w:hAnsiTheme="minorHAnsi" w:cstheme="minorHAnsi"/>
          <w:color w:val="0000FF"/>
        </w:rPr>
      </w:pPr>
    </w:p>
    <w:p w14:paraId="10960D17" w14:textId="438BA963" w:rsidR="000C1BC4" w:rsidRPr="005C2FA2" w:rsidRDefault="004D5747" w:rsidP="000C1BC4">
      <w:pPr>
        <w:pStyle w:val="NoSpacing"/>
        <w:rPr>
          <w:rFonts w:asciiTheme="minorHAnsi" w:eastAsiaTheme="minorHAnsi" w:hAnsiTheme="minorHAnsi" w:cstheme="minorHAnsi"/>
          <w:color w:val="0000FF"/>
        </w:rPr>
      </w:pPr>
      <w:r>
        <w:rPr>
          <w:rFonts w:asciiTheme="minorHAnsi" w:hAnsiTheme="minorHAnsi" w:cstheme="minorHAnsi"/>
          <w:color w:val="0000FF"/>
        </w:rPr>
        <w:t xml:space="preserve">Using data from this entire time period, we </w:t>
      </w:r>
      <w:r w:rsidRPr="005C2FA2">
        <w:rPr>
          <w:rFonts w:asciiTheme="minorHAnsi" w:hAnsiTheme="minorHAnsi" w:cstheme="minorHAnsi"/>
          <w:color w:val="0000FF"/>
        </w:rPr>
        <w:t>re-developed a</w:t>
      </w:r>
      <w:r>
        <w:rPr>
          <w:rFonts w:asciiTheme="minorHAnsi" w:hAnsiTheme="minorHAnsi" w:cstheme="minorHAnsi"/>
          <w:color w:val="0000FF"/>
        </w:rPr>
        <w:t>nd confirmed that the</w:t>
      </w:r>
      <w:r w:rsidRPr="005C2FA2">
        <w:rPr>
          <w:rFonts w:asciiTheme="minorHAnsi" w:hAnsiTheme="minorHAnsi" w:cstheme="minorHAnsi"/>
          <w:color w:val="0000FF"/>
        </w:rPr>
        <w:t xml:space="preserve"> parsimonious model</w:t>
      </w:r>
      <w:r>
        <w:rPr>
          <w:rFonts w:asciiTheme="minorHAnsi" w:hAnsiTheme="minorHAnsi" w:cstheme="minorHAnsi"/>
          <w:color w:val="0000FF"/>
        </w:rPr>
        <w:t xml:space="preserve"> would be comprised of the same 9 predictors</w:t>
      </w:r>
      <w:r w:rsidRPr="005C2FA2">
        <w:rPr>
          <w:rFonts w:asciiTheme="minorHAnsi" w:hAnsiTheme="minorHAnsi" w:cstheme="minorHAnsi"/>
          <w:color w:val="0000FF"/>
        </w:rPr>
        <w:t xml:space="preserve"> </w:t>
      </w:r>
      <w:r w:rsidR="000C1BC4" w:rsidRPr="005C2FA2">
        <w:rPr>
          <w:rFonts w:asciiTheme="minorHAnsi" w:hAnsiTheme="minorHAnsi" w:cstheme="minorHAnsi"/>
          <w:color w:val="0000FF"/>
        </w:rPr>
        <w:t xml:space="preserve">(c-statistic 0.706).  </w:t>
      </w:r>
      <w:r w:rsidR="000C1BC4" w:rsidRPr="005C2FA2">
        <w:rPr>
          <w:rFonts w:asciiTheme="minorHAnsi" w:eastAsiaTheme="minorHAnsi" w:hAnsiTheme="minorHAnsi" w:cstheme="minorHAnsi"/>
          <w:color w:val="0000FF"/>
        </w:rPr>
        <w:t>The model using 2011-2015 data also calibrated well, with an R</w:t>
      </w:r>
      <w:r w:rsidR="000C1BC4" w:rsidRPr="005C2FA2">
        <w:rPr>
          <w:rFonts w:asciiTheme="minorHAnsi" w:eastAsiaTheme="minorHAnsi" w:hAnsiTheme="minorHAnsi" w:cstheme="minorHAnsi"/>
          <w:color w:val="0000FF"/>
          <w:vertAlign w:val="superscript"/>
        </w:rPr>
        <w:t>2</w:t>
      </w:r>
      <w:r w:rsidR="000C1BC4" w:rsidRPr="005C2FA2">
        <w:rPr>
          <w:rFonts w:asciiTheme="minorHAnsi" w:eastAsiaTheme="minorHAnsi" w:hAnsiTheme="minorHAnsi" w:cstheme="minorHAnsi"/>
          <w:color w:val="0000FF"/>
        </w:rPr>
        <w:t xml:space="preserve"> of 0.997 (below).  The discrimination and validation analyses using combined 2011-2015 data prospectively validates the initial </w:t>
      </w:r>
      <w:r w:rsidR="004838E6">
        <w:rPr>
          <w:rFonts w:cstheme="minorHAnsi"/>
          <w:color w:val="0000FF"/>
        </w:rPr>
        <w:t xml:space="preserve">risk-standardized survival rate </w:t>
      </w:r>
      <w:r w:rsidR="000C1BC4" w:rsidRPr="005C2FA2">
        <w:rPr>
          <w:rFonts w:asciiTheme="minorHAnsi" w:eastAsiaTheme="minorHAnsi" w:hAnsiTheme="minorHAnsi" w:cstheme="minorHAnsi"/>
          <w:color w:val="0000FF"/>
        </w:rPr>
        <w:t>model, which used data between 2007 and 2010.</w:t>
      </w:r>
    </w:p>
    <w:p w14:paraId="6780DADC" w14:textId="77777777" w:rsidR="00001D73" w:rsidRDefault="00001D73" w:rsidP="00092566">
      <w:pPr>
        <w:autoSpaceDE w:val="0"/>
        <w:autoSpaceDN w:val="0"/>
        <w:adjustRightInd w:val="0"/>
        <w:spacing w:after="0" w:line="240" w:lineRule="auto"/>
        <w:rPr>
          <w:rFonts w:cstheme="minorHAnsi"/>
          <w:b/>
          <w:bCs/>
        </w:rPr>
      </w:pPr>
    </w:p>
    <w:p w14:paraId="555909E7" w14:textId="77777777" w:rsidR="000C1BC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53DDD6E8" w14:textId="77777777" w:rsidR="000C1BC4" w:rsidRDefault="000C1BC4" w:rsidP="00092566">
      <w:pPr>
        <w:autoSpaceDE w:val="0"/>
        <w:autoSpaceDN w:val="0"/>
        <w:adjustRightInd w:val="0"/>
        <w:spacing w:after="0" w:line="240" w:lineRule="auto"/>
        <w:rPr>
          <w:rFonts w:cstheme="minorHAnsi"/>
          <w:bCs/>
        </w:rPr>
      </w:pPr>
    </w:p>
    <w:p w14:paraId="497A8BE4" w14:textId="77777777" w:rsidR="0067316E" w:rsidRDefault="0067316E" w:rsidP="000C1BC4">
      <w:pPr>
        <w:autoSpaceDE w:val="0"/>
        <w:autoSpaceDN w:val="0"/>
        <w:adjustRightInd w:val="0"/>
        <w:spacing w:after="0" w:line="240" w:lineRule="auto"/>
        <w:rPr>
          <w:rFonts w:cstheme="minorHAnsi"/>
          <w:b/>
          <w:bCs/>
          <w:color w:val="0000FF"/>
        </w:rPr>
      </w:pPr>
    </w:p>
    <w:p w14:paraId="7D558DEE" w14:textId="77777777" w:rsidR="0067316E" w:rsidRDefault="0067316E" w:rsidP="000C1BC4">
      <w:pPr>
        <w:autoSpaceDE w:val="0"/>
        <w:autoSpaceDN w:val="0"/>
        <w:adjustRightInd w:val="0"/>
        <w:spacing w:after="0" w:line="240" w:lineRule="auto"/>
        <w:rPr>
          <w:rFonts w:cstheme="minorHAnsi"/>
          <w:b/>
          <w:bCs/>
          <w:color w:val="0000FF"/>
        </w:rPr>
      </w:pPr>
    </w:p>
    <w:p w14:paraId="5632D713" w14:textId="77777777" w:rsidR="0067316E" w:rsidRDefault="0067316E" w:rsidP="000C1BC4">
      <w:pPr>
        <w:autoSpaceDE w:val="0"/>
        <w:autoSpaceDN w:val="0"/>
        <w:adjustRightInd w:val="0"/>
        <w:spacing w:after="0" w:line="240" w:lineRule="auto"/>
        <w:rPr>
          <w:rFonts w:cstheme="minorHAnsi"/>
          <w:b/>
          <w:bCs/>
          <w:color w:val="0000FF"/>
        </w:rPr>
      </w:pPr>
    </w:p>
    <w:p w14:paraId="7771D83A" w14:textId="77777777" w:rsidR="0067316E" w:rsidRDefault="0067316E" w:rsidP="000C1BC4">
      <w:pPr>
        <w:autoSpaceDE w:val="0"/>
        <w:autoSpaceDN w:val="0"/>
        <w:adjustRightInd w:val="0"/>
        <w:spacing w:after="0" w:line="240" w:lineRule="auto"/>
        <w:rPr>
          <w:rFonts w:cstheme="minorHAnsi"/>
          <w:b/>
          <w:bCs/>
          <w:color w:val="0000FF"/>
        </w:rPr>
      </w:pPr>
    </w:p>
    <w:p w14:paraId="197441AD" w14:textId="77777777" w:rsidR="00E26AD0" w:rsidRDefault="00E26AD0" w:rsidP="000C1BC4">
      <w:pPr>
        <w:autoSpaceDE w:val="0"/>
        <w:autoSpaceDN w:val="0"/>
        <w:adjustRightInd w:val="0"/>
        <w:spacing w:after="0" w:line="240" w:lineRule="auto"/>
        <w:rPr>
          <w:rFonts w:cstheme="minorHAnsi"/>
          <w:b/>
          <w:bCs/>
          <w:color w:val="0000FF"/>
        </w:rPr>
      </w:pPr>
    </w:p>
    <w:p w14:paraId="07C5B58C" w14:textId="77777777" w:rsidR="00E26AD0" w:rsidRDefault="00E26AD0" w:rsidP="000C1BC4">
      <w:pPr>
        <w:autoSpaceDE w:val="0"/>
        <w:autoSpaceDN w:val="0"/>
        <w:adjustRightInd w:val="0"/>
        <w:spacing w:after="0" w:line="240" w:lineRule="auto"/>
        <w:rPr>
          <w:rFonts w:cstheme="minorHAnsi"/>
          <w:b/>
          <w:bCs/>
          <w:color w:val="0000FF"/>
        </w:rPr>
      </w:pPr>
    </w:p>
    <w:p w14:paraId="107959C4" w14:textId="77777777" w:rsidR="00E26AD0" w:rsidRDefault="00E26AD0" w:rsidP="000C1BC4">
      <w:pPr>
        <w:autoSpaceDE w:val="0"/>
        <w:autoSpaceDN w:val="0"/>
        <w:adjustRightInd w:val="0"/>
        <w:spacing w:after="0" w:line="240" w:lineRule="auto"/>
        <w:rPr>
          <w:rFonts w:cstheme="minorHAnsi"/>
          <w:b/>
          <w:bCs/>
          <w:color w:val="0000FF"/>
        </w:rPr>
      </w:pPr>
    </w:p>
    <w:p w14:paraId="24035C4D" w14:textId="77777777" w:rsidR="00E26AD0" w:rsidRDefault="00E26AD0" w:rsidP="000C1BC4">
      <w:pPr>
        <w:autoSpaceDE w:val="0"/>
        <w:autoSpaceDN w:val="0"/>
        <w:adjustRightInd w:val="0"/>
        <w:spacing w:after="0" w:line="240" w:lineRule="auto"/>
        <w:rPr>
          <w:rFonts w:cstheme="minorHAnsi"/>
          <w:b/>
          <w:bCs/>
          <w:color w:val="0000FF"/>
        </w:rPr>
      </w:pPr>
    </w:p>
    <w:p w14:paraId="73441E88" w14:textId="77777777" w:rsidR="00E26AD0" w:rsidRDefault="00E26AD0" w:rsidP="000C1BC4">
      <w:pPr>
        <w:autoSpaceDE w:val="0"/>
        <w:autoSpaceDN w:val="0"/>
        <w:adjustRightInd w:val="0"/>
        <w:spacing w:after="0" w:line="240" w:lineRule="auto"/>
        <w:rPr>
          <w:rFonts w:cstheme="minorHAnsi"/>
          <w:b/>
          <w:bCs/>
          <w:color w:val="0000FF"/>
        </w:rPr>
      </w:pPr>
    </w:p>
    <w:p w14:paraId="141BA226" w14:textId="77777777" w:rsidR="00E26AD0" w:rsidRDefault="00E26AD0" w:rsidP="000C1BC4">
      <w:pPr>
        <w:autoSpaceDE w:val="0"/>
        <w:autoSpaceDN w:val="0"/>
        <w:adjustRightInd w:val="0"/>
        <w:spacing w:after="0" w:line="240" w:lineRule="auto"/>
        <w:rPr>
          <w:rFonts w:cstheme="minorHAnsi"/>
          <w:b/>
          <w:bCs/>
          <w:color w:val="0000FF"/>
        </w:rPr>
      </w:pPr>
    </w:p>
    <w:p w14:paraId="3DF5F1F4" w14:textId="77777777" w:rsidR="00E26AD0" w:rsidRDefault="00E26AD0" w:rsidP="000C1BC4">
      <w:pPr>
        <w:autoSpaceDE w:val="0"/>
        <w:autoSpaceDN w:val="0"/>
        <w:adjustRightInd w:val="0"/>
        <w:spacing w:after="0" w:line="240" w:lineRule="auto"/>
        <w:rPr>
          <w:rFonts w:cstheme="minorHAnsi"/>
          <w:b/>
          <w:bCs/>
          <w:color w:val="0000FF"/>
        </w:rPr>
      </w:pPr>
    </w:p>
    <w:p w14:paraId="582F855E" w14:textId="77777777" w:rsidR="00E26AD0" w:rsidRDefault="00E26AD0" w:rsidP="000C1BC4">
      <w:pPr>
        <w:autoSpaceDE w:val="0"/>
        <w:autoSpaceDN w:val="0"/>
        <w:adjustRightInd w:val="0"/>
        <w:spacing w:after="0" w:line="240" w:lineRule="auto"/>
        <w:rPr>
          <w:rFonts w:cstheme="minorHAnsi"/>
          <w:b/>
          <w:bCs/>
          <w:color w:val="0000FF"/>
        </w:rPr>
      </w:pPr>
    </w:p>
    <w:p w14:paraId="041517A2" w14:textId="77777777" w:rsidR="00E26AD0" w:rsidRDefault="00E26AD0" w:rsidP="000C1BC4">
      <w:pPr>
        <w:autoSpaceDE w:val="0"/>
        <w:autoSpaceDN w:val="0"/>
        <w:adjustRightInd w:val="0"/>
        <w:spacing w:after="0" w:line="240" w:lineRule="auto"/>
        <w:rPr>
          <w:rFonts w:cstheme="minorHAnsi"/>
          <w:b/>
          <w:bCs/>
          <w:color w:val="0000FF"/>
        </w:rPr>
      </w:pPr>
    </w:p>
    <w:p w14:paraId="64E640E9" w14:textId="77777777" w:rsidR="00E26AD0" w:rsidRDefault="00E26AD0" w:rsidP="000C1BC4">
      <w:pPr>
        <w:autoSpaceDE w:val="0"/>
        <w:autoSpaceDN w:val="0"/>
        <w:adjustRightInd w:val="0"/>
        <w:spacing w:after="0" w:line="240" w:lineRule="auto"/>
        <w:rPr>
          <w:rFonts w:cstheme="minorHAnsi"/>
          <w:b/>
          <w:bCs/>
          <w:color w:val="0000FF"/>
        </w:rPr>
      </w:pPr>
    </w:p>
    <w:p w14:paraId="09409339" w14:textId="77777777" w:rsidR="00E26AD0" w:rsidRDefault="00E26AD0" w:rsidP="000C1BC4">
      <w:pPr>
        <w:autoSpaceDE w:val="0"/>
        <w:autoSpaceDN w:val="0"/>
        <w:adjustRightInd w:val="0"/>
        <w:spacing w:after="0" w:line="240" w:lineRule="auto"/>
        <w:rPr>
          <w:rFonts w:cstheme="minorHAnsi"/>
          <w:b/>
          <w:bCs/>
          <w:color w:val="0000FF"/>
        </w:rPr>
      </w:pPr>
    </w:p>
    <w:p w14:paraId="34D55DC9" w14:textId="77777777" w:rsidR="00E26AD0" w:rsidRDefault="00E26AD0" w:rsidP="000C1BC4">
      <w:pPr>
        <w:autoSpaceDE w:val="0"/>
        <w:autoSpaceDN w:val="0"/>
        <w:adjustRightInd w:val="0"/>
        <w:spacing w:after="0" w:line="240" w:lineRule="auto"/>
        <w:rPr>
          <w:rFonts w:cstheme="minorHAnsi"/>
          <w:b/>
          <w:bCs/>
          <w:color w:val="0000FF"/>
        </w:rPr>
      </w:pPr>
    </w:p>
    <w:p w14:paraId="3ACF5460" w14:textId="77777777" w:rsidR="00E26AD0" w:rsidRDefault="00E26AD0" w:rsidP="000C1BC4">
      <w:pPr>
        <w:autoSpaceDE w:val="0"/>
        <w:autoSpaceDN w:val="0"/>
        <w:adjustRightInd w:val="0"/>
        <w:spacing w:after="0" w:line="240" w:lineRule="auto"/>
        <w:rPr>
          <w:rFonts w:cstheme="minorHAnsi"/>
          <w:b/>
          <w:bCs/>
          <w:color w:val="0000FF"/>
        </w:rPr>
      </w:pPr>
    </w:p>
    <w:p w14:paraId="68D8FD1E" w14:textId="77777777" w:rsidR="00E26AD0" w:rsidRDefault="00E26AD0" w:rsidP="000C1BC4">
      <w:pPr>
        <w:autoSpaceDE w:val="0"/>
        <w:autoSpaceDN w:val="0"/>
        <w:adjustRightInd w:val="0"/>
        <w:spacing w:after="0" w:line="240" w:lineRule="auto"/>
        <w:rPr>
          <w:rFonts w:cstheme="minorHAnsi"/>
          <w:b/>
          <w:bCs/>
          <w:color w:val="0000FF"/>
        </w:rPr>
      </w:pPr>
    </w:p>
    <w:p w14:paraId="4C6B78CC" w14:textId="77777777" w:rsidR="00E26AD0" w:rsidRDefault="00E26AD0" w:rsidP="000C1BC4">
      <w:pPr>
        <w:autoSpaceDE w:val="0"/>
        <w:autoSpaceDN w:val="0"/>
        <w:adjustRightInd w:val="0"/>
        <w:spacing w:after="0" w:line="240" w:lineRule="auto"/>
        <w:rPr>
          <w:rFonts w:cstheme="minorHAnsi"/>
          <w:b/>
          <w:bCs/>
          <w:color w:val="0000FF"/>
        </w:rPr>
      </w:pPr>
    </w:p>
    <w:p w14:paraId="4B3CD9AC" w14:textId="77777777" w:rsidR="00E26AD0" w:rsidRDefault="00E26AD0" w:rsidP="000C1BC4">
      <w:pPr>
        <w:autoSpaceDE w:val="0"/>
        <w:autoSpaceDN w:val="0"/>
        <w:adjustRightInd w:val="0"/>
        <w:spacing w:after="0" w:line="240" w:lineRule="auto"/>
        <w:rPr>
          <w:rFonts w:cstheme="minorHAnsi"/>
          <w:b/>
          <w:bCs/>
          <w:color w:val="0000FF"/>
        </w:rPr>
      </w:pPr>
    </w:p>
    <w:p w14:paraId="1D29DCCE" w14:textId="77777777" w:rsidR="00E26AD0" w:rsidRDefault="00E26AD0" w:rsidP="000C1BC4">
      <w:pPr>
        <w:autoSpaceDE w:val="0"/>
        <w:autoSpaceDN w:val="0"/>
        <w:adjustRightInd w:val="0"/>
        <w:spacing w:after="0" w:line="240" w:lineRule="auto"/>
        <w:rPr>
          <w:rFonts w:cstheme="minorHAnsi"/>
          <w:b/>
          <w:bCs/>
          <w:color w:val="0000FF"/>
        </w:rPr>
      </w:pPr>
    </w:p>
    <w:p w14:paraId="653879D5" w14:textId="77777777" w:rsidR="00E26AD0" w:rsidRDefault="00E26AD0" w:rsidP="000C1BC4">
      <w:pPr>
        <w:autoSpaceDE w:val="0"/>
        <w:autoSpaceDN w:val="0"/>
        <w:adjustRightInd w:val="0"/>
        <w:spacing w:after="0" w:line="240" w:lineRule="auto"/>
        <w:rPr>
          <w:rFonts w:cstheme="minorHAnsi"/>
          <w:b/>
          <w:bCs/>
          <w:color w:val="0000FF"/>
        </w:rPr>
      </w:pPr>
    </w:p>
    <w:p w14:paraId="14F75D57" w14:textId="77777777" w:rsidR="00E26AD0" w:rsidRDefault="00E26AD0" w:rsidP="000C1BC4">
      <w:pPr>
        <w:autoSpaceDE w:val="0"/>
        <w:autoSpaceDN w:val="0"/>
        <w:adjustRightInd w:val="0"/>
        <w:spacing w:after="0" w:line="240" w:lineRule="auto"/>
        <w:rPr>
          <w:rFonts w:cstheme="minorHAnsi"/>
          <w:b/>
          <w:bCs/>
          <w:color w:val="0000FF"/>
        </w:rPr>
      </w:pPr>
    </w:p>
    <w:p w14:paraId="4172019B" w14:textId="77777777" w:rsidR="00E26AD0" w:rsidRDefault="00E26AD0" w:rsidP="000C1BC4">
      <w:pPr>
        <w:autoSpaceDE w:val="0"/>
        <w:autoSpaceDN w:val="0"/>
        <w:adjustRightInd w:val="0"/>
        <w:spacing w:after="0" w:line="240" w:lineRule="auto"/>
        <w:rPr>
          <w:rFonts w:cstheme="minorHAnsi"/>
          <w:b/>
          <w:bCs/>
          <w:color w:val="0000FF"/>
        </w:rPr>
      </w:pPr>
    </w:p>
    <w:p w14:paraId="0CFC8ADA" w14:textId="635E326E" w:rsidR="000C1BC4" w:rsidRPr="0057523D" w:rsidRDefault="000C1BC4" w:rsidP="000C1BC4">
      <w:pPr>
        <w:autoSpaceDE w:val="0"/>
        <w:autoSpaceDN w:val="0"/>
        <w:adjustRightInd w:val="0"/>
        <w:spacing w:after="0" w:line="240" w:lineRule="auto"/>
        <w:rPr>
          <w:rFonts w:cstheme="minorHAnsi"/>
          <w:b/>
          <w:bCs/>
          <w:color w:val="0000FF"/>
        </w:rPr>
      </w:pPr>
      <w:r w:rsidRPr="0057523D">
        <w:rPr>
          <w:rFonts w:cstheme="minorHAnsi"/>
          <w:b/>
          <w:bCs/>
          <w:color w:val="0000FF"/>
        </w:rPr>
        <w:t>2012 DATA</w:t>
      </w:r>
    </w:p>
    <w:p w14:paraId="4F678AB6" w14:textId="77777777" w:rsidR="000C1BC4" w:rsidRDefault="000C1BC4" w:rsidP="00092566">
      <w:pPr>
        <w:autoSpaceDE w:val="0"/>
        <w:autoSpaceDN w:val="0"/>
        <w:adjustRightInd w:val="0"/>
        <w:spacing w:after="0" w:line="240" w:lineRule="auto"/>
        <w:rPr>
          <w:rFonts w:cstheme="minorHAnsi"/>
          <w:b/>
        </w:rPr>
      </w:pPr>
      <w:r w:rsidRPr="00855B3D">
        <w:rPr>
          <w:noProof/>
        </w:rPr>
        <w:drawing>
          <wp:inline distT="0" distB="0" distL="0" distR="0" wp14:anchorId="42CECD83" wp14:editId="12AEF22F">
            <wp:extent cx="5943600" cy="593471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943600" cy="5934710"/>
                    </a:xfrm>
                    <a:prstGeom prst="rect">
                      <a:avLst/>
                    </a:prstGeom>
                    <a:noFill/>
                    <a:ln w="9525">
                      <a:noFill/>
                      <a:miter lim="800000"/>
                      <a:headEnd/>
                      <a:tailEnd/>
                    </a:ln>
                  </pic:spPr>
                </pic:pic>
              </a:graphicData>
            </a:graphic>
          </wp:inline>
        </w:drawing>
      </w:r>
    </w:p>
    <w:p w14:paraId="524146D3" w14:textId="77777777" w:rsidR="00057171" w:rsidRDefault="00057171" w:rsidP="000C1BC4">
      <w:pPr>
        <w:autoSpaceDE w:val="0"/>
        <w:autoSpaceDN w:val="0"/>
        <w:adjustRightInd w:val="0"/>
        <w:spacing w:after="0" w:line="240" w:lineRule="auto"/>
        <w:rPr>
          <w:rFonts w:cstheme="minorHAnsi"/>
          <w:b/>
          <w:bCs/>
          <w:color w:val="0000FF"/>
        </w:rPr>
      </w:pPr>
    </w:p>
    <w:p w14:paraId="2D46FD45" w14:textId="77777777" w:rsidR="00057171" w:rsidRDefault="00057171" w:rsidP="000C1BC4">
      <w:pPr>
        <w:autoSpaceDE w:val="0"/>
        <w:autoSpaceDN w:val="0"/>
        <w:adjustRightInd w:val="0"/>
        <w:spacing w:after="0" w:line="240" w:lineRule="auto"/>
        <w:rPr>
          <w:rFonts w:cstheme="minorHAnsi"/>
          <w:b/>
          <w:bCs/>
          <w:color w:val="0000FF"/>
        </w:rPr>
      </w:pPr>
    </w:p>
    <w:p w14:paraId="176F1A22" w14:textId="77777777" w:rsidR="00057171" w:rsidRDefault="00057171" w:rsidP="000C1BC4">
      <w:pPr>
        <w:autoSpaceDE w:val="0"/>
        <w:autoSpaceDN w:val="0"/>
        <w:adjustRightInd w:val="0"/>
        <w:spacing w:after="0" w:line="240" w:lineRule="auto"/>
        <w:rPr>
          <w:rFonts w:cstheme="minorHAnsi"/>
          <w:b/>
          <w:bCs/>
          <w:color w:val="0000FF"/>
        </w:rPr>
      </w:pPr>
    </w:p>
    <w:p w14:paraId="1C4A4A91" w14:textId="77777777" w:rsidR="00057171" w:rsidRDefault="00057171" w:rsidP="000C1BC4">
      <w:pPr>
        <w:autoSpaceDE w:val="0"/>
        <w:autoSpaceDN w:val="0"/>
        <w:adjustRightInd w:val="0"/>
        <w:spacing w:after="0" w:line="240" w:lineRule="auto"/>
        <w:rPr>
          <w:rFonts w:cstheme="minorHAnsi"/>
          <w:b/>
          <w:bCs/>
          <w:color w:val="0000FF"/>
        </w:rPr>
      </w:pPr>
    </w:p>
    <w:p w14:paraId="691B69B3" w14:textId="77777777" w:rsidR="00057171" w:rsidRDefault="00057171" w:rsidP="000C1BC4">
      <w:pPr>
        <w:autoSpaceDE w:val="0"/>
        <w:autoSpaceDN w:val="0"/>
        <w:adjustRightInd w:val="0"/>
        <w:spacing w:after="0" w:line="240" w:lineRule="auto"/>
        <w:rPr>
          <w:rFonts w:cstheme="minorHAnsi"/>
          <w:b/>
          <w:bCs/>
          <w:color w:val="0000FF"/>
        </w:rPr>
      </w:pPr>
    </w:p>
    <w:p w14:paraId="5BB2EDBD" w14:textId="77777777" w:rsidR="00057171" w:rsidRDefault="00057171" w:rsidP="000C1BC4">
      <w:pPr>
        <w:autoSpaceDE w:val="0"/>
        <w:autoSpaceDN w:val="0"/>
        <w:adjustRightInd w:val="0"/>
        <w:spacing w:after="0" w:line="240" w:lineRule="auto"/>
        <w:rPr>
          <w:rFonts w:cstheme="minorHAnsi"/>
          <w:b/>
          <w:bCs/>
          <w:color w:val="0000FF"/>
        </w:rPr>
      </w:pPr>
    </w:p>
    <w:p w14:paraId="7A575335" w14:textId="77777777" w:rsidR="00057171" w:rsidRDefault="00057171" w:rsidP="000C1BC4">
      <w:pPr>
        <w:autoSpaceDE w:val="0"/>
        <w:autoSpaceDN w:val="0"/>
        <w:adjustRightInd w:val="0"/>
        <w:spacing w:after="0" w:line="240" w:lineRule="auto"/>
        <w:rPr>
          <w:rFonts w:cstheme="minorHAnsi"/>
          <w:b/>
          <w:bCs/>
          <w:color w:val="0000FF"/>
        </w:rPr>
      </w:pPr>
    </w:p>
    <w:p w14:paraId="03201982" w14:textId="77777777" w:rsidR="00057171" w:rsidRDefault="00057171" w:rsidP="000C1BC4">
      <w:pPr>
        <w:autoSpaceDE w:val="0"/>
        <w:autoSpaceDN w:val="0"/>
        <w:adjustRightInd w:val="0"/>
        <w:spacing w:after="0" w:line="240" w:lineRule="auto"/>
        <w:rPr>
          <w:rFonts w:cstheme="minorHAnsi"/>
          <w:b/>
          <w:bCs/>
          <w:color w:val="0000FF"/>
        </w:rPr>
      </w:pPr>
    </w:p>
    <w:p w14:paraId="017F5072" w14:textId="77777777" w:rsidR="00057171" w:rsidRDefault="00057171" w:rsidP="000C1BC4">
      <w:pPr>
        <w:autoSpaceDE w:val="0"/>
        <w:autoSpaceDN w:val="0"/>
        <w:adjustRightInd w:val="0"/>
        <w:spacing w:after="0" w:line="240" w:lineRule="auto"/>
        <w:rPr>
          <w:rFonts w:cstheme="minorHAnsi"/>
          <w:b/>
          <w:bCs/>
          <w:color w:val="0000FF"/>
        </w:rPr>
      </w:pPr>
    </w:p>
    <w:p w14:paraId="0C3DCC15" w14:textId="77777777" w:rsidR="00057171" w:rsidRDefault="00057171" w:rsidP="000C1BC4">
      <w:pPr>
        <w:autoSpaceDE w:val="0"/>
        <w:autoSpaceDN w:val="0"/>
        <w:adjustRightInd w:val="0"/>
        <w:spacing w:after="0" w:line="240" w:lineRule="auto"/>
        <w:rPr>
          <w:rFonts w:cstheme="minorHAnsi"/>
          <w:b/>
          <w:bCs/>
          <w:color w:val="0000FF"/>
        </w:rPr>
      </w:pPr>
    </w:p>
    <w:p w14:paraId="39CB019D" w14:textId="77777777" w:rsidR="00057171" w:rsidRDefault="00057171" w:rsidP="000C1BC4">
      <w:pPr>
        <w:autoSpaceDE w:val="0"/>
        <w:autoSpaceDN w:val="0"/>
        <w:adjustRightInd w:val="0"/>
        <w:spacing w:after="0" w:line="240" w:lineRule="auto"/>
        <w:rPr>
          <w:rFonts w:cstheme="minorHAnsi"/>
          <w:b/>
          <w:bCs/>
          <w:color w:val="0000FF"/>
        </w:rPr>
      </w:pPr>
    </w:p>
    <w:p w14:paraId="3C09AF65" w14:textId="77777777" w:rsidR="0067316E" w:rsidRDefault="0067316E" w:rsidP="000C1BC4">
      <w:pPr>
        <w:autoSpaceDE w:val="0"/>
        <w:autoSpaceDN w:val="0"/>
        <w:adjustRightInd w:val="0"/>
        <w:spacing w:after="0" w:line="240" w:lineRule="auto"/>
        <w:rPr>
          <w:rFonts w:cstheme="minorHAnsi"/>
          <w:b/>
          <w:bCs/>
          <w:color w:val="0000FF"/>
        </w:rPr>
      </w:pPr>
    </w:p>
    <w:p w14:paraId="5A9A8D0E" w14:textId="77777777" w:rsidR="0067316E" w:rsidRDefault="0067316E" w:rsidP="000C1BC4">
      <w:pPr>
        <w:autoSpaceDE w:val="0"/>
        <w:autoSpaceDN w:val="0"/>
        <w:adjustRightInd w:val="0"/>
        <w:spacing w:after="0" w:line="240" w:lineRule="auto"/>
        <w:rPr>
          <w:rFonts w:cstheme="minorHAnsi"/>
          <w:b/>
          <w:bCs/>
          <w:color w:val="0000FF"/>
        </w:rPr>
      </w:pPr>
    </w:p>
    <w:p w14:paraId="76224A58" w14:textId="77777777" w:rsidR="000C1BC4" w:rsidRPr="0057523D" w:rsidRDefault="000C1BC4" w:rsidP="000C1BC4">
      <w:pPr>
        <w:autoSpaceDE w:val="0"/>
        <w:autoSpaceDN w:val="0"/>
        <w:adjustRightInd w:val="0"/>
        <w:spacing w:after="0" w:line="240" w:lineRule="auto"/>
        <w:rPr>
          <w:rFonts w:cstheme="minorHAnsi"/>
          <w:b/>
          <w:bCs/>
          <w:color w:val="0000FF"/>
        </w:rPr>
      </w:pPr>
      <w:r w:rsidRPr="0057523D">
        <w:rPr>
          <w:rFonts w:cstheme="minorHAnsi"/>
          <w:b/>
          <w:bCs/>
          <w:color w:val="0000FF"/>
        </w:rPr>
        <w:t>2013 DATA</w:t>
      </w:r>
    </w:p>
    <w:p w14:paraId="1C8B0044" w14:textId="77777777" w:rsidR="000C1BC4" w:rsidRDefault="000C1BC4" w:rsidP="00092566">
      <w:pPr>
        <w:autoSpaceDE w:val="0"/>
        <w:autoSpaceDN w:val="0"/>
        <w:adjustRightInd w:val="0"/>
        <w:spacing w:after="0" w:line="240" w:lineRule="auto"/>
        <w:rPr>
          <w:rFonts w:cstheme="minorHAnsi"/>
          <w:bCs/>
        </w:rPr>
      </w:pPr>
    </w:p>
    <w:p w14:paraId="1B95F291" w14:textId="77777777" w:rsidR="000C1BC4" w:rsidRDefault="000C1BC4" w:rsidP="00092566">
      <w:pPr>
        <w:autoSpaceDE w:val="0"/>
        <w:autoSpaceDN w:val="0"/>
        <w:adjustRightInd w:val="0"/>
        <w:spacing w:after="0" w:line="240" w:lineRule="auto"/>
        <w:rPr>
          <w:rFonts w:cstheme="minorHAnsi"/>
          <w:b/>
        </w:rPr>
      </w:pPr>
      <w:r w:rsidRPr="002177C6">
        <w:rPr>
          <w:noProof/>
        </w:rPr>
        <w:drawing>
          <wp:inline distT="0" distB="0" distL="0" distR="0" wp14:anchorId="5C8DB583" wp14:editId="43794485">
            <wp:extent cx="5943600" cy="5934710"/>
            <wp:effectExtent l="0" t="0" r="0" b="0"/>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943600" cy="5934710"/>
                    </a:xfrm>
                    <a:prstGeom prst="rect">
                      <a:avLst/>
                    </a:prstGeom>
                    <a:noFill/>
                    <a:ln w="9525">
                      <a:noFill/>
                      <a:miter lim="800000"/>
                      <a:headEnd/>
                      <a:tailEnd/>
                    </a:ln>
                  </pic:spPr>
                </pic:pic>
              </a:graphicData>
            </a:graphic>
          </wp:inline>
        </w:drawing>
      </w:r>
    </w:p>
    <w:p w14:paraId="6287718D" w14:textId="77777777" w:rsidR="003D1AA4" w:rsidRDefault="003D1AA4" w:rsidP="000C1BC4">
      <w:pPr>
        <w:autoSpaceDE w:val="0"/>
        <w:autoSpaceDN w:val="0"/>
        <w:adjustRightInd w:val="0"/>
        <w:spacing w:after="0" w:line="240" w:lineRule="auto"/>
        <w:rPr>
          <w:rFonts w:cstheme="minorHAnsi"/>
          <w:b/>
          <w:bCs/>
          <w:color w:val="0000FF"/>
        </w:rPr>
      </w:pPr>
    </w:p>
    <w:p w14:paraId="011C1601" w14:textId="77777777" w:rsidR="003D1AA4" w:rsidRDefault="003D1AA4" w:rsidP="000C1BC4">
      <w:pPr>
        <w:autoSpaceDE w:val="0"/>
        <w:autoSpaceDN w:val="0"/>
        <w:adjustRightInd w:val="0"/>
        <w:spacing w:after="0" w:line="240" w:lineRule="auto"/>
        <w:rPr>
          <w:rFonts w:cstheme="minorHAnsi"/>
          <w:b/>
          <w:bCs/>
          <w:color w:val="0000FF"/>
        </w:rPr>
      </w:pPr>
    </w:p>
    <w:p w14:paraId="2D84C76E" w14:textId="77777777" w:rsidR="003D1AA4" w:rsidRDefault="003D1AA4" w:rsidP="000C1BC4">
      <w:pPr>
        <w:autoSpaceDE w:val="0"/>
        <w:autoSpaceDN w:val="0"/>
        <w:adjustRightInd w:val="0"/>
        <w:spacing w:after="0" w:line="240" w:lineRule="auto"/>
        <w:rPr>
          <w:rFonts w:cstheme="minorHAnsi"/>
          <w:b/>
          <w:bCs/>
          <w:color w:val="0000FF"/>
        </w:rPr>
      </w:pPr>
    </w:p>
    <w:p w14:paraId="59E3A119" w14:textId="77777777" w:rsidR="003D1AA4" w:rsidRDefault="003D1AA4" w:rsidP="000C1BC4">
      <w:pPr>
        <w:autoSpaceDE w:val="0"/>
        <w:autoSpaceDN w:val="0"/>
        <w:adjustRightInd w:val="0"/>
        <w:spacing w:after="0" w:line="240" w:lineRule="auto"/>
        <w:rPr>
          <w:rFonts w:cstheme="minorHAnsi"/>
          <w:b/>
          <w:bCs/>
          <w:color w:val="0000FF"/>
        </w:rPr>
      </w:pPr>
    </w:p>
    <w:p w14:paraId="0CA83522" w14:textId="77777777" w:rsidR="003D1AA4" w:rsidRDefault="003D1AA4" w:rsidP="000C1BC4">
      <w:pPr>
        <w:autoSpaceDE w:val="0"/>
        <w:autoSpaceDN w:val="0"/>
        <w:adjustRightInd w:val="0"/>
        <w:spacing w:after="0" w:line="240" w:lineRule="auto"/>
        <w:rPr>
          <w:rFonts w:cstheme="minorHAnsi"/>
          <w:b/>
          <w:bCs/>
          <w:color w:val="0000FF"/>
        </w:rPr>
      </w:pPr>
    </w:p>
    <w:p w14:paraId="2C0B0A82" w14:textId="77777777" w:rsidR="003D1AA4" w:rsidRDefault="003D1AA4" w:rsidP="000C1BC4">
      <w:pPr>
        <w:autoSpaceDE w:val="0"/>
        <w:autoSpaceDN w:val="0"/>
        <w:adjustRightInd w:val="0"/>
        <w:spacing w:after="0" w:line="240" w:lineRule="auto"/>
        <w:rPr>
          <w:rFonts w:cstheme="minorHAnsi"/>
          <w:b/>
          <w:bCs/>
          <w:color w:val="0000FF"/>
        </w:rPr>
      </w:pPr>
    </w:p>
    <w:p w14:paraId="3E9ED6B2" w14:textId="77777777" w:rsidR="003D1AA4" w:rsidRDefault="003D1AA4" w:rsidP="000C1BC4">
      <w:pPr>
        <w:autoSpaceDE w:val="0"/>
        <w:autoSpaceDN w:val="0"/>
        <w:adjustRightInd w:val="0"/>
        <w:spacing w:after="0" w:line="240" w:lineRule="auto"/>
        <w:rPr>
          <w:rFonts w:cstheme="minorHAnsi"/>
          <w:b/>
          <w:bCs/>
          <w:color w:val="0000FF"/>
        </w:rPr>
      </w:pPr>
    </w:p>
    <w:p w14:paraId="6E9F50B7" w14:textId="77777777" w:rsidR="003D1AA4" w:rsidRDefault="003D1AA4" w:rsidP="000C1BC4">
      <w:pPr>
        <w:autoSpaceDE w:val="0"/>
        <w:autoSpaceDN w:val="0"/>
        <w:adjustRightInd w:val="0"/>
        <w:spacing w:after="0" w:line="240" w:lineRule="auto"/>
        <w:rPr>
          <w:rFonts w:cstheme="minorHAnsi"/>
          <w:b/>
          <w:bCs/>
          <w:color w:val="0000FF"/>
        </w:rPr>
      </w:pPr>
    </w:p>
    <w:p w14:paraId="70E86574" w14:textId="77777777" w:rsidR="003D1AA4" w:rsidRDefault="003D1AA4" w:rsidP="000C1BC4">
      <w:pPr>
        <w:autoSpaceDE w:val="0"/>
        <w:autoSpaceDN w:val="0"/>
        <w:adjustRightInd w:val="0"/>
        <w:spacing w:after="0" w:line="240" w:lineRule="auto"/>
        <w:rPr>
          <w:rFonts w:cstheme="minorHAnsi"/>
          <w:b/>
          <w:bCs/>
          <w:color w:val="0000FF"/>
        </w:rPr>
      </w:pPr>
    </w:p>
    <w:p w14:paraId="1E88FF6A" w14:textId="77777777" w:rsidR="003D1AA4" w:rsidRDefault="003D1AA4" w:rsidP="000C1BC4">
      <w:pPr>
        <w:autoSpaceDE w:val="0"/>
        <w:autoSpaceDN w:val="0"/>
        <w:adjustRightInd w:val="0"/>
        <w:spacing w:after="0" w:line="240" w:lineRule="auto"/>
        <w:rPr>
          <w:rFonts w:cstheme="minorHAnsi"/>
          <w:b/>
          <w:bCs/>
          <w:color w:val="0000FF"/>
        </w:rPr>
      </w:pPr>
    </w:p>
    <w:p w14:paraId="08BB4B1F" w14:textId="77777777" w:rsidR="003D1AA4" w:rsidRDefault="003D1AA4" w:rsidP="000C1BC4">
      <w:pPr>
        <w:autoSpaceDE w:val="0"/>
        <w:autoSpaceDN w:val="0"/>
        <w:adjustRightInd w:val="0"/>
        <w:spacing w:after="0" w:line="240" w:lineRule="auto"/>
        <w:rPr>
          <w:rFonts w:cstheme="minorHAnsi"/>
          <w:b/>
          <w:bCs/>
          <w:color w:val="0000FF"/>
        </w:rPr>
      </w:pPr>
    </w:p>
    <w:p w14:paraId="143D8DED" w14:textId="77777777" w:rsidR="000C1BC4" w:rsidRPr="0057523D" w:rsidRDefault="000C1BC4" w:rsidP="000C1BC4">
      <w:pPr>
        <w:autoSpaceDE w:val="0"/>
        <w:autoSpaceDN w:val="0"/>
        <w:adjustRightInd w:val="0"/>
        <w:spacing w:after="0" w:line="240" w:lineRule="auto"/>
        <w:rPr>
          <w:rFonts w:cstheme="minorHAnsi"/>
          <w:b/>
          <w:bCs/>
          <w:color w:val="0000FF"/>
        </w:rPr>
      </w:pPr>
      <w:r w:rsidRPr="0057523D">
        <w:rPr>
          <w:rFonts w:cstheme="minorHAnsi"/>
          <w:b/>
          <w:bCs/>
          <w:color w:val="0000FF"/>
        </w:rPr>
        <w:t>2014 DATA</w:t>
      </w:r>
    </w:p>
    <w:p w14:paraId="187A7047" w14:textId="77777777" w:rsidR="000C1BC4" w:rsidRDefault="000C1BC4" w:rsidP="00092566">
      <w:pPr>
        <w:autoSpaceDE w:val="0"/>
        <w:autoSpaceDN w:val="0"/>
        <w:adjustRightInd w:val="0"/>
        <w:spacing w:after="0" w:line="240" w:lineRule="auto"/>
        <w:rPr>
          <w:rFonts w:cstheme="minorHAnsi"/>
          <w:b/>
        </w:rPr>
      </w:pPr>
    </w:p>
    <w:p w14:paraId="2C320998" w14:textId="77777777" w:rsidR="000C1BC4" w:rsidRDefault="000C1BC4" w:rsidP="00092566">
      <w:pPr>
        <w:autoSpaceDE w:val="0"/>
        <w:autoSpaceDN w:val="0"/>
        <w:adjustRightInd w:val="0"/>
        <w:spacing w:after="0" w:line="240" w:lineRule="auto"/>
        <w:rPr>
          <w:rFonts w:cstheme="minorHAnsi"/>
          <w:b/>
        </w:rPr>
      </w:pPr>
      <w:r w:rsidRPr="002177C6">
        <w:rPr>
          <w:noProof/>
        </w:rPr>
        <w:drawing>
          <wp:inline distT="0" distB="0" distL="0" distR="0" wp14:anchorId="1E468BAB" wp14:editId="1368E170">
            <wp:extent cx="5943600" cy="5935345"/>
            <wp:effectExtent l="0" t="0" r="0" b="0"/>
            <wp:docPr id="38" name="Picture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943600" cy="5935345"/>
                    </a:xfrm>
                    <a:prstGeom prst="rect">
                      <a:avLst/>
                    </a:prstGeom>
                    <a:noFill/>
                    <a:ln w="9525">
                      <a:noFill/>
                      <a:miter lim="800000"/>
                      <a:headEnd/>
                      <a:tailEnd/>
                    </a:ln>
                  </pic:spPr>
                </pic:pic>
              </a:graphicData>
            </a:graphic>
          </wp:inline>
        </w:drawing>
      </w:r>
    </w:p>
    <w:p w14:paraId="16A6CFBB" w14:textId="77777777" w:rsidR="003D1AA4" w:rsidRDefault="003D1AA4" w:rsidP="000C1BC4">
      <w:pPr>
        <w:pStyle w:val="NoSpacing"/>
        <w:rPr>
          <w:b/>
          <w:color w:val="0000FF"/>
        </w:rPr>
      </w:pPr>
    </w:p>
    <w:p w14:paraId="187C05AA" w14:textId="77777777" w:rsidR="003D1AA4" w:rsidRDefault="003D1AA4" w:rsidP="000C1BC4">
      <w:pPr>
        <w:pStyle w:val="NoSpacing"/>
        <w:rPr>
          <w:b/>
          <w:color w:val="0000FF"/>
        </w:rPr>
      </w:pPr>
    </w:p>
    <w:p w14:paraId="68F1FE3B" w14:textId="77777777" w:rsidR="003D1AA4" w:rsidRDefault="003D1AA4" w:rsidP="000C1BC4">
      <w:pPr>
        <w:pStyle w:val="NoSpacing"/>
        <w:rPr>
          <w:b/>
          <w:color w:val="0000FF"/>
        </w:rPr>
      </w:pPr>
    </w:p>
    <w:p w14:paraId="26B31578" w14:textId="77777777" w:rsidR="003D1AA4" w:rsidRDefault="003D1AA4" w:rsidP="000C1BC4">
      <w:pPr>
        <w:pStyle w:val="NoSpacing"/>
        <w:rPr>
          <w:b/>
          <w:color w:val="0000FF"/>
        </w:rPr>
      </w:pPr>
    </w:p>
    <w:p w14:paraId="3F4B75FC" w14:textId="77777777" w:rsidR="003D1AA4" w:rsidRDefault="003D1AA4" w:rsidP="000C1BC4">
      <w:pPr>
        <w:pStyle w:val="NoSpacing"/>
        <w:rPr>
          <w:b/>
          <w:color w:val="0000FF"/>
        </w:rPr>
      </w:pPr>
    </w:p>
    <w:p w14:paraId="4CFA12C6" w14:textId="77777777" w:rsidR="003D1AA4" w:rsidRDefault="003D1AA4" w:rsidP="000C1BC4">
      <w:pPr>
        <w:pStyle w:val="NoSpacing"/>
        <w:rPr>
          <w:b/>
          <w:color w:val="0000FF"/>
        </w:rPr>
      </w:pPr>
    </w:p>
    <w:p w14:paraId="30AF01AF" w14:textId="77777777" w:rsidR="003D1AA4" w:rsidRDefault="003D1AA4" w:rsidP="000C1BC4">
      <w:pPr>
        <w:pStyle w:val="NoSpacing"/>
        <w:rPr>
          <w:b/>
          <w:color w:val="0000FF"/>
        </w:rPr>
      </w:pPr>
    </w:p>
    <w:p w14:paraId="44E0628D" w14:textId="77777777" w:rsidR="003D1AA4" w:rsidRDefault="003D1AA4" w:rsidP="000C1BC4">
      <w:pPr>
        <w:pStyle w:val="NoSpacing"/>
        <w:rPr>
          <w:b/>
          <w:color w:val="0000FF"/>
        </w:rPr>
      </w:pPr>
    </w:p>
    <w:p w14:paraId="6F319C1A" w14:textId="77777777" w:rsidR="003D1AA4" w:rsidRDefault="003D1AA4" w:rsidP="000C1BC4">
      <w:pPr>
        <w:pStyle w:val="NoSpacing"/>
        <w:rPr>
          <w:b/>
          <w:color w:val="0000FF"/>
        </w:rPr>
      </w:pPr>
    </w:p>
    <w:p w14:paraId="5D3E8C54" w14:textId="77777777" w:rsidR="003D1AA4" w:rsidRDefault="003D1AA4" w:rsidP="000C1BC4">
      <w:pPr>
        <w:pStyle w:val="NoSpacing"/>
        <w:rPr>
          <w:b/>
          <w:color w:val="0000FF"/>
        </w:rPr>
      </w:pPr>
    </w:p>
    <w:p w14:paraId="439A4829" w14:textId="77777777" w:rsidR="003D1AA4" w:rsidRDefault="003D1AA4" w:rsidP="000C1BC4">
      <w:pPr>
        <w:pStyle w:val="NoSpacing"/>
        <w:rPr>
          <w:b/>
          <w:color w:val="0000FF"/>
        </w:rPr>
      </w:pPr>
    </w:p>
    <w:p w14:paraId="10CF17FA" w14:textId="5D160082" w:rsidR="000C1BC4" w:rsidRPr="0057523D" w:rsidRDefault="000C1BC4" w:rsidP="000C1BC4">
      <w:pPr>
        <w:pStyle w:val="NoSpacing"/>
        <w:rPr>
          <w:b/>
          <w:color w:val="0000FF"/>
        </w:rPr>
      </w:pPr>
      <w:r w:rsidRPr="0057523D">
        <w:rPr>
          <w:b/>
          <w:color w:val="0000FF"/>
        </w:rPr>
        <w:t>2011-</w:t>
      </w:r>
      <w:r w:rsidR="00013D2E">
        <w:rPr>
          <w:b/>
          <w:color w:val="0000FF"/>
        </w:rPr>
        <w:t xml:space="preserve"> </w:t>
      </w:r>
      <w:r w:rsidR="00E91DE9">
        <w:rPr>
          <w:b/>
          <w:color w:val="0000FF"/>
        </w:rPr>
        <w:t xml:space="preserve">May </w:t>
      </w:r>
      <w:r w:rsidRPr="0057523D">
        <w:rPr>
          <w:b/>
          <w:color w:val="0000FF"/>
        </w:rPr>
        <w:t>2015</w:t>
      </w:r>
      <w:r w:rsidR="004D5747">
        <w:rPr>
          <w:b/>
          <w:color w:val="0000FF"/>
        </w:rPr>
        <w:t xml:space="preserve"> DATA</w:t>
      </w:r>
    </w:p>
    <w:p w14:paraId="73D78571" w14:textId="77777777" w:rsidR="000C1BC4" w:rsidRDefault="000C1BC4" w:rsidP="00092566">
      <w:pPr>
        <w:autoSpaceDE w:val="0"/>
        <w:autoSpaceDN w:val="0"/>
        <w:adjustRightInd w:val="0"/>
        <w:spacing w:after="0" w:line="240" w:lineRule="auto"/>
        <w:rPr>
          <w:rFonts w:cstheme="minorHAnsi"/>
          <w:bCs/>
        </w:rPr>
      </w:pPr>
    </w:p>
    <w:p w14:paraId="2E274606" w14:textId="77777777" w:rsidR="00743E46" w:rsidRDefault="000C1BC4" w:rsidP="00092566">
      <w:pPr>
        <w:autoSpaceDE w:val="0"/>
        <w:autoSpaceDN w:val="0"/>
        <w:adjustRightInd w:val="0"/>
        <w:spacing w:after="0" w:line="240" w:lineRule="auto"/>
        <w:rPr>
          <w:rFonts w:cstheme="minorHAnsi"/>
          <w:b/>
        </w:rPr>
      </w:pPr>
      <w:r>
        <w:rPr>
          <w:noProof/>
          <w:sz w:val="24"/>
          <w:szCs w:val="24"/>
        </w:rPr>
        <w:drawing>
          <wp:inline distT="0" distB="0" distL="0" distR="0" wp14:anchorId="399D2FA6" wp14:editId="5E39C25A">
            <wp:extent cx="5943600" cy="44577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r w:rsidR="00092566" w:rsidRPr="00A25024">
        <w:rPr>
          <w:rFonts w:cstheme="minorHAnsi"/>
          <w:bCs/>
        </w:rPr>
        <w:br/>
      </w:r>
    </w:p>
    <w:p w14:paraId="33B62554" w14:textId="77777777" w:rsidR="000C1BC4" w:rsidRDefault="009C7513" w:rsidP="000C1BC4">
      <w:pPr>
        <w:autoSpaceDE w:val="0"/>
        <w:autoSpaceDN w:val="0"/>
        <w:adjustRightInd w:val="0"/>
        <w:spacing w:after="0" w:line="240" w:lineRule="auto"/>
        <w:rPr>
          <w:rFonts w:cstheme="minorHAnsi"/>
          <w:bCs/>
        </w:rPr>
      </w:pPr>
      <w:bookmarkStart w:id="14" w:name="question2b49"/>
      <w:bookmarkEnd w:id="14"/>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DC2D67D" w14:textId="77777777" w:rsidR="000C1BC4" w:rsidRDefault="000C1BC4" w:rsidP="000C1BC4">
      <w:pPr>
        <w:autoSpaceDE w:val="0"/>
        <w:autoSpaceDN w:val="0"/>
        <w:adjustRightInd w:val="0"/>
        <w:spacing w:after="0" w:line="240" w:lineRule="auto"/>
        <w:rPr>
          <w:rFonts w:cstheme="minorHAnsi"/>
          <w:bCs/>
        </w:rPr>
      </w:pPr>
    </w:p>
    <w:p w14:paraId="66AB647B" w14:textId="77777777" w:rsidR="000C1BC4" w:rsidRPr="00F3138B" w:rsidRDefault="000C1BC4" w:rsidP="000C1BC4">
      <w:pPr>
        <w:pStyle w:val="NoSpacing"/>
        <w:rPr>
          <w:color w:val="0000FF"/>
        </w:rPr>
      </w:pPr>
      <w:r w:rsidRPr="00F3138B">
        <w:rPr>
          <w:color w:val="0000FF"/>
        </w:rPr>
        <w:t xml:space="preserve">Models were not risk-stratified.  </w:t>
      </w:r>
    </w:p>
    <w:p w14:paraId="583AB240" w14:textId="77777777" w:rsidR="000C1BC4" w:rsidRDefault="000C1BC4" w:rsidP="00092566">
      <w:pPr>
        <w:autoSpaceDE w:val="0"/>
        <w:autoSpaceDN w:val="0"/>
        <w:adjustRightInd w:val="0"/>
        <w:spacing w:after="0" w:line="240" w:lineRule="auto"/>
        <w:rPr>
          <w:rFonts w:cstheme="minorHAnsi"/>
          <w:bCs/>
        </w:rPr>
      </w:pPr>
    </w:p>
    <w:p w14:paraId="5ED52CD8" w14:textId="77777777"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33265461" w14:textId="77777777" w:rsidR="00783B76" w:rsidRPr="0057523D" w:rsidRDefault="00783B76" w:rsidP="00783B76">
      <w:pPr>
        <w:autoSpaceDE w:val="0"/>
        <w:autoSpaceDN w:val="0"/>
        <w:adjustRightInd w:val="0"/>
        <w:spacing w:after="0" w:line="240" w:lineRule="auto"/>
        <w:rPr>
          <w:rFonts w:cstheme="minorHAnsi"/>
          <w:bCs/>
          <w:color w:val="0000FF"/>
        </w:rPr>
      </w:pPr>
      <w:r w:rsidRPr="0057523D">
        <w:rPr>
          <w:rFonts w:cstheme="minorHAnsi"/>
          <w:bCs/>
          <w:color w:val="0000FF"/>
        </w:rPr>
        <w:t xml:space="preserve">The results above indicate that the risk models are valid, predictive, descriptive, and are well-calibrated.  </w:t>
      </w:r>
    </w:p>
    <w:p w14:paraId="607FD505" w14:textId="77777777" w:rsidR="00092566" w:rsidRPr="00A25024" w:rsidRDefault="00092566" w:rsidP="00092566">
      <w:pPr>
        <w:spacing w:after="0" w:line="240" w:lineRule="auto"/>
        <w:rPr>
          <w:rFonts w:cstheme="minorHAnsi"/>
        </w:rPr>
      </w:pPr>
    </w:p>
    <w:p w14:paraId="231BFB1B" w14:textId="77777777" w:rsidR="00021170"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37D0FEE" w14:textId="77777777" w:rsidR="00783B76" w:rsidRDefault="00783B76" w:rsidP="009B1A15">
      <w:pPr>
        <w:spacing w:after="0" w:line="240" w:lineRule="auto"/>
        <w:rPr>
          <w:rFonts w:cstheme="minorHAnsi"/>
        </w:rPr>
      </w:pPr>
    </w:p>
    <w:p w14:paraId="31921C22" w14:textId="77777777" w:rsidR="006E2AB0" w:rsidRDefault="006E2AB0" w:rsidP="00783B76">
      <w:pPr>
        <w:autoSpaceDE w:val="0"/>
        <w:autoSpaceDN w:val="0"/>
        <w:adjustRightInd w:val="0"/>
        <w:spacing w:after="0" w:line="240" w:lineRule="auto"/>
        <w:rPr>
          <w:rFonts w:cstheme="minorHAnsi"/>
          <w:b/>
          <w:bCs/>
          <w:color w:val="0000FF"/>
        </w:rPr>
      </w:pPr>
    </w:p>
    <w:p w14:paraId="44BE9F74" w14:textId="77777777" w:rsidR="006E2AB0" w:rsidRDefault="006E2AB0" w:rsidP="00783B76">
      <w:pPr>
        <w:autoSpaceDE w:val="0"/>
        <w:autoSpaceDN w:val="0"/>
        <w:adjustRightInd w:val="0"/>
        <w:spacing w:after="0" w:line="240" w:lineRule="auto"/>
        <w:rPr>
          <w:rFonts w:cstheme="minorHAnsi"/>
          <w:b/>
          <w:bCs/>
          <w:color w:val="0000FF"/>
        </w:rPr>
      </w:pPr>
    </w:p>
    <w:p w14:paraId="4714DF55" w14:textId="77777777" w:rsidR="006E2AB0" w:rsidRDefault="006E2AB0" w:rsidP="00783B76">
      <w:pPr>
        <w:autoSpaceDE w:val="0"/>
        <w:autoSpaceDN w:val="0"/>
        <w:adjustRightInd w:val="0"/>
        <w:spacing w:after="0" w:line="240" w:lineRule="auto"/>
        <w:rPr>
          <w:rFonts w:cstheme="minorHAnsi"/>
          <w:b/>
          <w:bCs/>
          <w:color w:val="0000FF"/>
        </w:rPr>
      </w:pPr>
    </w:p>
    <w:p w14:paraId="6FD8DE1F" w14:textId="5FF7F8E9" w:rsidR="00783B76" w:rsidRPr="0057523D" w:rsidRDefault="00783B76" w:rsidP="00783B76">
      <w:pPr>
        <w:autoSpaceDE w:val="0"/>
        <w:autoSpaceDN w:val="0"/>
        <w:adjustRightInd w:val="0"/>
        <w:spacing w:after="0" w:line="240" w:lineRule="auto"/>
        <w:rPr>
          <w:rFonts w:cstheme="minorHAnsi"/>
          <w:b/>
          <w:bCs/>
          <w:color w:val="0000FF"/>
        </w:rPr>
      </w:pPr>
      <w:r w:rsidRPr="0057523D">
        <w:rPr>
          <w:rFonts w:cstheme="minorHAnsi"/>
          <w:b/>
          <w:bCs/>
          <w:color w:val="0000FF"/>
        </w:rPr>
        <w:lastRenderedPageBreak/>
        <w:t>Forest plots</w:t>
      </w:r>
    </w:p>
    <w:p w14:paraId="1A362419" w14:textId="77777777" w:rsidR="001518EA" w:rsidRDefault="001518EA" w:rsidP="00783B76">
      <w:pPr>
        <w:autoSpaceDE w:val="0"/>
        <w:autoSpaceDN w:val="0"/>
        <w:adjustRightInd w:val="0"/>
        <w:spacing w:after="0" w:line="240" w:lineRule="auto"/>
        <w:rPr>
          <w:rFonts w:cstheme="minorHAnsi"/>
          <w:bCs/>
          <w:color w:val="0000FF"/>
        </w:rPr>
      </w:pPr>
    </w:p>
    <w:p w14:paraId="1CCA9638" w14:textId="6B363903" w:rsidR="00783B76" w:rsidRPr="0057523D" w:rsidRDefault="00783B76" w:rsidP="00783B76">
      <w:pPr>
        <w:autoSpaceDE w:val="0"/>
        <w:autoSpaceDN w:val="0"/>
        <w:adjustRightInd w:val="0"/>
        <w:spacing w:after="0" w:line="240" w:lineRule="auto"/>
        <w:rPr>
          <w:rFonts w:cstheme="minorHAnsi"/>
          <w:bCs/>
          <w:color w:val="0000FF"/>
        </w:rPr>
      </w:pPr>
      <w:bookmarkStart w:id="15" w:name="_GoBack"/>
      <w:bookmarkEnd w:id="15"/>
      <w:r w:rsidRPr="0057523D">
        <w:rPr>
          <w:rFonts w:cstheme="minorHAnsi"/>
          <w:bCs/>
          <w:color w:val="0000FF"/>
        </w:rPr>
        <w:t xml:space="preserve">We provide below forest plots for the </w:t>
      </w:r>
      <w:r w:rsidR="00B372D6">
        <w:rPr>
          <w:rFonts w:cstheme="minorHAnsi"/>
          <w:bCs/>
          <w:color w:val="0000FF"/>
        </w:rPr>
        <w:t xml:space="preserve">parsimonious model for the </w:t>
      </w:r>
      <w:r w:rsidRPr="0057523D">
        <w:rPr>
          <w:rFonts w:cstheme="minorHAnsi"/>
          <w:bCs/>
          <w:color w:val="0000FF"/>
        </w:rPr>
        <w:t xml:space="preserve">following years: 2012, 2013, and 2014.  These plots illustrate the statistical significance of each variable, compared to its reference.  </w:t>
      </w:r>
    </w:p>
    <w:p w14:paraId="22F1B3CB" w14:textId="77777777" w:rsidR="00783B76" w:rsidRPr="0057523D" w:rsidRDefault="00783B76" w:rsidP="00783B76">
      <w:pPr>
        <w:autoSpaceDE w:val="0"/>
        <w:autoSpaceDN w:val="0"/>
        <w:adjustRightInd w:val="0"/>
        <w:spacing w:after="0" w:line="240" w:lineRule="auto"/>
        <w:rPr>
          <w:rFonts w:cstheme="minorHAnsi"/>
          <w:bCs/>
          <w:color w:val="0000FF"/>
        </w:rPr>
      </w:pPr>
    </w:p>
    <w:p w14:paraId="2D8B373B" w14:textId="77777777" w:rsidR="00783B76" w:rsidRPr="0057523D" w:rsidRDefault="00783B76" w:rsidP="00783B76">
      <w:pPr>
        <w:autoSpaceDE w:val="0"/>
        <w:autoSpaceDN w:val="0"/>
        <w:adjustRightInd w:val="0"/>
        <w:spacing w:after="0" w:line="240" w:lineRule="auto"/>
        <w:rPr>
          <w:rFonts w:cstheme="minorHAnsi"/>
          <w:b/>
          <w:bCs/>
          <w:color w:val="0000FF"/>
        </w:rPr>
      </w:pPr>
      <w:r w:rsidRPr="0057523D">
        <w:rPr>
          <w:rFonts w:cstheme="minorHAnsi"/>
          <w:b/>
          <w:bCs/>
          <w:color w:val="0000FF"/>
        </w:rPr>
        <w:t>2012</w:t>
      </w:r>
      <w:r>
        <w:rPr>
          <w:rFonts w:cstheme="minorHAnsi"/>
          <w:b/>
          <w:bCs/>
          <w:color w:val="0000FF"/>
        </w:rPr>
        <w:t xml:space="preserve"> Forest Plot</w:t>
      </w:r>
    </w:p>
    <w:p w14:paraId="50D2AD05" w14:textId="77777777" w:rsidR="00783B76" w:rsidRDefault="00783B76" w:rsidP="009B1A15">
      <w:pPr>
        <w:spacing w:after="0" w:line="240" w:lineRule="auto"/>
        <w:rPr>
          <w:rFonts w:cstheme="minorHAnsi"/>
        </w:rPr>
      </w:pPr>
    </w:p>
    <w:p w14:paraId="3D4489CF" w14:textId="77777777" w:rsidR="00783B76" w:rsidRDefault="00783B76" w:rsidP="009B1A15">
      <w:pPr>
        <w:spacing w:after="0" w:line="240" w:lineRule="auto"/>
        <w:rPr>
          <w:rFonts w:cstheme="minorHAnsi"/>
        </w:rPr>
      </w:pPr>
      <w:r w:rsidRPr="00855B3D">
        <w:rPr>
          <w:noProof/>
        </w:rPr>
        <w:drawing>
          <wp:inline distT="0" distB="0" distL="0" distR="0" wp14:anchorId="68E1E8BC" wp14:editId="3DAA5FAB">
            <wp:extent cx="5943600" cy="6169660"/>
            <wp:effectExtent l="0" t="0" r="0" b="0"/>
            <wp:docPr id="3" name="Picture 3" descr="P:\ftang\Paul\Standardized risk report\adult\forest 2012 201407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tang\Paul\Standardized risk report\adult\forest 2012 20140703.wmf"/>
                    <pic:cNvPicPr>
                      <a:picLocks noChangeAspect="1" noChangeArrowheads="1"/>
                    </pic:cNvPicPr>
                  </pic:nvPicPr>
                  <pic:blipFill>
                    <a:blip r:embed="rId17" cstate="print"/>
                    <a:srcRect/>
                    <a:stretch>
                      <a:fillRect/>
                    </a:stretch>
                  </pic:blipFill>
                  <pic:spPr bwMode="auto">
                    <a:xfrm>
                      <a:off x="0" y="0"/>
                      <a:ext cx="5943600" cy="6169660"/>
                    </a:xfrm>
                    <a:prstGeom prst="rect">
                      <a:avLst/>
                    </a:prstGeom>
                    <a:noFill/>
                    <a:ln w="9525">
                      <a:noFill/>
                      <a:miter lim="800000"/>
                      <a:headEnd/>
                      <a:tailEnd/>
                    </a:ln>
                  </pic:spPr>
                </pic:pic>
              </a:graphicData>
            </a:graphic>
          </wp:inline>
        </w:drawing>
      </w:r>
    </w:p>
    <w:p w14:paraId="0967A0BF" w14:textId="77777777" w:rsidR="003D1AA4" w:rsidRDefault="003D1AA4" w:rsidP="00783B76">
      <w:pPr>
        <w:autoSpaceDE w:val="0"/>
        <w:autoSpaceDN w:val="0"/>
        <w:adjustRightInd w:val="0"/>
        <w:spacing w:after="0" w:line="240" w:lineRule="auto"/>
        <w:rPr>
          <w:rFonts w:cstheme="minorHAnsi"/>
          <w:b/>
          <w:bCs/>
          <w:color w:val="0000FF"/>
        </w:rPr>
      </w:pPr>
    </w:p>
    <w:p w14:paraId="678E6AFE" w14:textId="77777777" w:rsidR="003D1AA4" w:rsidRDefault="003D1AA4" w:rsidP="00783B76">
      <w:pPr>
        <w:autoSpaceDE w:val="0"/>
        <w:autoSpaceDN w:val="0"/>
        <w:adjustRightInd w:val="0"/>
        <w:spacing w:after="0" w:line="240" w:lineRule="auto"/>
        <w:rPr>
          <w:rFonts w:cstheme="minorHAnsi"/>
          <w:b/>
          <w:bCs/>
          <w:color w:val="0000FF"/>
        </w:rPr>
      </w:pPr>
    </w:p>
    <w:p w14:paraId="5DAB8789" w14:textId="77777777" w:rsidR="003D1AA4" w:rsidRDefault="003D1AA4" w:rsidP="00783B76">
      <w:pPr>
        <w:autoSpaceDE w:val="0"/>
        <w:autoSpaceDN w:val="0"/>
        <w:adjustRightInd w:val="0"/>
        <w:spacing w:after="0" w:line="240" w:lineRule="auto"/>
        <w:rPr>
          <w:rFonts w:cstheme="minorHAnsi"/>
          <w:b/>
          <w:bCs/>
          <w:color w:val="0000FF"/>
        </w:rPr>
      </w:pPr>
    </w:p>
    <w:p w14:paraId="187B76E0" w14:textId="77777777" w:rsidR="003D1AA4" w:rsidRDefault="003D1AA4" w:rsidP="00783B76">
      <w:pPr>
        <w:autoSpaceDE w:val="0"/>
        <w:autoSpaceDN w:val="0"/>
        <w:adjustRightInd w:val="0"/>
        <w:spacing w:after="0" w:line="240" w:lineRule="auto"/>
        <w:rPr>
          <w:rFonts w:cstheme="minorHAnsi"/>
          <w:b/>
          <w:bCs/>
          <w:color w:val="0000FF"/>
        </w:rPr>
      </w:pPr>
    </w:p>
    <w:p w14:paraId="538C3CA0" w14:textId="77777777" w:rsidR="003D1AA4" w:rsidRDefault="003D1AA4" w:rsidP="00783B76">
      <w:pPr>
        <w:autoSpaceDE w:val="0"/>
        <w:autoSpaceDN w:val="0"/>
        <w:adjustRightInd w:val="0"/>
        <w:spacing w:after="0" w:line="240" w:lineRule="auto"/>
        <w:rPr>
          <w:rFonts w:cstheme="minorHAnsi"/>
          <w:b/>
          <w:bCs/>
          <w:color w:val="0000FF"/>
        </w:rPr>
      </w:pPr>
    </w:p>
    <w:p w14:paraId="45FEAA61" w14:textId="77777777" w:rsidR="003D1AA4" w:rsidRDefault="003D1AA4" w:rsidP="00783B76">
      <w:pPr>
        <w:autoSpaceDE w:val="0"/>
        <w:autoSpaceDN w:val="0"/>
        <w:adjustRightInd w:val="0"/>
        <w:spacing w:after="0" w:line="240" w:lineRule="auto"/>
        <w:rPr>
          <w:rFonts w:cstheme="minorHAnsi"/>
          <w:b/>
          <w:bCs/>
          <w:color w:val="0000FF"/>
        </w:rPr>
      </w:pPr>
    </w:p>
    <w:p w14:paraId="55DB266D" w14:textId="77777777" w:rsidR="003D1AA4" w:rsidRDefault="003D1AA4" w:rsidP="00783B76">
      <w:pPr>
        <w:autoSpaceDE w:val="0"/>
        <w:autoSpaceDN w:val="0"/>
        <w:adjustRightInd w:val="0"/>
        <w:spacing w:after="0" w:line="240" w:lineRule="auto"/>
        <w:rPr>
          <w:rFonts w:cstheme="minorHAnsi"/>
          <w:b/>
          <w:bCs/>
          <w:color w:val="0000FF"/>
        </w:rPr>
      </w:pPr>
    </w:p>
    <w:p w14:paraId="535DFF9C" w14:textId="77777777" w:rsidR="003D1AA4" w:rsidRDefault="003D1AA4" w:rsidP="00783B76">
      <w:pPr>
        <w:autoSpaceDE w:val="0"/>
        <w:autoSpaceDN w:val="0"/>
        <w:adjustRightInd w:val="0"/>
        <w:spacing w:after="0" w:line="240" w:lineRule="auto"/>
        <w:rPr>
          <w:rFonts w:cstheme="minorHAnsi"/>
          <w:b/>
          <w:bCs/>
          <w:color w:val="0000FF"/>
        </w:rPr>
      </w:pPr>
    </w:p>
    <w:p w14:paraId="5823DF9C" w14:textId="77777777" w:rsidR="003D1AA4" w:rsidRDefault="003D1AA4" w:rsidP="00783B76">
      <w:pPr>
        <w:autoSpaceDE w:val="0"/>
        <w:autoSpaceDN w:val="0"/>
        <w:adjustRightInd w:val="0"/>
        <w:spacing w:after="0" w:line="240" w:lineRule="auto"/>
        <w:rPr>
          <w:rFonts w:cstheme="minorHAnsi"/>
          <w:b/>
          <w:bCs/>
          <w:color w:val="0000FF"/>
        </w:rPr>
      </w:pPr>
    </w:p>
    <w:p w14:paraId="734638A3" w14:textId="77777777" w:rsidR="003D1AA4" w:rsidRDefault="003D1AA4" w:rsidP="00783B76">
      <w:pPr>
        <w:autoSpaceDE w:val="0"/>
        <w:autoSpaceDN w:val="0"/>
        <w:adjustRightInd w:val="0"/>
        <w:spacing w:after="0" w:line="240" w:lineRule="auto"/>
        <w:rPr>
          <w:rFonts w:cstheme="minorHAnsi"/>
          <w:b/>
          <w:bCs/>
          <w:color w:val="0000FF"/>
        </w:rPr>
      </w:pPr>
    </w:p>
    <w:p w14:paraId="67F7C4AA" w14:textId="77777777" w:rsidR="00783B76" w:rsidRPr="0057523D" w:rsidRDefault="00783B76" w:rsidP="00783B76">
      <w:pPr>
        <w:autoSpaceDE w:val="0"/>
        <w:autoSpaceDN w:val="0"/>
        <w:adjustRightInd w:val="0"/>
        <w:spacing w:after="0" w:line="240" w:lineRule="auto"/>
        <w:rPr>
          <w:rFonts w:cstheme="minorHAnsi"/>
          <w:b/>
          <w:bCs/>
          <w:color w:val="0000FF"/>
        </w:rPr>
      </w:pPr>
      <w:r w:rsidRPr="0057523D">
        <w:rPr>
          <w:rFonts w:cstheme="minorHAnsi"/>
          <w:b/>
          <w:bCs/>
          <w:color w:val="0000FF"/>
        </w:rPr>
        <w:t>2013</w:t>
      </w:r>
      <w:r>
        <w:rPr>
          <w:rFonts w:cstheme="minorHAnsi"/>
          <w:b/>
          <w:bCs/>
          <w:color w:val="0000FF"/>
        </w:rPr>
        <w:t xml:space="preserve"> Forest Plot</w:t>
      </w:r>
    </w:p>
    <w:p w14:paraId="2740ACEA" w14:textId="77777777" w:rsidR="00783B76" w:rsidRDefault="00783B76" w:rsidP="009B1A15">
      <w:pPr>
        <w:spacing w:after="0" w:line="240" w:lineRule="auto"/>
        <w:rPr>
          <w:rFonts w:cstheme="minorHAnsi"/>
        </w:rPr>
      </w:pPr>
    </w:p>
    <w:p w14:paraId="773649D9" w14:textId="77777777" w:rsidR="00783B76" w:rsidRDefault="00783B76" w:rsidP="009B1A15">
      <w:pPr>
        <w:spacing w:after="0" w:line="240" w:lineRule="auto"/>
        <w:rPr>
          <w:rFonts w:cstheme="minorHAnsi"/>
        </w:rPr>
      </w:pPr>
      <w:r w:rsidRPr="00AE3C19">
        <w:rPr>
          <w:noProof/>
        </w:rPr>
        <w:drawing>
          <wp:inline distT="0" distB="0" distL="0" distR="0" wp14:anchorId="4C250820" wp14:editId="43B587C5">
            <wp:extent cx="5943600" cy="5989320"/>
            <wp:effectExtent l="0" t="0" r="0" b="0"/>
            <wp:docPr id="29" name="Picture 3" descr="P:\ftang\Paul\Standardized risk report\adult\forest 2013 201407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ftang\Paul\Standardized risk report\adult\forest 2013 20140703.wmf"/>
                    <pic:cNvPicPr>
                      <a:picLocks noChangeAspect="1" noChangeArrowheads="1"/>
                    </pic:cNvPicPr>
                  </pic:nvPicPr>
                  <pic:blipFill>
                    <a:blip r:embed="rId18" cstate="print"/>
                    <a:srcRect/>
                    <a:stretch>
                      <a:fillRect/>
                    </a:stretch>
                  </pic:blipFill>
                  <pic:spPr bwMode="auto">
                    <a:xfrm>
                      <a:off x="0" y="0"/>
                      <a:ext cx="5943600" cy="5989320"/>
                    </a:xfrm>
                    <a:prstGeom prst="rect">
                      <a:avLst/>
                    </a:prstGeom>
                    <a:noFill/>
                    <a:ln w="9525">
                      <a:noFill/>
                      <a:miter lim="800000"/>
                      <a:headEnd/>
                      <a:tailEnd/>
                    </a:ln>
                  </pic:spPr>
                </pic:pic>
              </a:graphicData>
            </a:graphic>
          </wp:inline>
        </w:drawing>
      </w:r>
    </w:p>
    <w:p w14:paraId="78BBF68D" w14:textId="77777777" w:rsidR="003D1AA4" w:rsidRDefault="003D1AA4" w:rsidP="00783B76">
      <w:pPr>
        <w:autoSpaceDE w:val="0"/>
        <w:autoSpaceDN w:val="0"/>
        <w:adjustRightInd w:val="0"/>
        <w:spacing w:after="0" w:line="240" w:lineRule="auto"/>
        <w:rPr>
          <w:rFonts w:cstheme="minorHAnsi"/>
          <w:b/>
          <w:bCs/>
          <w:color w:val="0000FF"/>
        </w:rPr>
      </w:pPr>
    </w:p>
    <w:p w14:paraId="5DEE6EA4" w14:textId="77777777" w:rsidR="003D1AA4" w:rsidRDefault="003D1AA4" w:rsidP="00783B76">
      <w:pPr>
        <w:autoSpaceDE w:val="0"/>
        <w:autoSpaceDN w:val="0"/>
        <w:adjustRightInd w:val="0"/>
        <w:spacing w:after="0" w:line="240" w:lineRule="auto"/>
        <w:rPr>
          <w:rFonts w:cstheme="minorHAnsi"/>
          <w:b/>
          <w:bCs/>
          <w:color w:val="0000FF"/>
        </w:rPr>
      </w:pPr>
    </w:p>
    <w:p w14:paraId="1F176751" w14:textId="77777777" w:rsidR="003D1AA4" w:rsidRDefault="003D1AA4" w:rsidP="00783B76">
      <w:pPr>
        <w:autoSpaceDE w:val="0"/>
        <w:autoSpaceDN w:val="0"/>
        <w:adjustRightInd w:val="0"/>
        <w:spacing w:after="0" w:line="240" w:lineRule="auto"/>
        <w:rPr>
          <w:rFonts w:cstheme="minorHAnsi"/>
          <w:b/>
          <w:bCs/>
          <w:color w:val="0000FF"/>
        </w:rPr>
      </w:pPr>
    </w:p>
    <w:p w14:paraId="5FE34AD1" w14:textId="77777777" w:rsidR="003D1AA4" w:rsidRDefault="003D1AA4" w:rsidP="00783B76">
      <w:pPr>
        <w:autoSpaceDE w:val="0"/>
        <w:autoSpaceDN w:val="0"/>
        <w:adjustRightInd w:val="0"/>
        <w:spacing w:after="0" w:line="240" w:lineRule="auto"/>
        <w:rPr>
          <w:rFonts w:cstheme="minorHAnsi"/>
          <w:b/>
          <w:bCs/>
          <w:color w:val="0000FF"/>
        </w:rPr>
      </w:pPr>
    </w:p>
    <w:p w14:paraId="2DBA1D34" w14:textId="77777777" w:rsidR="003D1AA4" w:rsidRDefault="003D1AA4" w:rsidP="00783B76">
      <w:pPr>
        <w:autoSpaceDE w:val="0"/>
        <w:autoSpaceDN w:val="0"/>
        <w:adjustRightInd w:val="0"/>
        <w:spacing w:after="0" w:line="240" w:lineRule="auto"/>
        <w:rPr>
          <w:rFonts w:cstheme="minorHAnsi"/>
          <w:b/>
          <w:bCs/>
          <w:color w:val="0000FF"/>
        </w:rPr>
      </w:pPr>
    </w:p>
    <w:p w14:paraId="57FF0F3C" w14:textId="77777777" w:rsidR="003D1AA4" w:rsidRDefault="003D1AA4" w:rsidP="00783B76">
      <w:pPr>
        <w:autoSpaceDE w:val="0"/>
        <w:autoSpaceDN w:val="0"/>
        <w:adjustRightInd w:val="0"/>
        <w:spacing w:after="0" w:line="240" w:lineRule="auto"/>
        <w:rPr>
          <w:rFonts w:cstheme="minorHAnsi"/>
          <w:b/>
          <w:bCs/>
          <w:color w:val="0000FF"/>
        </w:rPr>
      </w:pPr>
    </w:p>
    <w:p w14:paraId="6EF8453D" w14:textId="77777777" w:rsidR="003D1AA4" w:rsidRDefault="003D1AA4" w:rsidP="00783B76">
      <w:pPr>
        <w:autoSpaceDE w:val="0"/>
        <w:autoSpaceDN w:val="0"/>
        <w:adjustRightInd w:val="0"/>
        <w:spacing w:after="0" w:line="240" w:lineRule="auto"/>
        <w:rPr>
          <w:rFonts w:cstheme="minorHAnsi"/>
          <w:b/>
          <w:bCs/>
          <w:color w:val="0000FF"/>
        </w:rPr>
      </w:pPr>
    </w:p>
    <w:p w14:paraId="45852A33" w14:textId="77777777" w:rsidR="003D1AA4" w:rsidRDefault="003D1AA4" w:rsidP="00783B76">
      <w:pPr>
        <w:autoSpaceDE w:val="0"/>
        <w:autoSpaceDN w:val="0"/>
        <w:adjustRightInd w:val="0"/>
        <w:spacing w:after="0" w:line="240" w:lineRule="auto"/>
        <w:rPr>
          <w:rFonts w:cstheme="minorHAnsi"/>
          <w:b/>
          <w:bCs/>
          <w:color w:val="0000FF"/>
        </w:rPr>
      </w:pPr>
    </w:p>
    <w:p w14:paraId="20B0B5E1" w14:textId="77777777" w:rsidR="003D1AA4" w:rsidRDefault="003D1AA4" w:rsidP="00783B76">
      <w:pPr>
        <w:autoSpaceDE w:val="0"/>
        <w:autoSpaceDN w:val="0"/>
        <w:adjustRightInd w:val="0"/>
        <w:spacing w:after="0" w:line="240" w:lineRule="auto"/>
        <w:rPr>
          <w:rFonts w:cstheme="minorHAnsi"/>
          <w:b/>
          <w:bCs/>
          <w:color w:val="0000FF"/>
        </w:rPr>
      </w:pPr>
    </w:p>
    <w:p w14:paraId="363E39ED" w14:textId="77777777" w:rsidR="003D1AA4" w:rsidRDefault="003D1AA4" w:rsidP="00783B76">
      <w:pPr>
        <w:autoSpaceDE w:val="0"/>
        <w:autoSpaceDN w:val="0"/>
        <w:adjustRightInd w:val="0"/>
        <w:spacing w:after="0" w:line="240" w:lineRule="auto"/>
        <w:rPr>
          <w:rFonts w:cstheme="minorHAnsi"/>
          <w:b/>
          <w:bCs/>
          <w:color w:val="0000FF"/>
        </w:rPr>
      </w:pPr>
    </w:p>
    <w:p w14:paraId="0C4113FD" w14:textId="77777777" w:rsidR="003D1AA4" w:rsidRDefault="003D1AA4" w:rsidP="00783B76">
      <w:pPr>
        <w:autoSpaceDE w:val="0"/>
        <w:autoSpaceDN w:val="0"/>
        <w:adjustRightInd w:val="0"/>
        <w:spacing w:after="0" w:line="240" w:lineRule="auto"/>
        <w:rPr>
          <w:rFonts w:cstheme="minorHAnsi"/>
          <w:b/>
          <w:bCs/>
          <w:color w:val="0000FF"/>
        </w:rPr>
      </w:pPr>
    </w:p>
    <w:p w14:paraId="37A8910D" w14:textId="77777777" w:rsidR="00783B76" w:rsidRPr="0057523D" w:rsidRDefault="00783B76" w:rsidP="00783B76">
      <w:pPr>
        <w:autoSpaceDE w:val="0"/>
        <w:autoSpaceDN w:val="0"/>
        <w:adjustRightInd w:val="0"/>
        <w:spacing w:after="0" w:line="240" w:lineRule="auto"/>
        <w:rPr>
          <w:rFonts w:cstheme="minorHAnsi"/>
          <w:b/>
          <w:bCs/>
          <w:color w:val="0000FF"/>
        </w:rPr>
      </w:pPr>
      <w:r w:rsidRPr="0057523D">
        <w:rPr>
          <w:rFonts w:cstheme="minorHAnsi"/>
          <w:b/>
          <w:bCs/>
          <w:color w:val="0000FF"/>
        </w:rPr>
        <w:t>2014</w:t>
      </w:r>
      <w:r>
        <w:rPr>
          <w:rFonts w:cstheme="minorHAnsi"/>
          <w:b/>
          <w:bCs/>
          <w:color w:val="0000FF"/>
        </w:rPr>
        <w:t xml:space="preserve"> Forest Plot</w:t>
      </w:r>
    </w:p>
    <w:p w14:paraId="58D165C8" w14:textId="77777777" w:rsidR="00783B76" w:rsidRDefault="00783B76" w:rsidP="009B1A15">
      <w:pPr>
        <w:spacing w:after="0" w:line="240" w:lineRule="auto"/>
        <w:rPr>
          <w:rFonts w:cstheme="minorHAnsi"/>
        </w:rPr>
      </w:pPr>
    </w:p>
    <w:p w14:paraId="743A7D20" w14:textId="77777777" w:rsidR="003755CB" w:rsidRPr="00783B76" w:rsidRDefault="00783B76" w:rsidP="00783B76">
      <w:pPr>
        <w:spacing w:after="0" w:line="240" w:lineRule="auto"/>
        <w:rPr>
          <w:rFonts w:cstheme="minorHAnsi"/>
        </w:rPr>
      </w:pPr>
      <w:r w:rsidRPr="009125AC">
        <w:rPr>
          <w:noProof/>
        </w:rPr>
        <w:drawing>
          <wp:inline distT="0" distB="0" distL="0" distR="0" wp14:anchorId="262669BC" wp14:editId="2AB30A9E">
            <wp:extent cx="5943600" cy="5616575"/>
            <wp:effectExtent l="0" t="0" r="0" b="0"/>
            <wp:docPr id="37" name="Picture 1" descr="P:\ftang\Paul\GWTG\Standardized risk report\Adult 2014\Adult 20150528.wmf"/>
            <wp:cNvGraphicFramePr/>
            <a:graphic xmlns:a="http://schemas.openxmlformats.org/drawingml/2006/main">
              <a:graphicData uri="http://schemas.openxmlformats.org/drawingml/2006/picture">
                <pic:pic xmlns:pic="http://schemas.openxmlformats.org/drawingml/2006/picture">
                  <pic:nvPicPr>
                    <pic:cNvPr id="0" name="Picture 1" descr="P:\ftang\Paul\GWTG\Standardized risk report\Adult 2014\Adult 20150528.wmf"/>
                    <pic:cNvPicPr>
                      <a:picLocks noChangeAspect="1" noChangeArrowheads="1"/>
                    </pic:cNvPicPr>
                  </pic:nvPicPr>
                  <pic:blipFill>
                    <a:blip r:embed="rId19" cstate="print"/>
                    <a:srcRect/>
                    <a:stretch>
                      <a:fillRect/>
                    </a:stretch>
                  </pic:blipFill>
                  <pic:spPr bwMode="auto">
                    <a:xfrm>
                      <a:off x="0" y="0"/>
                      <a:ext cx="5943600" cy="5616575"/>
                    </a:xfrm>
                    <a:prstGeom prst="rect">
                      <a:avLst/>
                    </a:prstGeom>
                    <a:noFill/>
                    <a:ln w="9525">
                      <a:noFill/>
                      <a:miter lim="800000"/>
                      <a:headEnd/>
                      <a:tailEnd/>
                    </a:ln>
                  </pic:spPr>
                </pic:pic>
              </a:graphicData>
            </a:graphic>
          </wp:inline>
        </w:drawing>
      </w:r>
    </w:p>
    <w:p w14:paraId="02DF1BCE"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443A65F5" w14:textId="77777777" w:rsidR="00D61410" w:rsidRPr="00A25024" w:rsidRDefault="009C7513" w:rsidP="00D61410">
      <w:pPr>
        <w:autoSpaceDE w:val="0"/>
        <w:autoSpaceDN w:val="0"/>
        <w:adjustRightInd w:val="0"/>
        <w:spacing w:after="0" w:line="240" w:lineRule="auto"/>
        <w:rPr>
          <w:rFonts w:cstheme="minorHAnsi"/>
          <w:b/>
          <w:bCs/>
        </w:rPr>
      </w:pPr>
      <w:bookmarkStart w:id="16" w:name="section2b5"/>
      <w:bookmarkEnd w:id="16"/>
      <w:r>
        <w:rPr>
          <w:rFonts w:cstheme="minorHAnsi"/>
          <w:b/>
          <w:bCs/>
        </w:rPr>
        <w:t>2b4</w:t>
      </w:r>
      <w:r w:rsidR="00D61410" w:rsidRPr="00A25024">
        <w:rPr>
          <w:rFonts w:cstheme="minorHAnsi"/>
          <w:b/>
          <w:bCs/>
        </w:rPr>
        <w:t>. IDENTIFICATION OF STATISTICALLY SIGNIFICANT &amp; MEANINGFUL DIFFERENCES IN PERFORMANCE</w:t>
      </w:r>
    </w:p>
    <w:p w14:paraId="0F6643B9" w14:textId="77777777"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6140C0E9" w14:textId="77777777" w:rsidR="00D61410" w:rsidRPr="00783B76" w:rsidRDefault="00783B76" w:rsidP="00783B76">
      <w:pPr>
        <w:rPr>
          <w:color w:val="0000FF"/>
          <w:szCs w:val="20"/>
        </w:rPr>
      </w:pPr>
      <w:r w:rsidRPr="0057523D">
        <w:rPr>
          <w:color w:val="0000FF"/>
          <w:szCs w:val="20"/>
        </w:rPr>
        <w:t>Measures of central tendency, variability, and dispersion were calculated</w:t>
      </w:r>
      <w:r>
        <w:rPr>
          <w:color w:val="0000FF"/>
          <w:szCs w:val="20"/>
        </w:rPr>
        <w:t>.</w:t>
      </w:r>
    </w:p>
    <w:p w14:paraId="0C358709" w14:textId="77777777" w:rsidR="00D61410"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7C8A1651" w14:textId="77777777" w:rsidR="00037081" w:rsidRPr="0057523D" w:rsidRDefault="00037081" w:rsidP="00037081">
      <w:pPr>
        <w:pStyle w:val="NoSpacing"/>
        <w:rPr>
          <w:b/>
          <w:color w:val="0000FF"/>
        </w:rPr>
      </w:pPr>
      <w:r w:rsidRPr="0057523D">
        <w:rPr>
          <w:b/>
          <w:color w:val="0000FF"/>
        </w:rPr>
        <w:t>2011-</w:t>
      </w:r>
      <w:r>
        <w:rPr>
          <w:b/>
          <w:color w:val="0000FF"/>
        </w:rPr>
        <w:t xml:space="preserve"> May </w:t>
      </w:r>
      <w:r w:rsidRPr="0057523D">
        <w:rPr>
          <w:b/>
          <w:color w:val="0000FF"/>
        </w:rPr>
        <w:t>2015</w:t>
      </w:r>
    </w:p>
    <w:p w14:paraId="58872E84" w14:textId="71EEF5B6" w:rsidR="00D61410" w:rsidRDefault="00783B76" w:rsidP="00783B76">
      <w:pPr>
        <w:rPr>
          <w:color w:val="0000FF"/>
          <w:szCs w:val="20"/>
        </w:rPr>
      </w:pPr>
      <w:r>
        <w:rPr>
          <w:color w:val="0000FF"/>
          <w:szCs w:val="20"/>
        </w:rPr>
        <w:t xml:space="preserve">Based on the sample of </w:t>
      </w:r>
      <w:r w:rsidR="0078383F">
        <w:rPr>
          <w:color w:val="0000FF"/>
          <w:szCs w:val="20"/>
        </w:rPr>
        <w:t xml:space="preserve">326 </w:t>
      </w:r>
      <w:r>
        <w:rPr>
          <w:color w:val="0000FF"/>
          <w:szCs w:val="20"/>
        </w:rPr>
        <w:t>hospitals</w:t>
      </w:r>
      <w:r w:rsidR="00B372D6">
        <w:rPr>
          <w:color w:val="0000FF"/>
          <w:szCs w:val="20"/>
        </w:rPr>
        <w:t xml:space="preserve"> during this time period</w:t>
      </w:r>
      <w:r w:rsidRPr="00AF6E57">
        <w:rPr>
          <w:color w:val="0000FF"/>
          <w:szCs w:val="20"/>
        </w:rPr>
        <w:t xml:space="preserve">, the mean performance </w:t>
      </w:r>
      <w:r w:rsidR="00847A4E">
        <w:rPr>
          <w:color w:val="0000FF"/>
          <w:szCs w:val="20"/>
        </w:rPr>
        <w:t>risk-standardized survival rate was</w:t>
      </w:r>
      <w:r w:rsidR="00505A42">
        <w:rPr>
          <w:color w:val="0000FF"/>
          <w:szCs w:val="20"/>
        </w:rPr>
        <w:t xml:space="preserve"> 24%</w:t>
      </w:r>
      <w:r w:rsidR="00847A4E">
        <w:rPr>
          <w:color w:val="0000FF"/>
          <w:szCs w:val="20"/>
        </w:rPr>
        <w:t xml:space="preserve"> (standard deviation of 5%)</w:t>
      </w:r>
      <w:r>
        <w:rPr>
          <w:color w:val="0000FF"/>
          <w:szCs w:val="20"/>
        </w:rPr>
        <w:t xml:space="preserve">, </w:t>
      </w:r>
      <w:r w:rsidR="00847A4E">
        <w:rPr>
          <w:color w:val="0000FF"/>
          <w:szCs w:val="20"/>
        </w:rPr>
        <w:t xml:space="preserve">and </w:t>
      </w:r>
      <w:r w:rsidRPr="00AF6E57">
        <w:rPr>
          <w:color w:val="0000FF"/>
          <w:szCs w:val="20"/>
        </w:rPr>
        <w:t>the</w:t>
      </w:r>
      <w:r>
        <w:rPr>
          <w:color w:val="0000FF"/>
          <w:szCs w:val="20"/>
        </w:rPr>
        <w:t xml:space="preserve"> </w:t>
      </w:r>
      <w:r w:rsidR="00505A42">
        <w:rPr>
          <w:color w:val="0000FF"/>
          <w:szCs w:val="20"/>
        </w:rPr>
        <w:t xml:space="preserve">median performance rate </w:t>
      </w:r>
      <w:r w:rsidR="00847A4E">
        <w:rPr>
          <w:color w:val="0000FF"/>
          <w:szCs w:val="20"/>
        </w:rPr>
        <w:t>wa</w:t>
      </w:r>
      <w:r w:rsidR="00505A42">
        <w:rPr>
          <w:color w:val="0000FF"/>
          <w:szCs w:val="20"/>
        </w:rPr>
        <w:t>s 24%</w:t>
      </w:r>
      <w:r w:rsidR="00847A4E">
        <w:rPr>
          <w:color w:val="0000FF"/>
          <w:szCs w:val="20"/>
        </w:rPr>
        <w:t xml:space="preserve"> (</w:t>
      </w:r>
      <w:r w:rsidR="00505A42">
        <w:rPr>
          <w:color w:val="0000FF"/>
          <w:szCs w:val="20"/>
        </w:rPr>
        <w:t>minimum rate of 11%</w:t>
      </w:r>
      <w:r w:rsidRPr="00AF6E57">
        <w:rPr>
          <w:color w:val="0000FF"/>
          <w:szCs w:val="20"/>
        </w:rPr>
        <w:t xml:space="preserve"> and a maximum rate of </w:t>
      </w:r>
      <w:r w:rsidR="00505A42">
        <w:rPr>
          <w:color w:val="0000FF"/>
          <w:szCs w:val="20"/>
        </w:rPr>
        <w:t>38%</w:t>
      </w:r>
      <w:r w:rsidR="00847A4E">
        <w:rPr>
          <w:color w:val="0000FF"/>
          <w:szCs w:val="20"/>
        </w:rPr>
        <w:t>, with range of 27%).</w:t>
      </w:r>
      <w:r>
        <w:rPr>
          <w:color w:val="0000FF"/>
          <w:szCs w:val="20"/>
        </w:rPr>
        <w:t xml:space="preserve"> </w:t>
      </w:r>
    </w:p>
    <w:p w14:paraId="551058FD" w14:textId="77777777" w:rsidR="00037081" w:rsidRPr="0057523D" w:rsidRDefault="00037081" w:rsidP="00037081">
      <w:pPr>
        <w:pStyle w:val="NoSpacing"/>
        <w:rPr>
          <w:b/>
          <w:color w:val="0000FF"/>
        </w:rPr>
      </w:pPr>
      <w:r>
        <w:rPr>
          <w:b/>
          <w:color w:val="0000FF"/>
        </w:rPr>
        <w:t>2013</w:t>
      </w:r>
    </w:p>
    <w:p w14:paraId="6F32D659" w14:textId="5CAF697C" w:rsidR="00037081" w:rsidRDefault="00037081" w:rsidP="00037081">
      <w:pPr>
        <w:rPr>
          <w:color w:val="0000FF"/>
          <w:szCs w:val="20"/>
        </w:rPr>
      </w:pPr>
      <w:r>
        <w:rPr>
          <w:color w:val="0000FF"/>
          <w:szCs w:val="20"/>
        </w:rPr>
        <w:t xml:space="preserve">Based on the sample of </w:t>
      </w:r>
      <w:r w:rsidR="00FD2B5C">
        <w:rPr>
          <w:color w:val="0000FF"/>
          <w:szCs w:val="20"/>
        </w:rPr>
        <w:t xml:space="preserve">273 </w:t>
      </w:r>
      <w:r>
        <w:rPr>
          <w:color w:val="0000FF"/>
          <w:szCs w:val="20"/>
        </w:rPr>
        <w:t>hospitals</w:t>
      </w:r>
      <w:r w:rsidR="00B372D6">
        <w:rPr>
          <w:color w:val="0000FF"/>
          <w:szCs w:val="20"/>
        </w:rPr>
        <w:t xml:space="preserve"> during this year</w:t>
      </w:r>
      <w:r w:rsidRPr="00AF6E57">
        <w:rPr>
          <w:color w:val="0000FF"/>
          <w:szCs w:val="20"/>
        </w:rPr>
        <w:t xml:space="preserve">, the mean performance </w:t>
      </w:r>
      <w:r>
        <w:rPr>
          <w:color w:val="0000FF"/>
          <w:szCs w:val="20"/>
        </w:rPr>
        <w:t>risk-standardized survival rate was 2</w:t>
      </w:r>
      <w:r w:rsidR="00B372D6">
        <w:rPr>
          <w:color w:val="0000FF"/>
          <w:szCs w:val="20"/>
        </w:rPr>
        <w:t>5</w:t>
      </w:r>
      <w:r>
        <w:rPr>
          <w:color w:val="0000FF"/>
          <w:szCs w:val="20"/>
        </w:rPr>
        <w:t xml:space="preserve">% (standard deviation of </w:t>
      </w:r>
      <w:r w:rsidR="00B372D6">
        <w:rPr>
          <w:color w:val="0000FF"/>
          <w:szCs w:val="20"/>
        </w:rPr>
        <w:t>5</w:t>
      </w:r>
      <w:r>
        <w:rPr>
          <w:color w:val="0000FF"/>
          <w:szCs w:val="20"/>
        </w:rPr>
        <w:t xml:space="preserve">%), and </w:t>
      </w:r>
      <w:r w:rsidRPr="00AF6E57">
        <w:rPr>
          <w:color w:val="0000FF"/>
          <w:szCs w:val="20"/>
        </w:rPr>
        <w:t>the</w:t>
      </w:r>
      <w:r>
        <w:rPr>
          <w:color w:val="0000FF"/>
          <w:szCs w:val="20"/>
        </w:rPr>
        <w:t xml:space="preserve"> median performance rate was 2</w:t>
      </w:r>
      <w:r w:rsidR="00B372D6">
        <w:rPr>
          <w:color w:val="0000FF"/>
          <w:szCs w:val="20"/>
        </w:rPr>
        <w:t>5</w:t>
      </w:r>
      <w:r>
        <w:rPr>
          <w:color w:val="0000FF"/>
          <w:szCs w:val="20"/>
        </w:rPr>
        <w:t xml:space="preserve">% (minimum rate of </w:t>
      </w:r>
      <w:r w:rsidR="00B372D6">
        <w:rPr>
          <w:color w:val="0000FF"/>
          <w:szCs w:val="20"/>
        </w:rPr>
        <w:t>9</w:t>
      </w:r>
      <w:r>
        <w:rPr>
          <w:color w:val="0000FF"/>
          <w:szCs w:val="20"/>
        </w:rPr>
        <w:t>%</w:t>
      </w:r>
      <w:r w:rsidRPr="00AF6E57">
        <w:rPr>
          <w:color w:val="0000FF"/>
          <w:szCs w:val="20"/>
        </w:rPr>
        <w:t xml:space="preserve"> and a maximum rate of </w:t>
      </w:r>
      <w:r w:rsidR="00B372D6">
        <w:rPr>
          <w:color w:val="0000FF"/>
          <w:szCs w:val="20"/>
        </w:rPr>
        <w:t>39</w:t>
      </w:r>
      <w:r>
        <w:rPr>
          <w:color w:val="0000FF"/>
          <w:szCs w:val="20"/>
        </w:rPr>
        <w:t xml:space="preserve">%, with range of </w:t>
      </w:r>
      <w:r w:rsidR="00B372D6">
        <w:rPr>
          <w:color w:val="0000FF"/>
          <w:szCs w:val="20"/>
        </w:rPr>
        <w:t>30</w:t>
      </w:r>
      <w:r>
        <w:rPr>
          <w:color w:val="0000FF"/>
          <w:szCs w:val="20"/>
        </w:rPr>
        <w:t xml:space="preserve">%). </w:t>
      </w:r>
    </w:p>
    <w:p w14:paraId="0C55F884" w14:textId="77777777" w:rsidR="00037081" w:rsidRPr="0057523D" w:rsidRDefault="00037081" w:rsidP="00037081">
      <w:pPr>
        <w:pStyle w:val="NoSpacing"/>
        <w:rPr>
          <w:b/>
          <w:color w:val="0000FF"/>
        </w:rPr>
      </w:pPr>
      <w:r>
        <w:rPr>
          <w:b/>
          <w:color w:val="0000FF"/>
        </w:rPr>
        <w:t>2014</w:t>
      </w:r>
    </w:p>
    <w:p w14:paraId="592B8DE2" w14:textId="72FDE89E" w:rsidR="00F964A5" w:rsidRDefault="00F964A5" w:rsidP="00F964A5">
      <w:pPr>
        <w:rPr>
          <w:color w:val="0000FF"/>
          <w:szCs w:val="20"/>
        </w:rPr>
      </w:pPr>
      <w:r>
        <w:rPr>
          <w:color w:val="0000FF"/>
          <w:szCs w:val="20"/>
        </w:rPr>
        <w:t>Based on the sample of 259 hospitals</w:t>
      </w:r>
      <w:r w:rsidRPr="00AF6E57">
        <w:rPr>
          <w:color w:val="0000FF"/>
          <w:szCs w:val="20"/>
        </w:rPr>
        <w:t xml:space="preserve">, the mean performance </w:t>
      </w:r>
      <w:r>
        <w:rPr>
          <w:color w:val="0000FF"/>
          <w:szCs w:val="20"/>
        </w:rPr>
        <w:t xml:space="preserve">risk-standardized survival rate was 24% (standard deviation of </w:t>
      </w:r>
      <w:r w:rsidR="00B372D6">
        <w:rPr>
          <w:color w:val="0000FF"/>
          <w:szCs w:val="20"/>
        </w:rPr>
        <w:t>5</w:t>
      </w:r>
      <w:r>
        <w:rPr>
          <w:color w:val="0000FF"/>
          <w:szCs w:val="20"/>
        </w:rPr>
        <w:t xml:space="preserve">%), and </w:t>
      </w:r>
      <w:r w:rsidRPr="00AF6E57">
        <w:rPr>
          <w:color w:val="0000FF"/>
          <w:szCs w:val="20"/>
        </w:rPr>
        <w:t>the</w:t>
      </w:r>
      <w:r>
        <w:rPr>
          <w:color w:val="0000FF"/>
          <w:szCs w:val="20"/>
        </w:rPr>
        <w:t xml:space="preserve"> median performance rate was 2</w:t>
      </w:r>
      <w:r w:rsidR="00B372D6">
        <w:rPr>
          <w:color w:val="0000FF"/>
          <w:szCs w:val="20"/>
        </w:rPr>
        <w:t>4</w:t>
      </w:r>
      <w:r>
        <w:rPr>
          <w:color w:val="0000FF"/>
          <w:szCs w:val="20"/>
        </w:rPr>
        <w:t xml:space="preserve">% (minimum rate of </w:t>
      </w:r>
      <w:r w:rsidR="00B372D6">
        <w:rPr>
          <w:color w:val="0000FF"/>
          <w:szCs w:val="20"/>
        </w:rPr>
        <w:t>14</w:t>
      </w:r>
      <w:r>
        <w:rPr>
          <w:color w:val="0000FF"/>
          <w:szCs w:val="20"/>
        </w:rPr>
        <w:t>%</w:t>
      </w:r>
      <w:r w:rsidRPr="00AF6E57">
        <w:rPr>
          <w:color w:val="0000FF"/>
          <w:szCs w:val="20"/>
        </w:rPr>
        <w:t xml:space="preserve"> and a maximum rate of </w:t>
      </w:r>
      <w:r w:rsidR="00B372D6">
        <w:rPr>
          <w:color w:val="0000FF"/>
          <w:szCs w:val="20"/>
        </w:rPr>
        <w:t>40</w:t>
      </w:r>
      <w:r>
        <w:rPr>
          <w:color w:val="0000FF"/>
          <w:szCs w:val="20"/>
        </w:rPr>
        <w:t xml:space="preserve">%, with range of </w:t>
      </w:r>
      <w:r w:rsidR="00B372D6">
        <w:rPr>
          <w:color w:val="0000FF"/>
          <w:szCs w:val="20"/>
        </w:rPr>
        <w:t>26</w:t>
      </w:r>
      <w:r>
        <w:rPr>
          <w:color w:val="0000FF"/>
          <w:szCs w:val="20"/>
        </w:rPr>
        <w:t xml:space="preserve">%). </w:t>
      </w:r>
    </w:p>
    <w:p w14:paraId="76EEFE33" w14:textId="77777777" w:rsidR="00037081" w:rsidRPr="00783B76" w:rsidRDefault="00037081" w:rsidP="00783B76">
      <w:pPr>
        <w:rPr>
          <w:color w:val="0000FF"/>
          <w:szCs w:val="20"/>
        </w:rPr>
      </w:pPr>
    </w:p>
    <w:p w14:paraId="499AE855" w14:textId="77777777" w:rsidR="00783B76"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6CFDDD1" w14:textId="77777777" w:rsidR="00783B76" w:rsidRDefault="00783B76" w:rsidP="00D61410">
      <w:pPr>
        <w:autoSpaceDE w:val="0"/>
        <w:autoSpaceDN w:val="0"/>
        <w:adjustRightInd w:val="0"/>
        <w:spacing w:after="0" w:line="240" w:lineRule="auto"/>
        <w:rPr>
          <w:rFonts w:cstheme="minorHAnsi"/>
          <w:bCs/>
        </w:rPr>
      </w:pPr>
    </w:p>
    <w:p w14:paraId="7F7D8C10" w14:textId="77777777" w:rsidR="00D61410" w:rsidRPr="00783B76" w:rsidRDefault="00783B76" w:rsidP="00783B76">
      <w:pPr>
        <w:rPr>
          <w:color w:val="0000FF"/>
          <w:szCs w:val="20"/>
        </w:rPr>
      </w:pPr>
      <w:r>
        <w:rPr>
          <w:color w:val="0000FF"/>
          <w:szCs w:val="20"/>
        </w:rPr>
        <w:t>The range o</w:t>
      </w:r>
      <w:r w:rsidRPr="004049FB">
        <w:rPr>
          <w:color w:val="0000FF"/>
          <w:szCs w:val="20"/>
        </w:rPr>
        <w:t xml:space="preserve">f performance </w:t>
      </w:r>
      <w:r w:rsidR="00B05E20">
        <w:rPr>
          <w:color w:val="0000FF"/>
          <w:szCs w:val="20"/>
        </w:rPr>
        <w:t xml:space="preserve">demonstrated above </w:t>
      </w:r>
      <w:r w:rsidRPr="004049FB">
        <w:rPr>
          <w:color w:val="0000FF"/>
          <w:szCs w:val="20"/>
        </w:rPr>
        <w:t>suggests there</w:t>
      </w:r>
      <w:r>
        <w:rPr>
          <w:color w:val="0000FF"/>
          <w:szCs w:val="20"/>
        </w:rPr>
        <w:t xml:space="preserve"> is</w:t>
      </w:r>
      <w:r w:rsidRPr="004049FB">
        <w:rPr>
          <w:color w:val="0000FF"/>
          <w:szCs w:val="20"/>
        </w:rPr>
        <w:t xml:space="preserve"> clinically meaningful variation across </w:t>
      </w:r>
      <w:r>
        <w:rPr>
          <w:color w:val="0000FF"/>
          <w:szCs w:val="20"/>
        </w:rPr>
        <w:t>hospitals</w:t>
      </w:r>
      <w:r w:rsidRPr="004049FB">
        <w:rPr>
          <w:color w:val="0000FF"/>
          <w:szCs w:val="20"/>
        </w:rPr>
        <w:t xml:space="preserve">’ </w:t>
      </w:r>
      <w:r w:rsidR="00847A4E">
        <w:rPr>
          <w:color w:val="0000FF"/>
          <w:szCs w:val="20"/>
        </w:rPr>
        <w:t>risk-standardized survival rate for IHCA.</w:t>
      </w:r>
    </w:p>
    <w:p w14:paraId="0E734CA8" w14:textId="77777777" w:rsidR="0086464B" w:rsidRDefault="0086464B" w:rsidP="0086464B">
      <w:pPr>
        <w:spacing w:after="0" w:line="240" w:lineRule="auto"/>
        <w:rPr>
          <w:rFonts w:cstheme="minorHAnsi"/>
          <w:b/>
          <w:bCs/>
        </w:rPr>
      </w:pPr>
      <w:r>
        <w:rPr>
          <w:rFonts w:cstheme="minorHAnsi"/>
          <w:b/>
          <w:bCs/>
        </w:rPr>
        <w:t>_______________________________________</w:t>
      </w:r>
    </w:p>
    <w:p w14:paraId="785092D5"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461DF25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5E78C5E" w14:textId="77777777" w:rsidR="00567D12" w:rsidRPr="00A25024" w:rsidRDefault="00567D12" w:rsidP="00DB3627">
      <w:pPr>
        <w:autoSpaceDE w:val="0"/>
        <w:autoSpaceDN w:val="0"/>
        <w:adjustRightInd w:val="0"/>
        <w:spacing w:after="0" w:line="240" w:lineRule="auto"/>
        <w:rPr>
          <w:rFonts w:cstheme="minorHAnsi"/>
          <w:b/>
          <w:bCs/>
        </w:rPr>
      </w:pPr>
    </w:p>
    <w:p w14:paraId="1F009691" w14:textId="77777777" w:rsidR="00052A6F" w:rsidRDefault="002B2116" w:rsidP="00DB3627">
      <w:pPr>
        <w:autoSpaceDE w:val="0"/>
        <w:autoSpaceDN w:val="0"/>
        <w:adjustRightInd w:val="0"/>
        <w:spacing w:after="0" w:line="240" w:lineRule="auto"/>
        <w:rPr>
          <w:rFonts w:ascii="Calibri-BoldItalic" w:eastAsiaTheme="minorHAnsi" w:hAnsi="Calibri-BoldItalic" w:cs="Calibri-BoldItalic"/>
          <w:b/>
          <w:bCs/>
          <w:i/>
          <w:iCs/>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749CF6CA" w14:textId="77777777" w:rsidR="003B5D9B" w:rsidRDefault="003B5D9B" w:rsidP="00DB3627">
      <w:pPr>
        <w:autoSpaceDE w:val="0"/>
        <w:autoSpaceDN w:val="0"/>
        <w:adjustRightInd w:val="0"/>
        <w:spacing w:after="0" w:line="240" w:lineRule="auto"/>
        <w:rPr>
          <w:rFonts w:ascii="Calibri-BoldItalic" w:eastAsiaTheme="minorHAnsi" w:hAnsi="Calibri-BoldItalic" w:cs="Calibri-BoldItalic"/>
          <w:b/>
          <w:bCs/>
          <w:i/>
          <w:iCs/>
        </w:rPr>
      </w:pPr>
    </w:p>
    <w:p w14:paraId="44B4937A" w14:textId="77777777" w:rsidR="003B5D9B" w:rsidRPr="003B5D9B" w:rsidRDefault="003B5D9B" w:rsidP="00DB3627">
      <w:pPr>
        <w:autoSpaceDE w:val="0"/>
        <w:autoSpaceDN w:val="0"/>
        <w:adjustRightInd w:val="0"/>
        <w:spacing w:after="0" w:line="240" w:lineRule="auto"/>
        <w:rPr>
          <w:rFonts w:cstheme="minorHAnsi"/>
          <w:bCs/>
          <w:color w:val="0000FF"/>
        </w:rPr>
      </w:pPr>
      <w:r>
        <w:rPr>
          <w:rFonts w:cstheme="minorHAnsi"/>
          <w:bCs/>
          <w:color w:val="0000FF"/>
        </w:rPr>
        <w:t>N/A.</w:t>
      </w:r>
    </w:p>
    <w:p w14:paraId="5E8A7EF8" w14:textId="77777777" w:rsidR="000F06B5" w:rsidRPr="00A25024" w:rsidRDefault="000F06B5" w:rsidP="00DB3627">
      <w:pPr>
        <w:autoSpaceDE w:val="0"/>
        <w:autoSpaceDN w:val="0"/>
        <w:adjustRightInd w:val="0"/>
        <w:spacing w:after="0" w:line="240" w:lineRule="auto"/>
        <w:rPr>
          <w:rFonts w:cstheme="minorHAnsi"/>
          <w:bCs/>
        </w:rPr>
      </w:pPr>
    </w:p>
    <w:p w14:paraId="0235CD29" w14:textId="77777777" w:rsidR="003B5D9B" w:rsidRDefault="009C7513" w:rsidP="00DB3627">
      <w:pPr>
        <w:autoSpaceDE w:val="0"/>
        <w:autoSpaceDN w:val="0"/>
        <w:adjustRightInd w:val="0"/>
        <w:spacing w:after="0" w:line="240" w:lineRule="auto"/>
        <w:rPr>
          <w:rFonts w:cstheme="minorHAnsi"/>
          <w:bCs/>
        </w:rPr>
      </w:pPr>
      <w:r>
        <w:rPr>
          <w:rFonts w:cstheme="minorHAnsi"/>
          <w:b/>
          <w:bCs/>
        </w:rPr>
        <w:lastRenderedPageBreak/>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650C41EF" w14:textId="77777777" w:rsidR="003B5D9B" w:rsidRDefault="003B5D9B" w:rsidP="00DB3627">
      <w:pPr>
        <w:autoSpaceDE w:val="0"/>
        <w:autoSpaceDN w:val="0"/>
        <w:adjustRightInd w:val="0"/>
        <w:spacing w:after="0" w:line="240" w:lineRule="auto"/>
        <w:rPr>
          <w:rFonts w:cstheme="minorHAnsi"/>
          <w:bCs/>
        </w:rPr>
      </w:pPr>
    </w:p>
    <w:p w14:paraId="224A55D4" w14:textId="77777777" w:rsidR="000F06B5" w:rsidRPr="003B5D9B" w:rsidRDefault="003B5D9B" w:rsidP="003B5D9B">
      <w:pPr>
        <w:autoSpaceDE w:val="0"/>
        <w:autoSpaceDN w:val="0"/>
        <w:adjustRightInd w:val="0"/>
        <w:spacing w:after="0" w:line="240" w:lineRule="auto"/>
        <w:rPr>
          <w:rFonts w:cstheme="minorHAnsi"/>
          <w:bCs/>
          <w:color w:val="0000FF"/>
        </w:rPr>
      </w:pPr>
      <w:r>
        <w:rPr>
          <w:rFonts w:cstheme="minorHAnsi"/>
          <w:bCs/>
          <w:color w:val="0000FF"/>
        </w:rPr>
        <w:t>N/A.</w:t>
      </w:r>
      <w:r w:rsidR="000F06B5" w:rsidRPr="00A25024">
        <w:rPr>
          <w:rFonts w:cstheme="minorHAnsi"/>
          <w:bCs/>
        </w:rPr>
        <w:br/>
        <w:t xml:space="preserve"> </w:t>
      </w:r>
    </w:p>
    <w:p w14:paraId="18CB74FE" w14:textId="7777777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5053F8FB" w14:textId="77777777" w:rsidR="003B5D9B" w:rsidRPr="006C788A" w:rsidRDefault="003B5D9B" w:rsidP="003B5D9B">
      <w:pPr>
        <w:autoSpaceDE w:val="0"/>
        <w:autoSpaceDN w:val="0"/>
        <w:adjustRightInd w:val="0"/>
        <w:spacing w:after="0" w:line="240" w:lineRule="auto"/>
        <w:rPr>
          <w:rFonts w:cstheme="minorHAnsi"/>
          <w:bCs/>
          <w:color w:val="0000FF"/>
        </w:rPr>
      </w:pPr>
      <w:r>
        <w:rPr>
          <w:rFonts w:cstheme="minorHAnsi"/>
          <w:bCs/>
          <w:color w:val="0000FF"/>
        </w:rPr>
        <w:t>N/A.</w:t>
      </w:r>
    </w:p>
    <w:p w14:paraId="4083A4AD" w14:textId="77777777" w:rsidR="00E1508F" w:rsidRPr="00E1508F" w:rsidRDefault="00E1508F" w:rsidP="00E1508F">
      <w:pPr>
        <w:autoSpaceDE w:val="0"/>
        <w:autoSpaceDN w:val="0"/>
        <w:adjustRightInd w:val="0"/>
        <w:spacing w:after="0" w:line="240" w:lineRule="auto"/>
        <w:rPr>
          <w:rFonts w:cstheme="minorHAnsi"/>
          <w:bCs/>
        </w:rPr>
      </w:pPr>
    </w:p>
    <w:p w14:paraId="1551657B" w14:textId="77777777"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6EAED0FC" w14:textId="77777777" w:rsidR="003B5D9B" w:rsidRPr="003B5D9B" w:rsidRDefault="003B5D9B" w:rsidP="00DB3627">
      <w:pPr>
        <w:autoSpaceDE w:val="0"/>
        <w:autoSpaceDN w:val="0"/>
        <w:adjustRightInd w:val="0"/>
        <w:spacing w:after="0" w:line="240" w:lineRule="auto"/>
        <w:rPr>
          <w:rFonts w:cstheme="minorHAnsi"/>
          <w:bCs/>
          <w:color w:val="0000FF"/>
        </w:rPr>
      </w:pPr>
      <w:r>
        <w:rPr>
          <w:rFonts w:cstheme="minorHAnsi"/>
          <w:bCs/>
          <w:color w:val="0000FF"/>
        </w:rPr>
        <w:t>N/A.</w:t>
      </w:r>
    </w:p>
    <w:p w14:paraId="43944151" w14:textId="77777777" w:rsidR="008F7E67" w:rsidRDefault="008F7E67" w:rsidP="008F7E67">
      <w:pPr>
        <w:spacing w:after="0" w:line="240" w:lineRule="auto"/>
        <w:rPr>
          <w:rFonts w:cstheme="minorHAnsi"/>
          <w:b/>
          <w:bCs/>
        </w:rPr>
      </w:pPr>
      <w:r>
        <w:rPr>
          <w:rFonts w:cstheme="minorHAnsi"/>
          <w:b/>
          <w:bCs/>
        </w:rPr>
        <w:t>_______________________________________</w:t>
      </w:r>
    </w:p>
    <w:p w14:paraId="299A9E50"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BB82D65" w14:textId="77777777" w:rsidR="008F7E67" w:rsidRDefault="008F7E67" w:rsidP="008F7E67">
      <w:pPr>
        <w:autoSpaceDE w:val="0"/>
        <w:autoSpaceDN w:val="0"/>
        <w:adjustRightInd w:val="0"/>
        <w:spacing w:after="0" w:line="240" w:lineRule="auto"/>
        <w:rPr>
          <w:rFonts w:cstheme="minorHAnsi"/>
          <w:bCs/>
        </w:rPr>
      </w:pPr>
    </w:p>
    <w:p w14:paraId="53B2365C" w14:textId="77777777"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76DC49E0" w14:textId="08016F8D" w:rsidR="003B5D9B" w:rsidRPr="00A25024" w:rsidRDefault="003B5D9B" w:rsidP="008F7E67">
      <w:pPr>
        <w:autoSpaceDE w:val="0"/>
        <w:autoSpaceDN w:val="0"/>
        <w:adjustRightInd w:val="0"/>
        <w:spacing w:after="0" w:line="240" w:lineRule="auto"/>
        <w:rPr>
          <w:rFonts w:cstheme="minorHAnsi"/>
          <w:bCs/>
        </w:rPr>
      </w:pPr>
      <w:r w:rsidRPr="006C788A">
        <w:rPr>
          <w:color w:val="0000FF"/>
        </w:rPr>
        <w:t xml:space="preserve">Data </w:t>
      </w:r>
      <w:r w:rsidR="00E23C3C">
        <w:rPr>
          <w:color w:val="0000FF"/>
        </w:rPr>
        <w:t xml:space="preserve">was missing on survival to discharge for &lt;1% of all patients in the registry and results were not imputed given that survival to discharge is the outcome variable of interest for the proposed measure.  Otherwise, data were not missing for other covariates except for race (~5% to 6%) (see below), and as explained earlier in this submission, we did not adjust for race in the models to avoid providing for exceptions for worse care in hospitals with a larger proportion of patients of black race.  </w:t>
      </w:r>
    </w:p>
    <w:p w14:paraId="7C0B0A23"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4E90D2FB" w14:textId="77777777"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4FAC12D" w14:textId="5FEE1A59"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xml:space="preserve">1) Data on survival to discharge is missing in &lt;0.1% of patients in the registry.  Those patients with missing data on the outcome were excluded from the initial development and subsequent validation of the </w:t>
      </w:r>
      <w:r w:rsidR="004838E6">
        <w:rPr>
          <w:rFonts w:cstheme="minorHAnsi"/>
          <w:color w:val="0000FF"/>
        </w:rPr>
        <w:t xml:space="preserve">risk-standardized survival rate </w:t>
      </w:r>
      <w:r w:rsidRPr="00A41841">
        <w:rPr>
          <w:rFonts w:cstheme="minorHAnsi"/>
          <w:bCs/>
          <w:color w:val="0000FF"/>
        </w:rPr>
        <w:t>measure.</w:t>
      </w:r>
    </w:p>
    <w:p w14:paraId="42D19498" w14:textId="77777777"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w:t>
      </w:r>
    </w:p>
    <w:p w14:paraId="7D3E5C5D" w14:textId="0F3F1630"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2) Data on patient demographics (age, sex) has no missing data.</w:t>
      </w:r>
      <w:r w:rsidR="00603C46" w:rsidRPr="00A41841">
        <w:rPr>
          <w:rFonts w:cstheme="minorHAnsi"/>
          <w:bCs/>
          <w:color w:val="0000FF"/>
        </w:rPr>
        <w:t xml:space="preserve">  If the age/sex fields are not included in the submission, the </w:t>
      </w:r>
      <w:r w:rsidR="00831632">
        <w:rPr>
          <w:rFonts w:cstheme="minorHAnsi"/>
          <w:bCs/>
          <w:color w:val="0000FF"/>
        </w:rPr>
        <w:t xml:space="preserve">electronic registry </w:t>
      </w:r>
      <w:r w:rsidR="00603C46" w:rsidRPr="00A41841">
        <w:rPr>
          <w:rFonts w:cstheme="minorHAnsi"/>
          <w:bCs/>
          <w:color w:val="0000FF"/>
        </w:rPr>
        <w:t xml:space="preserve">file </w:t>
      </w:r>
      <w:r w:rsidR="00831632">
        <w:rPr>
          <w:rFonts w:cstheme="minorHAnsi"/>
          <w:bCs/>
          <w:color w:val="0000FF"/>
        </w:rPr>
        <w:t>cannot be submitted</w:t>
      </w:r>
      <w:r w:rsidR="00603C46" w:rsidRPr="00A41841">
        <w:rPr>
          <w:rFonts w:cstheme="minorHAnsi"/>
          <w:bCs/>
          <w:color w:val="0000FF"/>
        </w:rPr>
        <w:t xml:space="preserve"> and </w:t>
      </w:r>
      <w:r w:rsidR="00831632">
        <w:rPr>
          <w:rFonts w:cstheme="minorHAnsi"/>
          <w:bCs/>
          <w:color w:val="0000FF"/>
        </w:rPr>
        <w:t>the online data platform</w:t>
      </w:r>
      <w:r w:rsidR="00603C46" w:rsidRPr="00A41841">
        <w:rPr>
          <w:rFonts w:cstheme="minorHAnsi"/>
          <w:bCs/>
          <w:color w:val="0000FF"/>
        </w:rPr>
        <w:t xml:space="preserve"> prompts the person entering the data to complete those fields.  Therefore, the file cannot be submitted without </w:t>
      </w:r>
      <w:r w:rsidR="002B09EB">
        <w:rPr>
          <w:rFonts w:cstheme="minorHAnsi"/>
          <w:bCs/>
          <w:color w:val="0000FF"/>
        </w:rPr>
        <w:t xml:space="preserve">completion of </w:t>
      </w:r>
      <w:r w:rsidR="00603C46" w:rsidRPr="00A41841">
        <w:rPr>
          <w:rFonts w:cstheme="minorHAnsi"/>
          <w:bCs/>
          <w:color w:val="0000FF"/>
        </w:rPr>
        <w:t>the age/sex fields.</w:t>
      </w:r>
      <w:r w:rsidRPr="00A41841">
        <w:rPr>
          <w:rFonts w:cstheme="minorHAnsi"/>
          <w:bCs/>
          <w:color w:val="0000FF"/>
        </w:rPr>
        <w:t>  Data on race is missing in about 5-6% of patients.  However, for reasons presented earlier in this submission, race is not included as a variable for risk adjustment.</w:t>
      </w:r>
    </w:p>
    <w:p w14:paraId="5C6A511F" w14:textId="77777777"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w:t>
      </w:r>
    </w:p>
    <w:p w14:paraId="75B6FD7B" w14:textId="77777777"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xml:space="preserve">3) Data on other patient variables (pre-existing comorbidities and conditions, and interventions at the time of cardiac arrest) has officially a 0% missing data.  This is because if a patient has a certain </w:t>
      </w:r>
      <w:r w:rsidRPr="00A41841">
        <w:rPr>
          <w:rFonts w:cstheme="minorHAnsi"/>
          <w:bCs/>
          <w:color w:val="0000FF"/>
        </w:rPr>
        <w:lastRenderedPageBreak/>
        <w:t xml:space="preserve">comorbidity (e.g., renal insufficiency), the abstractor </w:t>
      </w:r>
      <w:r w:rsidRPr="00A41841">
        <w:rPr>
          <w:rFonts w:cstheme="minorHAnsi"/>
          <w:b/>
          <w:bCs/>
          <w:color w:val="0000FF"/>
        </w:rPr>
        <w:t>actively</w:t>
      </w:r>
      <w:r w:rsidRPr="00A41841">
        <w:rPr>
          <w:rFonts w:cstheme="minorHAnsi"/>
          <w:bCs/>
          <w:color w:val="0000FF"/>
        </w:rPr>
        <w:t xml:space="preserve"> checks that variable on the online data submission screen.  If it is left blank, the variable is coded as "no" for that condition.  This default system could have potential misclassification (e.g., if a patient's condition is not checked despite he or she ha</w:t>
      </w:r>
      <w:r w:rsidR="0090407E">
        <w:rPr>
          <w:rFonts w:cstheme="minorHAnsi"/>
          <w:bCs/>
          <w:color w:val="0000FF"/>
        </w:rPr>
        <w:t>ving</w:t>
      </w:r>
      <w:r w:rsidRPr="00A41841">
        <w:rPr>
          <w:rFonts w:cstheme="minorHAnsi"/>
          <w:bCs/>
          <w:color w:val="0000FF"/>
        </w:rPr>
        <w:t xml:space="preserve"> that condition).  </w:t>
      </w:r>
    </w:p>
    <w:p w14:paraId="0827551E" w14:textId="77777777"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w:t>
      </w:r>
    </w:p>
    <w:p w14:paraId="67F91612" w14:textId="77777777" w:rsidR="00C3308D" w:rsidRPr="00A41841" w:rsidRDefault="00C3308D" w:rsidP="00C3308D">
      <w:pPr>
        <w:autoSpaceDE w:val="0"/>
        <w:autoSpaceDN w:val="0"/>
        <w:adjustRightInd w:val="0"/>
        <w:spacing w:after="0" w:line="240" w:lineRule="auto"/>
        <w:rPr>
          <w:rFonts w:cstheme="minorHAnsi"/>
          <w:bCs/>
          <w:color w:val="0000FF"/>
        </w:rPr>
      </w:pPr>
      <w:r w:rsidRPr="00A41841">
        <w:rPr>
          <w:rFonts w:cstheme="minorHAnsi"/>
          <w:bCs/>
          <w:color w:val="0000FF"/>
        </w:rPr>
        <w:t xml:space="preserve">In a prior audit conducted by the American Heart Association, they found that error rates were about 2.4% of all variables in the registry.  Error rates included checking a condition when the patient did not have it, and not checking a condition when the patient did have the condition.  (citation for error rate in audit:  Peberdy MA, Kaye W, Ornato JP, et al. Cardiopulmonary resuscitation of adults in the hospital: a report of 14720 cardiac arrests from the National Registry of Cardiopulmonary Resuscitation. </w:t>
      </w:r>
      <w:r w:rsidRPr="00A41841">
        <w:rPr>
          <w:rFonts w:cstheme="minorHAnsi"/>
          <w:bCs/>
          <w:i/>
          <w:iCs/>
          <w:color w:val="0000FF"/>
        </w:rPr>
        <w:t>Resuscitation.</w:t>
      </w:r>
      <w:r w:rsidRPr="00A41841">
        <w:rPr>
          <w:rFonts w:cstheme="minorHAnsi"/>
          <w:bCs/>
          <w:color w:val="0000FF"/>
        </w:rPr>
        <w:t>2003;58:297-308.)</w:t>
      </w:r>
    </w:p>
    <w:p w14:paraId="59D096E4" w14:textId="77777777" w:rsidR="00C3308D" w:rsidRDefault="00C3308D" w:rsidP="008F7E67">
      <w:pPr>
        <w:autoSpaceDE w:val="0"/>
        <w:autoSpaceDN w:val="0"/>
        <w:adjustRightInd w:val="0"/>
        <w:spacing w:after="0" w:line="240" w:lineRule="auto"/>
        <w:rPr>
          <w:rFonts w:cstheme="minorHAnsi"/>
          <w:bCs/>
        </w:rPr>
      </w:pPr>
    </w:p>
    <w:p w14:paraId="32398750" w14:textId="77777777" w:rsidR="00BA053B"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6408E3C6" w14:textId="77777777" w:rsidR="002B09EB" w:rsidRDefault="002B09EB">
      <w:pPr>
        <w:autoSpaceDE w:val="0"/>
        <w:autoSpaceDN w:val="0"/>
        <w:adjustRightInd w:val="0"/>
        <w:spacing w:after="0" w:line="240" w:lineRule="auto"/>
        <w:rPr>
          <w:color w:val="0000FF"/>
        </w:rPr>
      </w:pPr>
    </w:p>
    <w:p w14:paraId="4417095B" w14:textId="77777777" w:rsidR="003B5D9B" w:rsidRPr="005560E7" w:rsidRDefault="003B5D9B">
      <w:pPr>
        <w:autoSpaceDE w:val="0"/>
        <w:autoSpaceDN w:val="0"/>
        <w:adjustRightInd w:val="0"/>
        <w:spacing w:after="0" w:line="240" w:lineRule="auto"/>
        <w:rPr>
          <w:rFonts w:cstheme="minorHAnsi"/>
          <w:bCs/>
        </w:rPr>
      </w:pPr>
      <w:r w:rsidRPr="006C788A">
        <w:rPr>
          <w:color w:val="0000FF"/>
        </w:rPr>
        <w:t xml:space="preserve">Data are not available to complete this testing.  </w:t>
      </w:r>
      <w:r w:rsidRPr="00A25024">
        <w:br/>
      </w:r>
    </w:p>
    <w:sectPr w:rsidR="003B5D9B" w:rsidRPr="005560E7" w:rsidSect="008505D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9166E" w14:textId="77777777" w:rsidR="00524AAC" w:rsidRDefault="00524AAC" w:rsidP="005C73CA">
      <w:pPr>
        <w:spacing w:after="0" w:line="240" w:lineRule="auto"/>
      </w:pPr>
      <w:r>
        <w:separator/>
      </w:r>
    </w:p>
  </w:endnote>
  <w:endnote w:type="continuationSeparator" w:id="0">
    <w:p w14:paraId="7B5D920C" w14:textId="77777777" w:rsidR="00524AAC" w:rsidRDefault="00524AA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1263" w14:textId="55FE7F43" w:rsidR="00A45AED" w:rsidRDefault="00A45AED">
    <w:pPr>
      <w:pStyle w:val="Footer"/>
    </w:pPr>
    <w:r>
      <w:t>Version 7.1 9/6/2017</w:t>
    </w:r>
    <w:r>
      <w:ptab w:relativeTo="margin" w:alignment="right" w:leader="none"/>
    </w:r>
    <w:r>
      <w:fldChar w:fldCharType="begin"/>
    </w:r>
    <w:r>
      <w:instrText xml:space="preserve"> PAGE   \* MERGEFORMAT </w:instrText>
    </w:r>
    <w:r>
      <w:fldChar w:fldCharType="separate"/>
    </w:r>
    <w:r>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78D04" w14:textId="77777777" w:rsidR="00524AAC" w:rsidRDefault="00524AAC" w:rsidP="005C73CA">
      <w:pPr>
        <w:spacing w:after="0" w:line="240" w:lineRule="auto"/>
      </w:pPr>
      <w:r>
        <w:separator/>
      </w:r>
    </w:p>
  </w:footnote>
  <w:footnote w:type="continuationSeparator" w:id="0">
    <w:p w14:paraId="093DB47A" w14:textId="77777777" w:rsidR="00524AAC" w:rsidRDefault="00524AAC"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E60F8" w14:textId="77777777" w:rsidR="00A45AED" w:rsidRPr="00105D8B" w:rsidRDefault="00A45AE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5D710B"/>
    <w:multiLevelType w:val="hybridMultilevel"/>
    <w:tmpl w:val="3620B1AC"/>
    <w:lvl w:ilvl="0" w:tplc="A67C52A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EB7FFD"/>
    <w:multiLevelType w:val="hybridMultilevel"/>
    <w:tmpl w:val="22F2E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0022D7"/>
    <w:multiLevelType w:val="multilevel"/>
    <w:tmpl w:val="B0FC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2A2D92"/>
    <w:multiLevelType w:val="hybridMultilevel"/>
    <w:tmpl w:val="F8CC3CEE"/>
    <w:lvl w:ilvl="0" w:tplc="239EE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39466A"/>
    <w:multiLevelType w:val="hybridMultilevel"/>
    <w:tmpl w:val="EDCA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3"/>
  </w:num>
  <w:num w:numId="4">
    <w:abstractNumId w:val="6"/>
  </w:num>
  <w:num w:numId="5">
    <w:abstractNumId w:val="2"/>
  </w:num>
  <w:num w:numId="6">
    <w:abstractNumId w:val="1"/>
  </w:num>
  <w:num w:numId="7">
    <w:abstractNumId w:val="4"/>
  </w:num>
  <w:num w:numId="8">
    <w:abstractNumId w:val="22"/>
  </w:num>
  <w:num w:numId="9">
    <w:abstractNumId w:val="11"/>
  </w:num>
  <w:num w:numId="10">
    <w:abstractNumId w:val="30"/>
  </w:num>
  <w:num w:numId="11">
    <w:abstractNumId w:val="13"/>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9"/>
  </w:num>
  <w:num w:numId="18">
    <w:abstractNumId w:val="24"/>
  </w:num>
  <w:num w:numId="19">
    <w:abstractNumId w:val="23"/>
  </w:num>
  <w:num w:numId="20">
    <w:abstractNumId w:val="17"/>
  </w:num>
  <w:num w:numId="21">
    <w:abstractNumId w:val="21"/>
  </w:num>
  <w:num w:numId="22">
    <w:abstractNumId w:val="16"/>
  </w:num>
  <w:num w:numId="23">
    <w:abstractNumId w:val="7"/>
  </w:num>
  <w:num w:numId="24">
    <w:abstractNumId w:val="15"/>
  </w:num>
  <w:num w:numId="25">
    <w:abstractNumId w:val="14"/>
  </w:num>
  <w:num w:numId="26">
    <w:abstractNumId w:val="32"/>
  </w:num>
  <w:num w:numId="27">
    <w:abstractNumId w:val="0"/>
  </w:num>
  <w:num w:numId="28">
    <w:abstractNumId w:val="10"/>
  </w:num>
  <w:num w:numId="29">
    <w:abstractNumId w:val="18"/>
  </w:num>
  <w:num w:numId="30">
    <w:abstractNumId w:val="27"/>
  </w:num>
  <w:num w:numId="31">
    <w:abstractNumId w:val="31"/>
  </w:num>
  <w:num w:numId="32">
    <w:abstractNumId w:val="9"/>
  </w:num>
  <w:num w:numId="33">
    <w:abstractNumId w:val="2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2FCC"/>
    <w:rsid w:val="00003469"/>
    <w:rsid w:val="00005ABE"/>
    <w:rsid w:val="0001094F"/>
    <w:rsid w:val="00013D2E"/>
    <w:rsid w:val="00021170"/>
    <w:rsid w:val="0002128B"/>
    <w:rsid w:val="00024DFD"/>
    <w:rsid w:val="00027AB8"/>
    <w:rsid w:val="000309DD"/>
    <w:rsid w:val="00031414"/>
    <w:rsid w:val="000323A3"/>
    <w:rsid w:val="00033038"/>
    <w:rsid w:val="00033D63"/>
    <w:rsid w:val="0003436F"/>
    <w:rsid w:val="00037081"/>
    <w:rsid w:val="00037FBC"/>
    <w:rsid w:val="000414E8"/>
    <w:rsid w:val="0004462E"/>
    <w:rsid w:val="0004593A"/>
    <w:rsid w:val="00050A3E"/>
    <w:rsid w:val="00052A6F"/>
    <w:rsid w:val="00053F02"/>
    <w:rsid w:val="00053F2C"/>
    <w:rsid w:val="0005612B"/>
    <w:rsid w:val="00057171"/>
    <w:rsid w:val="000574AB"/>
    <w:rsid w:val="00057758"/>
    <w:rsid w:val="0006147A"/>
    <w:rsid w:val="0006152D"/>
    <w:rsid w:val="00061EB0"/>
    <w:rsid w:val="0006234F"/>
    <w:rsid w:val="000775F8"/>
    <w:rsid w:val="00080CF7"/>
    <w:rsid w:val="00084CD5"/>
    <w:rsid w:val="000851B2"/>
    <w:rsid w:val="00092566"/>
    <w:rsid w:val="000968F8"/>
    <w:rsid w:val="00097012"/>
    <w:rsid w:val="000A78F8"/>
    <w:rsid w:val="000B032A"/>
    <w:rsid w:val="000B0728"/>
    <w:rsid w:val="000B20AF"/>
    <w:rsid w:val="000B2DF7"/>
    <w:rsid w:val="000B3880"/>
    <w:rsid w:val="000B7D57"/>
    <w:rsid w:val="000C036D"/>
    <w:rsid w:val="000C0FF8"/>
    <w:rsid w:val="000C1BC4"/>
    <w:rsid w:val="000C3181"/>
    <w:rsid w:val="000D2722"/>
    <w:rsid w:val="000D5075"/>
    <w:rsid w:val="000D7948"/>
    <w:rsid w:val="000D7C84"/>
    <w:rsid w:val="000E4E13"/>
    <w:rsid w:val="000E78F6"/>
    <w:rsid w:val="000F034A"/>
    <w:rsid w:val="000F06B5"/>
    <w:rsid w:val="000F1B7A"/>
    <w:rsid w:val="000F39E9"/>
    <w:rsid w:val="00100887"/>
    <w:rsid w:val="00104B45"/>
    <w:rsid w:val="00105D8B"/>
    <w:rsid w:val="001131A8"/>
    <w:rsid w:val="0011342F"/>
    <w:rsid w:val="001202E9"/>
    <w:rsid w:val="00122EE8"/>
    <w:rsid w:val="0012454F"/>
    <w:rsid w:val="00125273"/>
    <w:rsid w:val="0012575E"/>
    <w:rsid w:val="00127C06"/>
    <w:rsid w:val="00131704"/>
    <w:rsid w:val="00145149"/>
    <w:rsid w:val="00145D4F"/>
    <w:rsid w:val="0014773C"/>
    <w:rsid w:val="00147BB6"/>
    <w:rsid w:val="001518EA"/>
    <w:rsid w:val="00152BA4"/>
    <w:rsid w:val="001619C8"/>
    <w:rsid w:val="00163387"/>
    <w:rsid w:val="00164918"/>
    <w:rsid w:val="001659F3"/>
    <w:rsid w:val="00167A7A"/>
    <w:rsid w:val="0017142F"/>
    <w:rsid w:val="00172A89"/>
    <w:rsid w:val="0017696D"/>
    <w:rsid w:val="00183E16"/>
    <w:rsid w:val="00184106"/>
    <w:rsid w:val="001848FC"/>
    <w:rsid w:val="0019372B"/>
    <w:rsid w:val="00193F21"/>
    <w:rsid w:val="001969C5"/>
    <w:rsid w:val="001A2CE7"/>
    <w:rsid w:val="001A6CDD"/>
    <w:rsid w:val="001A7223"/>
    <w:rsid w:val="001B769A"/>
    <w:rsid w:val="001C12EE"/>
    <w:rsid w:val="001C7B02"/>
    <w:rsid w:val="001E0817"/>
    <w:rsid w:val="001E4DD4"/>
    <w:rsid w:val="001E69DC"/>
    <w:rsid w:val="001F169D"/>
    <w:rsid w:val="001F1DA1"/>
    <w:rsid w:val="001F233D"/>
    <w:rsid w:val="001F6F93"/>
    <w:rsid w:val="001F7A20"/>
    <w:rsid w:val="00203D9E"/>
    <w:rsid w:val="0021054A"/>
    <w:rsid w:val="0021195A"/>
    <w:rsid w:val="00213383"/>
    <w:rsid w:val="002149D5"/>
    <w:rsid w:val="00220250"/>
    <w:rsid w:val="0022208C"/>
    <w:rsid w:val="00222444"/>
    <w:rsid w:val="0022245E"/>
    <w:rsid w:val="0022691B"/>
    <w:rsid w:val="00232163"/>
    <w:rsid w:val="002376F8"/>
    <w:rsid w:val="002408E4"/>
    <w:rsid w:val="00241591"/>
    <w:rsid w:val="00250B4F"/>
    <w:rsid w:val="00252C43"/>
    <w:rsid w:val="00256D17"/>
    <w:rsid w:val="0025762F"/>
    <w:rsid w:val="00262C9A"/>
    <w:rsid w:val="00272FC7"/>
    <w:rsid w:val="00275563"/>
    <w:rsid w:val="0028114D"/>
    <w:rsid w:val="00287649"/>
    <w:rsid w:val="00287E84"/>
    <w:rsid w:val="00290254"/>
    <w:rsid w:val="0029286C"/>
    <w:rsid w:val="0029300E"/>
    <w:rsid w:val="00296867"/>
    <w:rsid w:val="002A1B50"/>
    <w:rsid w:val="002B09EB"/>
    <w:rsid w:val="002B0C3A"/>
    <w:rsid w:val="002B2116"/>
    <w:rsid w:val="002B2D9B"/>
    <w:rsid w:val="002B5016"/>
    <w:rsid w:val="002B742C"/>
    <w:rsid w:val="002B748F"/>
    <w:rsid w:val="002B7F4D"/>
    <w:rsid w:val="002C285C"/>
    <w:rsid w:val="002C34BB"/>
    <w:rsid w:val="002C7BE4"/>
    <w:rsid w:val="002D3B54"/>
    <w:rsid w:val="002D417D"/>
    <w:rsid w:val="002D5E5D"/>
    <w:rsid w:val="002D7D79"/>
    <w:rsid w:val="002E78A0"/>
    <w:rsid w:val="002F1544"/>
    <w:rsid w:val="002F2687"/>
    <w:rsid w:val="002F48E1"/>
    <w:rsid w:val="002F4AC3"/>
    <w:rsid w:val="002F4F3B"/>
    <w:rsid w:val="002F68D4"/>
    <w:rsid w:val="003019B8"/>
    <w:rsid w:val="00303696"/>
    <w:rsid w:val="00304C86"/>
    <w:rsid w:val="003059EB"/>
    <w:rsid w:val="003116AC"/>
    <w:rsid w:val="00312228"/>
    <w:rsid w:val="0031553D"/>
    <w:rsid w:val="00315567"/>
    <w:rsid w:val="0032109E"/>
    <w:rsid w:val="00323F0D"/>
    <w:rsid w:val="00330144"/>
    <w:rsid w:val="003329DA"/>
    <w:rsid w:val="003342D4"/>
    <w:rsid w:val="00334329"/>
    <w:rsid w:val="00345CBA"/>
    <w:rsid w:val="00346245"/>
    <w:rsid w:val="0034788B"/>
    <w:rsid w:val="00352B37"/>
    <w:rsid w:val="00356267"/>
    <w:rsid w:val="00356BAD"/>
    <w:rsid w:val="003605B4"/>
    <w:rsid w:val="003627AC"/>
    <w:rsid w:val="00362F6B"/>
    <w:rsid w:val="00366914"/>
    <w:rsid w:val="00372FE3"/>
    <w:rsid w:val="003755CB"/>
    <w:rsid w:val="00383F85"/>
    <w:rsid w:val="00387BA1"/>
    <w:rsid w:val="00397E93"/>
    <w:rsid w:val="003A306C"/>
    <w:rsid w:val="003A66D3"/>
    <w:rsid w:val="003A7DE7"/>
    <w:rsid w:val="003B1006"/>
    <w:rsid w:val="003B22AB"/>
    <w:rsid w:val="003B3D7A"/>
    <w:rsid w:val="003B5D9B"/>
    <w:rsid w:val="003B614E"/>
    <w:rsid w:val="003C5F11"/>
    <w:rsid w:val="003D1AA4"/>
    <w:rsid w:val="003D294B"/>
    <w:rsid w:val="003D377A"/>
    <w:rsid w:val="003D6401"/>
    <w:rsid w:val="003D710D"/>
    <w:rsid w:val="003E1863"/>
    <w:rsid w:val="003F043A"/>
    <w:rsid w:val="00400F9F"/>
    <w:rsid w:val="00412E0E"/>
    <w:rsid w:val="0041606D"/>
    <w:rsid w:val="00416962"/>
    <w:rsid w:val="004206A8"/>
    <w:rsid w:val="0042425E"/>
    <w:rsid w:val="004348CC"/>
    <w:rsid w:val="00436C4B"/>
    <w:rsid w:val="0044340E"/>
    <w:rsid w:val="00450C58"/>
    <w:rsid w:val="00456FCE"/>
    <w:rsid w:val="00461989"/>
    <w:rsid w:val="00461C0D"/>
    <w:rsid w:val="004658FF"/>
    <w:rsid w:val="00467849"/>
    <w:rsid w:val="00474ED7"/>
    <w:rsid w:val="004756E1"/>
    <w:rsid w:val="004759D9"/>
    <w:rsid w:val="0048008A"/>
    <w:rsid w:val="004838E6"/>
    <w:rsid w:val="00483E94"/>
    <w:rsid w:val="00484120"/>
    <w:rsid w:val="004853A0"/>
    <w:rsid w:val="00495C93"/>
    <w:rsid w:val="00496B5F"/>
    <w:rsid w:val="00497D22"/>
    <w:rsid w:val="004A2A59"/>
    <w:rsid w:val="004A2E10"/>
    <w:rsid w:val="004A5037"/>
    <w:rsid w:val="004B17FF"/>
    <w:rsid w:val="004B1BA0"/>
    <w:rsid w:val="004B331E"/>
    <w:rsid w:val="004B4AB0"/>
    <w:rsid w:val="004B4AEE"/>
    <w:rsid w:val="004B5D16"/>
    <w:rsid w:val="004B6CEE"/>
    <w:rsid w:val="004C037B"/>
    <w:rsid w:val="004C16A4"/>
    <w:rsid w:val="004C2443"/>
    <w:rsid w:val="004C36B4"/>
    <w:rsid w:val="004C498F"/>
    <w:rsid w:val="004C5D29"/>
    <w:rsid w:val="004C681A"/>
    <w:rsid w:val="004D4D8A"/>
    <w:rsid w:val="004D5747"/>
    <w:rsid w:val="004F68EE"/>
    <w:rsid w:val="00500FCD"/>
    <w:rsid w:val="005010B0"/>
    <w:rsid w:val="005038D5"/>
    <w:rsid w:val="00505A42"/>
    <w:rsid w:val="00511BA4"/>
    <w:rsid w:val="005149E7"/>
    <w:rsid w:val="005232D6"/>
    <w:rsid w:val="00524AAC"/>
    <w:rsid w:val="0052543E"/>
    <w:rsid w:val="005333CC"/>
    <w:rsid w:val="005363F1"/>
    <w:rsid w:val="00537C1B"/>
    <w:rsid w:val="005429C5"/>
    <w:rsid w:val="005444DA"/>
    <w:rsid w:val="0055007C"/>
    <w:rsid w:val="00550093"/>
    <w:rsid w:val="00550141"/>
    <w:rsid w:val="0055035B"/>
    <w:rsid w:val="00554922"/>
    <w:rsid w:val="00555282"/>
    <w:rsid w:val="005560E7"/>
    <w:rsid w:val="005612CC"/>
    <w:rsid w:val="00561550"/>
    <w:rsid w:val="00563029"/>
    <w:rsid w:val="00565946"/>
    <w:rsid w:val="00567D12"/>
    <w:rsid w:val="00567D35"/>
    <w:rsid w:val="00576062"/>
    <w:rsid w:val="005860DF"/>
    <w:rsid w:val="00592E71"/>
    <w:rsid w:val="0059559F"/>
    <w:rsid w:val="005A3955"/>
    <w:rsid w:val="005A49FF"/>
    <w:rsid w:val="005A7634"/>
    <w:rsid w:val="005B6F04"/>
    <w:rsid w:val="005C0447"/>
    <w:rsid w:val="005C29F1"/>
    <w:rsid w:val="005C4960"/>
    <w:rsid w:val="005C551C"/>
    <w:rsid w:val="005C739F"/>
    <w:rsid w:val="005C73CA"/>
    <w:rsid w:val="005D1ADF"/>
    <w:rsid w:val="005D2CD0"/>
    <w:rsid w:val="005D334D"/>
    <w:rsid w:val="005D4768"/>
    <w:rsid w:val="005D4D53"/>
    <w:rsid w:val="005D610B"/>
    <w:rsid w:val="005E2CAB"/>
    <w:rsid w:val="005E429E"/>
    <w:rsid w:val="005E4442"/>
    <w:rsid w:val="005F4E0D"/>
    <w:rsid w:val="005F4E29"/>
    <w:rsid w:val="00601ED4"/>
    <w:rsid w:val="006030BC"/>
    <w:rsid w:val="00603C46"/>
    <w:rsid w:val="00612866"/>
    <w:rsid w:val="00613764"/>
    <w:rsid w:val="00616039"/>
    <w:rsid w:val="00616EB5"/>
    <w:rsid w:val="00621EF4"/>
    <w:rsid w:val="006225A5"/>
    <w:rsid w:val="006244D6"/>
    <w:rsid w:val="006269D4"/>
    <w:rsid w:val="006327D8"/>
    <w:rsid w:val="0063656A"/>
    <w:rsid w:val="0064070A"/>
    <w:rsid w:val="00642686"/>
    <w:rsid w:val="00643A01"/>
    <w:rsid w:val="00651D44"/>
    <w:rsid w:val="006529A3"/>
    <w:rsid w:val="00653435"/>
    <w:rsid w:val="0065413D"/>
    <w:rsid w:val="006574D2"/>
    <w:rsid w:val="00663563"/>
    <w:rsid w:val="006676D4"/>
    <w:rsid w:val="0067316E"/>
    <w:rsid w:val="00675535"/>
    <w:rsid w:val="00677E04"/>
    <w:rsid w:val="00681359"/>
    <w:rsid w:val="00681DDA"/>
    <w:rsid w:val="00685352"/>
    <w:rsid w:val="0069157C"/>
    <w:rsid w:val="00691A0A"/>
    <w:rsid w:val="00696262"/>
    <w:rsid w:val="006A2E2E"/>
    <w:rsid w:val="006A532B"/>
    <w:rsid w:val="006A7CD3"/>
    <w:rsid w:val="006C2B01"/>
    <w:rsid w:val="006C3A4F"/>
    <w:rsid w:val="006C4845"/>
    <w:rsid w:val="006D6BC1"/>
    <w:rsid w:val="006E2AB0"/>
    <w:rsid w:val="006E2BFC"/>
    <w:rsid w:val="006E30DF"/>
    <w:rsid w:val="006E3488"/>
    <w:rsid w:val="006E5C57"/>
    <w:rsid w:val="006F056A"/>
    <w:rsid w:val="006F22A5"/>
    <w:rsid w:val="0070191C"/>
    <w:rsid w:val="00702C73"/>
    <w:rsid w:val="00713394"/>
    <w:rsid w:val="00721E2A"/>
    <w:rsid w:val="00724677"/>
    <w:rsid w:val="00725AC2"/>
    <w:rsid w:val="00732880"/>
    <w:rsid w:val="007416B9"/>
    <w:rsid w:val="007422FD"/>
    <w:rsid w:val="00743E46"/>
    <w:rsid w:val="00746D66"/>
    <w:rsid w:val="00747C45"/>
    <w:rsid w:val="00747E08"/>
    <w:rsid w:val="00753024"/>
    <w:rsid w:val="0075475F"/>
    <w:rsid w:val="00756C7C"/>
    <w:rsid w:val="00756FDB"/>
    <w:rsid w:val="0076253A"/>
    <w:rsid w:val="007629B6"/>
    <w:rsid w:val="0076488C"/>
    <w:rsid w:val="007665BF"/>
    <w:rsid w:val="00771B2A"/>
    <w:rsid w:val="007757CE"/>
    <w:rsid w:val="00775800"/>
    <w:rsid w:val="0078383F"/>
    <w:rsid w:val="00783B76"/>
    <w:rsid w:val="0079180E"/>
    <w:rsid w:val="0079319F"/>
    <w:rsid w:val="007950CC"/>
    <w:rsid w:val="0079538B"/>
    <w:rsid w:val="007961B8"/>
    <w:rsid w:val="00797624"/>
    <w:rsid w:val="007A193E"/>
    <w:rsid w:val="007A2627"/>
    <w:rsid w:val="007A4828"/>
    <w:rsid w:val="007B093D"/>
    <w:rsid w:val="007B2069"/>
    <w:rsid w:val="007C04A1"/>
    <w:rsid w:val="007C1769"/>
    <w:rsid w:val="007C21FA"/>
    <w:rsid w:val="007C5F96"/>
    <w:rsid w:val="007D13B1"/>
    <w:rsid w:val="007D4351"/>
    <w:rsid w:val="007D7019"/>
    <w:rsid w:val="007E18DB"/>
    <w:rsid w:val="007E5C66"/>
    <w:rsid w:val="007E6F1C"/>
    <w:rsid w:val="00804C69"/>
    <w:rsid w:val="00806C00"/>
    <w:rsid w:val="0080711D"/>
    <w:rsid w:val="008155CD"/>
    <w:rsid w:val="00815C9C"/>
    <w:rsid w:val="008253DE"/>
    <w:rsid w:val="008274B9"/>
    <w:rsid w:val="00830911"/>
    <w:rsid w:val="00831632"/>
    <w:rsid w:val="00833325"/>
    <w:rsid w:val="0084002C"/>
    <w:rsid w:val="00840A41"/>
    <w:rsid w:val="00842F3C"/>
    <w:rsid w:val="00846F3E"/>
    <w:rsid w:val="00847A4E"/>
    <w:rsid w:val="008505D1"/>
    <w:rsid w:val="008538C2"/>
    <w:rsid w:val="00855158"/>
    <w:rsid w:val="00856D26"/>
    <w:rsid w:val="00857EE8"/>
    <w:rsid w:val="0086464B"/>
    <w:rsid w:val="008647FC"/>
    <w:rsid w:val="00864CA8"/>
    <w:rsid w:val="00865E2D"/>
    <w:rsid w:val="00867B27"/>
    <w:rsid w:val="00870E6C"/>
    <w:rsid w:val="008757BF"/>
    <w:rsid w:val="00875846"/>
    <w:rsid w:val="008811DB"/>
    <w:rsid w:val="00884486"/>
    <w:rsid w:val="008871A9"/>
    <w:rsid w:val="008916BA"/>
    <w:rsid w:val="00892176"/>
    <w:rsid w:val="008934D0"/>
    <w:rsid w:val="0089677D"/>
    <w:rsid w:val="008A1DB7"/>
    <w:rsid w:val="008A403A"/>
    <w:rsid w:val="008A4C13"/>
    <w:rsid w:val="008A5134"/>
    <w:rsid w:val="008A5E1F"/>
    <w:rsid w:val="008A7D88"/>
    <w:rsid w:val="008B3E67"/>
    <w:rsid w:val="008B604D"/>
    <w:rsid w:val="008B6818"/>
    <w:rsid w:val="008B6901"/>
    <w:rsid w:val="008C24CF"/>
    <w:rsid w:val="008C54A9"/>
    <w:rsid w:val="008E6235"/>
    <w:rsid w:val="008E67C3"/>
    <w:rsid w:val="008F211D"/>
    <w:rsid w:val="008F38ED"/>
    <w:rsid w:val="008F589F"/>
    <w:rsid w:val="008F76A9"/>
    <w:rsid w:val="008F7E67"/>
    <w:rsid w:val="00900DBF"/>
    <w:rsid w:val="0090407E"/>
    <w:rsid w:val="009048B9"/>
    <w:rsid w:val="00904E91"/>
    <w:rsid w:val="00905201"/>
    <w:rsid w:val="009138BE"/>
    <w:rsid w:val="00915886"/>
    <w:rsid w:val="00917F97"/>
    <w:rsid w:val="009214DC"/>
    <w:rsid w:val="00921DC1"/>
    <w:rsid w:val="00927027"/>
    <w:rsid w:val="009344BA"/>
    <w:rsid w:val="00935D60"/>
    <w:rsid w:val="00941F42"/>
    <w:rsid w:val="00946E61"/>
    <w:rsid w:val="00947F78"/>
    <w:rsid w:val="00953234"/>
    <w:rsid w:val="0095437C"/>
    <w:rsid w:val="00960166"/>
    <w:rsid w:val="00961EAF"/>
    <w:rsid w:val="0096278F"/>
    <w:rsid w:val="0096404A"/>
    <w:rsid w:val="009726E1"/>
    <w:rsid w:val="00972A04"/>
    <w:rsid w:val="00977591"/>
    <w:rsid w:val="00980E75"/>
    <w:rsid w:val="00994BE0"/>
    <w:rsid w:val="0099657F"/>
    <w:rsid w:val="009A25B1"/>
    <w:rsid w:val="009A4608"/>
    <w:rsid w:val="009A6A57"/>
    <w:rsid w:val="009A70BF"/>
    <w:rsid w:val="009B088B"/>
    <w:rsid w:val="009B1A15"/>
    <w:rsid w:val="009B3CC6"/>
    <w:rsid w:val="009C0852"/>
    <w:rsid w:val="009C13CA"/>
    <w:rsid w:val="009C1F07"/>
    <w:rsid w:val="009C32C6"/>
    <w:rsid w:val="009C5FF7"/>
    <w:rsid w:val="009C665F"/>
    <w:rsid w:val="009C7513"/>
    <w:rsid w:val="009D2E8B"/>
    <w:rsid w:val="009D3437"/>
    <w:rsid w:val="009D3882"/>
    <w:rsid w:val="009D7E38"/>
    <w:rsid w:val="009E095B"/>
    <w:rsid w:val="009E1674"/>
    <w:rsid w:val="009E1846"/>
    <w:rsid w:val="009E44F6"/>
    <w:rsid w:val="009E568A"/>
    <w:rsid w:val="009E78FF"/>
    <w:rsid w:val="009F22D5"/>
    <w:rsid w:val="009F698C"/>
    <w:rsid w:val="00A01494"/>
    <w:rsid w:val="00A03B0C"/>
    <w:rsid w:val="00A07D0C"/>
    <w:rsid w:val="00A1153C"/>
    <w:rsid w:val="00A16ED5"/>
    <w:rsid w:val="00A17792"/>
    <w:rsid w:val="00A22FA9"/>
    <w:rsid w:val="00A2388E"/>
    <w:rsid w:val="00A23A2D"/>
    <w:rsid w:val="00A25024"/>
    <w:rsid w:val="00A25C16"/>
    <w:rsid w:val="00A35F8F"/>
    <w:rsid w:val="00A36A56"/>
    <w:rsid w:val="00A41377"/>
    <w:rsid w:val="00A41841"/>
    <w:rsid w:val="00A4263D"/>
    <w:rsid w:val="00A45025"/>
    <w:rsid w:val="00A45AED"/>
    <w:rsid w:val="00A509B8"/>
    <w:rsid w:val="00A52AB9"/>
    <w:rsid w:val="00A56CF2"/>
    <w:rsid w:val="00A6210B"/>
    <w:rsid w:val="00A64EBF"/>
    <w:rsid w:val="00A65734"/>
    <w:rsid w:val="00A66DA3"/>
    <w:rsid w:val="00A70D73"/>
    <w:rsid w:val="00A71200"/>
    <w:rsid w:val="00A72D7E"/>
    <w:rsid w:val="00A7323A"/>
    <w:rsid w:val="00A831B4"/>
    <w:rsid w:val="00A949EB"/>
    <w:rsid w:val="00A97798"/>
    <w:rsid w:val="00AA16A5"/>
    <w:rsid w:val="00AA4B8D"/>
    <w:rsid w:val="00AA5213"/>
    <w:rsid w:val="00AA5795"/>
    <w:rsid w:val="00AA65A6"/>
    <w:rsid w:val="00AB4C80"/>
    <w:rsid w:val="00AB4E07"/>
    <w:rsid w:val="00AC1D8E"/>
    <w:rsid w:val="00AC48FA"/>
    <w:rsid w:val="00AC7EB8"/>
    <w:rsid w:val="00AD0240"/>
    <w:rsid w:val="00AD18FB"/>
    <w:rsid w:val="00AD4137"/>
    <w:rsid w:val="00AD70CF"/>
    <w:rsid w:val="00AE36E8"/>
    <w:rsid w:val="00AF2D68"/>
    <w:rsid w:val="00B037BA"/>
    <w:rsid w:val="00B05E20"/>
    <w:rsid w:val="00B073C2"/>
    <w:rsid w:val="00B15D38"/>
    <w:rsid w:val="00B20139"/>
    <w:rsid w:val="00B218DA"/>
    <w:rsid w:val="00B225EA"/>
    <w:rsid w:val="00B342FA"/>
    <w:rsid w:val="00B372D6"/>
    <w:rsid w:val="00B41202"/>
    <w:rsid w:val="00B439F6"/>
    <w:rsid w:val="00B53E8B"/>
    <w:rsid w:val="00B5776E"/>
    <w:rsid w:val="00B606ED"/>
    <w:rsid w:val="00B62326"/>
    <w:rsid w:val="00B7031C"/>
    <w:rsid w:val="00B72363"/>
    <w:rsid w:val="00B72C62"/>
    <w:rsid w:val="00B774D2"/>
    <w:rsid w:val="00B77C93"/>
    <w:rsid w:val="00B8015A"/>
    <w:rsid w:val="00B8253B"/>
    <w:rsid w:val="00B826CC"/>
    <w:rsid w:val="00B82A57"/>
    <w:rsid w:val="00B93F39"/>
    <w:rsid w:val="00BA053B"/>
    <w:rsid w:val="00BB1BD2"/>
    <w:rsid w:val="00BB3031"/>
    <w:rsid w:val="00BB35AE"/>
    <w:rsid w:val="00BC03A1"/>
    <w:rsid w:val="00BC0D25"/>
    <w:rsid w:val="00BC257E"/>
    <w:rsid w:val="00BD09AC"/>
    <w:rsid w:val="00BD2505"/>
    <w:rsid w:val="00BD4E9D"/>
    <w:rsid w:val="00BD628E"/>
    <w:rsid w:val="00BE231A"/>
    <w:rsid w:val="00BE592D"/>
    <w:rsid w:val="00BF52B0"/>
    <w:rsid w:val="00BF5697"/>
    <w:rsid w:val="00C0681A"/>
    <w:rsid w:val="00C10359"/>
    <w:rsid w:val="00C14C5E"/>
    <w:rsid w:val="00C14CCC"/>
    <w:rsid w:val="00C1695E"/>
    <w:rsid w:val="00C16E29"/>
    <w:rsid w:val="00C2017B"/>
    <w:rsid w:val="00C2231C"/>
    <w:rsid w:val="00C22A89"/>
    <w:rsid w:val="00C22C1C"/>
    <w:rsid w:val="00C231FE"/>
    <w:rsid w:val="00C25E39"/>
    <w:rsid w:val="00C3308D"/>
    <w:rsid w:val="00C33F2E"/>
    <w:rsid w:val="00C34936"/>
    <w:rsid w:val="00C34C14"/>
    <w:rsid w:val="00C355B9"/>
    <w:rsid w:val="00C367FA"/>
    <w:rsid w:val="00C37D1C"/>
    <w:rsid w:val="00C37EF1"/>
    <w:rsid w:val="00C401C4"/>
    <w:rsid w:val="00C41680"/>
    <w:rsid w:val="00C60A25"/>
    <w:rsid w:val="00C6673C"/>
    <w:rsid w:val="00C70BE3"/>
    <w:rsid w:val="00C751AD"/>
    <w:rsid w:val="00C76141"/>
    <w:rsid w:val="00C765C5"/>
    <w:rsid w:val="00C76859"/>
    <w:rsid w:val="00C775CE"/>
    <w:rsid w:val="00C82479"/>
    <w:rsid w:val="00C867F0"/>
    <w:rsid w:val="00CA06D8"/>
    <w:rsid w:val="00CA2648"/>
    <w:rsid w:val="00CA345A"/>
    <w:rsid w:val="00CB49FF"/>
    <w:rsid w:val="00CB7C67"/>
    <w:rsid w:val="00CC02CF"/>
    <w:rsid w:val="00CC086A"/>
    <w:rsid w:val="00CD0E24"/>
    <w:rsid w:val="00CD0F66"/>
    <w:rsid w:val="00CD34C8"/>
    <w:rsid w:val="00CD364B"/>
    <w:rsid w:val="00CD7D2F"/>
    <w:rsid w:val="00CE17C4"/>
    <w:rsid w:val="00CE23B8"/>
    <w:rsid w:val="00CE284E"/>
    <w:rsid w:val="00CE50D7"/>
    <w:rsid w:val="00CF4CBE"/>
    <w:rsid w:val="00CF5EF3"/>
    <w:rsid w:val="00D00344"/>
    <w:rsid w:val="00D1754D"/>
    <w:rsid w:val="00D2223F"/>
    <w:rsid w:val="00D25505"/>
    <w:rsid w:val="00D2597A"/>
    <w:rsid w:val="00D274A4"/>
    <w:rsid w:val="00D277AF"/>
    <w:rsid w:val="00D31163"/>
    <w:rsid w:val="00D3148C"/>
    <w:rsid w:val="00D320B1"/>
    <w:rsid w:val="00D33AFD"/>
    <w:rsid w:val="00D36489"/>
    <w:rsid w:val="00D369E9"/>
    <w:rsid w:val="00D41E21"/>
    <w:rsid w:val="00D42195"/>
    <w:rsid w:val="00D42FAE"/>
    <w:rsid w:val="00D46E90"/>
    <w:rsid w:val="00D50704"/>
    <w:rsid w:val="00D5760A"/>
    <w:rsid w:val="00D61410"/>
    <w:rsid w:val="00D63859"/>
    <w:rsid w:val="00D7500A"/>
    <w:rsid w:val="00D8181D"/>
    <w:rsid w:val="00D83573"/>
    <w:rsid w:val="00D84CC5"/>
    <w:rsid w:val="00D862AA"/>
    <w:rsid w:val="00D968D8"/>
    <w:rsid w:val="00DA4704"/>
    <w:rsid w:val="00DA4B3A"/>
    <w:rsid w:val="00DA563D"/>
    <w:rsid w:val="00DA7277"/>
    <w:rsid w:val="00DB3627"/>
    <w:rsid w:val="00DB4724"/>
    <w:rsid w:val="00DB4C92"/>
    <w:rsid w:val="00DB6944"/>
    <w:rsid w:val="00DC4746"/>
    <w:rsid w:val="00DC54EB"/>
    <w:rsid w:val="00DC79DB"/>
    <w:rsid w:val="00DD2D9B"/>
    <w:rsid w:val="00DD671E"/>
    <w:rsid w:val="00DE4395"/>
    <w:rsid w:val="00DE7149"/>
    <w:rsid w:val="00DF120B"/>
    <w:rsid w:val="00E004B8"/>
    <w:rsid w:val="00E0314C"/>
    <w:rsid w:val="00E10EAD"/>
    <w:rsid w:val="00E1508F"/>
    <w:rsid w:val="00E22B21"/>
    <w:rsid w:val="00E23C3C"/>
    <w:rsid w:val="00E261DF"/>
    <w:rsid w:val="00E26AD0"/>
    <w:rsid w:val="00E27240"/>
    <w:rsid w:val="00E27EDD"/>
    <w:rsid w:val="00E30584"/>
    <w:rsid w:val="00E310B9"/>
    <w:rsid w:val="00E37E1B"/>
    <w:rsid w:val="00E41872"/>
    <w:rsid w:val="00E45684"/>
    <w:rsid w:val="00E54C3A"/>
    <w:rsid w:val="00E553CB"/>
    <w:rsid w:val="00E562C0"/>
    <w:rsid w:val="00E57D96"/>
    <w:rsid w:val="00E57FAF"/>
    <w:rsid w:val="00E6147D"/>
    <w:rsid w:val="00E64F02"/>
    <w:rsid w:val="00E672D6"/>
    <w:rsid w:val="00E70916"/>
    <w:rsid w:val="00E74A81"/>
    <w:rsid w:val="00E76024"/>
    <w:rsid w:val="00E76762"/>
    <w:rsid w:val="00E76FEB"/>
    <w:rsid w:val="00E82C47"/>
    <w:rsid w:val="00E82E25"/>
    <w:rsid w:val="00E856A2"/>
    <w:rsid w:val="00E91DE9"/>
    <w:rsid w:val="00E92000"/>
    <w:rsid w:val="00E94B89"/>
    <w:rsid w:val="00E967AD"/>
    <w:rsid w:val="00E96884"/>
    <w:rsid w:val="00E97DD5"/>
    <w:rsid w:val="00EA5435"/>
    <w:rsid w:val="00EA5F47"/>
    <w:rsid w:val="00EB349B"/>
    <w:rsid w:val="00EB455E"/>
    <w:rsid w:val="00EB52DE"/>
    <w:rsid w:val="00EC060A"/>
    <w:rsid w:val="00EC75B7"/>
    <w:rsid w:val="00EC79DE"/>
    <w:rsid w:val="00ED4ACE"/>
    <w:rsid w:val="00EE2DB3"/>
    <w:rsid w:val="00EE4D35"/>
    <w:rsid w:val="00EF1BE4"/>
    <w:rsid w:val="00EF2DA7"/>
    <w:rsid w:val="00EF4186"/>
    <w:rsid w:val="00F1412B"/>
    <w:rsid w:val="00F15BFA"/>
    <w:rsid w:val="00F15CCF"/>
    <w:rsid w:val="00F16534"/>
    <w:rsid w:val="00F34FAB"/>
    <w:rsid w:val="00F435AA"/>
    <w:rsid w:val="00F440D7"/>
    <w:rsid w:val="00F5738A"/>
    <w:rsid w:val="00F612D4"/>
    <w:rsid w:val="00F678D6"/>
    <w:rsid w:val="00F7389E"/>
    <w:rsid w:val="00F77F1D"/>
    <w:rsid w:val="00F83E16"/>
    <w:rsid w:val="00F87CCB"/>
    <w:rsid w:val="00F94450"/>
    <w:rsid w:val="00F953B9"/>
    <w:rsid w:val="00F964A5"/>
    <w:rsid w:val="00FA258C"/>
    <w:rsid w:val="00FA38B1"/>
    <w:rsid w:val="00FA48C7"/>
    <w:rsid w:val="00FA4C63"/>
    <w:rsid w:val="00FA5091"/>
    <w:rsid w:val="00FA51CE"/>
    <w:rsid w:val="00FB2943"/>
    <w:rsid w:val="00FB51FB"/>
    <w:rsid w:val="00FB73C1"/>
    <w:rsid w:val="00FD2B5C"/>
    <w:rsid w:val="00FD610C"/>
    <w:rsid w:val="00FD63B4"/>
    <w:rsid w:val="00FE0D77"/>
    <w:rsid w:val="00FE320F"/>
    <w:rsid w:val="00FE323E"/>
    <w:rsid w:val="00FE3451"/>
    <w:rsid w:val="00FF4A4E"/>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404A10"/>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98332">
      <w:bodyDiv w:val="1"/>
      <w:marLeft w:val="0"/>
      <w:marRight w:val="0"/>
      <w:marTop w:val="0"/>
      <w:marBottom w:val="0"/>
      <w:divBdr>
        <w:top w:val="none" w:sz="0" w:space="0" w:color="auto"/>
        <w:left w:val="none" w:sz="0" w:space="0" w:color="auto"/>
        <w:bottom w:val="none" w:sz="0" w:space="0" w:color="auto"/>
        <w:right w:val="none" w:sz="0" w:space="0" w:color="auto"/>
      </w:divBdr>
    </w:div>
    <w:div w:id="276064299">
      <w:bodyDiv w:val="1"/>
      <w:marLeft w:val="0"/>
      <w:marRight w:val="0"/>
      <w:marTop w:val="0"/>
      <w:marBottom w:val="0"/>
      <w:divBdr>
        <w:top w:val="none" w:sz="0" w:space="0" w:color="auto"/>
        <w:left w:val="none" w:sz="0" w:space="0" w:color="auto"/>
        <w:bottom w:val="none" w:sz="0" w:space="0" w:color="auto"/>
        <w:right w:val="none" w:sz="0" w:space="0" w:color="auto"/>
      </w:divBdr>
    </w:div>
    <w:div w:id="289211653">
      <w:bodyDiv w:val="1"/>
      <w:marLeft w:val="0"/>
      <w:marRight w:val="0"/>
      <w:marTop w:val="0"/>
      <w:marBottom w:val="0"/>
      <w:divBdr>
        <w:top w:val="none" w:sz="0" w:space="0" w:color="auto"/>
        <w:left w:val="none" w:sz="0" w:space="0" w:color="auto"/>
        <w:bottom w:val="none" w:sz="0" w:space="0" w:color="auto"/>
        <w:right w:val="none" w:sz="0" w:space="0" w:color="auto"/>
      </w:divBdr>
    </w:div>
    <w:div w:id="41990991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80959673">
      <w:bodyDiv w:val="1"/>
      <w:marLeft w:val="0"/>
      <w:marRight w:val="0"/>
      <w:marTop w:val="0"/>
      <w:marBottom w:val="0"/>
      <w:divBdr>
        <w:top w:val="none" w:sz="0" w:space="0" w:color="auto"/>
        <w:left w:val="none" w:sz="0" w:space="0" w:color="auto"/>
        <w:bottom w:val="none" w:sz="0" w:space="0" w:color="auto"/>
        <w:right w:val="none" w:sz="0" w:space="0" w:color="auto"/>
      </w:divBdr>
    </w:div>
    <w:div w:id="89516332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67058054">
      <w:bodyDiv w:val="1"/>
      <w:marLeft w:val="0"/>
      <w:marRight w:val="0"/>
      <w:marTop w:val="0"/>
      <w:marBottom w:val="0"/>
      <w:divBdr>
        <w:top w:val="none" w:sz="0" w:space="0" w:color="auto"/>
        <w:left w:val="none" w:sz="0" w:space="0" w:color="auto"/>
        <w:bottom w:val="none" w:sz="0" w:space="0" w:color="auto"/>
        <w:right w:val="none" w:sz="0" w:space="0" w:color="auto"/>
      </w:divBdr>
    </w:div>
    <w:div w:id="195509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0151B3A7C290473FA22D48B3E63695CF"/>
        <w:category>
          <w:name w:val="General"/>
          <w:gallery w:val="placeholder"/>
        </w:category>
        <w:types>
          <w:type w:val="bbPlcHdr"/>
        </w:types>
        <w:behaviors>
          <w:behavior w:val="content"/>
        </w:behaviors>
        <w:guid w:val="{6DB7C2D0-3633-4C2F-A24C-C485E0AF1693}"/>
      </w:docPartPr>
      <w:docPartBody>
        <w:p w:rsidR="009722E3" w:rsidRDefault="009722E3" w:rsidP="009722E3">
          <w:pPr>
            <w:pStyle w:val="0151B3A7C290473FA22D48B3E63695CF"/>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31009"/>
    <w:rsid w:val="00062F8F"/>
    <w:rsid w:val="00086BA3"/>
    <w:rsid w:val="000E1A3F"/>
    <w:rsid w:val="00127222"/>
    <w:rsid w:val="001736D7"/>
    <w:rsid w:val="001833B6"/>
    <w:rsid w:val="00190AF4"/>
    <w:rsid w:val="001A1BFA"/>
    <w:rsid w:val="001C4099"/>
    <w:rsid w:val="002209C6"/>
    <w:rsid w:val="00223FA3"/>
    <w:rsid w:val="00273A13"/>
    <w:rsid w:val="002A288F"/>
    <w:rsid w:val="002C65A7"/>
    <w:rsid w:val="002F052A"/>
    <w:rsid w:val="00344166"/>
    <w:rsid w:val="00350176"/>
    <w:rsid w:val="003840F0"/>
    <w:rsid w:val="00395CB9"/>
    <w:rsid w:val="00404E20"/>
    <w:rsid w:val="00437537"/>
    <w:rsid w:val="00455E4A"/>
    <w:rsid w:val="004D785E"/>
    <w:rsid w:val="004F33F6"/>
    <w:rsid w:val="005130FD"/>
    <w:rsid w:val="00513A0B"/>
    <w:rsid w:val="00513FC9"/>
    <w:rsid w:val="0053654E"/>
    <w:rsid w:val="00546CDB"/>
    <w:rsid w:val="00610196"/>
    <w:rsid w:val="006101BF"/>
    <w:rsid w:val="0062568E"/>
    <w:rsid w:val="00632A7E"/>
    <w:rsid w:val="00632AB6"/>
    <w:rsid w:val="00691E91"/>
    <w:rsid w:val="006C02CD"/>
    <w:rsid w:val="00730B33"/>
    <w:rsid w:val="00772B2A"/>
    <w:rsid w:val="007761BB"/>
    <w:rsid w:val="007C672A"/>
    <w:rsid w:val="007D4368"/>
    <w:rsid w:val="00822666"/>
    <w:rsid w:val="00823ECC"/>
    <w:rsid w:val="00826796"/>
    <w:rsid w:val="00854C99"/>
    <w:rsid w:val="00866C97"/>
    <w:rsid w:val="008F35E7"/>
    <w:rsid w:val="009017AE"/>
    <w:rsid w:val="009278EB"/>
    <w:rsid w:val="009722E3"/>
    <w:rsid w:val="009C542D"/>
    <w:rsid w:val="00A01A18"/>
    <w:rsid w:val="00A95183"/>
    <w:rsid w:val="00AA3429"/>
    <w:rsid w:val="00AB27BB"/>
    <w:rsid w:val="00AB4AF7"/>
    <w:rsid w:val="00AD7C4F"/>
    <w:rsid w:val="00B35604"/>
    <w:rsid w:val="00B445F5"/>
    <w:rsid w:val="00B82D72"/>
    <w:rsid w:val="00B87F8F"/>
    <w:rsid w:val="00BD40CB"/>
    <w:rsid w:val="00BE0386"/>
    <w:rsid w:val="00C063CC"/>
    <w:rsid w:val="00C362A2"/>
    <w:rsid w:val="00C90121"/>
    <w:rsid w:val="00C96E73"/>
    <w:rsid w:val="00CA1FE8"/>
    <w:rsid w:val="00CA344F"/>
    <w:rsid w:val="00CA502F"/>
    <w:rsid w:val="00CA660C"/>
    <w:rsid w:val="00CF210C"/>
    <w:rsid w:val="00D021D9"/>
    <w:rsid w:val="00D1676E"/>
    <w:rsid w:val="00D173BC"/>
    <w:rsid w:val="00D55DDC"/>
    <w:rsid w:val="00D9129D"/>
    <w:rsid w:val="00DC0246"/>
    <w:rsid w:val="00E6518A"/>
    <w:rsid w:val="00E962A6"/>
    <w:rsid w:val="00EA2915"/>
    <w:rsid w:val="00F04734"/>
    <w:rsid w:val="00F10225"/>
    <w:rsid w:val="00F32707"/>
    <w:rsid w:val="00F43EC4"/>
    <w:rsid w:val="00F540AB"/>
    <w:rsid w:val="00F915BA"/>
    <w:rsid w:val="00F91721"/>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22E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0151B3A7C290473FA22D48B3E63695CF">
    <w:name w:val="0151B3A7C290473FA22D48B3E63695CF"/>
    <w:rsid w:val="009722E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0F85BF2C-8905-4059-8CAE-4363384BB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8291</Words>
  <Characters>47262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Eduardo Segovia Jr.</cp:lastModifiedBy>
  <cp:revision>7</cp:revision>
  <dcterms:created xsi:type="dcterms:W3CDTF">2018-08-16T18:29:00Z</dcterms:created>
  <dcterms:modified xsi:type="dcterms:W3CDTF">2018-08-16T18:46:00Z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