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A0A82">
            <w:rPr>
              <w:rStyle w:val="Style1"/>
            </w:rPr>
            <w:t>0289</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0A0A82">
            <w:rPr>
              <w:rStyle w:val="Style1"/>
            </w:rPr>
            <w:t>Median Time to ECG</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1-31T00:00:00Z">
            <w:dateFormat w:val="M/d/yyyy"/>
            <w:lid w:val="en-US"/>
            <w:storeMappedDataAs w:val="dateTime"/>
            <w:calendar w:val="gregorian"/>
          </w:date>
        </w:sdtPr>
        <w:sdtEndPr>
          <w:rPr>
            <w:rStyle w:val="DefaultParagraphFont"/>
            <w:noProof/>
            <w:color w:val="auto"/>
            <w:u w:val="none"/>
          </w:rPr>
        </w:sdtEndPr>
        <w:sdtContent>
          <w:r w:rsidR="000A0A82">
            <w:rPr>
              <w:rStyle w:val="Style2"/>
            </w:rPr>
            <w:t>1/31/2014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430C7D"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430C7D"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430C7D"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430C7D"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9414C2">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9414C2">
            <w:rPr>
              <w:rStyle w:val="Style2"/>
              <w:rFonts w:cstheme="minorHAnsi"/>
            </w:rPr>
            <w:t>Median Time to ECG</w:t>
          </w:r>
        </w:sdtContent>
      </w:sdt>
    </w:p>
    <w:p w:rsidR="00496AF8" w:rsidRPr="003B1CC5" w:rsidRDefault="00430C7D"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430C7D" w:rsidP="00015986">
      <w:pPr>
        <w:ind w:left="432" w:hanging="432"/>
        <w:rPr>
          <w:bCs/>
        </w:rPr>
      </w:pPr>
      <w:sdt>
        <w:sdtPr>
          <w:rPr>
            <w:bCs/>
            <w:color w:val="0000FF"/>
          </w:rPr>
          <w:id w:val="1719405626"/>
          <w14:checkbox>
            <w14:checked w14:val="1"/>
            <w14:checkedState w14:val="2612" w14:font="MS Gothic"/>
            <w14:uncheckedState w14:val="2610" w14:font="MS Gothic"/>
          </w14:checkbox>
        </w:sdtPr>
        <w:sdtEndPr/>
        <w:sdtContent>
          <w:r w:rsidR="009A3109">
            <w:rPr>
              <w:rFonts w:ascii="MS Gothic" w:eastAsia="MS Gothic" w:hAnsi="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dtPr>
        <w:sdtEndPr>
          <w:rPr>
            <w:rStyle w:val="DefaultParagraphFont"/>
            <w:rFonts w:cstheme="minorBidi"/>
            <w:bCs/>
            <w:color w:val="auto"/>
            <w:u w:val="none"/>
          </w:rPr>
        </w:sdtEndPr>
        <w:sdtContent>
          <w:r w:rsidR="009A3109">
            <w:rPr>
              <w:rStyle w:val="Style2"/>
              <w:rFonts w:cstheme="minorHAnsi"/>
            </w:rPr>
            <w:t>Efficiency</w:t>
          </w:r>
        </w:sdtContent>
      </w:sdt>
    </w:p>
    <w:p w:rsidR="00496AF8" w:rsidRPr="00513ABF" w:rsidRDefault="007D4235" w:rsidP="002E2177">
      <w:pPr>
        <w:ind w:left="0" w:firstLine="0"/>
        <w:rPr>
          <w:bCs/>
          <w:color w:val="FF0000"/>
        </w:rPr>
      </w:pPr>
      <w:r w:rsidRPr="00513ABF">
        <w:rPr>
          <w:bCs/>
          <w:color w:val="FF0000"/>
        </w:rPr>
        <w:t xml:space="preserve">The guideline referenced in this document supports the performance of an ECG within a specified timeframe of 10 minutes. This measure </w:t>
      </w:r>
      <w:r w:rsidR="00513ABF" w:rsidRPr="00513ABF">
        <w:rPr>
          <w:bCs/>
          <w:color w:val="FF0000"/>
        </w:rPr>
        <w:t>calcul</w:t>
      </w:r>
      <w:r w:rsidRPr="00513ABF">
        <w:rPr>
          <w:bCs/>
          <w:color w:val="FF0000"/>
        </w:rPr>
        <w:t>ates the median time to the performance of an ECG</w:t>
      </w:r>
      <w:r w:rsidR="00513ABF" w:rsidRPr="00513ABF">
        <w:rPr>
          <w:bCs/>
          <w:color w:val="FF0000"/>
        </w:rPr>
        <w:t xml:space="preserve"> and is considered an “efficiency” measure and may not be evaluated in the same way as a clinical quality measure. </w:t>
      </w:r>
      <w:r w:rsidR="00F14027">
        <w:rPr>
          <w:bCs/>
          <w:color w:val="FF0000"/>
        </w:rPr>
        <w:t xml:space="preserve">Improving ED door to ECG time in STEMI is critical, especially if reperfusion is to be initiated quickly. </w:t>
      </w: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630FFE" w:rsidRDefault="00630FFE" w:rsidP="002E2177">
      <w:pPr>
        <w:ind w:left="0" w:firstLine="0"/>
        <w:rPr>
          <w:i/>
          <w:iCs/>
        </w:rPr>
      </w:pPr>
    </w:p>
    <w:p w:rsidR="00630FFE" w:rsidRPr="00F14027" w:rsidRDefault="00630FFE" w:rsidP="002E2177">
      <w:pPr>
        <w:ind w:left="0" w:firstLine="0"/>
        <w:rPr>
          <w:b/>
          <w:i/>
          <w:iCs/>
          <w:color w:val="FF0000"/>
        </w:rPr>
      </w:pPr>
      <w:r w:rsidRPr="00F14027">
        <w:rPr>
          <w:b/>
          <w:i/>
          <w:iCs/>
          <w:color w:val="FF0000"/>
        </w:rPr>
        <w:t>Decreased time to ECG→ Rapid identification of ST segment elevation→ Reperfusion, if indicated</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430C7D"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9A3109">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430C7D"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430C7D"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430C7D"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896527" w:rsidRPr="00F14027" w:rsidRDefault="00896527" w:rsidP="00896527">
      <w:pPr>
        <w:ind w:left="0" w:firstLine="0"/>
        <w:rPr>
          <w:rFonts w:eastAsia="Times New Roman" w:cs="Arial"/>
          <w:bCs/>
        </w:rPr>
      </w:pPr>
      <w:r w:rsidRPr="00F14027">
        <w:rPr>
          <w:rFonts w:eastAsia="Times New Roman" w:cs="Arial"/>
          <w:bCs/>
        </w:rPr>
        <w:t xml:space="preserve">Antman EM, </w:t>
      </w:r>
      <w:proofErr w:type="spellStart"/>
      <w:r w:rsidRPr="00F14027">
        <w:rPr>
          <w:rFonts w:eastAsia="Times New Roman" w:cs="Arial"/>
          <w:bCs/>
        </w:rPr>
        <w:t>Anbe</w:t>
      </w:r>
      <w:proofErr w:type="spellEnd"/>
      <w:r w:rsidRPr="00F14027">
        <w:rPr>
          <w:rFonts w:eastAsia="Times New Roman" w:cs="Arial"/>
          <w:bCs/>
        </w:rPr>
        <w:t xml:space="preserve"> DT, Armstrong PW, Bates ER, Green LA, Hand M, </w:t>
      </w:r>
      <w:proofErr w:type="spellStart"/>
      <w:r w:rsidRPr="00F14027">
        <w:rPr>
          <w:rFonts w:eastAsia="Times New Roman" w:cs="Arial"/>
          <w:bCs/>
        </w:rPr>
        <w:t>Hochman</w:t>
      </w:r>
      <w:proofErr w:type="spellEnd"/>
      <w:r w:rsidRPr="00F14027">
        <w:rPr>
          <w:rFonts w:eastAsia="Times New Roman" w:cs="Arial"/>
          <w:bCs/>
        </w:rPr>
        <w:t xml:space="preserve"> JS, </w:t>
      </w:r>
      <w:proofErr w:type="spellStart"/>
      <w:r w:rsidRPr="00F14027">
        <w:rPr>
          <w:rFonts w:eastAsia="Times New Roman" w:cs="Arial"/>
          <w:bCs/>
        </w:rPr>
        <w:t>Krumholz</w:t>
      </w:r>
      <w:proofErr w:type="spellEnd"/>
      <w:r w:rsidRPr="00F14027">
        <w:rPr>
          <w:rFonts w:eastAsia="Times New Roman" w:cs="Arial"/>
          <w:bCs/>
        </w:rPr>
        <w:t xml:space="preserve"> HM, Kushner FG, Lamas GA, </w:t>
      </w:r>
      <w:proofErr w:type="spellStart"/>
      <w:r w:rsidRPr="00F14027">
        <w:rPr>
          <w:rFonts w:eastAsia="Times New Roman" w:cs="Arial"/>
          <w:bCs/>
        </w:rPr>
        <w:t>Mullany</w:t>
      </w:r>
      <w:proofErr w:type="spellEnd"/>
      <w:r w:rsidRPr="00F14027">
        <w:rPr>
          <w:rFonts w:eastAsia="Times New Roman" w:cs="Arial"/>
          <w:bCs/>
        </w:rPr>
        <w:t xml:space="preserve"> CJ, </w:t>
      </w:r>
      <w:proofErr w:type="spellStart"/>
      <w:r w:rsidRPr="00F14027">
        <w:rPr>
          <w:rFonts w:eastAsia="Times New Roman" w:cs="Arial"/>
          <w:bCs/>
        </w:rPr>
        <w:t>Ornato</w:t>
      </w:r>
      <w:proofErr w:type="spellEnd"/>
      <w:r w:rsidRPr="00F14027">
        <w:rPr>
          <w:rFonts w:eastAsia="Times New Roman" w:cs="Arial"/>
          <w:bCs/>
        </w:rPr>
        <w:t xml:space="preserve"> JP, Pearle DL, Sloan MA, Smith SC Jr.  ACC/AHA guidelines for the </w:t>
      </w:r>
      <w:r w:rsidRPr="00F14027">
        <w:rPr>
          <w:rFonts w:eastAsia="Times New Roman" w:cs="Arial"/>
          <w:bCs/>
        </w:rPr>
        <w:lastRenderedPageBreak/>
        <w:t xml:space="preserve">management of patients with ST-elevation myocardial infarction: a report of the American College of Cardiology/American Heart Association Task Force on Practice Guidelines (Committee to Revise the 1999 Guidelines for the Management of Patients With Acute Myocardial Infarction). 2004. </w:t>
      </w:r>
    </w:p>
    <w:p w:rsidR="006F4B7F" w:rsidRPr="003B1CC5" w:rsidRDefault="006F4B7F" w:rsidP="002E2177">
      <w:pPr>
        <w:ind w:left="0" w:firstLine="0"/>
        <w:rPr>
          <w:color w:val="0000FF"/>
        </w:rPr>
      </w:pPr>
    </w:p>
    <w:p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9A3109" w:rsidRPr="003B1CC5" w:rsidRDefault="009A3109" w:rsidP="002E2177">
      <w:pPr>
        <w:ind w:left="0" w:firstLine="0"/>
      </w:pPr>
    </w:p>
    <w:p w:rsidR="009A3109" w:rsidRPr="009A3109" w:rsidRDefault="009A3109" w:rsidP="009A3109">
      <w:pPr>
        <w:ind w:left="0" w:firstLine="0"/>
        <w:rPr>
          <w:rFonts w:ascii="Arial Narrow" w:eastAsia="Times New Roman" w:hAnsi="Arial Narrow" w:cs="Arial"/>
          <w:bCs/>
        </w:rPr>
      </w:pPr>
      <w:r w:rsidRPr="009A3109">
        <w:rPr>
          <w:rFonts w:ascii="Arial Narrow" w:eastAsia="Times New Roman" w:hAnsi="Arial Narrow" w:cs="Arial"/>
          <w:bCs/>
          <w:color w:val="0000FF"/>
        </w:rPr>
        <w:t xml:space="preserve">Page 595 </w:t>
      </w:r>
    </w:p>
    <w:p w:rsidR="00940FB3" w:rsidRPr="00F14027" w:rsidRDefault="00940FB3" w:rsidP="00940FB3">
      <w:pPr>
        <w:autoSpaceDE w:val="0"/>
        <w:autoSpaceDN w:val="0"/>
        <w:adjustRightInd w:val="0"/>
        <w:ind w:left="0" w:firstLine="0"/>
        <w:rPr>
          <w:rFonts w:cs="Times-BoldItalic"/>
          <w:bCs/>
          <w:i/>
          <w:iCs/>
        </w:rPr>
      </w:pPr>
      <w:r w:rsidRPr="00F14027">
        <w:rPr>
          <w:rFonts w:cs="Times-BoldItalic"/>
          <w:bCs/>
          <w:i/>
          <w:iCs/>
        </w:rPr>
        <w:t>Class I</w:t>
      </w:r>
    </w:p>
    <w:p w:rsidR="00940FB3" w:rsidRPr="00F14027" w:rsidRDefault="00940FB3" w:rsidP="00F14027">
      <w:pPr>
        <w:autoSpaceDE w:val="0"/>
        <w:autoSpaceDN w:val="0"/>
        <w:adjustRightInd w:val="0"/>
        <w:ind w:left="0" w:firstLine="0"/>
      </w:pPr>
      <w:r w:rsidRPr="00F14027">
        <w:rPr>
          <w:rFonts w:cs="Times-Bold"/>
          <w:bCs/>
        </w:rPr>
        <w:t>1. A 12-lead ECG should be performed and shown to an experienced emergency physician within 10 minutes of</w:t>
      </w:r>
      <w:r w:rsidR="00F14027" w:rsidRPr="00F14027">
        <w:rPr>
          <w:rFonts w:cs="Times-Bold"/>
          <w:bCs/>
        </w:rPr>
        <w:t xml:space="preserve"> </w:t>
      </w:r>
      <w:r w:rsidRPr="00F14027">
        <w:rPr>
          <w:rFonts w:cs="Times-Bold"/>
          <w:bCs/>
        </w:rPr>
        <w:t xml:space="preserve">ED arrival for all patients with chest discomfort (or </w:t>
      </w:r>
      <w:proofErr w:type="spellStart"/>
      <w:r w:rsidRPr="00F14027">
        <w:rPr>
          <w:rFonts w:cs="Times-Bold"/>
          <w:bCs/>
        </w:rPr>
        <w:t>anginal</w:t>
      </w:r>
      <w:proofErr w:type="spellEnd"/>
      <w:r w:rsidRPr="00F14027">
        <w:rPr>
          <w:rFonts w:cs="Times-Bold"/>
          <w:bCs/>
        </w:rPr>
        <w:t xml:space="preserve"> equivalent) or other symptoms suggestive of</w:t>
      </w:r>
      <w:r w:rsidR="00F14027" w:rsidRPr="00F14027">
        <w:rPr>
          <w:rFonts w:cs="Times-Bold"/>
          <w:bCs/>
        </w:rPr>
        <w:t xml:space="preserve"> </w:t>
      </w:r>
      <w:r w:rsidRPr="00F14027">
        <w:rPr>
          <w:rFonts w:cs="Times-Bold"/>
          <w:bCs/>
        </w:rPr>
        <w:t>STEMI. (</w:t>
      </w:r>
      <w:r w:rsidRPr="00F14027">
        <w:rPr>
          <w:rFonts w:cs="Times-BoldItalic"/>
          <w:bCs/>
          <w:i/>
          <w:iCs/>
        </w:rPr>
        <w:t>Level of Evidence: C</w:t>
      </w:r>
      <w:r w:rsidRPr="00F14027">
        <w:rPr>
          <w:rFonts w:cs="Times-Bold"/>
          <w:bCs/>
        </w:rPr>
        <w:t>)</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940FB3" w:rsidRPr="00F14027" w:rsidRDefault="00940FB3" w:rsidP="00940FB3">
      <w:pPr>
        <w:autoSpaceDE w:val="0"/>
        <w:autoSpaceDN w:val="0"/>
        <w:adjustRightInd w:val="0"/>
        <w:ind w:left="0" w:firstLine="0"/>
        <w:rPr>
          <w:rFonts w:cs="Times New Roman"/>
          <w:bCs/>
          <w:sz w:val="21"/>
          <w:szCs w:val="21"/>
        </w:rPr>
      </w:pPr>
      <w:r w:rsidRPr="00F14027">
        <w:rPr>
          <w:rFonts w:cs="Times New Roman"/>
          <w:bCs/>
          <w:sz w:val="21"/>
          <w:szCs w:val="21"/>
        </w:rPr>
        <w:t>Class I: Conditions for which there is evidence and/or general agreement that a given procedure or</w:t>
      </w:r>
    </w:p>
    <w:p w:rsidR="00940FB3" w:rsidRPr="00F14027" w:rsidRDefault="00940FB3" w:rsidP="00940FB3">
      <w:pPr>
        <w:autoSpaceDE w:val="0"/>
        <w:autoSpaceDN w:val="0"/>
        <w:adjustRightInd w:val="0"/>
        <w:ind w:left="0" w:firstLine="0"/>
        <w:rPr>
          <w:rFonts w:cs="Times New Roman"/>
          <w:bCs/>
          <w:sz w:val="21"/>
          <w:szCs w:val="21"/>
        </w:rPr>
      </w:pPr>
      <w:proofErr w:type="gramStart"/>
      <w:r w:rsidRPr="00F14027">
        <w:rPr>
          <w:rFonts w:cs="Times New Roman"/>
          <w:bCs/>
          <w:sz w:val="21"/>
          <w:szCs w:val="21"/>
        </w:rPr>
        <w:t>treatment</w:t>
      </w:r>
      <w:proofErr w:type="gramEnd"/>
      <w:r w:rsidRPr="00F14027">
        <w:rPr>
          <w:rFonts w:cs="Times New Roman"/>
          <w:bCs/>
          <w:sz w:val="21"/>
          <w:szCs w:val="21"/>
        </w:rPr>
        <w:t xml:space="preserve"> is beneficial, useful, and effective.</w:t>
      </w:r>
    </w:p>
    <w:p w:rsidR="00940FB3" w:rsidRPr="00F14027" w:rsidRDefault="00940FB3" w:rsidP="00940FB3">
      <w:pPr>
        <w:autoSpaceDE w:val="0"/>
        <w:autoSpaceDN w:val="0"/>
        <w:adjustRightInd w:val="0"/>
        <w:ind w:left="0" w:firstLine="0"/>
        <w:rPr>
          <w:rFonts w:cs="Times New Roman"/>
          <w:sz w:val="21"/>
          <w:szCs w:val="21"/>
        </w:rPr>
      </w:pPr>
      <w:r w:rsidRPr="00F14027">
        <w:rPr>
          <w:rFonts w:cs="Times New Roman"/>
          <w:sz w:val="21"/>
          <w:szCs w:val="21"/>
        </w:rPr>
        <w:t>Level of Evidence C: Only consensus opinion of experts, case studies, or standard-of-care.</w:t>
      </w:r>
    </w:p>
    <w:p w:rsidR="00940FB3" w:rsidRDefault="00940FB3" w:rsidP="00940FB3">
      <w:pPr>
        <w:autoSpaceDE w:val="0"/>
        <w:autoSpaceDN w:val="0"/>
        <w:adjustRightInd w:val="0"/>
        <w:ind w:left="0" w:firstLine="0"/>
        <w:rPr>
          <w:rFonts w:ascii="Times New Roman" w:hAnsi="Times New Roman" w:cs="Times New Roman"/>
          <w:sz w:val="21"/>
          <w:szCs w:val="21"/>
        </w:rPr>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79728C" w:rsidRPr="00F14027" w:rsidRDefault="0079728C" w:rsidP="0079728C">
      <w:pPr>
        <w:autoSpaceDE w:val="0"/>
        <w:autoSpaceDN w:val="0"/>
        <w:adjustRightInd w:val="0"/>
        <w:ind w:left="0" w:firstLine="0"/>
        <w:rPr>
          <w:rFonts w:cs="Times New Roman"/>
          <w:bCs/>
          <w:sz w:val="23"/>
          <w:szCs w:val="23"/>
        </w:rPr>
      </w:pPr>
      <w:r w:rsidRPr="00F14027">
        <w:rPr>
          <w:rFonts w:cs="Times New Roman"/>
          <w:bCs/>
          <w:sz w:val="23"/>
          <w:szCs w:val="23"/>
        </w:rPr>
        <w:t>Classification of Recommendations</w:t>
      </w:r>
    </w:p>
    <w:p w:rsidR="0079728C" w:rsidRPr="00F14027" w:rsidRDefault="0079728C" w:rsidP="0079728C">
      <w:pPr>
        <w:autoSpaceDE w:val="0"/>
        <w:autoSpaceDN w:val="0"/>
        <w:adjustRightInd w:val="0"/>
        <w:ind w:left="0" w:firstLine="0"/>
        <w:rPr>
          <w:rFonts w:cs="Times New Roman"/>
          <w:bCs/>
          <w:sz w:val="21"/>
          <w:szCs w:val="21"/>
        </w:rPr>
      </w:pPr>
      <w:r w:rsidRPr="00F14027">
        <w:rPr>
          <w:rFonts w:cs="Times New Roman"/>
          <w:bCs/>
          <w:sz w:val="21"/>
          <w:szCs w:val="21"/>
        </w:rPr>
        <w:t>Class I: Conditions for which there is evidence and/or general agreement that a given procedure or</w:t>
      </w:r>
    </w:p>
    <w:p w:rsidR="0079728C" w:rsidRPr="00F14027" w:rsidRDefault="0079728C" w:rsidP="0079728C">
      <w:pPr>
        <w:autoSpaceDE w:val="0"/>
        <w:autoSpaceDN w:val="0"/>
        <w:adjustRightInd w:val="0"/>
        <w:ind w:left="0" w:firstLine="0"/>
        <w:rPr>
          <w:rFonts w:cs="Times New Roman"/>
          <w:bCs/>
          <w:sz w:val="21"/>
          <w:szCs w:val="21"/>
        </w:rPr>
      </w:pPr>
      <w:proofErr w:type="gramStart"/>
      <w:r w:rsidRPr="00F14027">
        <w:rPr>
          <w:rFonts w:cs="Times New Roman"/>
          <w:bCs/>
          <w:sz w:val="21"/>
          <w:szCs w:val="21"/>
        </w:rPr>
        <w:t>treatment</w:t>
      </w:r>
      <w:proofErr w:type="gramEnd"/>
      <w:r w:rsidRPr="00F14027">
        <w:rPr>
          <w:rFonts w:cs="Times New Roman"/>
          <w:bCs/>
          <w:sz w:val="21"/>
          <w:szCs w:val="21"/>
        </w:rPr>
        <w:t xml:space="preserve"> is beneficial, useful, and effective.</w:t>
      </w:r>
    </w:p>
    <w:p w:rsidR="0079728C" w:rsidRPr="00F14027" w:rsidRDefault="0079728C" w:rsidP="0079728C">
      <w:pPr>
        <w:autoSpaceDE w:val="0"/>
        <w:autoSpaceDN w:val="0"/>
        <w:adjustRightInd w:val="0"/>
        <w:ind w:left="0" w:firstLine="0"/>
        <w:rPr>
          <w:rFonts w:cs="Times New Roman"/>
          <w:bCs/>
          <w:sz w:val="21"/>
          <w:szCs w:val="21"/>
        </w:rPr>
      </w:pPr>
      <w:r w:rsidRPr="00F14027">
        <w:rPr>
          <w:rFonts w:cs="Times New Roman"/>
          <w:bCs/>
          <w:sz w:val="21"/>
          <w:szCs w:val="21"/>
        </w:rPr>
        <w:t>Class II: Conditions for which there is conflicting evidence and/or a divergence of opinion about</w:t>
      </w:r>
    </w:p>
    <w:p w:rsidR="0079728C" w:rsidRPr="00F14027" w:rsidRDefault="0079728C" w:rsidP="0079728C">
      <w:pPr>
        <w:autoSpaceDE w:val="0"/>
        <w:autoSpaceDN w:val="0"/>
        <w:adjustRightInd w:val="0"/>
        <w:ind w:left="0" w:firstLine="0"/>
        <w:rPr>
          <w:rFonts w:cs="Times New Roman"/>
          <w:bCs/>
          <w:sz w:val="21"/>
          <w:szCs w:val="21"/>
        </w:rPr>
      </w:pPr>
      <w:proofErr w:type="gramStart"/>
      <w:r w:rsidRPr="00F14027">
        <w:rPr>
          <w:rFonts w:cs="Times New Roman"/>
          <w:bCs/>
          <w:sz w:val="21"/>
          <w:szCs w:val="21"/>
        </w:rPr>
        <w:t>the</w:t>
      </w:r>
      <w:proofErr w:type="gramEnd"/>
      <w:r w:rsidRPr="00F14027">
        <w:rPr>
          <w:rFonts w:cs="Times New Roman"/>
          <w:bCs/>
          <w:sz w:val="21"/>
          <w:szCs w:val="21"/>
        </w:rPr>
        <w:t xml:space="preserve"> usefulness/efficacy of a procedure or treatment.</w:t>
      </w:r>
    </w:p>
    <w:p w:rsidR="0079728C" w:rsidRPr="00F14027" w:rsidRDefault="0079728C" w:rsidP="0079728C">
      <w:pPr>
        <w:autoSpaceDE w:val="0"/>
        <w:autoSpaceDN w:val="0"/>
        <w:adjustRightInd w:val="0"/>
        <w:ind w:left="0" w:firstLine="0"/>
        <w:rPr>
          <w:rFonts w:cs="Times New Roman"/>
          <w:bCs/>
          <w:sz w:val="21"/>
          <w:szCs w:val="21"/>
        </w:rPr>
      </w:pPr>
      <w:r w:rsidRPr="00F14027">
        <w:rPr>
          <w:rFonts w:cs="Times New Roman"/>
          <w:bCs/>
          <w:sz w:val="21"/>
          <w:szCs w:val="21"/>
        </w:rPr>
        <w:t xml:space="preserve">Class </w:t>
      </w:r>
      <w:proofErr w:type="spellStart"/>
      <w:r w:rsidRPr="00F14027">
        <w:rPr>
          <w:rFonts w:cs="Times New Roman"/>
          <w:bCs/>
          <w:sz w:val="21"/>
          <w:szCs w:val="21"/>
        </w:rPr>
        <w:t>IIa</w:t>
      </w:r>
      <w:proofErr w:type="spellEnd"/>
      <w:r w:rsidRPr="00F14027">
        <w:rPr>
          <w:rFonts w:cs="Times New Roman"/>
          <w:bCs/>
          <w:sz w:val="21"/>
          <w:szCs w:val="21"/>
        </w:rPr>
        <w:t>: Weight of evidence/opinion is in favor of usefulness/efficacy.</w:t>
      </w:r>
    </w:p>
    <w:p w:rsidR="0079728C" w:rsidRPr="00F14027" w:rsidRDefault="0079728C" w:rsidP="0079728C">
      <w:pPr>
        <w:autoSpaceDE w:val="0"/>
        <w:autoSpaceDN w:val="0"/>
        <w:adjustRightInd w:val="0"/>
        <w:ind w:left="0" w:firstLine="0"/>
        <w:rPr>
          <w:rFonts w:cs="Times New Roman"/>
          <w:bCs/>
          <w:sz w:val="21"/>
          <w:szCs w:val="21"/>
        </w:rPr>
      </w:pPr>
      <w:r w:rsidRPr="00F14027">
        <w:rPr>
          <w:rFonts w:cs="Times New Roman"/>
          <w:bCs/>
          <w:sz w:val="21"/>
          <w:szCs w:val="21"/>
        </w:rPr>
        <w:t xml:space="preserve">Class </w:t>
      </w:r>
      <w:proofErr w:type="spellStart"/>
      <w:r w:rsidRPr="00F14027">
        <w:rPr>
          <w:rFonts w:cs="Times New Roman"/>
          <w:bCs/>
          <w:sz w:val="21"/>
          <w:szCs w:val="21"/>
        </w:rPr>
        <w:t>IIb</w:t>
      </w:r>
      <w:proofErr w:type="spellEnd"/>
      <w:r w:rsidRPr="00F14027">
        <w:rPr>
          <w:rFonts w:cs="Times New Roman"/>
          <w:bCs/>
          <w:sz w:val="21"/>
          <w:szCs w:val="21"/>
        </w:rPr>
        <w:t>: Usefulness/efficacy is less well established by evidence/opinion.</w:t>
      </w:r>
    </w:p>
    <w:p w:rsidR="0079728C" w:rsidRPr="00F14027" w:rsidRDefault="0079728C" w:rsidP="0079728C">
      <w:pPr>
        <w:autoSpaceDE w:val="0"/>
        <w:autoSpaceDN w:val="0"/>
        <w:adjustRightInd w:val="0"/>
        <w:ind w:left="0" w:firstLine="0"/>
        <w:rPr>
          <w:rFonts w:cs="Times New Roman"/>
          <w:bCs/>
          <w:sz w:val="21"/>
          <w:szCs w:val="21"/>
        </w:rPr>
      </w:pPr>
      <w:r w:rsidRPr="00F14027">
        <w:rPr>
          <w:rFonts w:cs="Times New Roman"/>
          <w:bCs/>
          <w:sz w:val="21"/>
          <w:szCs w:val="21"/>
        </w:rPr>
        <w:t>Class III: Conditions for which there is evidence and/or general agreement that a procedure/treatment</w:t>
      </w:r>
    </w:p>
    <w:p w:rsidR="00A12762" w:rsidRPr="00F14027" w:rsidRDefault="0079728C" w:rsidP="0079728C">
      <w:pPr>
        <w:autoSpaceDE w:val="0"/>
        <w:autoSpaceDN w:val="0"/>
        <w:adjustRightInd w:val="0"/>
        <w:ind w:left="0" w:firstLine="0"/>
        <w:rPr>
          <w:rFonts w:cs="Times New Roman"/>
          <w:bCs/>
          <w:sz w:val="21"/>
          <w:szCs w:val="21"/>
        </w:rPr>
      </w:pPr>
      <w:proofErr w:type="gramStart"/>
      <w:r w:rsidRPr="00F14027">
        <w:rPr>
          <w:rFonts w:cs="Times New Roman"/>
          <w:bCs/>
          <w:sz w:val="21"/>
          <w:szCs w:val="21"/>
        </w:rPr>
        <w:t>is</w:t>
      </w:r>
      <w:proofErr w:type="gramEnd"/>
      <w:r w:rsidRPr="00F14027">
        <w:rPr>
          <w:rFonts w:cs="Times New Roman"/>
          <w:bCs/>
          <w:sz w:val="21"/>
          <w:szCs w:val="21"/>
        </w:rPr>
        <w:t xml:space="preserve"> not useful/effective and in some cases may be harmful.</w:t>
      </w:r>
    </w:p>
    <w:p w:rsidR="00630FFE" w:rsidRPr="00F14027" w:rsidRDefault="00630FFE" w:rsidP="0079728C">
      <w:pPr>
        <w:autoSpaceDE w:val="0"/>
        <w:autoSpaceDN w:val="0"/>
        <w:adjustRightInd w:val="0"/>
        <w:ind w:left="0" w:firstLine="0"/>
        <w:rPr>
          <w:rFonts w:cs="Times New Roman"/>
          <w:bCs/>
          <w:sz w:val="23"/>
          <w:szCs w:val="23"/>
        </w:rPr>
      </w:pPr>
    </w:p>
    <w:p w:rsidR="0079728C" w:rsidRPr="00F14027" w:rsidRDefault="0079728C" w:rsidP="0079728C">
      <w:pPr>
        <w:autoSpaceDE w:val="0"/>
        <w:autoSpaceDN w:val="0"/>
        <w:adjustRightInd w:val="0"/>
        <w:ind w:left="0" w:firstLine="0"/>
        <w:rPr>
          <w:rFonts w:cs="Times New Roman"/>
          <w:bCs/>
          <w:sz w:val="23"/>
          <w:szCs w:val="23"/>
        </w:rPr>
      </w:pPr>
      <w:r w:rsidRPr="00F14027">
        <w:rPr>
          <w:rFonts w:cs="Times New Roman"/>
          <w:bCs/>
          <w:sz w:val="23"/>
          <w:szCs w:val="23"/>
        </w:rPr>
        <w:t>Level of Evidence</w:t>
      </w:r>
    </w:p>
    <w:p w:rsidR="0079728C" w:rsidRPr="00F14027" w:rsidRDefault="0079728C" w:rsidP="0079728C">
      <w:pPr>
        <w:autoSpaceDE w:val="0"/>
        <w:autoSpaceDN w:val="0"/>
        <w:adjustRightInd w:val="0"/>
        <w:ind w:left="0" w:firstLine="0"/>
        <w:rPr>
          <w:rFonts w:cs="Times New Roman"/>
          <w:sz w:val="21"/>
          <w:szCs w:val="21"/>
        </w:rPr>
      </w:pPr>
      <w:r w:rsidRPr="00F14027">
        <w:rPr>
          <w:rFonts w:cs="Times New Roman"/>
          <w:sz w:val="21"/>
          <w:szCs w:val="21"/>
        </w:rPr>
        <w:t>Level of Evidence A: Data derived from multiple randomized</w:t>
      </w:r>
      <w:r w:rsidR="001B08D4" w:rsidRPr="00F14027">
        <w:rPr>
          <w:rFonts w:cs="Times New Roman"/>
          <w:sz w:val="21"/>
          <w:szCs w:val="21"/>
        </w:rPr>
        <w:t xml:space="preserve"> </w:t>
      </w:r>
      <w:r w:rsidRPr="00F14027">
        <w:rPr>
          <w:rFonts w:cs="Times New Roman"/>
          <w:sz w:val="21"/>
          <w:szCs w:val="21"/>
        </w:rPr>
        <w:t>clinical trials or meta-analyses.</w:t>
      </w:r>
    </w:p>
    <w:p w:rsidR="0079728C" w:rsidRPr="00F14027" w:rsidRDefault="0079728C" w:rsidP="0079728C">
      <w:pPr>
        <w:autoSpaceDE w:val="0"/>
        <w:autoSpaceDN w:val="0"/>
        <w:adjustRightInd w:val="0"/>
        <w:ind w:left="0" w:firstLine="0"/>
        <w:rPr>
          <w:rFonts w:cs="Times New Roman"/>
          <w:sz w:val="21"/>
          <w:szCs w:val="21"/>
        </w:rPr>
      </w:pPr>
      <w:r w:rsidRPr="00F14027">
        <w:rPr>
          <w:rFonts w:cs="Times New Roman"/>
          <w:sz w:val="21"/>
          <w:szCs w:val="21"/>
        </w:rPr>
        <w:t>Level of Evidence B: Data derived from a single randomized</w:t>
      </w:r>
      <w:r w:rsidR="001B08D4" w:rsidRPr="00F14027">
        <w:rPr>
          <w:rFonts w:cs="Times New Roman"/>
          <w:sz w:val="21"/>
          <w:szCs w:val="21"/>
        </w:rPr>
        <w:t xml:space="preserve"> </w:t>
      </w:r>
      <w:r w:rsidRPr="00F14027">
        <w:rPr>
          <w:rFonts w:cs="Times New Roman"/>
          <w:sz w:val="21"/>
          <w:szCs w:val="21"/>
        </w:rPr>
        <w:t>trial, or nonrandomized studies.</w:t>
      </w:r>
    </w:p>
    <w:p w:rsidR="0079728C" w:rsidRPr="00F14027" w:rsidRDefault="0079728C" w:rsidP="0079728C">
      <w:pPr>
        <w:autoSpaceDE w:val="0"/>
        <w:autoSpaceDN w:val="0"/>
        <w:adjustRightInd w:val="0"/>
        <w:ind w:left="0" w:firstLine="0"/>
        <w:rPr>
          <w:rFonts w:cs="Times New Roman"/>
          <w:sz w:val="21"/>
          <w:szCs w:val="21"/>
        </w:rPr>
      </w:pPr>
      <w:r w:rsidRPr="00F14027">
        <w:rPr>
          <w:rFonts w:cs="Times New Roman"/>
          <w:sz w:val="21"/>
          <w:szCs w:val="21"/>
        </w:rPr>
        <w:t>Level of Evidence C: Only consensus opinion of experts,</w:t>
      </w:r>
      <w:r w:rsidR="001B08D4" w:rsidRPr="00F14027">
        <w:rPr>
          <w:rFonts w:cs="Times New Roman"/>
          <w:sz w:val="21"/>
          <w:szCs w:val="21"/>
        </w:rPr>
        <w:t xml:space="preserve"> </w:t>
      </w:r>
      <w:r w:rsidRPr="00F14027">
        <w:rPr>
          <w:rFonts w:cs="Times New Roman"/>
          <w:sz w:val="21"/>
          <w:szCs w:val="21"/>
        </w:rPr>
        <w:t>case studies, or standard-of-care.</w:t>
      </w:r>
    </w:p>
    <w:p w:rsidR="001B08D4" w:rsidRPr="00F14027" w:rsidRDefault="001B08D4" w:rsidP="0079728C">
      <w:pPr>
        <w:autoSpaceDE w:val="0"/>
        <w:autoSpaceDN w:val="0"/>
        <w:adjustRightInd w:val="0"/>
        <w:ind w:left="0" w:firstLine="0"/>
        <w:rPr>
          <w:rFonts w:cs="Times New Roman"/>
          <w:sz w:val="21"/>
          <w:szCs w:val="21"/>
        </w:rPr>
      </w:pPr>
    </w:p>
    <w:p w:rsidR="0079728C" w:rsidRPr="00F14027" w:rsidRDefault="0079728C" w:rsidP="0079728C">
      <w:pPr>
        <w:autoSpaceDE w:val="0"/>
        <w:autoSpaceDN w:val="0"/>
        <w:adjustRightInd w:val="0"/>
        <w:ind w:left="0" w:firstLine="0"/>
        <w:rPr>
          <w:rFonts w:cs="Times New Roman"/>
          <w:sz w:val="21"/>
          <w:szCs w:val="21"/>
        </w:rPr>
      </w:pPr>
      <w:r w:rsidRPr="00F14027">
        <w:rPr>
          <w:rFonts w:cs="Times New Roman"/>
          <w:sz w:val="21"/>
          <w:szCs w:val="21"/>
        </w:rPr>
        <w:t>The schema for classification of recommendations and</w:t>
      </w:r>
      <w:r w:rsidR="001B08D4" w:rsidRPr="00F14027">
        <w:rPr>
          <w:rFonts w:cs="Times New Roman"/>
          <w:sz w:val="21"/>
          <w:szCs w:val="21"/>
        </w:rPr>
        <w:t xml:space="preserve"> </w:t>
      </w:r>
      <w:r w:rsidRPr="00F14027">
        <w:rPr>
          <w:rFonts w:cs="Times New Roman"/>
          <w:sz w:val="21"/>
          <w:szCs w:val="21"/>
        </w:rPr>
        <w:t>level of evidence is summarized in Table 1</w:t>
      </w:r>
      <w:r w:rsidR="001B08D4" w:rsidRPr="00F14027">
        <w:rPr>
          <w:rFonts w:cs="Times New Roman"/>
          <w:sz w:val="21"/>
          <w:szCs w:val="21"/>
        </w:rPr>
        <w:t xml:space="preserve"> (in the guideline, page 6)</w:t>
      </w:r>
      <w:r w:rsidRPr="00F14027">
        <w:rPr>
          <w:rFonts w:cs="Times New Roman"/>
          <w:sz w:val="21"/>
          <w:szCs w:val="21"/>
        </w:rPr>
        <w:t>, which also illustrates</w:t>
      </w:r>
      <w:r w:rsidR="001B08D4" w:rsidRPr="00F14027">
        <w:rPr>
          <w:rFonts w:cs="Times New Roman"/>
          <w:sz w:val="21"/>
          <w:szCs w:val="21"/>
        </w:rPr>
        <w:t xml:space="preserve"> </w:t>
      </w:r>
      <w:r w:rsidRPr="00F14027">
        <w:rPr>
          <w:rFonts w:cs="Times New Roman"/>
          <w:sz w:val="21"/>
          <w:szCs w:val="21"/>
        </w:rPr>
        <w:t>how the grading system provides an estimate of the</w:t>
      </w:r>
      <w:r w:rsidR="001B08D4" w:rsidRPr="00F14027">
        <w:rPr>
          <w:rFonts w:cs="Times New Roman"/>
          <w:sz w:val="21"/>
          <w:szCs w:val="21"/>
        </w:rPr>
        <w:t xml:space="preserve"> </w:t>
      </w:r>
      <w:r w:rsidRPr="00F14027">
        <w:rPr>
          <w:rFonts w:cs="Times New Roman"/>
          <w:sz w:val="21"/>
          <w:szCs w:val="21"/>
        </w:rPr>
        <w:t>size of the treatment effect and an estimate of the certainty of</w:t>
      </w:r>
      <w:r w:rsidR="001B08D4" w:rsidRPr="00F14027">
        <w:rPr>
          <w:rFonts w:cs="Times New Roman"/>
          <w:sz w:val="21"/>
          <w:szCs w:val="21"/>
        </w:rPr>
        <w:t xml:space="preserve"> </w:t>
      </w:r>
      <w:r w:rsidRPr="00F14027">
        <w:rPr>
          <w:rFonts w:cs="Times New Roman"/>
          <w:sz w:val="21"/>
          <w:szCs w:val="21"/>
        </w:rPr>
        <w:t>the treatment effect.</w:t>
      </w:r>
    </w:p>
    <w:p w:rsidR="00F14027" w:rsidRPr="00F14027" w:rsidRDefault="00F14027" w:rsidP="0079728C">
      <w:pPr>
        <w:autoSpaceDE w:val="0"/>
        <w:autoSpaceDN w:val="0"/>
        <w:adjustRightInd w:val="0"/>
        <w:ind w:left="0" w:firstLine="0"/>
        <w:rPr>
          <w:b/>
        </w:rPr>
      </w:pPr>
    </w:p>
    <w:p w:rsidR="00F14027" w:rsidRPr="00F14027" w:rsidRDefault="00F14027" w:rsidP="00F14027">
      <w:pPr>
        <w:rPr>
          <w:color w:val="000000"/>
        </w:rPr>
      </w:pPr>
      <w:r w:rsidRPr="00F14027">
        <w:rPr>
          <w:color w:val="000000"/>
        </w:rPr>
        <w:t>[STEMI]  The method of rating the strength of a recommendation used by the W</w:t>
      </w:r>
      <w:r w:rsidRPr="00F14027">
        <w:rPr>
          <w:rFonts w:cs="Times New Roman"/>
        </w:rPr>
        <w:t>riting Committee on the Management of Patients with ST-Elevation Myocardial Infarction in 2004 is not as well documented</w:t>
      </w:r>
      <w:r w:rsidRPr="00F14027">
        <w:t xml:space="preserve"> but is implicitly consistent with the approach described in the ACCF/AHA methodology manual</w:t>
      </w:r>
      <w:r w:rsidRPr="00F14027">
        <w:rPr>
          <w:rFonts w:cs="Times New Roman"/>
        </w:rPr>
        <w:t>.  In sum, strength is assigned based on examination of evidence and careful assessment of benefit vs. risk.</w:t>
      </w:r>
    </w:p>
    <w:p w:rsidR="00F14027" w:rsidRPr="00F14027" w:rsidRDefault="00F14027" w:rsidP="00F14027">
      <w:pPr>
        <w:rPr>
          <w:color w:val="000000"/>
        </w:rPr>
      </w:pPr>
      <w:r w:rsidRPr="00F14027">
        <w:rPr>
          <w:color w:val="000000"/>
        </w:rPr>
        <w:t>Both the ACCF/AHA Guidelines and the USPSTF assess evidence with respect to two parameters: 1) the magnitude of the benefit, and 2) the certainty of this benefit. However, they use different coding systems. In ascertaining magnitude of the benefit, the ACCF/AHA uses a Class I-III scale and the USPSTF uses a high-moderate-low scale. In determining the certainty of this benefit, the ACCF/AHA uses levels of evidence A-C and USPSTF uses a high-moderate-low scale.</w:t>
      </w:r>
    </w:p>
    <w:p w:rsidR="00850C35" w:rsidRPr="003B1CC5" w:rsidRDefault="00850C35" w:rsidP="00265702">
      <w:pPr>
        <w:ind w:left="0" w:firstLine="0"/>
        <w:rPr>
          <w:b/>
        </w:rPr>
      </w:pPr>
    </w:p>
    <w:p w:rsidR="00A12762" w:rsidRDefault="00776F6D" w:rsidP="002E2177">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9728C" w:rsidRDefault="0079728C" w:rsidP="0079728C">
      <w:pPr>
        <w:autoSpaceDE w:val="0"/>
        <w:autoSpaceDN w:val="0"/>
        <w:adjustRightInd w:val="0"/>
        <w:ind w:left="0" w:firstLine="0"/>
        <w:rPr>
          <w:rFonts w:ascii="Times New Roman" w:hAnsi="Times New Roman" w:cs="Times New Roman"/>
          <w:sz w:val="16"/>
          <w:szCs w:val="16"/>
        </w:rPr>
      </w:pPr>
      <w:r>
        <w:rPr>
          <w:rFonts w:ascii="Times New Roman" w:hAnsi="Times New Roman" w:cs="Times New Roman"/>
          <w:sz w:val="16"/>
          <w:szCs w:val="16"/>
        </w:rPr>
        <w:t>Copies: This full-text guideline and its executive summary are available on the World Wide Web sites of the American College of Cardiology</w:t>
      </w:r>
    </w:p>
    <w:p w:rsidR="0079728C" w:rsidRDefault="0079728C" w:rsidP="0079728C">
      <w:pPr>
        <w:ind w:left="432" w:hanging="432"/>
        <w:rPr>
          <w:b/>
        </w:rPr>
      </w:pPr>
      <w:proofErr w:type="gramStart"/>
      <w:r>
        <w:rPr>
          <w:rFonts w:ascii="Times New Roman" w:hAnsi="Times New Roman" w:cs="Times New Roman"/>
          <w:sz w:val="16"/>
          <w:szCs w:val="16"/>
        </w:rPr>
        <w:t>(www.acc.org) and the American Heart Association (www.americanheart.org).</w:t>
      </w:r>
      <w:proofErr w:type="gramEnd"/>
    </w:p>
    <w:p w:rsidR="006E35D1" w:rsidRDefault="00430C7D" w:rsidP="006E35D1">
      <w:pPr>
        <w:ind w:left="0" w:firstLine="0"/>
      </w:pPr>
      <w:hyperlink r:id="rId15" w:history="1">
        <w:r w:rsidR="006E35D1" w:rsidRPr="00CA1087">
          <w:rPr>
            <w:rStyle w:val="Hyperlink"/>
          </w:rPr>
          <w:t>http://circ.ahajournals.org/content/110/5/588/T1.expansion.html</w:t>
        </w:r>
      </w:hyperlink>
      <w:r w:rsidR="006E35D1">
        <w:t xml:space="preserve"> (for ACC/AHA grading)</w:t>
      </w:r>
    </w:p>
    <w:p w:rsidR="00896527" w:rsidRPr="003B1CC5" w:rsidRDefault="00896527" w:rsidP="002E2177">
      <w:pPr>
        <w:ind w:left="432" w:hanging="432"/>
        <w:rPr>
          <w:b/>
          <w:color w:val="0000FF"/>
        </w:rPr>
      </w:pPr>
    </w:p>
    <w:p w:rsidR="00736AEC" w:rsidRPr="003B1CC5" w:rsidRDefault="00430C7D" w:rsidP="002E2177">
      <w:pPr>
        <w:ind w:left="432" w:hanging="432"/>
        <w:rPr>
          <w:color w:val="0000FF"/>
        </w:rPr>
      </w:pPr>
      <w:hyperlink r:id="rId16" w:history="1">
        <w:r w:rsidR="006E35D1" w:rsidRPr="00CA1087">
          <w:rPr>
            <w:rStyle w:val="Hyperlink"/>
          </w:rPr>
          <w:t>http://circ.ahajournals.org/content/110/5/588.full</w:t>
        </w:r>
      </w:hyperlink>
      <w:r w:rsidR="006E35D1">
        <w:rPr>
          <w:color w:val="0000FF"/>
        </w:rPr>
        <w:t xml:space="preserve"> </w:t>
      </w: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430C7D"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1B08D4">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r w:rsidR="001B08D4">
        <w:rPr>
          <w:rStyle w:val="Hyperlink"/>
          <w:b/>
          <w:i/>
        </w:rPr>
        <w:t xml:space="preserve"> </w:t>
      </w:r>
      <w:proofErr w:type="gramStart"/>
      <w:r w:rsidR="001B08D4">
        <w:rPr>
          <w:rStyle w:val="Hyperlink"/>
          <w:b/>
          <w:i/>
        </w:rPr>
        <w:t>The</w:t>
      </w:r>
      <w:proofErr w:type="gramEnd"/>
      <w:r w:rsidR="001B08D4">
        <w:rPr>
          <w:rStyle w:val="Hyperlink"/>
          <w:b/>
          <w:i/>
        </w:rPr>
        <w:t xml:space="preserve"> guideline is evidence-based, but this particular recommendation is based on expert opinion. </w:t>
      </w:r>
    </w:p>
    <w:p w:rsidR="00736AEC" w:rsidRPr="003B1CC5" w:rsidRDefault="00430C7D"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1B08D4">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1B08D4" w:rsidRDefault="00C84623" w:rsidP="00EE5AF6">
      <w:pPr>
        <w:ind w:left="0" w:firstLine="0"/>
      </w:pPr>
      <w:r w:rsidRPr="001B08D4" w:rsidDel="005D0FDB">
        <w:rPr>
          <w:b/>
          <w:color w:val="0000FF"/>
        </w:rPr>
        <w:t xml:space="preserve">1a.7. </w:t>
      </w:r>
      <w:r w:rsidRPr="001B08D4" w:rsidDel="005D0FDB">
        <w:rPr>
          <w:b/>
        </w:rPr>
        <w:t xml:space="preserve">FINDINGS FROM SYSTEMATIC REVIEW OF BODY OF THE EVIDENCE </w:t>
      </w:r>
      <w:r w:rsidRPr="001B08D4" w:rsidDel="005D0FDB">
        <w:rPr>
          <w:b/>
          <w:caps/>
          <w:noProof/>
        </w:rPr>
        <w:t>supporting the measure</w:t>
      </w:r>
    </w:p>
    <w:p w:rsidR="00851466" w:rsidRPr="001B08D4" w:rsidRDefault="00851466" w:rsidP="00EE5AF6">
      <w:pPr>
        <w:ind w:left="0" w:firstLine="0"/>
        <w:rPr>
          <w:b/>
          <w:i/>
          <w:color w:val="0000FF"/>
        </w:rPr>
      </w:pPr>
      <w:r w:rsidRPr="001B08D4">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1B08D4" w:rsidRDefault="00CB1E41" w:rsidP="00EE5AF6">
      <w:pPr>
        <w:ind w:left="0" w:firstLine="0"/>
        <w:rPr>
          <w:b/>
          <w:color w:val="0000FF"/>
        </w:rPr>
      </w:pPr>
    </w:p>
    <w:p w:rsidR="00EE5AF6" w:rsidRPr="001B08D4" w:rsidRDefault="00EE5AF6" w:rsidP="00EE5AF6">
      <w:pPr>
        <w:ind w:left="0" w:firstLine="0"/>
      </w:pPr>
      <w:r w:rsidRPr="001B08D4">
        <w:rPr>
          <w:b/>
          <w:color w:val="0000FF"/>
        </w:rPr>
        <w:t>1</w:t>
      </w:r>
      <w:r w:rsidR="009E37BD" w:rsidRPr="001B08D4">
        <w:rPr>
          <w:b/>
          <w:color w:val="0000FF"/>
        </w:rPr>
        <w:t>a</w:t>
      </w:r>
      <w:r w:rsidRPr="001B08D4">
        <w:rPr>
          <w:b/>
          <w:color w:val="0000FF"/>
        </w:rPr>
        <w:t>.</w:t>
      </w:r>
      <w:r w:rsidR="00C84623" w:rsidRPr="001B08D4">
        <w:rPr>
          <w:b/>
          <w:color w:val="0000FF"/>
        </w:rPr>
        <w:t>7.1</w:t>
      </w:r>
      <w:r w:rsidRPr="001B08D4">
        <w:rPr>
          <w:b/>
          <w:color w:val="0000FF"/>
        </w:rPr>
        <w:t>.</w:t>
      </w:r>
      <w:r w:rsidRPr="001B08D4">
        <w:rPr>
          <w:bCs/>
        </w:rPr>
        <w:t xml:space="preserve"> </w:t>
      </w:r>
      <w:proofErr w:type="gramStart"/>
      <w:r w:rsidRPr="001B08D4">
        <w:rPr>
          <w:b/>
        </w:rPr>
        <w:t>What</w:t>
      </w:r>
      <w:proofErr w:type="gramEnd"/>
      <w:r w:rsidRPr="001B08D4">
        <w:rPr>
          <w:b/>
        </w:rPr>
        <w:t xml:space="preserve"> was the specific structure, treatment, intervention, service, or intermediate outcome addressed in the evidence review?</w:t>
      </w:r>
      <w:r w:rsidRPr="001B08D4">
        <w:t xml:space="preserve"> </w:t>
      </w:r>
    </w:p>
    <w:p w:rsidR="00EE5AF6" w:rsidRPr="001B08D4" w:rsidRDefault="00EE5AF6" w:rsidP="00EE5AF6">
      <w:pPr>
        <w:ind w:left="0" w:firstLine="0"/>
      </w:pPr>
    </w:p>
    <w:p w:rsidR="00095EC9" w:rsidRPr="001B08D4" w:rsidRDefault="00EE5AF6" w:rsidP="00EA79C9">
      <w:pPr>
        <w:ind w:left="0" w:firstLine="0"/>
      </w:pPr>
      <w:r w:rsidRPr="001B08D4">
        <w:rPr>
          <w:b/>
          <w:color w:val="0000FF"/>
        </w:rPr>
        <w:lastRenderedPageBreak/>
        <w:t>1</w:t>
      </w:r>
      <w:r w:rsidR="009E37BD" w:rsidRPr="001B08D4">
        <w:rPr>
          <w:b/>
          <w:color w:val="0000FF"/>
        </w:rPr>
        <w:t>a</w:t>
      </w:r>
      <w:r w:rsidRPr="001B08D4">
        <w:rPr>
          <w:b/>
          <w:color w:val="0000FF"/>
        </w:rPr>
        <w:t>.</w:t>
      </w:r>
      <w:r w:rsidR="00C84623" w:rsidRPr="001B08D4">
        <w:rPr>
          <w:b/>
          <w:color w:val="0000FF"/>
        </w:rPr>
        <w:t>7.2</w:t>
      </w:r>
      <w:r w:rsidRPr="001B08D4">
        <w:rPr>
          <w:b/>
          <w:color w:val="0000FF"/>
        </w:rPr>
        <w:t>.</w:t>
      </w:r>
      <w:r w:rsidRPr="001B08D4">
        <w:rPr>
          <w:bCs/>
        </w:rPr>
        <w:t xml:space="preserve"> </w:t>
      </w:r>
      <w:r w:rsidRPr="001B08D4">
        <w:rPr>
          <w:b/>
        </w:rPr>
        <w:t xml:space="preserve">Grade assigned </w:t>
      </w:r>
      <w:r w:rsidR="00E746A2" w:rsidRPr="001B08D4">
        <w:rPr>
          <w:b/>
        </w:rPr>
        <w:t xml:space="preserve">for the quality of </w:t>
      </w:r>
      <w:r w:rsidRPr="001B08D4">
        <w:rPr>
          <w:b/>
        </w:rPr>
        <w:t xml:space="preserve">the quoted evidence </w:t>
      </w:r>
      <w:r w:rsidRPr="001B08D4">
        <w:rPr>
          <w:b/>
          <w:u w:val="single"/>
        </w:rPr>
        <w:t>with definition</w:t>
      </w:r>
      <w:r w:rsidRPr="001B08D4">
        <w:rPr>
          <w:b/>
        </w:rPr>
        <w:t xml:space="preserve"> of the grade</w:t>
      </w:r>
      <w:r w:rsidRPr="001B08D4">
        <w:t xml:space="preserve">: </w:t>
      </w:r>
    </w:p>
    <w:p w:rsidR="00095EC9" w:rsidRPr="001B08D4" w:rsidRDefault="00095EC9" w:rsidP="00EA79C9">
      <w:pPr>
        <w:ind w:left="0" w:firstLine="0"/>
      </w:pPr>
    </w:p>
    <w:p w:rsidR="00EA79C9" w:rsidRPr="001B08D4" w:rsidRDefault="00095EC9" w:rsidP="00EA79C9">
      <w:pPr>
        <w:ind w:left="0" w:firstLine="0"/>
        <w:rPr>
          <w:color w:val="0000FF"/>
        </w:rPr>
      </w:pPr>
      <w:r w:rsidRPr="001B08D4">
        <w:rPr>
          <w:b/>
          <w:noProof/>
          <w:color w:val="0000FF"/>
        </w:rPr>
        <w:t xml:space="preserve">1a.7.3. </w:t>
      </w:r>
      <w:proofErr w:type="gramStart"/>
      <w:r w:rsidR="00EA79C9" w:rsidRPr="001B08D4">
        <w:rPr>
          <w:b/>
        </w:rPr>
        <w:t>Provide</w:t>
      </w:r>
      <w:proofErr w:type="gramEnd"/>
      <w:r w:rsidR="00EA79C9" w:rsidRPr="001B08D4">
        <w:rPr>
          <w:b/>
        </w:rPr>
        <w:t xml:space="preserve"> all </w:t>
      </w:r>
      <w:r w:rsidR="00205857" w:rsidRPr="001B08D4">
        <w:rPr>
          <w:b/>
        </w:rPr>
        <w:t xml:space="preserve">other </w:t>
      </w:r>
      <w:r w:rsidR="00EA79C9" w:rsidRPr="001B08D4">
        <w:rPr>
          <w:b/>
        </w:rPr>
        <w:t xml:space="preserve">grades and associated definitions for strength of the evidence in the </w:t>
      </w:r>
      <w:r w:rsidR="00C54E40" w:rsidRPr="001B08D4">
        <w:rPr>
          <w:b/>
        </w:rPr>
        <w:t xml:space="preserve">grading system. </w:t>
      </w:r>
    </w:p>
    <w:p w:rsidR="00A12762" w:rsidRPr="001B08D4" w:rsidRDefault="00A12762" w:rsidP="002E2177">
      <w:pPr>
        <w:ind w:left="0" w:firstLine="0"/>
        <w:rPr>
          <w:noProof/>
        </w:rPr>
      </w:pPr>
    </w:p>
    <w:p w:rsidR="00496AF8" w:rsidRPr="001B08D4" w:rsidRDefault="00496AF8" w:rsidP="002E2177">
      <w:pPr>
        <w:ind w:left="432" w:hanging="432"/>
      </w:pPr>
      <w:bookmarkStart w:id="9" w:name="Section1a7"/>
      <w:bookmarkEnd w:id="9"/>
      <w:r w:rsidRPr="001B08D4">
        <w:rPr>
          <w:b/>
          <w:noProof/>
          <w:color w:val="0000FF"/>
        </w:rPr>
        <w:t>1</w:t>
      </w:r>
      <w:r w:rsidR="00837121" w:rsidRPr="001B08D4">
        <w:rPr>
          <w:b/>
          <w:noProof/>
          <w:color w:val="0000FF"/>
        </w:rPr>
        <w:t>a</w:t>
      </w:r>
      <w:r w:rsidRPr="001B08D4">
        <w:rPr>
          <w:b/>
          <w:noProof/>
          <w:color w:val="0000FF"/>
        </w:rPr>
        <w:t>.</w:t>
      </w:r>
      <w:r w:rsidR="00EE5AF6" w:rsidRPr="001B08D4">
        <w:rPr>
          <w:b/>
          <w:noProof/>
          <w:color w:val="0000FF"/>
        </w:rPr>
        <w:t>7.</w:t>
      </w:r>
      <w:r w:rsidR="00095EC9" w:rsidRPr="001B08D4">
        <w:rPr>
          <w:b/>
          <w:noProof/>
          <w:color w:val="0000FF"/>
        </w:rPr>
        <w:t>4</w:t>
      </w:r>
      <w:r w:rsidR="00DA7FA2" w:rsidRPr="001B08D4">
        <w:rPr>
          <w:b/>
          <w:noProof/>
          <w:color w:val="0000FF"/>
        </w:rPr>
        <w:t>.</w:t>
      </w:r>
      <w:r w:rsidRPr="001B08D4">
        <w:rPr>
          <w:noProof/>
        </w:rPr>
        <w:t xml:space="preserve"> </w:t>
      </w:r>
      <w:r w:rsidRPr="001B08D4">
        <w:rPr>
          <w:b/>
          <w:noProof/>
        </w:rPr>
        <w:t>What is the time period covered by the body of evidence? (</w:t>
      </w:r>
      <w:r w:rsidRPr="001B08D4">
        <w:rPr>
          <w:b/>
          <w:i/>
          <w:noProof/>
        </w:rPr>
        <w:t>provide the date range, e.g., 1990-2010</w:t>
      </w:r>
      <w:r w:rsidRPr="001B08D4">
        <w:rPr>
          <w:b/>
          <w:noProof/>
        </w:rPr>
        <w:t xml:space="preserve">).  </w:t>
      </w:r>
      <w:r w:rsidRPr="001B08D4">
        <w:rPr>
          <w:b/>
        </w:rPr>
        <w:t>Date range</w:t>
      </w:r>
      <w:r w:rsidRPr="001B08D4">
        <w:t xml:space="preserve">:  </w:t>
      </w:r>
      <w:sdt>
        <w:sdtPr>
          <w:rPr>
            <w:rStyle w:val="Style2"/>
          </w:rPr>
          <w:id w:val="-1666395719"/>
          <w:showingPlcHdr/>
        </w:sdtPr>
        <w:sdtEndPr>
          <w:rPr>
            <w:rStyle w:val="DefaultParagraphFont"/>
            <w:color w:val="auto"/>
            <w:u w:val="none"/>
          </w:rPr>
        </w:sdtEndPr>
        <w:sdtContent>
          <w:r w:rsidRPr="001B08D4">
            <w:rPr>
              <w:rStyle w:val="PlaceholderText"/>
              <w:rFonts w:cstheme="minorHAnsi"/>
              <w:color w:val="A6A6A6" w:themeColor="background1" w:themeShade="A6"/>
            </w:rPr>
            <w:t>Click here to enter date range</w:t>
          </w:r>
        </w:sdtContent>
      </w:sdt>
    </w:p>
    <w:p w:rsidR="00496AF8" w:rsidRPr="001B08D4" w:rsidRDefault="00496AF8" w:rsidP="002E2177">
      <w:pPr>
        <w:ind w:left="0" w:firstLine="0"/>
        <w:rPr>
          <w:noProof/>
        </w:rPr>
      </w:pPr>
    </w:p>
    <w:p w:rsidR="0039020B" w:rsidRPr="001B08D4" w:rsidRDefault="0039020B" w:rsidP="002E2177">
      <w:pPr>
        <w:ind w:left="0" w:firstLine="0"/>
        <w:rPr>
          <w:b/>
          <w:noProof/>
        </w:rPr>
      </w:pPr>
    </w:p>
    <w:p w:rsidR="00496AF8" w:rsidRDefault="00C5180E" w:rsidP="002E2177">
      <w:pPr>
        <w:ind w:left="0" w:firstLine="0"/>
        <w:rPr>
          <w:b/>
          <w:noProof/>
        </w:rPr>
      </w:pPr>
      <w:r w:rsidRPr="001B08D4">
        <w:rPr>
          <w:b/>
          <w:noProof/>
        </w:rPr>
        <w:t>QUANTITY AND QUALITY OF BODY OF EVIDENCE</w:t>
      </w:r>
    </w:p>
    <w:p w:rsidR="00430C7D" w:rsidRPr="00430C7D" w:rsidRDefault="00430C7D" w:rsidP="00430C7D">
      <w:pPr>
        <w:autoSpaceDE w:val="0"/>
        <w:autoSpaceDN w:val="0"/>
        <w:adjustRightInd w:val="0"/>
        <w:ind w:left="0" w:firstLine="0"/>
        <w:rPr>
          <w:b/>
          <w:noProof/>
        </w:rPr>
      </w:pPr>
      <w:r w:rsidRPr="00430C7D">
        <w:rPr>
          <w:rFonts w:cs="Times New Roman"/>
        </w:rPr>
        <w:t>The American College of Cardiology (ACC) and the</w:t>
      </w:r>
      <w:r w:rsidRPr="00430C7D">
        <w:rPr>
          <w:rFonts w:cs="Times New Roman"/>
        </w:rPr>
        <w:t xml:space="preserve"> </w:t>
      </w:r>
      <w:r w:rsidRPr="00430C7D">
        <w:rPr>
          <w:rFonts w:cs="Times New Roman"/>
        </w:rPr>
        <w:t>American Heart Association (AHA) have jointly engaged in</w:t>
      </w:r>
      <w:r w:rsidRPr="00430C7D">
        <w:rPr>
          <w:rFonts w:cs="Times New Roman"/>
        </w:rPr>
        <w:t xml:space="preserve"> </w:t>
      </w:r>
      <w:r w:rsidRPr="00430C7D">
        <w:rPr>
          <w:rFonts w:cs="Times New Roman"/>
        </w:rPr>
        <w:t>the production of such guidelines in the area of cardiovascular</w:t>
      </w:r>
      <w:r w:rsidRPr="00430C7D">
        <w:rPr>
          <w:rFonts w:cs="Times New Roman"/>
        </w:rPr>
        <w:t xml:space="preserve"> </w:t>
      </w:r>
      <w:r w:rsidRPr="00430C7D">
        <w:rPr>
          <w:rFonts w:cs="Times New Roman"/>
        </w:rPr>
        <w:t>disease since 1980. This effort is directed by the</w:t>
      </w:r>
      <w:r w:rsidRPr="00430C7D">
        <w:rPr>
          <w:rFonts w:cs="Times New Roman"/>
        </w:rPr>
        <w:t xml:space="preserve"> </w:t>
      </w:r>
      <w:r w:rsidRPr="00430C7D">
        <w:rPr>
          <w:rFonts w:cs="Times New Roman"/>
        </w:rPr>
        <w:t>ACC/AHA Task Force on Practice Guidelines, whose charge</w:t>
      </w:r>
      <w:r w:rsidRPr="00430C7D">
        <w:rPr>
          <w:rFonts w:cs="Times New Roman"/>
        </w:rPr>
        <w:t xml:space="preserve"> </w:t>
      </w:r>
      <w:r w:rsidRPr="00430C7D">
        <w:rPr>
          <w:rFonts w:cs="Times New Roman"/>
        </w:rPr>
        <w:t>is to develop and revise practice guidelines for important cardiovascular</w:t>
      </w:r>
      <w:r w:rsidRPr="00430C7D">
        <w:rPr>
          <w:rFonts w:cs="Times New Roman"/>
        </w:rPr>
        <w:t xml:space="preserve"> </w:t>
      </w:r>
      <w:r w:rsidRPr="00430C7D">
        <w:rPr>
          <w:rFonts w:cs="Times New Roman"/>
        </w:rPr>
        <w:t>diseases and procedures. Experts in the subject</w:t>
      </w:r>
      <w:r w:rsidRPr="00430C7D">
        <w:rPr>
          <w:rFonts w:cs="Times New Roman"/>
        </w:rPr>
        <w:t xml:space="preserve"> </w:t>
      </w:r>
      <w:r w:rsidRPr="00430C7D">
        <w:rPr>
          <w:rFonts w:cs="Times New Roman"/>
        </w:rPr>
        <w:t>under consideration are selected from both organizations to</w:t>
      </w:r>
      <w:r w:rsidRPr="00430C7D">
        <w:rPr>
          <w:rFonts w:cs="Times New Roman"/>
        </w:rPr>
        <w:t xml:space="preserve"> </w:t>
      </w:r>
      <w:r w:rsidRPr="00430C7D">
        <w:rPr>
          <w:rFonts w:cs="Times New Roman"/>
        </w:rPr>
        <w:t>examine subject-specific data and write guidelines. The</w:t>
      </w:r>
      <w:r w:rsidRPr="00430C7D">
        <w:rPr>
          <w:rFonts w:cs="Times New Roman"/>
        </w:rPr>
        <w:t xml:space="preserve"> </w:t>
      </w:r>
      <w:r w:rsidRPr="00430C7D">
        <w:rPr>
          <w:rFonts w:cs="Times New Roman"/>
        </w:rPr>
        <w:t>process includes additional representatives from other medical</w:t>
      </w:r>
      <w:r w:rsidRPr="00430C7D">
        <w:rPr>
          <w:rFonts w:cs="Times New Roman"/>
        </w:rPr>
        <w:t xml:space="preserve"> </w:t>
      </w:r>
      <w:r w:rsidRPr="00430C7D">
        <w:rPr>
          <w:rFonts w:cs="Times New Roman"/>
        </w:rPr>
        <w:t>practitioner and specialty groups where appropriate.</w:t>
      </w:r>
      <w:r w:rsidRPr="00430C7D">
        <w:rPr>
          <w:rFonts w:cs="Times New Roman"/>
        </w:rPr>
        <w:t xml:space="preserve"> </w:t>
      </w:r>
      <w:r w:rsidRPr="00430C7D">
        <w:rPr>
          <w:rFonts w:cs="Times New Roman"/>
        </w:rPr>
        <w:t>Writing groups are specifically charged to perform a formal</w:t>
      </w:r>
      <w:r w:rsidRPr="00430C7D">
        <w:rPr>
          <w:rFonts w:cs="Times New Roman"/>
        </w:rPr>
        <w:t xml:space="preserve"> </w:t>
      </w:r>
      <w:r w:rsidRPr="00430C7D">
        <w:rPr>
          <w:rFonts w:cs="Times New Roman"/>
        </w:rPr>
        <w:t>literature review, weigh the strength of evidence for or</w:t>
      </w:r>
      <w:r w:rsidRPr="00430C7D">
        <w:rPr>
          <w:rFonts w:cs="Times New Roman"/>
        </w:rPr>
        <w:t xml:space="preserve"> </w:t>
      </w:r>
      <w:r w:rsidRPr="00430C7D">
        <w:rPr>
          <w:rFonts w:cs="Times New Roman"/>
        </w:rPr>
        <w:t>against a particular treatment or procedure, and include estimates</w:t>
      </w:r>
      <w:r w:rsidRPr="00430C7D">
        <w:rPr>
          <w:rFonts w:cs="Times New Roman"/>
        </w:rPr>
        <w:t xml:space="preserve"> </w:t>
      </w:r>
      <w:r w:rsidRPr="00430C7D">
        <w:rPr>
          <w:rFonts w:cs="Times New Roman"/>
        </w:rPr>
        <w:t>of expected health outcomes where data exist. Patient</w:t>
      </w:r>
      <w:r w:rsidRPr="00430C7D">
        <w:rPr>
          <w:rFonts w:cs="Times New Roman"/>
        </w:rPr>
        <w:t xml:space="preserve"> </w:t>
      </w:r>
      <w:r w:rsidRPr="00430C7D">
        <w:rPr>
          <w:rFonts w:cs="Times New Roman"/>
        </w:rPr>
        <w:t>specific</w:t>
      </w:r>
      <w:r w:rsidRPr="00430C7D">
        <w:rPr>
          <w:rFonts w:cs="Times New Roman"/>
        </w:rPr>
        <w:t xml:space="preserve"> </w:t>
      </w:r>
      <w:r w:rsidRPr="00430C7D">
        <w:rPr>
          <w:rFonts w:cs="Times New Roman"/>
        </w:rPr>
        <w:t>modifiers, comorbidities and issues of patient preference</w:t>
      </w:r>
      <w:r w:rsidRPr="00430C7D">
        <w:rPr>
          <w:rFonts w:cs="Times New Roman"/>
        </w:rPr>
        <w:t xml:space="preserve"> </w:t>
      </w:r>
      <w:r w:rsidRPr="00430C7D">
        <w:rPr>
          <w:rFonts w:cs="Times New Roman"/>
        </w:rPr>
        <w:t>that might influence the choice of particular tests or</w:t>
      </w:r>
      <w:r w:rsidRPr="00430C7D">
        <w:rPr>
          <w:rFonts w:cs="Times New Roman"/>
        </w:rPr>
        <w:t xml:space="preserve"> </w:t>
      </w:r>
      <w:r w:rsidRPr="00430C7D">
        <w:rPr>
          <w:rFonts w:cs="Times New Roman"/>
        </w:rPr>
        <w:t>therapies are considered as well as frequency of follow-up.</w:t>
      </w:r>
      <w:r w:rsidRPr="00430C7D">
        <w:rPr>
          <w:rFonts w:cs="Times New Roman"/>
        </w:rPr>
        <w:t xml:space="preserve"> </w:t>
      </w:r>
      <w:r w:rsidRPr="00430C7D">
        <w:rPr>
          <w:rFonts w:cs="Times New Roman"/>
        </w:rPr>
        <w:t>When available, information from studies on cost will be</w:t>
      </w:r>
      <w:r w:rsidRPr="00430C7D">
        <w:rPr>
          <w:rFonts w:cs="Times New Roman"/>
        </w:rPr>
        <w:t xml:space="preserve"> </w:t>
      </w:r>
      <w:r w:rsidRPr="00430C7D">
        <w:rPr>
          <w:rFonts w:cs="Times New Roman"/>
        </w:rPr>
        <w:t>considered, however review of data on efficacy and clinical</w:t>
      </w:r>
      <w:r w:rsidRPr="00430C7D">
        <w:rPr>
          <w:rFonts w:cs="Times New Roman"/>
        </w:rPr>
        <w:t xml:space="preserve"> </w:t>
      </w:r>
      <w:r w:rsidRPr="00430C7D">
        <w:rPr>
          <w:rFonts w:cs="Times New Roman"/>
        </w:rPr>
        <w:t>outcomes will be the primary basis for preparing recommendations</w:t>
      </w:r>
      <w:r w:rsidRPr="00430C7D">
        <w:rPr>
          <w:rFonts w:cs="Times New Roman"/>
        </w:rPr>
        <w:t xml:space="preserve"> </w:t>
      </w:r>
      <w:r w:rsidRPr="00430C7D">
        <w:rPr>
          <w:rFonts w:cs="Times New Roman"/>
        </w:rPr>
        <w:t>in these guidelines.</w:t>
      </w:r>
    </w:p>
    <w:p w:rsidR="00430C7D" w:rsidRDefault="00430C7D" w:rsidP="002E2177">
      <w:pPr>
        <w:ind w:left="0" w:firstLine="0"/>
        <w:rPr>
          <w:b/>
          <w:noProof/>
        </w:rPr>
      </w:pPr>
    </w:p>
    <w:p w:rsidR="00430C7D" w:rsidRDefault="00430C7D" w:rsidP="002E2177">
      <w:pPr>
        <w:ind w:left="0" w:firstLine="0"/>
        <w:rPr>
          <w:b/>
          <w:noProof/>
        </w:rPr>
      </w:pPr>
      <w:r>
        <w:rPr>
          <w:b/>
          <w:noProof/>
        </w:rPr>
        <w:t xml:space="preserve">There are 1398 citations with this guideline. </w:t>
      </w:r>
      <w:bookmarkStart w:id="10" w:name="_GoBack"/>
      <w:bookmarkEnd w:id="10"/>
    </w:p>
    <w:p w:rsidR="00430C7D" w:rsidRPr="001B08D4" w:rsidRDefault="00430C7D" w:rsidP="002E2177">
      <w:pPr>
        <w:ind w:left="0" w:firstLine="0"/>
        <w:rPr>
          <w:b/>
        </w:rPr>
      </w:pPr>
    </w:p>
    <w:p w:rsidR="009B5BEA" w:rsidRPr="001B08D4" w:rsidRDefault="001B772D" w:rsidP="002E2177">
      <w:pPr>
        <w:ind w:left="432" w:hanging="432"/>
      </w:pPr>
      <w:r w:rsidRPr="001B08D4">
        <w:rPr>
          <w:b/>
          <w:noProof/>
          <w:color w:val="0000FF"/>
        </w:rPr>
        <w:t>1</w:t>
      </w:r>
      <w:r w:rsidR="00837121" w:rsidRPr="001B08D4">
        <w:rPr>
          <w:b/>
          <w:noProof/>
          <w:color w:val="0000FF"/>
        </w:rPr>
        <w:t>a</w:t>
      </w:r>
      <w:r w:rsidRPr="001B08D4">
        <w:rPr>
          <w:b/>
          <w:noProof/>
          <w:color w:val="0000FF"/>
        </w:rPr>
        <w:t>.</w:t>
      </w:r>
      <w:r w:rsidR="00EE5AF6" w:rsidRPr="001B08D4">
        <w:rPr>
          <w:b/>
          <w:noProof/>
          <w:color w:val="0000FF"/>
        </w:rPr>
        <w:t>7.</w:t>
      </w:r>
      <w:r w:rsidR="00095EC9" w:rsidRPr="001B08D4">
        <w:rPr>
          <w:b/>
          <w:noProof/>
          <w:color w:val="0000FF"/>
        </w:rPr>
        <w:t>5</w:t>
      </w:r>
      <w:r w:rsidRPr="001B08D4">
        <w:rPr>
          <w:b/>
          <w:noProof/>
          <w:color w:val="0000FF"/>
        </w:rPr>
        <w:t>.</w:t>
      </w:r>
      <w:r w:rsidRPr="001B08D4">
        <w:rPr>
          <w:i/>
          <w:noProof/>
          <w:color w:val="0000FF"/>
        </w:rPr>
        <w:t xml:space="preserve"> </w:t>
      </w:r>
      <w:r w:rsidR="00496AF8" w:rsidRPr="001B08D4">
        <w:rPr>
          <w:b/>
          <w:noProof/>
        </w:rPr>
        <w:t>How many and what type of study designs are in</w:t>
      </w:r>
      <w:r w:rsidR="006F760B" w:rsidRPr="001B08D4">
        <w:rPr>
          <w:b/>
          <w:noProof/>
        </w:rPr>
        <w:t>c</w:t>
      </w:r>
      <w:r w:rsidR="00496AF8" w:rsidRPr="001B08D4">
        <w:rPr>
          <w:b/>
          <w:noProof/>
        </w:rPr>
        <w:t>luded in the body of evidence</w:t>
      </w:r>
      <w:r w:rsidR="00496AF8" w:rsidRPr="001B08D4">
        <w:rPr>
          <w:noProof/>
        </w:rPr>
        <w:t>? (</w:t>
      </w:r>
      <w:r w:rsidR="00496AF8" w:rsidRPr="001B08D4">
        <w:rPr>
          <w:i/>
          <w:noProof/>
        </w:rPr>
        <w:t>e.g., 3 randomized controlled trials and 1 observational study</w:t>
      </w:r>
      <w:r w:rsidR="00496AF8" w:rsidRPr="001B08D4">
        <w:rPr>
          <w:noProof/>
        </w:rPr>
        <w:t>)</w:t>
      </w:r>
      <w:r w:rsidR="009E37BD" w:rsidRPr="001B08D4">
        <w:rPr>
          <w:noProof/>
        </w:rPr>
        <w:t xml:space="preserve"> </w:t>
      </w:r>
    </w:p>
    <w:p w:rsidR="00496AF8" w:rsidRPr="001B08D4" w:rsidRDefault="00496AF8" w:rsidP="002E2177">
      <w:pPr>
        <w:ind w:left="0" w:firstLine="0"/>
      </w:pPr>
    </w:p>
    <w:p w:rsidR="00496AF8" w:rsidRPr="001B08D4" w:rsidRDefault="001B772D" w:rsidP="002E2177">
      <w:pPr>
        <w:ind w:left="432" w:hanging="432"/>
        <w:rPr>
          <w:iCs/>
        </w:rPr>
      </w:pPr>
      <w:r w:rsidRPr="001B08D4">
        <w:rPr>
          <w:b/>
          <w:color w:val="0000FF"/>
        </w:rPr>
        <w:t>1</w:t>
      </w:r>
      <w:r w:rsidR="00837121" w:rsidRPr="001B08D4">
        <w:rPr>
          <w:b/>
          <w:color w:val="0000FF"/>
        </w:rPr>
        <w:t>a</w:t>
      </w:r>
      <w:r w:rsidRPr="001B08D4">
        <w:rPr>
          <w:b/>
          <w:color w:val="0000FF"/>
        </w:rPr>
        <w:t>.</w:t>
      </w:r>
      <w:r w:rsidR="00EE5AF6" w:rsidRPr="001B08D4">
        <w:rPr>
          <w:b/>
          <w:color w:val="0000FF"/>
        </w:rPr>
        <w:t>7.</w:t>
      </w:r>
      <w:r w:rsidR="00095EC9" w:rsidRPr="001B08D4">
        <w:rPr>
          <w:b/>
          <w:color w:val="0000FF"/>
        </w:rPr>
        <w:t>6</w:t>
      </w:r>
      <w:r w:rsidRPr="001B08D4">
        <w:rPr>
          <w:b/>
          <w:color w:val="0000FF"/>
        </w:rPr>
        <w:t>.</w:t>
      </w:r>
      <w:r w:rsidRPr="001B08D4">
        <w:t xml:space="preserve"> </w:t>
      </w:r>
      <w:proofErr w:type="gramStart"/>
      <w:r w:rsidR="00496AF8" w:rsidRPr="001B08D4">
        <w:rPr>
          <w:b/>
        </w:rPr>
        <w:t>What</w:t>
      </w:r>
      <w:proofErr w:type="gramEnd"/>
      <w:r w:rsidR="00496AF8" w:rsidRPr="001B08D4">
        <w:rPr>
          <w:b/>
        </w:rPr>
        <w:t xml:space="preserve"> is the overall quality of evidence </w:t>
      </w:r>
      <w:r w:rsidR="00496AF8" w:rsidRPr="001B08D4">
        <w:rPr>
          <w:b/>
          <w:u w:val="single"/>
        </w:rPr>
        <w:t>across studies</w:t>
      </w:r>
      <w:r w:rsidR="00496AF8" w:rsidRPr="001B08D4">
        <w:rPr>
          <w:b/>
        </w:rPr>
        <w:t xml:space="preserve"> in the body of evidence</w:t>
      </w:r>
      <w:r w:rsidR="00496AF8" w:rsidRPr="001B08D4">
        <w:t>? (</w:t>
      </w:r>
      <w:proofErr w:type="gramStart"/>
      <w:r w:rsidR="006709EB" w:rsidRPr="001B08D4">
        <w:rPr>
          <w:i/>
        </w:rPr>
        <w:t>discuss</w:t>
      </w:r>
      <w:proofErr w:type="gramEnd"/>
      <w:r w:rsidR="006709EB" w:rsidRPr="001B08D4">
        <w:rPr>
          <w:i/>
        </w:rPr>
        <w:t xml:space="preserve"> the </w:t>
      </w:r>
      <w:r w:rsidR="00496AF8" w:rsidRPr="001B08D4">
        <w:rPr>
          <w:i/>
        </w:rPr>
        <w:t xml:space="preserve">certainty or confidence in the estimates of effect </w:t>
      </w:r>
      <w:r w:rsidR="0039609A" w:rsidRPr="001B08D4">
        <w:rPr>
          <w:i/>
        </w:rPr>
        <w:t xml:space="preserve">particularly in relation </w:t>
      </w:r>
      <w:r w:rsidR="00496AF8" w:rsidRPr="001B08D4">
        <w:rPr>
          <w:i/>
        </w:rPr>
        <w:t>to study factor</w:t>
      </w:r>
      <w:r w:rsidR="000160E6" w:rsidRPr="001B08D4">
        <w:rPr>
          <w:i/>
        </w:rPr>
        <w:t xml:space="preserve">s such as design flaws, </w:t>
      </w:r>
      <w:r w:rsidR="00E57BE2" w:rsidRPr="001B08D4">
        <w:rPr>
          <w:i/>
        </w:rPr>
        <w:t xml:space="preserve">imprecision due to </w:t>
      </w:r>
      <w:r w:rsidR="000160E6" w:rsidRPr="001B08D4">
        <w:rPr>
          <w:i/>
        </w:rPr>
        <w:t xml:space="preserve">small numbers, indirectness </w:t>
      </w:r>
      <w:r w:rsidR="00E57BE2" w:rsidRPr="001B08D4">
        <w:rPr>
          <w:i/>
        </w:rPr>
        <w:t xml:space="preserve">of studies </w:t>
      </w:r>
      <w:r w:rsidR="000160E6" w:rsidRPr="001B08D4">
        <w:rPr>
          <w:i/>
        </w:rPr>
        <w:t>to the measure focus or target population</w:t>
      </w:r>
      <w:r w:rsidR="00496AF8" w:rsidRPr="001B08D4">
        <w:rPr>
          <w:iCs/>
        </w:rPr>
        <w:t>)</w:t>
      </w:r>
      <w:r w:rsidR="000D649E" w:rsidRPr="001B08D4">
        <w:rPr>
          <w:iCs/>
        </w:rPr>
        <w:t xml:space="preserve">  </w:t>
      </w:r>
    </w:p>
    <w:p w:rsidR="00496AF8" w:rsidRPr="00513ABF" w:rsidRDefault="00496AF8" w:rsidP="002E2177">
      <w:pPr>
        <w:ind w:left="0" w:firstLine="0"/>
        <w:rPr>
          <w:highlight w:val="yellow"/>
        </w:rPr>
      </w:pPr>
    </w:p>
    <w:p w:rsidR="00D14F0B" w:rsidRPr="00513ABF" w:rsidRDefault="00D14F0B" w:rsidP="002E2177">
      <w:pPr>
        <w:ind w:left="0" w:firstLine="0"/>
        <w:rPr>
          <w:highlight w:val="yellow"/>
        </w:rPr>
      </w:pPr>
    </w:p>
    <w:p w:rsidR="00496AF8" w:rsidRPr="00457C6B" w:rsidRDefault="00C5180E" w:rsidP="002E2177">
      <w:pPr>
        <w:ind w:left="0" w:firstLine="0"/>
        <w:rPr>
          <w:b/>
        </w:rPr>
      </w:pPr>
      <w:r w:rsidRPr="00457C6B">
        <w:rPr>
          <w:b/>
        </w:rPr>
        <w:t>ESTIMATES OF BENEFIT AND CONSISTENCY ACROSS STUDIES IN BODY OF EVIDENCE</w:t>
      </w:r>
    </w:p>
    <w:p w:rsidR="00496AF8" w:rsidRPr="00457C6B" w:rsidRDefault="001B772D" w:rsidP="002E2177">
      <w:pPr>
        <w:ind w:left="432" w:hanging="432"/>
      </w:pPr>
      <w:r w:rsidRPr="00457C6B">
        <w:rPr>
          <w:b/>
          <w:color w:val="0000FF"/>
        </w:rPr>
        <w:t>1</w:t>
      </w:r>
      <w:r w:rsidR="00837121" w:rsidRPr="00457C6B">
        <w:rPr>
          <w:b/>
          <w:color w:val="0000FF"/>
        </w:rPr>
        <w:t>a</w:t>
      </w:r>
      <w:r w:rsidRPr="00457C6B">
        <w:rPr>
          <w:b/>
          <w:color w:val="0000FF"/>
        </w:rPr>
        <w:t>.</w:t>
      </w:r>
      <w:r w:rsidR="00EE5AF6" w:rsidRPr="00457C6B">
        <w:rPr>
          <w:b/>
          <w:color w:val="0000FF"/>
        </w:rPr>
        <w:t>7.</w:t>
      </w:r>
      <w:r w:rsidR="00095EC9" w:rsidRPr="00457C6B">
        <w:rPr>
          <w:b/>
          <w:color w:val="0000FF"/>
        </w:rPr>
        <w:t>7</w:t>
      </w:r>
      <w:r w:rsidRPr="00457C6B">
        <w:rPr>
          <w:b/>
          <w:color w:val="0000FF"/>
        </w:rPr>
        <w:t>.</w:t>
      </w:r>
      <w:r w:rsidRPr="00457C6B">
        <w:t xml:space="preserve"> </w:t>
      </w:r>
      <w:proofErr w:type="gramStart"/>
      <w:r w:rsidR="00496AF8" w:rsidRPr="00457C6B">
        <w:rPr>
          <w:b/>
        </w:rPr>
        <w:t>What</w:t>
      </w:r>
      <w:proofErr w:type="gramEnd"/>
      <w:r w:rsidR="00496AF8" w:rsidRPr="00457C6B">
        <w:rPr>
          <w:b/>
        </w:rPr>
        <w:t xml:space="preserve"> are </w:t>
      </w:r>
      <w:r w:rsidR="007D5DC6" w:rsidRPr="00457C6B">
        <w:rPr>
          <w:b/>
        </w:rPr>
        <w:t>the estimates</w:t>
      </w:r>
      <w:r w:rsidR="00496AF8" w:rsidRPr="00457C6B">
        <w:rPr>
          <w:b/>
        </w:rPr>
        <w:t xml:space="preserve"> of benefit—magnitude and direction of effect on outcome</w:t>
      </w:r>
      <w:r w:rsidR="00734949" w:rsidRPr="00457C6B">
        <w:rPr>
          <w:b/>
        </w:rPr>
        <w:t>(s)</w:t>
      </w:r>
      <w:r w:rsidR="00496AF8" w:rsidRPr="00457C6B">
        <w:rPr>
          <w:b/>
        </w:rPr>
        <w:t xml:space="preserve"> </w:t>
      </w:r>
      <w:r w:rsidR="00496AF8" w:rsidRPr="00457C6B">
        <w:rPr>
          <w:b/>
          <w:u w:val="single"/>
        </w:rPr>
        <w:t>across studies</w:t>
      </w:r>
      <w:r w:rsidR="00496AF8" w:rsidRPr="00457C6B">
        <w:rPr>
          <w:b/>
        </w:rPr>
        <w:t xml:space="preserve"> in the body of evidence</w:t>
      </w:r>
      <w:r w:rsidR="00496AF8" w:rsidRPr="00457C6B">
        <w:t>?</w:t>
      </w:r>
      <w:r w:rsidR="002A6777" w:rsidRPr="00457C6B">
        <w:t xml:space="preserve"> (</w:t>
      </w:r>
      <w:r w:rsidR="002A6777" w:rsidRPr="00457C6B">
        <w:rPr>
          <w:i/>
        </w:rPr>
        <w:t xml:space="preserve">e.g., </w:t>
      </w:r>
      <w:r w:rsidR="000160E6" w:rsidRPr="00457C6B">
        <w:rPr>
          <w:i/>
        </w:rPr>
        <w:t xml:space="preserve">ranges of percentages or odds ratios for </w:t>
      </w:r>
      <w:r w:rsidR="0068184A" w:rsidRPr="00457C6B">
        <w:rPr>
          <w:i/>
        </w:rPr>
        <w:t xml:space="preserve">improvement/ </w:t>
      </w:r>
      <w:r w:rsidR="007D5DC6" w:rsidRPr="00457C6B">
        <w:rPr>
          <w:i/>
        </w:rPr>
        <w:t>decline across</w:t>
      </w:r>
      <w:r w:rsidR="005B0D18" w:rsidRPr="00457C6B">
        <w:rPr>
          <w:i/>
        </w:rPr>
        <w:t xml:space="preserve"> studies, </w:t>
      </w:r>
      <w:r w:rsidR="0068184A" w:rsidRPr="00457C6B">
        <w:rPr>
          <w:i/>
        </w:rPr>
        <w:t>results of meta-analysis, and statistical significance</w:t>
      </w:r>
      <w:r w:rsidR="005B0D18" w:rsidRPr="00457C6B">
        <w:t>)</w:t>
      </w:r>
      <w:r w:rsidR="000D649E" w:rsidRPr="00457C6B">
        <w:t xml:space="preserve">  </w:t>
      </w:r>
    </w:p>
    <w:p w:rsidR="00496AF8" w:rsidRPr="00457C6B" w:rsidRDefault="00496AF8" w:rsidP="002E2177">
      <w:pPr>
        <w:ind w:left="0" w:firstLine="0"/>
      </w:pPr>
    </w:p>
    <w:p w:rsidR="009B5BEA" w:rsidRPr="00457C6B" w:rsidRDefault="009B5BEA" w:rsidP="002E2177">
      <w:pPr>
        <w:ind w:left="0" w:firstLine="0"/>
      </w:pPr>
    </w:p>
    <w:p w:rsidR="00496AF8" w:rsidRPr="00457C6B" w:rsidRDefault="001B772D" w:rsidP="002E2177">
      <w:pPr>
        <w:ind w:left="0" w:firstLine="0"/>
      </w:pPr>
      <w:r w:rsidRPr="00457C6B">
        <w:rPr>
          <w:b/>
          <w:color w:val="0000FF"/>
        </w:rPr>
        <w:t>1</w:t>
      </w:r>
      <w:r w:rsidR="00837121" w:rsidRPr="00457C6B">
        <w:rPr>
          <w:b/>
          <w:color w:val="0000FF"/>
        </w:rPr>
        <w:t>a</w:t>
      </w:r>
      <w:r w:rsidRPr="00457C6B">
        <w:rPr>
          <w:b/>
          <w:color w:val="0000FF"/>
        </w:rPr>
        <w:t>.</w:t>
      </w:r>
      <w:r w:rsidR="00EE5AF6" w:rsidRPr="00457C6B">
        <w:rPr>
          <w:b/>
          <w:color w:val="0000FF"/>
        </w:rPr>
        <w:t>7.</w:t>
      </w:r>
      <w:r w:rsidR="00095EC9" w:rsidRPr="00457C6B">
        <w:rPr>
          <w:b/>
          <w:color w:val="0000FF"/>
        </w:rPr>
        <w:t>8</w:t>
      </w:r>
      <w:r w:rsidRPr="00457C6B">
        <w:rPr>
          <w:b/>
          <w:color w:val="0000FF"/>
        </w:rPr>
        <w:t>.</w:t>
      </w:r>
      <w:r w:rsidRPr="00457C6B">
        <w:t xml:space="preserve"> </w:t>
      </w:r>
      <w:proofErr w:type="gramStart"/>
      <w:r w:rsidR="00496AF8" w:rsidRPr="00457C6B">
        <w:rPr>
          <w:b/>
        </w:rPr>
        <w:t>What</w:t>
      </w:r>
      <w:proofErr w:type="gramEnd"/>
      <w:r w:rsidR="00496AF8" w:rsidRPr="00457C6B">
        <w:rPr>
          <w:b/>
        </w:rPr>
        <w:t xml:space="preserve"> harms were studied and how do they affect the net benefit</w:t>
      </w:r>
      <w:r w:rsidR="00EE1F87" w:rsidRPr="00457C6B" w:rsidDel="00EE1F87">
        <w:rPr>
          <w:b/>
        </w:rPr>
        <w:t xml:space="preserve"> </w:t>
      </w:r>
      <w:r w:rsidR="00EE1F87" w:rsidRPr="00457C6B">
        <w:rPr>
          <w:b/>
        </w:rPr>
        <w:t>(</w:t>
      </w:r>
      <w:r w:rsidR="00496AF8" w:rsidRPr="00457C6B">
        <w:rPr>
          <w:b/>
        </w:rPr>
        <w:t>benefits over harms</w:t>
      </w:r>
      <w:r w:rsidR="00EE1F87" w:rsidRPr="00457C6B">
        <w:rPr>
          <w:b/>
        </w:rPr>
        <w:t>)</w:t>
      </w:r>
      <w:r w:rsidR="00496AF8" w:rsidRPr="00457C6B">
        <w:rPr>
          <w:b/>
        </w:rPr>
        <w:t>?</w:t>
      </w:r>
      <w:r w:rsidR="00D14F0B" w:rsidRPr="00457C6B">
        <w:t xml:space="preserve"> </w:t>
      </w:r>
    </w:p>
    <w:p w:rsidR="00496AF8" w:rsidRPr="00457C6B" w:rsidRDefault="00496AF8" w:rsidP="002E2177">
      <w:pPr>
        <w:ind w:left="0" w:firstLine="0"/>
      </w:pPr>
    </w:p>
    <w:p w:rsidR="00496AF8" w:rsidRPr="00457C6B" w:rsidRDefault="00496AF8" w:rsidP="002E2177">
      <w:pPr>
        <w:ind w:left="0" w:firstLine="0"/>
      </w:pPr>
    </w:p>
    <w:p w:rsidR="00496AF8" w:rsidRPr="00457C6B" w:rsidRDefault="00C5180E" w:rsidP="002E2177">
      <w:pPr>
        <w:ind w:left="0" w:firstLine="0"/>
        <w:rPr>
          <w:b/>
          <w:noProof/>
        </w:rPr>
      </w:pPr>
      <w:r w:rsidRPr="00457C6B">
        <w:rPr>
          <w:b/>
          <w:noProof/>
        </w:rPr>
        <w:t>UPDATE TO THE SYSTEMATIC REVIEW(S) OF THE BODY OF EVIDENCE</w:t>
      </w:r>
    </w:p>
    <w:p w:rsidR="00496AF8" w:rsidRPr="003B1CC5" w:rsidRDefault="001B772D" w:rsidP="002E2177">
      <w:pPr>
        <w:ind w:left="432" w:hanging="432"/>
      </w:pPr>
      <w:r w:rsidRPr="00457C6B">
        <w:rPr>
          <w:b/>
          <w:noProof/>
          <w:color w:val="0000FF"/>
        </w:rPr>
        <w:t>1</w:t>
      </w:r>
      <w:r w:rsidR="00837121" w:rsidRPr="00457C6B">
        <w:rPr>
          <w:b/>
          <w:noProof/>
          <w:color w:val="0000FF"/>
        </w:rPr>
        <w:t>a</w:t>
      </w:r>
      <w:r w:rsidRPr="00457C6B">
        <w:rPr>
          <w:b/>
          <w:noProof/>
          <w:color w:val="0000FF"/>
        </w:rPr>
        <w:t>.</w:t>
      </w:r>
      <w:r w:rsidR="00773485" w:rsidRPr="00457C6B">
        <w:rPr>
          <w:b/>
          <w:noProof/>
          <w:color w:val="0000FF"/>
        </w:rPr>
        <w:t>7.</w:t>
      </w:r>
      <w:r w:rsidR="00C84623" w:rsidRPr="00457C6B">
        <w:rPr>
          <w:b/>
          <w:noProof/>
          <w:color w:val="0000FF"/>
        </w:rPr>
        <w:t>9</w:t>
      </w:r>
      <w:r w:rsidRPr="00457C6B">
        <w:rPr>
          <w:b/>
          <w:noProof/>
          <w:color w:val="0000FF"/>
        </w:rPr>
        <w:t>.</w:t>
      </w:r>
      <w:r w:rsidRPr="00457C6B">
        <w:rPr>
          <w:noProof/>
        </w:rPr>
        <w:t xml:space="preserve"> </w:t>
      </w:r>
      <w:r w:rsidR="00837121" w:rsidRPr="00457C6B">
        <w:rPr>
          <w:b/>
          <w:noProof/>
        </w:rPr>
        <w:t xml:space="preserve">If </w:t>
      </w:r>
      <w:r w:rsidR="00496AF8" w:rsidRPr="00457C6B">
        <w:rPr>
          <w:b/>
          <w:noProof/>
        </w:rPr>
        <w:t>new studies have been conducted</w:t>
      </w:r>
      <w:r w:rsidR="00837121" w:rsidRPr="00457C6B">
        <w:rPr>
          <w:b/>
          <w:noProof/>
        </w:rPr>
        <w:t xml:space="preserve"> since the systematic review </w:t>
      </w:r>
      <w:r w:rsidR="00496AF8" w:rsidRPr="00457C6B">
        <w:rPr>
          <w:b/>
          <w:noProof/>
        </w:rPr>
        <w:t>of the body of evidence</w:t>
      </w:r>
      <w:r w:rsidR="0094689F" w:rsidRPr="00457C6B">
        <w:rPr>
          <w:b/>
          <w:noProof/>
        </w:rPr>
        <w:t xml:space="preserve">, provide for </w:t>
      </w:r>
      <w:r w:rsidR="00496AF8" w:rsidRPr="00457C6B">
        <w:rPr>
          <w:b/>
          <w:noProof/>
          <w:u w:val="single"/>
        </w:rPr>
        <w:t>each</w:t>
      </w:r>
      <w:r w:rsidR="00496AF8" w:rsidRPr="00457C6B">
        <w:rPr>
          <w:b/>
          <w:noProof/>
        </w:rPr>
        <w:t xml:space="preserve"> </w:t>
      </w:r>
      <w:r w:rsidR="002875E9" w:rsidRPr="00457C6B">
        <w:rPr>
          <w:b/>
          <w:noProof/>
        </w:rPr>
        <w:t xml:space="preserve">new </w:t>
      </w:r>
      <w:r w:rsidR="0094689F" w:rsidRPr="00457C6B">
        <w:rPr>
          <w:b/>
          <w:noProof/>
        </w:rPr>
        <w:t>study</w:t>
      </w:r>
      <w:r w:rsidR="00496AF8" w:rsidRPr="00457C6B">
        <w:rPr>
          <w:b/>
          <w:noProof/>
        </w:rPr>
        <w:t xml:space="preserve">: </w:t>
      </w:r>
      <w:r w:rsidR="006709EB" w:rsidRPr="00457C6B">
        <w:rPr>
          <w:b/>
          <w:noProof/>
        </w:rPr>
        <w:t>1</w:t>
      </w:r>
      <w:r w:rsidR="00496AF8" w:rsidRPr="00457C6B">
        <w:rPr>
          <w:b/>
          <w:noProof/>
        </w:rPr>
        <w:t>) citation, 2) description, 3) results, 4) impact on conclusions of systematic review</w:t>
      </w:r>
      <w:r w:rsidR="00496AF8" w:rsidRPr="00457C6B">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BoldItalic">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430C7D">
      <w:rPr>
        <w:noProof/>
      </w:rPr>
      <w:t>5</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A0A82"/>
    <w:rsid w:val="000B627F"/>
    <w:rsid w:val="000C1744"/>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08D4"/>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30C7D"/>
    <w:rsid w:val="00440687"/>
    <w:rsid w:val="0044131D"/>
    <w:rsid w:val="00441ADA"/>
    <w:rsid w:val="00457C6B"/>
    <w:rsid w:val="00457E46"/>
    <w:rsid w:val="00496AF8"/>
    <w:rsid w:val="004A575D"/>
    <w:rsid w:val="004B65C6"/>
    <w:rsid w:val="004D1DC7"/>
    <w:rsid w:val="004F7D7E"/>
    <w:rsid w:val="00500B0C"/>
    <w:rsid w:val="00513ABF"/>
    <w:rsid w:val="00537150"/>
    <w:rsid w:val="00540984"/>
    <w:rsid w:val="00543851"/>
    <w:rsid w:val="0055559D"/>
    <w:rsid w:val="005569AE"/>
    <w:rsid w:val="005628FB"/>
    <w:rsid w:val="005857F8"/>
    <w:rsid w:val="005B0D18"/>
    <w:rsid w:val="005B12C3"/>
    <w:rsid w:val="005B409D"/>
    <w:rsid w:val="005D0FDB"/>
    <w:rsid w:val="005D25E9"/>
    <w:rsid w:val="005D6D59"/>
    <w:rsid w:val="00617390"/>
    <w:rsid w:val="00623420"/>
    <w:rsid w:val="00630FFE"/>
    <w:rsid w:val="00634768"/>
    <w:rsid w:val="0063596F"/>
    <w:rsid w:val="006709EB"/>
    <w:rsid w:val="00672824"/>
    <w:rsid w:val="0068184A"/>
    <w:rsid w:val="006B5C51"/>
    <w:rsid w:val="006C7F30"/>
    <w:rsid w:val="006E35D1"/>
    <w:rsid w:val="006E6FDD"/>
    <w:rsid w:val="006F4B7F"/>
    <w:rsid w:val="006F760B"/>
    <w:rsid w:val="00701CC3"/>
    <w:rsid w:val="00724801"/>
    <w:rsid w:val="00734949"/>
    <w:rsid w:val="00736AEC"/>
    <w:rsid w:val="00736E0F"/>
    <w:rsid w:val="007434FA"/>
    <w:rsid w:val="007573F0"/>
    <w:rsid w:val="00765156"/>
    <w:rsid w:val="00767669"/>
    <w:rsid w:val="00773485"/>
    <w:rsid w:val="0077435E"/>
    <w:rsid w:val="00776E8F"/>
    <w:rsid w:val="00776F6D"/>
    <w:rsid w:val="0079728C"/>
    <w:rsid w:val="007C0297"/>
    <w:rsid w:val="007C1887"/>
    <w:rsid w:val="007D4235"/>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96527"/>
    <w:rsid w:val="008A45F3"/>
    <w:rsid w:val="008B51D9"/>
    <w:rsid w:val="008B652E"/>
    <w:rsid w:val="008F1DC6"/>
    <w:rsid w:val="00905C5B"/>
    <w:rsid w:val="00923295"/>
    <w:rsid w:val="00925F11"/>
    <w:rsid w:val="00935265"/>
    <w:rsid w:val="00940FB3"/>
    <w:rsid w:val="009414C2"/>
    <w:rsid w:val="0094689F"/>
    <w:rsid w:val="009477D6"/>
    <w:rsid w:val="00953ED3"/>
    <w:rsid w:val="00965FF6"/>
    <w:rsid w:val="009846D6"/>
    <w:rsid w:val="0098657F"/>
    <w:rsid w:val="009A3109"/>
    <w:rsid w:val="009A3236"/>
    <w:rsid w:val="009B5A93"/>
    <w:rsid w:val="009B5BEA"/>
    <w:rsid w:val="009C291F"/>
    <w:rsid w:val="009E02C8"/>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3388B"/>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14027"/>
    <w:rsid w:val="00F42C20"/>
    <w:rsid w:val="00F431D8"/>
    <w:rsid w:val="00F55B1B"/>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93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circ.ahajournals.org/content/110/5/588.full"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circ.ahajournals.org/content/110/5/588/T1.expansion.html" TargetMode="External"/><Relationship Id="rId10" Type="http://schemas.openxmlformats.org/officeDocument/2006/relationships/hyperlink" Target="http://www.uspreventiveservicestaskforce.org/uspstf/grades.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BoldItalic">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F21F3"/>
    <w:rsid w:val="008F6A9B"/>
    <w:rsid w:val="00944B99"/>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79291-9827-46C5-A9A3-9AE75EC04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6</Pages>
  <Words>2535</Words>
  <Characters>14450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OFMQ</cp:lastModifiedBy>
  <cp:revision>10</cp:revision>
  <dcterms:created xsi:type="dcterms:W3CDTF">2014-01-24T17:03:00Z</dcterms:created>
  <dcterms:modified xsi:type="dcterms:W3CDTF">2014-01-28T22:03:00Z</dcterms:modified>
</cp:coreProperties>
</file>