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2b2-2b</w:t>
      </w:r>
      <w:r w:rsidR="00915886">
        <w:rPr>
          <w:rFonts w:cstheme="minorHAnsi"/>
          <w:b/>
          <w:noProof/>
        </w:rPr>
        <w:t>7</w:t>
      </w:r>
      <w:r>
        <w:rPr>
          <w:rFonts w:cstheme="minorHAnsi"/>
          <w:b/>
          <w:noProof/>
        </w:rPr>
        <w:t>)</w:t>
      </w:r>
    </w:p>
    <w:p w:rsidR="00797624" w:rsidRDefault="00797624" w:rsidP="00105D8B">
      <w:pPr>
        <w:contextualSpacing/>
        <w:rPr>
          <w:rFonts w:cstheme="minorHAnsi"/>
          <w:b/>
          <w:noProof/>
        </w:rPr>
      </w:pPr>
    </w:p>
    <w:p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D30F7C">
            <w:rPr>
              <w:rStyle w:val="Style1"/>
            </w:rPr>
            <w:t>0</w:t>
          </w:r>
          <w:r w:rsidR="00960960">
            <w:rPr>
              <w:rStyle w:val="Style1"/>
            </w:rPr>
            <w:t>2</w:t>
          </w:r>
          <w:r w:rsidR="00D30F7C">
            <w:rPr>
              <w:rStyle w:val="Style1"/>
            </w:rPr>
            <w:t>89</w:t>
          </w:r>
        </w:sdtContent>
      </w:sdt>
    </w:p>
    <w:p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r w:rsidR="00D30F7C" w:rsidRPr="00D30F7C">
            <w:rPr>
              <w:rStyle w:val="Style1"/>
              <w:rFonts w:cstheme="minorHAnsi"/>
            </w:rPr>
            <w:t>Median Time to ECG</w:t>
          </w:r>
        </w:sdtContent>
      </w:sdt>
    </w:p>
    <w:p w:rsidR="005C73CA" w:rsidRDefault="00105D8B" w:rsidP="009E1846">
      <w:pPr>
        <w:spacing w:after="0"/>
        <w:rPr>
          <w:rStyle w:val="Style2"/>
          <w:rFonts w:cstheme="minorHAnsi"/>
        </w:rPr>
      </w:pPr>
      <w:r w:rsidRPr="00A25024">
        <w:rPr>
          <w:rFonts w:cstheme="minorHAnsi"/>
          <w:b/>
          <w:noProof/>
        </w:rPr>
        <w:t>Date of Submission</w:t>
      </w:r>
      <w:r w:rsidRPr="00A25024">
        <w:rPr>
          <w:rFonts w:cstheme="minorHAnsi"/>
          <w:noProof/>
        </w:rPr>
        <w:t xml:space="preserve">:  </w:t>
      </w:r>
      <w:sdt>
        <w:sdtPr>
          <w:rPr>
            <w:rStyle w:val="Style2"/>
            <w:rFonts w:cstheme="minorHAnsi"/>
          </w:rPr>
          <w:id w:val="-1689821638"/>
          <w:placeholder>
            <w:docPart w:val="D0A5AE3409394D21BA5FA5F27780E302"/>
          </w:placeholder>
          <w:date w:fullDate="2014-01-31T00:00:00Z">
            <w:dateFormat w:val="M/d/yyyy"/>
            <w:lid w:val="en-US"/>
            <w:storeMappedDataAs w:val="dateTime"/>
            <w:calendar w:val="gregorian"/>
          </w:date>
        </w:sdtPr>
        <w:sdtEndPr>
          <w:rPr>
            <w:rStyle w:val="DefaultParagraphFont"/>
            <w:noProof/>
            <w:color w:val="auto"/>
            <w:u w:val="none"/>
          </w:rPr>
        </w:sdtEndPr>
        <w:sdtContent>
          <w:r w:rsidR="00D30F7C">
            <w:rPr>
              <w:rStyle w:val="Style2"/>
              <w:rFonts w:cstheme="minorHAnsi"/>
            </w:rPr>
            <w:t>1/31/2014</w:t>
          </w:r>
        </w:sdtContent>
      </w:sdt>
    </w:p>
    <w:p w:rsidR="00CD364B" w:rsidRPr="009E1846" w:rsidRDefault="009E1846" w:rsidP="009E1846">
      <w:pPr>
        <w:spacing w:after="0"/>
        <w:rPr>
          <w:rFonts w:cstheme="minorHAnsi"/>
          <w:b/>
        </w:rPr>
      </w:pPr>
      <w:r>
        <w:rPr>
          <w:rStyle w:val="Style2"/>
          <w:rFonts w:cstheme="minorHAnsi"/>
          <w:b/>
          <w:color w:val="auto"/>
          <w:u w:val="none"/>
        </w:rPr>
        <w:t>Type of Measure:</w:t>
      </w:r>
    </w:p>
    <w:tbl>
      <w:tblPr>
        <w:tblStyle w:val="TableGrid"/>
        <w:tblW w:w="500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878"/>
        <w:gridCol w:w="4698"/>
      </w:tblGrid>
      <w:tr w:rsidR="00CD364B" w:rsidRPr="00B82A57" w:rsidTr="000B3880">
        <w:trPr>
          <w:jc w:val="center"/>
        </w:trPr>
        <w:tc>
          <w:tcPr>
            <w:tcW w:w="2547"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14062170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CD364B" w:rsidRPr="00B82A57">
              <w:rPr>
                <w:rFonts w:cstheme="minorHAnsi"/>
                <w:bCs/>
              </w:rPr>
              <w:t>Composite</w:t>
            </w:r>
            <w:r w:rsidR="00BC03A1">
              <w:rPr>
                <w:rFonts w:cstheme="minorHAnsi"/>
                <w:bCs/>
              </w:rPr>
              <w:t xml:space="preserve"> – </w:t>
            </w:r>
            <w:r w:rsidR="000B3880">
              <w:rPr>
                <w:rFonts w:cstheme="minorHAnsi"/>
                <w:b/>
                <w:bCs/>
                <w:i/>
              </w:rPr>
              <w:t xml:space="preserve">STOP – </w:t>
            </w:r>
            <w:r w:rsidR="00BC03A1" w:rsidRPr="00BC03A1">
              <w:rPr>
                <w:rFonts w:cstheme="minorHAnsi"/>
                <w:b/>
                <w:bCs/>
                <w:i/>
              </w:rPr>
              <w:t xml:space="preserve">use composite </w:t>
            </w:r>
            <w:r w:rsidR="000B3880">
              <w:rPr>
                <w:rFonts w:cstheme="minorHAnsi"/>
                <w:b/>
                <w:bCs/>
                <w:i/>
              </w:rPr>
              <w:t xml:space="preserve">testing </w:t>
            </w:r>
            <w:r w:rsidR="00BC03A1" w:rsidRPr="00BC03A1">
              <w:rPr>
                <w:rFonts w:cstheme="minorHAnsi"/>
                <w:b/>
                <w:bCs/>
                <w:i/>
              </w:rPr>
              <w:t>form</w:t>
            </w:r>
          </w:p>
        </w:tc>
        <w:tc>
          <w:tcPr>
            <w:tcW w:w="2453"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cstheme="minorHAnsi"/>
                <w:bCs/>
              </w:rPr>
              <w:t>Outcome</w:t>
            </w:r>
            <w:r w:rsidR="00BC0D25">
              <w:rPr>
                <w:rFonts w:cstheme="minorHAnsi"/>
                <w:bCs/>
              </w:rPr>
              <w:t xml:space="preserve"> (</w:t>
            </w:r>
            <w:r w:rsidR="00BC0D25" w:rsidRPr="00BC0D25">
              <w:rPr>
                <w:rFonts w:cstheme="minorHAnsi"/>
                <w:bCs/>
                <w:i/>
              </w:rPr>
              <w:t>including PRO-PM</w:t>
            </w:r>
            <w:r w:rsidR="00BC0D25">
              <w:rPr>
                <w:rFonts w:cstheme="minorHAnsi"/>
                <w:bCs/>
              </w:rPr>
              <w:t>)</w:t>
            </w:r>
          </w:p>
        </w:tc>
      </w:tr>
      <w:tr w:rsidR="00CD364B" w:rsidRPr="00B82A57" w:rsidTr="000B3880">
        <w:trPr>
          <w:jc w:val="center"/>
        </w:trPr>
        <w:tc>
          <w:tcPr>
            <w:tcW w:w="2547"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162955368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Cost/resource</w:t>
            </w:r>
          </w:p>
        </w:tc>
        <w:tc>
          <w:tcPr>
            <w:tcW w:w="2453"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195293306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Process</w:t>
            </w:r>
          </w:p>
        </w:tc>
      </w:tr>
      <w:tr w:rsidR="00CD364B" w:rsidRPr="00B82A57" w:rsidTr="000B3880">
        <w:trPr>
          <w:jc w:val="center"/>
        </w:trPr>
        <w:tc>
          <w:tcPr>
            <w:tcW w:w="2547"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1581719781"/>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Efficiency</w:t>
            </w:r>
          </w:p>
        </w:tc>
        <w:tc>
          <w:tcPr>
            <w:tcW w:w="2453" w:type="pct"/>
          </w:tcPr>
          <w:p w:rsidR="00CD364B" w:rsidRPr="00B82A57" w:rsidRDefault="003729A4"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sidRPr="00B82A57">
              <w:rPr>
                <w:rFonts w:cstheme="minorHAnsi"/>
                <w:bCs/>
              </w:rPr>
              <w:t xml:space="preserve"> </w:t>
            </w:r>
            <w:r w:rsidR="00CD364B" w:rsidRPr="00B82A57">
              <w:rPr>
                <w:rFonts w:eastAsia="MS Gothic" w:cstheme="minorHAnsi"/>
                <w:bCs/>
              </w:rPr>
              <w:t>Structure</w:t>
            </w:r>
          </w:p>
        </w:tc>
      </w:tr>
    </w:tbl>
    <w:p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702C73" w:rsidTr="00145149">
        <w:trPr>
          <w:jc w:val="center"/>
        </w:trPr>
        <w:tc>
          <w:tcPr>
            <w:tcW w:w="9576" w:type="dxa"/>
          </w:tcPr>
          <w:p w:rsidR="00B53E8B" w:rsidRPr="00B53E8B" w:rsidRDefault="00B53E8B" w:rsidP="00B53E8B">
            <w:pPr>
              <w:rPr>
                <w:rFonts w:cstheme="minorHAnsi"/>
                <w:b/>
                <w:noProof/>
              </w:rPr>
            </w:pPr>
            <w:r w:rsidRPr="00B53E8B">
              <w:rPr>
                <w:rFonts w:cstheme="minorHAnsi"/>
                <w:b/>
                <w:noProof/>
              </w:rPr>
              <w:t>Instructions</w:t>
            </w:r>
          </w:p>
          <w:p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Pr="00053F02">
              <w:rPr>
                <w:rFonts w:cstheme="minorHAnsi"/>
                <w:b/>
                <w:noProof/>
              </w:rPr>
              <w:t xml:space="preserve"> measures, sections 1, 2a2, 2b2, 2b3, </w:t>
            </w:r>
            <w:r w:rsidR="004D4D8A">
              <w:rPr>
                <w:rFonts w:cstheme="minorHAnsi"/>
                <w:b/>
                <w:noProof/>
              </w:rPr>
              <w:t xml:space="preserve">and </w:t>
            </w:r>
            <w:r w:rsidRPr="00053F02">
              <w:rPr>
                <w:rFonts w:cstheme="minorHAnsi"/>
                <w:b/>
                <w:noProof/>
              </w:rPr>
              <w:t>2b5 must be completed</w:t>
            </w:r>
            <w:r w:rsidR="00E96884">
              <w:rPr>
                <w:rFonts w:cstheme="minorHAnsi"/>
                <w:b/>
                <w:noProof/>
              </w:rPr>
              <w:t>.</w:t>
            </w:r>
          </w:p>
          <w:p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Pr="00053F02">
              <w:rPr>
                <w:rFonts w:cstheme="minorHAnsi"/>
                <w:b/>
                <w:noProof/>
              </w:rPr>
              <w:t>2b4</w:t>
            </w:r>
            <w:r>
              <w:rPr>
                <w:rFonts w:cstheme="minorHAnsi"/>
                <w:noProof/>
              </w:rPr>
              <w:t xml:space="preserve"> also must be completed</w:t>
            </w:r>
            <w:r w:rsidR="00892176">
              <w:rPr>
                <w:rFonts w:cstheme="minorHAnsi"/>
                <w:noProof/>
              </w:rPr>
              <w:t>.</w:t>
            </w:r>
          </w:p>
          <w:p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1E0C0E">
              <w:rPr>
                <w:rFonts w:cstheme="minorHAnsi"/>
                <w:b/>
                <w:noProof/>
                <w:u w:val="single"/>
              </w:rPr>
              <w:t>/sets of specifica</w:t>
            </w:r>
            <w:r w:rsidR="004D4D8A">
              <w:rPr>
                <w:rFonts w:cstheme="minorHAnsi"/>
                <w:b/>
                <w:noProof/>
                <w:u w:val="single"/>
              </w:rPr>
              <w:t>t</w:t>
            </w:r>
            <w:r w:rsidR="001E0C0E">
              <w:rPr>
                <w:rFonts w:cstheme="minorHAnsi"/>
                <w:b/>
                <w:noProof/>
                <w:u w:val="single"/>
              </w:rPr>
              <w:t>i</w:t>
            </w:r>
            <w:r w:rsidR="004D4D8A">
              <w:rPr>
                <w:rFonts w:cstheme="minorHAnsi"/>
                <w:b/>
                <w:noProof/>
                <w:u w:val="single"/>
              </w:rPr>
              <w: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Pr="00053F02">
              <w:rPr>
                <w:rFonts w:cstheme="minorHAnsi"/>
                <w:b/>
                <w:noProof/>
              </w:rPr>
              <w:t>2b6</w:t>
            </w:r>
            <w:r>
              <w:rPr>
                <w:rFonts w:cstheme="minorHAnsi"/>
                <w:noProof/>
              </w:rPr>
              <w:t xml:space="preserve"> also must be completed</w:t>
            </w:r>
            <w:r w:rsidR="001E0C0E">
              <w:rPr>
                <w:rFonts w:cstheme="minorHAnsi"/>
                <w:noProof/>
              </w:rPr>
              <w:t>.</w:t>
            </w:r>
          </w:p>
          <w:p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r w:rsidR="008F589F">
              <w:t>subcriteria for reliability (2a</w:t>
            </w:r>
            <w:r w:rsidR="00145149">
              <w:t>2</w:t>
            </w:r>
            <w:r w:rsidR="008F589F">
              <w:t>) and validity (2b</w:t>
            </w:r>
            <w:r w:rsidR="00145149">
              <w:t>2-2b6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rsidR="00904E91" w:rsidRPr="008F589F" w:rsidRDefault="009D7E38" w:rsidP="008F589F">
            <w:pPr>
              <w:pStyle w:val="ListParagraph"/>
              <w:numPr>
                <w:ilvl w:val="0"/>
                <w:numId w:val="6"/>
              </w:numPr>
              <w:rPr>
                <w:rFonts w:cstheme="minorHAnsi"/>
                <w:noProof/>
              </w:rPr>
            </w:pPr>
            <w:r>
              <w:rPr>
                <w:rFonts w:cstheme="minorHAnsi"/>
                <w:noProof/>
              </w:rPr>
              <w:t>Maximum of 20</w:t>
            </w:r>
            <w:r w:rsidR="00702C73" w:rsidRPr="006269D4">
              <w:rPr>
                <w:rFonts w:cstheme="minorHAnsi"/>
                <w:noProof/>
              </w:rPr>
              <w:t xml:space="preserve"> pages (</w:t>
            </w:r>
            <w:r w:rsidR="00702C73">
              <w:rPr>
                <w:rFonts w:cstheme="minorHAnsi"/>
                <w:i/>
                <w:noProof/>
              </w:rPr>
              <w:t>incuding</w:t>
            </w:r>
            <w:r w:rsidR="00702C73" w:rsidRPr="006269D4">
              <w:rPr>
                <w:rFonts w:cstheme="minorHAnsi"/>
                <w:i/>
                <w:noProof/>
              </w:rPr>
              <w:t xml:space="preserve"> qu</w:t>
            </w:r>
            <w:r w:rsidR="00702C73">
              <w:rPr>
                <w:rFonts w:cstheme="minorHAnsi"/>
                <w:i/>
                <w:noProof/>
              </w:rPr>
              <w:t xml:space="preserve">estions/instructions; </w:t>
            </w:r>
            <w:r w:rsidR="00977591">
              <w:t>minimum font size 11 pt; do not change margins</w:t>
            </w:r>
            <w:r>
              <w:t>)</w:t>
            </w:r>
            <w:r w:rsidR="00977591">
              <w:t xml:space="preserve">. </w:t>
            </w:r>
            <w:r w:rsidR="00977591" w:rsidRPr="000D6D06">
              <w:rPr>
                <w:b/>
                <w:i/>
              </w:rPr>
              <w:t xml:space="preserve">Contact </w:t>
            </w:r>
            <w:r w:rsidR="00977591">
              <w:rPr>
                <w:b/>
                <w:i/>
              </w:rPr>
              <w:t>NQF staff if more pages are needed</w:t>
            </w:r>
            <w:r w:rsidR="00977591" w:rsidRPr="000D6D06">
              <w:rPr>
                <w:b/>
                <w:i/>
              </w:rPr>
              <w:t>.</w:t>
            </w:r>
          </w:p>
          <w:p w:rsidR="00904E91"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9" w:history="1">
              <w:r w:rsidR="00145149" w:rsidRPr="00145149">
                <w:rPr>
                  <w:rStyle w:val="Hyperlink"/>
                </w:rPr>
                <w:t>Submitting Standards webpage</w:t>
              </w:r>
            </w:hyperlink>
            <w:r w:rsidR="00145149">
              <w:t>.</w:t>
            </w:r>
          </w:p>
        </w:tc>
      </w:tr>
    </w:tbl>
    <w:p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534"/>
      </w:tblGrid>
      <w:tr w:rsidR="00BC0D25" w:rsidRPr="00A831B4" w:rsidTr="00145149">
        <w:trPr>
          <w:jc w:val="center"/>
        </w:trPr>
        <w:tc>
          <w:tcPr>
            <w:tcW w:w="9576" w:type="dxa"/>
          </w:tcPr>
          <w:p w:rsidR="00B53E8B" w:rsidRPr="000F034A" w:rsidRDefault="00B53E8B" w:rsidP="00702C73">
            <w:pPr>
              <w:rPr>
                <w:rFonts w:cstheme="minorHAnsi"/>
                <w:b/>
                <w:bCs/>
              </w:rPr>
            </w:pPr>
            <w:r w:rsidRPr="000F034A">
              <w:rPr>
                <w:b/>
                <w:bCs/>
                <w:u w:val="single"/>
              </w:rPr>
              <w:t>Note</w:t>
            </w:r>
            <w:r w:rsidRPr="000F034A">
              <w:rPr>
                <w:b/>
                <w:bCs/>
              </w:rPr>
              <w:t>: The information provided in this form is intended to aid the Steering Committee and other stakeholders in understanding to what degree the testing results for this measure meet NQF’s evaluation criteria</w:t>
            </w:r>
            <w:r w:rsidR="000E78F6" w:rsidRPr="000F034A">
              <w:rPr>
                <w:b/>
                <w:bCs/>
              </w:rPr>
              <w:t xml:space="preserve"> for testing</w:t>
            </w:r>
            <w:r w:rsidRPr="000F034A">
              <w:rPr>
                <w:b/>
                <w:bCs/>
              </w:rPr>
              <w:t>.</w:t>
            </w:r>
          </w:p>
          <w:p w:rsidR="00B53E8B" w:rsidRPr="00A831B4" w:rsidRDefault="00B53E8B" w:rsidP="00702C73">
            <w:pPr>
              <w:rPr>
                <w:rFonts w:cstheme="minorHAnsi"/>
                <w:b/>
                <w:bCs/>
                <w:sz w:val="20"/>
                <w:szCs w:val="20"/>
              </w:rPr>
            </w:pPr>
          </w:p>
          <w:p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125273" w:rsidRPr="000F034A">
              <w:rPr>
                <w:rFonts w:cstheme="minorHAnsi"/>
                <w:b/>
                <w:bCs/>
                <w:iCs/>
              </w:rPr>
              <w:t>PRO-PMs and composite performance measures</w:t>
            </w:r>
            <w:r w:rsidR="00125273" w:rsidRPr="000F034A">
              <w:rPr>
                <w:rFonts w:cstheme="minorHAnsi"/>
                <w:bCs/>
                <w:iCs/>
              </w:rPr>
              <w:t>, reliability should be demonstrated for the computed performance score.</w:t>
            </w:r>
          </w:p>
          <w:p w:rsidR="00145149" w:rsidRPr="000F034A" w:rsidRDefault="00145149" w:rsidP="00145149">
            <w:pPr>
              <w:autoSpaceDE w:val="0"/>
              <w:autoSpaceDN w:val="0"/>
              <w:adjustRightInd w:val="0"/>
              <w:rPr>
                <w:rFonts w:cstheme="minorHAnsi"/>
                <w:b/>
                <w:iCs/>
              </w:rPr>
            </w:pPr>
          </w:p>
          <w:p w:rsidR="00145149" w:rsidRPr="000F034A" w:rsidRDefault="00145149" w:rsidP="00145149">
            <w:pPr>
              <w:autoSpaceDE w:val="0"/>
              <w:autoSpaceDN w:val="0"/>
              <w:adjustRightInd w:val="0"/>
              <w:rPr>
                <w:rFonts w:cstheme="minorHAnsi"/>
              </w:rPr>
            </w:pPr>
            <w:r w:rsidRPr="000F034A">
              <w:rPr>
                <w:rFonts w:cstheme="minorHAnsi"/>
                <w:b/>
                <w:iCs/>
              </w:rPr>
              <w:t>2b2.</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372FE3" w:rsidRPr="000F034A">
              <w:rPr>
                <w:rFonts w:cstheme="minorHAnsi"/>
                <w:b/>
                <w:bCs/>
                <w:iCs/>
              </w:rPr>
              <w:t>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rsidR="00145149" w:rsidRPr="000F034A" w:rsidRDefault="00145149" w:rsidP="00145149">
            <w:pPr>
              <w:rPr>
                <w:rFonts w:cstheme="minorHAnsi"/>
              </w:rPr>
            </w:pPr>
            <w:bookmarkStart w:id="0" w:name="_Toc256067249"/>
          </w:p>
          <w:p w:rsidR="00145149" w:rsidRPr="000F034A" w:rsidRDefault="00145149" w:rsidP="00145149">
            <w:pPr>
              <w:rPr>
                <w:rFonts w:cstheme="minorHAnsi"/>
              </w:rPr>
            </w:pPr>
            <w:r w:rsidRPr="000F034A">
              <w:rPr>
                <w:rFonts w:cstheme="minorHAnsi"/>
                <w:b/>
                <w:bCs/>
              </w:rPr>
              <w:t>2b3.</w:t>
            </w:r>
            <w:r w:rsidRPr="000F034A">
              <w:rPr>
                <w:rFonts w:cstheme="minorHAnsi"/>
              </w:rPr>
              <w:t xml:space="preserve"> Exclusions are supported by the clinical evidence; otherwise, they are supported by evidence of sufficient frequency of occurrence so that results are distorted without the exclusion; </w:t>
            </w:r>
            <w:hyperlink w:anchor="Note12" w:history="1">
              <w:r w:rsidRPr="000F034A">
                <w:rPr>
                  <w:rStyle w:val="Hyperlink"/>
                  <w:rFonts w:cstheme="minorHAnsi"/>
                  <w:b/>
                  <w:vertAlign w:val="superscript"/>
                </w:rPr>
                <w:t>12</w:t>
              </w:r>
            </w:hyperlink>
          </w:p>
          <w:p w:rsidR="00145149" w:rsidRPr="000F034A" w:rsidRDefault="00145149" w:rsidP="00145149">
            <w:pPr>
              <w:rPr>
                <w:rFonts w:cstheme="minorHAnsi"/>
                <w:b/>
              </w:rPr>
            </w:pPr>
            <w:r w:rsidRPr="000F034A">
              <w:rPr>
                <w:rFonts w:cstheme="minorHAnsi"/>
                <w:b/>
              </w:rPr>
              <w:t xml:space="preserve">AND </w:t>
            </w:r>
          </w:p>
          <w:p w:rsidR="00145149" w:rsidRPr="000F034A" w:rsidRDefault="00145149" w:rsidP="00145149">
            <w:pPr>
              <w:rPr>
                <w:rFonts w:cstheme="minorHAnsi"/>
              </w:rPr>
            </w:pPr>
            <w:r w:rsidRPr="000F034A">
              <w:rPr>
                <w:rFonts w:cstheme="minorHAnsi"/>
              </w:rPr>
              <w:t xml:space="preserve">If patient preference (e.g., informed decisionmaking)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rsidR="00145149" w:rsidRPr="000F034A" w:rsidRDefault="00145149" w:rsidP="00145149">
            <w:pPr>
              <w:rPr>
                <w:rFonts w:cstheme="minorHAnsi"/>
                <w:b/>
                <w:bCs/>
              </w:rPr>
            </w:pPr>
          </w:p>
          <w:p w:rsidR="00145149" w:rsidRPr="000F034A" w:rsidRDefault="00145149" w:rsidP="00145149">
            <w:pPr>
              <w:rPr>
                <w:rFonts w:cstheme="minorHAnsi"/>
              </w:rPr>
            </w:pPr>
            <w:bookmarkStart w:id="1" w:name="_Toc256067250"/>
            <w:r w:rsidRPr="000F034A">
              <w:rPr>
                <w:rFonts w:cstheme="minorHAnsi"/>
                <w:b/>
                <w:bCs/>
              </w:rPr>
              <w:lastRenderedPageBreak/>
              <w:t>2b4.</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that influence the measured outcome (but not factors related to disparities in care or the quality of care)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rsidR="00145149" w:rsidRPr="000F034A" w:rsidRDefault="00145149" w:rsidP="00145149">
            <w:pPr>
              <w:rPr>
                <w:rFonts w:cstheme="minorHAnsi"/>
                <w:b/>
              </w:rPr>
            </w:pPr>
            <w:r w:rsidRPr="000F034A">
              <w:rPr>
                <w:rFonts w:cstheme="minorHAnsi"/>
                <w:b/>
              </w:rPr>
              <w:t>OR</w:t>
            </w:r>
          </w:p>
          <w:p w:rsidR="00145149" w:rsidRPr="000F034A" w:rsidRDefault="00145149" w:rsidP="00145149">
            <w:pPr>
              <w:numPr>
                <w:ilvl w:val="0"/>
                <w:numId w:val="26"/>
              </w:numPr>
              <w:ind w:left="0" w:firstLine="0"/>
              <w:rPr>
                <w:rFonts w:cstheme="minorHAnsi"/>
              </w:rPr>
            </w:pPr>
            <w:r w:rsidRPr="000F034A">
              <w:rPr>
                <w:rFonts w:cstheme="minorHAnsi"/>
              </w:rPr>
              <w:t xml:space="preserve">rationale/data support no risk adjustment/ stratification. </w:t>
            </w:r>
          </w:p>
          <w:p w:rsidR="00145149" w:rsidRPr="000F034A" w:rsidRDefault="00145149" w:rsidP="00145149">
            <w:pPr>
              <w:rPr>
                <w:rFonts w:cstheme="minorHAnsi"/>
                <w:b/>
                <w:bCs/>
              </w:rPr>
            </w:pPr>
          </w:p>
          <w:bookmarkEnd w:id="1"/>
          <w:p w:rsidR="00145149" w:rsidRPr="000F034A" w:rsidRDefault="00145149" w:rsidP="00145149">
            <w:pPr>
              <w:rPr>
                <w:rFonts w:cstheme="minorHAnsi"/>
              </w:rPr>
            </w:pPr>
            <w:r w:rsidRPr="000F034A">
              <w:rPr>
                <w:rFonts w:cstheme="minorHAnsi"/>
                <w:b/>
                <w:bCs/>
              </w:rPr>
              <w:t>2b5.</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rsidR="00145149" w:rsidRPr="000F034A" w:rsidRDefault="00145149" w:rsidP="00145149">
            <w:pPr>
              <w:rPr>
                <w:rFonts w:cstheme="minorHAnsi"/>
              </w:rPr>
            </w:pPr>
            <w:r w:rsidRPr="000F034A">
              <w:rPr>
                <w:rFonts w:cstheme="minorHAnsi"/>
                <w:b/>
              </w:rPr>
              <w:t>OR</w:t>
            </w:r>
          </w:p>
          <w:p w:rsidR="00145149" w:rsidRPr="000F034A" w:rsidRDefault="00145149" w:rsidP="00145149">
            <w:pPr>
              <w:rPr>
                <w:rFonts w:cstheme="minorHAnsi"/>
              </w:rPr>
            </w:pPr>
            <w:r w:rsidRPr="000F034A">
              <w:rPr>
                <w:rFonts w:cstheme="minorHAnsi"/>
              </w:rPr>
              <w:t xml:space="preserve">there is evidence of overall less-than-optimal performance. </w:t>
            </w:r>
          </w:p>
          <w:p w:rsidR="00145149" w:rsidRPr="000F034A" w:rsidRDefault="00145149" w:rsidP="00145149">
            <w:pPr>
              <w:rPr>
                <w:rFonts w:cstheme="minorHAnsi"/>
                <w:b/>
                <w:bCs/>
              </w:rPr>
            </w:pPr>
          </w:p>
          <w:p w:rsidR="00145149" w:rsidRPr="000F034A" w:rsidRDefault="00145149" w:rsidP="00145149">
            <w:pPr>
              <w:rPr>
                <w:rFonts w:cstheme="minorHAnsi"/>
              </w:rPr>
            </w:pPr>
            <w:r w:rsidRPr="000F034A">
              <w:rPr>
                <w:rFonts w:cstheme="minorHAnsi"/>
                <w:b/>
                <w:bCs/>
              </w:rPr>
              <w:t>2b6.</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rsidR="00E30584" w:rsidRPr="000F034A" w:rsidRDefault="00E30584" w:rsidP="00145149">
            <w:pPr>
              <w:rPr>
                <w:rFonts w:cstheme="minorHAnsi"/>
              </w:rPr>
            </w:pPr>
          </w:p>
          <w:p w:rsidR="00E30584" w:rsidRPr="00A831B4" w:rsidRDefault="00E30584" w:rsidP="00145149">
            <w:pPr>
              <w:rPr>
                <w:rFonts w:cstheme="minorHAnsi"/>
                <w:sz w:val="20"/>
                <w:szCs w:val="20"/>
              </w:rPr>
            </w:pPr>
            <w:r w:rsidRPr="000F034A">
              <w:rPr>
                <w:rFonts w:ascii="Calibri" w:eastAsia="Calibri" w:hAnsi="Calibri" w:cs="Calibri"/>
                <w:b/>
              </w:rPr>
              <w:t>2b7.</w:t>
            </w:r>
            <w:r w:rsidRPr="000F034A">
              <w:rPr>
                <w:rFonts w:ascii="Calibri" w:eastAsia="Calibri" w:hAnsi="Calibri" w:cs="Calibri"/>
              </w:rPr>
              <w:t xml:space="preserve"> For </w:t>
            </w:r>
            <w:r w:rsidRPr="000F034A">
              <w:rPr>
                <w:rFonts w:ascii="Calibri" w:eastAsia="Calibri" w:hAnsi="Calibri" w:cs="Calibri"/>
                <w:b/>
              </w:rPr>
              <w:t>eMeasures, composites, and PRO-PMs</w:t>
            </w:r>
            <w:r w:rsidRPr="000F034A">
              <w:rPr>
                <w:rFonts w:ascii="Calibri" w:eastAsia="Calibri" w:hAnsi="Calibri" w:cs="Calibri"/>
              </w:rPr>
              <w:t xml:space="preserve"> (or other measures susceptible to missing data),</w:t>
            </w:r>
            <w:r w:rsidR="00A831B4" w:rsidRPr="000F034A">
              <w:rPr>
                <w:rFonts w:ascii="Calibri" w:eastAsia="Calibri" w:hAnsi="Calibri" w:cs="Calibri"/>
                <w:b/>
              </w:rPr>
              <w:t xml:space="preserve"> </w:t>
            </w:r>
            <w:r w:rsidRPr="000F034A">
              <w:rPr>
                <w:rFonts w:ascii="Calibri" w:eastAsia="Calibri" w:hAnsi="Calibri" w:cs="Calibri"/>
              </w:rPr>
              <w:t>analyses identify the extent and distribution of missing data (or nonresponse) and demonstrate that performance results are not biased due to systematic missing data (or differences between responders and nonresponders) and how the specified handling of missing data minimizes bias.</w:t>
            </w:r>
          </w:p>
          <w:bookmarkEnd w:id="0"/>
          <w:p w:rsidR="00145149" w:rsidRPr="00A831B4" w:rsidRDefault="00145149" w:rsidP="00145149">
            <w:pPr>
              <w:rPr>
                <w:rFonts w:cstheme="minorHAnsi"/>
                <w:b/>
                <w:bCs/>
                <w:sz w:val="20"/>
                <w:szCs w:val="20"/>
              </w:rPr>
            </w:pPr>
          </w:p>
          <w:p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p>
          <w:p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rsidR="00145149" w:rsidRPr="00A831B4" w:rsidRDefault="00145149" w:rsidP="00145149">
            <w:pPr>
              <w:pStyle w:val="FootnoteText"/>
              <w:rPr>
                <w:rFonts w:asciiTheme="minorHAnsi" w:hAnsiTheme="minorHAnsi" w:cstheme="minorHAnsi"/>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p>
          <w:p w:rsidR="00145149" w:rsidRPr="00A831B4" w:rsidRDefault="00145149" w:rsidP="00145149">
            <w:pPr>
              <w:rPr>
                <w:rFonts w:cstheme="minorHAnsi"/>
                <w:b/>
                <w:bCs/>
                <w:sz w:val="20"/>
                <w:szCs w:val="20"/>
              </w:rPr>
            </w:pPr>
            <w:bookmarkStart w:id="9" w:name="Note15"/>
            <w:bookmarkEnd w:id="9"/>
            <w:r w:rsidRPr="00A831B4">
              <w:rPr>
                <w:rFonts w:cstheme="minorHAnsi"/>
                <w:b/>
                <w:sz w:val="20"/>
                <w:szCs w:val="20"/>
              </w:rPr>
              <w:t>15.</w:t>
            </w:r>
            <w:r w:rsidRPr="00A831B4">
              <w:rPr>
                <w:rFonts w:cstheme="minorHAnsi"/>
                <w:sz w:val="20"/>
                <w:szCs w:val="20"/>
              </w:rPr>
              <w:t xml:space="preserve"> Risk models should not obscure disparities in care for populations by including factors that are associated with differences/inequalities in care, such as race, socioeconomic status, or gender (e.g., poorer treatment outcomes of African American men with prostate cancer or inequalities in treatment for CVD risk factors between men and women).  It is preferable to stratify measures by race and socioeconomic status rather than to adjust out the differences.</w:t>
            </w:r>
          </w:p>
          <w:p w:rsidR="00145149" w:rsidRPr="00A831B4" w:rsidRDefault="00145149" w:rsidP="00145149">
            <w:pPr>
              <w:rPr>
                <w:rFonts w:cstheme="minorHAnsi"/>
                <w:noProof/>
                <w:sz w:val="20"/>
                <w:szCs w:val="20"/>
              </w:rPr>
            </w:pPr>
            <w:bookmarkStart w:id="10" w:name="Note16"/>
            <w:bookmarkEnd w:id="10"/>
            <w:r w:rsidRPr="00A831B4">
              <w:rPr>
                <w:rFonts w:cstheme="minorHAnsi"/>
                <w:b/>
                <w:sz w:val="20"/>
                <w:szCs w:val="20"/>
              </w:rPr>
              <w:t>16.</w:t>
            </w:r>
            <w:r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rsidR="00BC0D25" w:rsidRDefault="00BC0D25" w:rsidP="00702C73">
      <w:pPr>
        <w:spacing w:after="0" w:line="240" w:lineRule="auto"/>
        <w:rPr>
          <w:rFonts w:cstheme="minorHAnsi"/>
          <w:noProof/>
        </w:rPr>
      </w:pPr>
    </w:p>
    <w:p w:rsidR="00702C73" w:rsidRPr="00702C73" w:rsidRDefault="00702C73" w:rsidP="00702C73">
      <w:pPr>
        <w:spacing w:after="0" w:line="240" w:lineRule="auto"/>
        <w:rPr>
          <w:rFonts w:cstheme="minorHAnsi"/>
          <w:noProof/>
        </w:rPr>
      </w:pPr>
    </w:p>
    <w:p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rsidR="000574AB" w:rsidRPr="00A25024" w:rsidRDefault="000574AB" w:rsidP="008A403A">
      <w:pPr>
        <w:spacing w:after="0" w:line="240" w:lineRule="auto"/>
        <w:rPr>
          <w:rFonts w:cstheme="minorHAnsi"/>
          <w:noProof/>
        </w:rPr>
      </w:pPr>
    </w:p>
    <w:p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208"/>
        <w:gridCol w:w="4847"/>
      </w:tblGrid>
      <w:tr w:rsidR="00A01494" w:rsidRPr="00A01494" w:rsidTr="0014773C">
        <w:trPr>
          <w:jc w:val="center"/>
        </w:trPr>
        <w:tc>
          <w:tcPr>
            <w:tcW w:w="5208" w:type="dxa"/>
            <w:shd w:val="clear" w:color="auto" w:fill="D9D9D9" w:themeFill="background1" w:themeFillShade="D9"/>
          </w:tcPr>
          <w:p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Pr="009A6A57">
              <w:rPr>
                <w:rFonts w:cstheme="minorHAnsi"/>
                <w:b/>
                <w:bCs/>
                <w:i/>
              </w:rPr>
              <w:t>S.23</w:t>
            </w:r>
            <w:r>
              <w:rPr>
                <w:rFonts w:cstheme="minorHAnsi"/>
                <w:b/>
                <w:bCs/>
              </w:rPr>
              <w:t>)</w:t>
            </w:r>
          </w:p>
        </w:tc>
        <w:tc>
          <w:tcPr>
            <w:tcW w:w="4847" w:type="dxa"/>
            <w:shd w:val="clear" w:color="auto" w:fill="D9D9D9" w:themeFill="background1" w:themeFillShade="D9"/>
          </w:tcPr>
          <w:p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rsidTr="0014773C">
        <w:trPr>
          <w:jc w:val="center"/>
        </w:trPr>
        <w:tc>
          <w:tcPr>
            <w:tcW w:w="5208"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rsidTr="0014773C">
        <w:trPr>
          <w:jc w:val="center"/>
        </w:trPr>
        <w:tc>
          <w:tcPr>
            <w:tcW w:w="5208"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560149406"/>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387195507"/>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 xml:space="preserve">administrative </w:t>
            </w:r>
            <w:r w:rsidR="00A01494" w:rsidRPr="00A01494">
              <w:rPr>
                <w:rFonts w:cstheme="minorHAnsi"/>
                <w:bCs/>
              </w:rPr>
              <w:t>claims</w:t>
            </w:r>
          </w:p>
        </w:tc>
      </w:tr>
      <w:tr w:rsidR="00A01494" w:rsidRPr="00A01494" w:rsidTr="0014773C">
        <w:trPr>
          <w:jc w:val="center"/>
        </w:trPr>
        <w:tc>
          <w:tcPr>
            <w:tcW w:w="5208"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eastAsia="MS Gothic" w:cstheme="minorHAnsi"/>
                <w:bCs/>
              </w:rPr>
              <w:t>clinical database/registry</w:t>
            </w:r>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A01494" w:rsidRPr="00A01494">
              <w:rPr>
                <w:rFonts w:eastAsia="MS Gothic" w:cstheme="minorHAnsi"/>
                <w:bCs/>
              </w:rPr>
              <w:t>clinical database/registry</w:t>
            </w:r>
          </w:p>
        </w:tc>
      </w:tr>
      <w:tr w:rsidR="00A01494" w:rsidRPr="00A01494" w:rsidTr="0014773C">
        <w:trPr>
          <w:jc w:val="center"/>
        </w:trPr>
        <w:tc>
          <w:tcPr>
            <w:tcW w:w="5208"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electronic health record</w:t>
            </w:r>
          </w:p>
        </w:tc>
      </w:tr>
      <w:tr w:rsidR="00A01494" w:rsidRPr="00A01494" w:rsidTr="0014773C">
        <w:trPr>
          <w:jc w:val="center"/>
        </w:trPr>
        <w:tc>
          <w:tcPr>
            <w:tcW w:w="5208" w:type="dxa"/>
          </w:tcPr>
          <w:p w:rsidR="00A01494" w:rsidRPr="00A01494" w:rsidRDefault="003729A4"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 xml:space="preserve">implemented in </w:t>
            </w:r>
            <w:r w:rsidR="00B82A57">
              <w:rPr>
                <w:rFonts w:cstheme="minorHAnsi"/>
                <w:bCs/>
              </w:rPr>
              <w:t>EHRs</w:t>
            </w:r>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eMeasure </w:t>
            </w:r>
            <w:r w:rsidR="004756E1">
              <w:rPr>
                <w:rFonts w:cstheme="minorHAnsi"/>
                <w:bCs/>
              </w:rPr>
              <w:t xml:space="preserve">(HQMF) </w:t>
            </w:r>
            <w:r w:rsidR="00A01494" w:rsidRPr="00A01494">
              <w:rPr>
                <w:rFonts w:cstheme="minorHAnsi"/>
                <w:bCs/>
              </w:rPr>
              <w:t>impleme</w:t>
            </w:r>
            <w:r w:rsidR="00B82A57">
              <w:rPr>
                <w:rFonts w:cstheme="minorHAnsi"/>
                <w:bCs/>
              </w:rPr>
              <w:t>nted in EHRs</w:t>
            </w:r>
          </w:p>
        </w:tc>
      </w:tr>
      <w:tr w:rsidR="00A01494" w:rsidRPr="00A01494" w:rsidTr="0014773C">
        <w:trPr>
          <w:jc w:val="center"/>
        </w:trPr>
        <w:tc>
          <w:tcPr>
            <w:tcW w:w="5208"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c>
          <w:tcPr>
            <w:tcW w:w="4847" w:type="dxa"/>
          </w:tcPr>
          <w:p w:rsidR="00A01494" w:rsidRPr="00A01494" w:rsidRDefault="003729A4"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B82A57">
              <w:rPr>
                <w:rFonts w:cstheme="minorHAnsi"/>
                <w:bCs/>
              </w:rPr>
              <w:t xml:space="preserve"> </w:t>
            </w:r>
            <w:r w:rsidR="00A01494" w:rsidRPr="00A01494">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A01494">
                  <w:rPr>
                    <w:rStyle w:val="PlaceholderText"/>
                  </w:rPr>
                  <w:t>Click here to describe</w:t>
                </w:r>
              </w:sdtContent>
            </w:sdt>
          </w:p>
        </w:tc>
      </w:tr>
    </w:tbl>
    <w:p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rsidR="00021170" w:rsidRPr="00A01494" w:rsidRDefault="002B5016" w:rsidP="00DB3627">
      <w:pPr>
        <w:autoSpaceDE w:val="0"/>
        <w:autoSpaceDN w:val="0"/>
        <w:adjustRightInd w:val="0"/>
        <w:spacing w:after="0" w:line="240" w:lineRule="auto"/>
        <w:rPr>
          <w:rFonts w:cstheme="minorHAnsi"/>
          <w:b/>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r w:rsidR="00D30F7C">
        <w:rPr>
          <w:rFonts w:ascii="Arial" w:eastAsia="Calibri" w:hAnsi="Arial" w:cs="Arial"/>
          <w:sz w:val="24"/>
          <w:szCs w:val="24"/>
        </w:rPr>
        <w:t xml:space="preserve">The measure population as reported in the QIO Clinical Data Warehouse (CDW) included 114,246 cases from 2,713 short-term acute care hospitals nationwide. These 2,713 hospitals do not include military or Veterans Affairs hospitals. Additionally, Critical Access Hospitals (CAH) </w:t>
      </w:r>
      <w:proofErr w:type="gramStart"/>
      <w:r w:rsidR="00D30F7C">
        <w:rPr>
          <w:rFonts w:ascii="Arial" w:eastAsia="Calibri" w:hAnsi="Arial" w:cs="Arial"/>
          <w:sz w:val="24"/>
          <w:szCs w:val="24"/>
        </w:rPr>
        <w:t>are</w:t>
      </w:r>
      <w:proofErr w:type="gramEnd"/>
      <w:r w:rsidR="00D30F7C">
        <w:rPr>
          <w:rFonts w:ascii="Arial" w:eastAsia="Calibri" w:hAnsi="Arial" w:cs="Arial"/>
          <w:sz w:val="24"/>
          <w:szCs w:val="24"/>
        </w:rPr>
        <w:t xml:space="preserve"> excluded in this report beca</w:t>
      </w:r>
      <w:r w:rsidR="001B73C5">
        <w:rPr>
          <w:rFonts w:ascii="Arial" w:eastAsia="Calibri" w:hAnsi="Arial" w:cs="Arial"/>
          <w:sz w:val="24"/>
          <w:szCs w:val="24"/>
        </w:rPr>
        <w:t>use their participation in the Out</w:t>
      </w:r>
      <w:r w:rsidR="00D30F7C">
        <w:rPr>
          <w:rFonts w:ascii="Arial" w:eastAsia="Calibri" w:hAnsi="Arial" w:cs="Arial"/>
          <w:sz w:val="24"/>
          <w:szCs w:val="24"/>
        </w:rPr>
        <w:t xml:space="preserve">patient Quality Reporting program is not mandatory. The 114,246 cases were abstracted by the individual hospitals or their vendors and the data was submitted to the CDW. </w:t>
      </w:r>
    </w:p>
    <w:p w:rsidR="00C355B9" w:rsidRDefault="00C355B9" w:rsidP="00DB3627">
      <w:pPr>
        <w:autoSpaceDE w:val="0"/>
        <w:autoSpaceDN w:val="0"/>
        <w:adjustRightInd w:val="0"/>
        <w:spacing w:after="0" w:line="240" w:lineRule="auto"/>
        <w:rPr>
          <w:rFonts w:cstheme="minorHAnsi"/>
          <w:bCs/>
        </w:rPr>
      </w:pPr>
    </w:p>
    <w:p w:rsidR="009E1846" w:rsidRDefault="009E1846" w:rsidP="00DB3627">
      <w:pPr>
        <w:autoSpaceDE w:val="0"/>
        <w:autoSpaceDN w:val="0"/>
        <w:adjustRightInd w:val="0"/>
        <w:spacing w:after="0" w:line="240" w:lineRule="auto"/>
        <w:rPr>
          <w:rFonts w:cstheme="minorHAnsi"/>
          <w:b/>
        </w:rPr>
      </w:pPr>
    </w:p>
    <w:p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ascii="Arial" w:eastAsia="Calibri" w:hAnsi="Arial" w:cs="Arial"/>
            <w:sz w:val="24"/>
            <w:szCs w:val="24"/>
          </w:rPr>
          <w:id w:val="950514773"/>
          <w:text/>
        </w:sdtPr>
        <w:sdtEndPr/>
        <w:sdtContent>
          <w:r w:rsidR="00D30F7C" w:rsidRPr="00D30F7C">
            <w:rPr>
              <w:rFonts w:ascii="Arial" w:eastAsia="Calibri" w:hAnsi="Arial" w:cs="Arial"/>
              <w:sz w:val="24"/>
              <w:szCs w:val="24"/>
            </w:rPr>
            <w:t xml:space="preserve">The measure period is January 1, 2012 to December 31, 2012.  </w:t>
          </w:r>
        </w:sdtContent>
      </w:sdt>
    </w:p>
    <w:p w:rsidR="000574AB" w:rsidRDefault="000574AB" w:rsidP="00DB3627">
      <w:pPr>
        <w:autoSpaceDE w:val="0"/>
        <w:autoSpaceDN w:val="0"/>
        <w:adjustRightInd w:val="0"/>
        <w:spacing w:after="0" w:line="240" w:lineRule="auto"/>
        <w:rPr>
          <w:rFonts w:cstheme="minorHAnsi"/>
          <w:bCs/>
        </w:rPr>
      </w:pPr>
    </w:p>
    <w:p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r w:rsidR="00F435AA" w:rsidRPr="00A25024">
        <w:rPr>
          <w:rFonts w:cstheme="minorHAnsi"/>
          <w:bCs/>
          <w:i/>
        </w:rPr>
        <w:t xml:space="preserve">testing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27"/>
        <w:gridCol w:w="5028"/>
      </w:tblGrid>
      <w:tr w:rsidR="000414E8" w:rsidRPr="00A01494" w:rsidTr="000414E8">
        <w:trPr>
          <w:jc w:val="center"/>
        </w:trPr>
        <w:tc>
          <w:tcPr>
            <w:tcW w:w="5027" w:type="dxa"/>
            <w:shd w:val="clear" w:color="auto" w:fill="D9D9D9" w:themeFill="background1" w:themeFillShade="D9"/>
          </w:tcPr>
          <w:p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Pr="009A6A57">
              <w:rPr>
                <w:rFonts w:cstheme="minorHAnsi"/>
                <w:b/>
                <w:bCs/>
                <w:i/>
              </w:rPr>
              <w:t>levels entered in item S.26</w:t>
            </w:r>
            <w:r>
              <w:rPr>
                <w:rFonts w:cstheme="minorHAnsi"/>
                <w:b/>
                <w:bCs/>
              </w:rPr>
              <w:t>)</w:t>
            </w:r>
          </w:p>
        </w:tc>
        <w:tc>
          <w:tcPr>
            <w:tcW w:w="5028" w:type="dxa"/>
            <w:shd w:val="clear" w:color="auto" w:fill="D9D9D9" w:themeFill="background1" w:themeFillShade="D9"/>
          </w:tcPr>
          <w:p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rsidTr="000414E8">
        <w:trPr>
          <w:jc w:val="center"/>
        </w:trPr>
        <w:tc>
          <w:tcPr>
            <w:tcW w:w="5027"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rsidTr="000414E8">
        <w:trPr>
          <w:jc w:val="center"/>
        </w:trPr>
        <w:tc>
          <w:tcPr>
            <w:tcW w:w="5027"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rsidTr="000414E8">
        <w:trPr>
          <w:jc w:val="center"/>
        </w:trPr>
        <w:tc>
          <w:tcPr>
            <w:tcW w:w="5027"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rsidTr="000414E8">
        <w:trPr>
          <w:jc w:val="center"/>
        </w:trPr>
        <w:tc>
          <w:tcPr>
            <w:tcW w:w="5027"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rsidTr="000414E8">
        <w:trPr>
          <w:jc w:val="center"/>
        </w:trPr>
        <w:tc>
          <w:tcPr>
            <w:tcW w:w="5027"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rsidR="000414E8" w:rsidRPr="00A01494" w:rsidRDefault="003729A4"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rsidR="000414E8" w:rsidRPr="00A25024" w:rsidRDefault="000414E8" w:rsidP="00DB3627">
      <w:pPr>
        <w:autoSpaceDE w:val="0"/>
        <w:autoSpaceDN w:val="0"/>
        <w:adjustRightInd w:val="0"/>
        <w:spacing w:after="0" w:line="240" w:lineRule="auto"/>
        <w:rPr>
          <w:rFonts w:cstheme="minorHAnsi"/>
          <w:bCs/>
        </w:rPr>
      </w:pPr>
    </w:p>
    <w:p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lastRenderedPageBreak/>
        <w:t>selected</w:t>
      </w:r>
      <w:r w:rsidR="005A7634" w:rsidRPr="00A25024">
        <w:rPr>
          <w:rFonts w:cstheme="minorHAnsi"/>
          <w:bCs/>
          <w:i/>
        </w:rPr>
        <w:t xml:space="preserve"> for inclusion in the sample</w:t>
      </w:r>
      <w:r w:rsidR="004348CC" w:rsidRPr="00A25024">
        <w:rPr>
          <w:rFonts w:cstheme="minorHAnsi"/>
          <w:bCs/>
        </w:rPr>
        <w:t xml:space="preserve">) </w:t>
      </w:r>
      <w:r w:rsidR="00D30F7C">
        <w:rPr>
          <w:rFonts w:ascii="Arial" w:eastAsia="Calibri" w:hAnsi="Arial" w:cs="Arial"/>
          <w:sz w:val="24"/>
          <w:szCs w:val="24"/>
        </w:rPr>
        <w:t>A validation sample of these cases was selected in two stages. First, 323 hospitals were randomly selected. Second, up to 12 cases were randomly selected from each of these 323 hospitals. Critical access hospitals (CAH) were not included in the sampling of facilities. The final sample included 763 cases out of the original 114,246 cases submitted to the CDW during the measurement period.</w:t>
      </w:r>
      <w:r w:rsidR="004348CC" w:rsidRPr="00A25024">
        <w:rPr>
          <w:rFonts w:cstheme="minorHAnsi"/>
          <w:bCs/>
        </w:rPr>
        <w:br/>
      </w:r>
    </w:p>
    <w:p w:rsidR="005829B4" w:rsidRDefault="005829B4" w:rsidP="005829B4">
      <w:pPr>
        <w:rPr>
          <w:rFonts w:ascii="Arial" w:eastAsia="Calibri" w:hAnsi="Arial" w:cs="Arial"/>
          <w:sz w:val="24"/>
          <w:szCs w:val="24"/>
        </w:rPr>
      </w:pPr>
      <w:r w:rsidRPr="00CA1026">
        <w:rPr>
          <w:rFonts w:ascii="Arial" w:eastAsia="Calibri" w:hAnsi="Arial" w:cs="Arial"/>
          <w:i/>
          <w:sz w:val="24"/>
          <w:szCs w:val="24"/>
        </w:rPr>
        <w:t>Chart Abstraction:</w:t>
      </w:r>
      <w:r>
        <w:rPr>
          <w:rFonts w:ascii="Arial" w:eastAsia="Calibri" w:hAnsi="Arial" w:cs="Arial"/>
          <w:sz w:val="24"/>
          <w:szCs w:val="24"/>
        </w:rPr>
        <w:t xml:space="preserve"> </w:t>
      </w:r>
      <w:r w:rsidRPr="00A23D96">
        <w:rPr>
          <w:rFonts w:ascii="Arial" w:eastAsia="Calibri" w:hAnsi="Arial" w:cs="Arial"/>
          <w:sz w:val="24"/>
          <w:szCs w:val="24"/>
        </w:rPr>
        <w:t xml:space="preserve">Both the original </w:t>
      </w:r>
      <w:r>
        <w:rPr>
          <w:rFonts w:ascii="Arial" w:eastAsia="Calibri" w:hAnsi="Arial" w:cs="Arial"/>
          <w:sz w:val="24"/>
          <w:szCs w:val="24"/>
        </w:rPr>
        <w:t xml:space="preserve">CDW </w:t>
      </w:r>
      <w:r w:rsidRPr="00A23D96">
        <w:rPr>
          <w:rFonts w:ascii="Arial" w:eastAsia="Calibri" w:hAnsi="Arial" w:cs="Arial"/>
          <w:sz w:val="24"/>
          <w:szCs w:val="24"/>
        </w:rPr>
        <w:t>dataset and the sample dataset were obtained from direct medical chart abstraction. The original population dataset was abstracted by the hospitals or their vendors. The sampled validation dataset was re-abstracted by the CMS Clinical Data Abstraction Center (CDAC) using exactly the same medical charts. CDAC is a CMS contractor center that has specialized in medical chart abstraction for the last fifteen years. The CDAC-abstracted data is considered “gold standard” for the purpose of this analysis.</w:t>
      </w:r>
      <w:r>
        <w:rPr>
          <w:rFonts w:ascii="Arial" w:eastAsia="Calibri" w:hAnsi="Arial" w:cs="Arial"/>
          <w:sz w:val="24"/>
          <w:szCs w:val="24"/>
        </w:rPr>
        <w:t xml:space="preserve"> </w:t>
      </w:r>
    </w:p>
    <w:p w:rsidR="001B73C5" w:rsidRPr="001B73C5" w:rsidRDefault="001B73C5" w:rsidP="005829B4">
      <w:pPr>
        <w:rPr>
          <w:rFonts w:ascii="Arial" w:eastAsia="Calibri" w:hAnsi="Arial" w:cs="Arial"/>
          <w:color w:val="FF0000"/>
          <w:sz w:val="24"/>
          <w:szCs w:val="24"/>
        </w:rPr>
      </w:pPr>
      <w:r>
        <w:rPr>
          <w:rFonts w:ascii="Arial" w:eastAsia="Calibri" w:hAnsi="Arial" w:cs="Arial"/>
          <w:color w:val="FF0000"/>
          <w:sz w:val="24"/>
          <w:szCs w:val="24"/>
        </w:rPr>
        <w:t>See Table 1 for hospital and patient characteristics.</w:t>
      </w:r>
    </w:p>
    <w:p w:rsidR="007422FD"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r w:rsidR="00960960">
        <w:rPr>
          <w:rFonts w:cstheme="minorHAnsi"/>
          <w:bCs/>
          <w:color w:val="FF0000"/>
        </w:rPr>
        <w:t xml:space="preserve">See Table 1. </w:t>
      </w:r>
      <w:r w:rsidR="007422FD" w:rsidRPr="00A25024">
        <w:rPr>
          <w:rFonts w:cstheme="minorHAnsi"/>
          <w:bCs/>
        </w:rPr>
        <w:br/>
      </w:r>
    </w:p>
    <w:p w:rsidR="00E37E1B"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r w:rsidR="005829B4">
        <w:rPr>
          <w:rFonts w:cstheme="minorHAnsi"/>
          <w:bCs/>
        </w:rPr>
        <w:t xml:space="preserve"> N/A</w:t>
      </w:r>
    </w:p>
    <w:p w:rsidR="00E37E1B" w:rsidRDefault="00E37E1B" w:rsidP="00E37E1B">
      <w:pPr>
        <w:autoSpaceDE w:val="0"/>
        <w:autoSpaceDN w:val="0"/>
        <w:adjustRightInd w:val="0"/>
        <w:spacing w:after="0" w:line="240" w:lineRule="auto"/>
        <w:rPr>
          <w:rFonts w:cstheme="minorHAnsi"/>
          <w:bCs/>
        </w:rPr>
      </w:pPr>
    </w:p>
    <w:p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rsidR="00D30F7C" w:rsidRPr="00D30F7C" w:rsidRDefault="00E310B9" w:rsidP="00D30F7C">
      <w:pPr>
        <w:numPr>
          <w:ilvl w:val="0"/>
          <w:numId w:val="27"/>
        </w:numPr>
        <w:spacing w:after="0" w:line="240" w:lineRule="auto"/>
        <w:rPr>
          <w:rFonts w:ascii="Arial" w:hAnsi="Arial" w:cs="Arial"/>
          <w:color w:val="FF0000"/>
          <w:sz w:val="24"/>
          <w:szCs w:val="24"/>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r w:rsidR="00D30F7C" w:rsidRPr="00D30F7C">
        <w:rPr>
          <w:rFonts w:ascii="Arial" w:hAnsi="Arial" w:cs="Arial"/>
          <w:sz w:val="24"/>
          <w:szCs w:val="24"/>
        </w:rPr>
        <w:t xml:space="preserve"> </w:t>
      </w:r>
      <w:r w:rsidR="00D30F7C" w:rsidRPr="00D30F7C">
        <w:rPr>
          <w:rFonts w:ascii="Arial" w:hAnsi="Arial" w:cs="Arial"/>
          <w:color w:val="FF0000"/>
          <w:sz w:val="24"/>
          <w:szCs w:val="24"/>
        </w:rPr>
        <w:t xml:space="preserve">Per NQF comments received on 6/10/13, it is no longer necessary to report the results of the reliability testing when the results of the validity testing of individual data elements are reported. </w:t>
      </w:r>
    </w:p>
    <w:p w:rsidR="00E310B9" w:rsidRPr="00A25024" w:rsidRDefault="00E310B9" w:rsidP="00DB3627">
      <w:pPr>
        <w:autoSpaceDE w:val="0"/>
        <w:autoSpaceDN w:val="0"/>
        <w:adjustRightInd w:val="0"/>
        <w:spacing w:after="0" w:line="240" w:lineRule="auto"/>
        <w:rPr>
          <w:rFonts w:cstheme="minorHAnsi"/>
          <w:b/>
          <w:bCs/>
        </w:rPr>
      </w:pPr>
    </w:p>
    <w:p w:rsidR="008C54A9" w:rsidRPr="00A25024" w:rsidRDefault="008C54A9" w:rsidP="00DB3627">
      <w:pPr>
        <w:autoSpaceDE w:val="0"/>
        <w:autoSpaceDN w:val="0"/>
        <w:adjustRightInd w:val="0"/>
        <w:spacing w:after="0" w:line="240" w:lineRule="auto"/>
        <w:rPr>
          <w:rFonts w:cstheme="minorHAnsi"/>
          <w:b/>
          <w:bCs/>
        </w:rPr>
      </w:pPr>
    </w:p>
    <w:p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r w:rsidR="000968F8" w:rsidRPr="00A25024">
        <w:rPr>
          <w:rFonts w:cstheme="minorHAnsi"/>
          <w:b/>
          <w:bCs/>
        </w:rPr>
        <w:t>What level of reliability testing was conducted</w:t>
      </w:r>
      <w:r w:rsidR="000574AB" w:rsidRPr="00A25024">
        <w:rPr>
          <w:rFonts w:cstheme="minorHAnsi"/>
          <w:bCs/>
        </w:rPr>
        <w:t>?</w:t>
      </w:r>
      <w:r w:rsidR="00D50704" w:rsidRPr="00A25024">
        <w:rPr>
          <w:rFonts w:cstheme="minorHAnsi"/>
          <w:bCs/>
        </w:rPr>
        <w:t xml:space="preserve"> (</w:t>
      </w:r>
      <w:r w:rsidR="00E310B9" w:rsidRPr="00A25024">
        <w:rPr>
          <w:rFonts w:cstheme="minorHAnsi"/>
          <w:bCs/>
          <w:i/>
        </w:rPr>
        <w:t xml:space="preserve">may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0"/>
            <w14:checkedState w14:val="2612" w14:font="MS Gothic"/>
            <w14:uncheckedState w14:val="2610" w14:font="MS Gothic"/>
          </w14:checkbox>
        </w:sdtPr>
        <w:sdtEndPr/>
        <w:sdtContent>
          <w:r w:rsidR="00EE4D35">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r w:rsidR="001F7A20">
        <w:rPr>
          <w:rFonts w:cstheme="minorHAnsi"/>
          <w:bCs/>
        </w:rPr>
        <w:t>)</w:t>
      </w:r>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rsidR="008C54A9" w:rsidRPr="00A25024" w:rsidRDefault="008C54A9" w:rsidP="008C54A9">
      <w:pPr>
        <w:autoSpaceDE w:val="0"/>
        <w:autoSpaceDN w:val="0"/>
        <w:adjustRightInd w:val="0"/>
        <w:spacing w:after="0" w:line="240" w:lineRule="auto"/>
        <w:rPr>
          <w:rFonts w:cstheme="minorHAnsi"/>
          <w:bCs/>
        </w:rPr>
      </w:pPr>
    </w:p>
    <w:p w:rsidR="007422FD" w:rsidRPr="00A25024"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For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 xml:space="preserve">.g., percent agreement and kappa for the critical data elements; distribution of reliability </w:t>
      </w:r>
      <w:r w:rsidR="00AA5213" w:rsidRPr="00A25024">
        <w:rPr>
          <w:rFonts w:cstheme="minorHAnsi"/>
          <w:bCs/>
          <w:i/>
        </w:rPr>
        <w:lastRenderedPageBreak/>
        <w:t>statistics from a signal-to-noise analysis</w:t>
      </w:r>
      <w:r w:rsidR="00AA5213" w:rsidRPr="00A25024">
        <w:rPr>
          <w:rFonts w:cstheme="minorHAnsi"/>
          <w:bCs/>
        </w:rPr>
        <w:t>)</w:t>
      </w:r>
      <w:r w:rsidR="0048008A"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 xml:space="preserve">2a2.4 </w:t>
      </w:r>
      <w:r w:rsidR="007422FD" w:rsidRPr="00A25024">
        <w:rPr>
          <w:rFonts w:cstheme="minorHAnsi"/>
          <w:b/>
          <w:bCs/>
        </w:rPr>
        <w:t xml:space="preserve">What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Pr="00A25024">
        <w:rPr>
          <w:rFonts w:cstheme="minorHAnsi"/>
          <w:b/>
          <w:noProof/>
        </w:rPr>
        <w:t xml:space="preserve">2. </w:t>
      </w:r>
      <w:r w:rsidRPr="00A25024">
        <w:rPr>
          <w:rFonts w:cstheme="minorHAnsi"/>
          <w:b/>
          <w:bCs/>
        </w:rPr>
        <w:t xml:space="preserve">VALIDITY TESTING </w:t>
      </w:r>
    </w:p>
    <w:p w:rsidR="00696262" w:rsidRPr="000414E8"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1. </w:t>
      </w:r>
      <w:r w:rsidR="000968F8" w:rsidRPr="00A25024">
        <w:rPr>
          <w:rFonts w:cstheme="minorHAnsi"/>
          <w:b/>
          <w:bCs/>
        </w:rPr>
        <w:t>What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1"/>
            <w14:checkedState w14:val="2612" w14:font="MS Gothic"/>
            <w14:uncheckedState w14:val="2610" w14:font="MS Gothic"/>
          </w14:checkbox>
        </w:sdtPr>
        <w:sdtEndPr/>
        <w:sdtContent>
          <w:r w:rsidR="00D30F7C">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rsidR="00696262" w:rsidRPr="00A25024" w:rsidRDefault="003729A4"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rsidR="000574AB" w:rsidRPr="00A25024" w:rsidRDefault="003729A4"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5232D6">
        <w:rPr>
          <w:rFonts w:eastAsia="MS Mincho" w:cstheme="minorHAnsi"/>
          <w:b/>
          <w:bCs/>
        </w:rPr>
        <w:t>E</w:t>
      </w:r>
      <w:r w:rsidR="00696262" w:rsidRPr="00A25024">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p>
    <w:p w:rsidR="00CA06D8" w:rsidRPr="00A25024" w:rsidRDefault="00CA06D8" w:rsidP="00DB3627">
      <w:pPr>
        <w:autoSpaceDE w:val="0"/>
        <w:autoSpaceDN w:val="0"/>
        <w:adjustRightInd w:val="0"/>
        <w:spacing w:after="0" w:line="240" w:lineRule="auto"/>
        <w:rPr>
          <w:rFonts w:cstheme="minorHAnsi"/>
        </w:rPr>
      </w:pPr>
    </w:p>
    <w:p w:rsidR="00D50704" w:rsidRPr="00A25024" w:rsidRDefault="00D50704" w:rsidP="00DB3627">
      <w:pPr>
        <w:autoSpaceDE w:val="0"/>
        <w:autoSpaceDN w:val="0"/>
        <w:adjustRightInd w:val="0"/>
        <w:spacing w:after="0" w:line="240" w:lineRule="auto"/>
        <w:rPr>
          <w:rFonts w:cstheme="minorHAnsi"/>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r w:rsidR="00D30F7C" w:rsidRPr="00D30F7C">
        <w:rPr>
          <w:rFonts w:ascii="Arial" w:eastAsia="Calibri" w:hAnsi="Arial" w:cs="Arial"/>
          <w:i/>
          <w:sz w:val="24"/>
          <w:szCs w:val="24"/>
        </w:rPr>
        <w:t xml:space="preserve"> </w:t>
      </w:r>
      <w:r w:rsidR="00D30F7C" w:rsidRPr="00CA1026">
        <w:rPr>
          <w:rFonts w:ascii="Arial" w:eastAsia="Calibri" w:hAnsi="Arial" w:cs="Arial"/>
          <w:i/>
          <w:sz w:val="24"/>
          <w:szCs w:val="24"/>
        </w:rPr>
        <w:t>Validity Test</w:t>
      </w:r>
      <w:r w:rsidR="00D30F7C">
        <w:rPr>
          <w:rFonts w:ascii="Arial" w:eastAsia="Calibri" w:hAnsi="Arial" w:cs="Arial"/>
          <w:sz w:val="24"/>
          <w:szCs w:val="24"/>
        </w:rPr>
        <w:t xml:space="preserve">: There are 11 critical data elements for the measure. We conducted validity tests on all 11 critical data elements. </w:t>
      </w:r>
      <w:r w:rsidR="00676265" w:rsidRPr="00960960">
        <w:rPr>
          <w:rFonts w:ascii="Arial" w:eastAsia="Calibri" w:hAnsi="Arial" w:cs="Arial"/>
          <w:sz w:val="24"/>
          <w:szCs w:val="24"/>
        </w:rPr>
        <w:t>For each data element, we calculated the raw agreement rate between data from the hospital chart abstractor and the CDAC re-abstractor. We reported Kappa statistics for the categorical data elements with binary Yes/No values. Kappa is a measure of inter-rater agreement that accounts for abstractors’ agreement by chance alone. It is standardized to lie on a -1 to 1 scale, where 1 is perfect agreement, 0 is exactly what would be expected by chance, and negative values indicate agreement less than chance, i.e., potential systematic disagreement between the abstractors. A common scale is used to interpret Kappa statistics: 0.01–0.20 is slight agreement; 0.21– 0.40 is fair agreement; 0.41–0.60 is moderate agreement; 0.61–0.80 is substantial agreement; 0.81–0.99 is almost perfect agreement.</w:t>
      </w:r>
    </w:p>
    <w:p w:rsidR="007422FD" w:rsidRPr="00092566" w:rsidRDefault="00092566" w:rsidP="00092566">
      <w:pPr>
        <w:autoSpaceDE w:val="0"/>
        <w:autoSpaceDN w:val="0"/>
        <w:adjustRightInd w:val="0"/>
        <w:spacing w:after="0" w:line="240" w:lineRule="auto"/>
        <w:rPr>
          <w:rFonts w:cstheme="minorHAnsi"/>
          <w:bCs/>
        </w:rPr>
      </w:pPr>
      <w:r>
        <w:rPr>
          <w:rFonts w:cstheme="minorHAnsi"/>
          <w:b/>
          <w:bCs/>
        </w:rPr>
        <w:t>2b2.</w:t>
      </w:r>
      <w:r w:rsidR="007757CE" w:rsidRPr="00A25024">
        <w:rPr>
          <w:rFonts w:cstheme="minorHAnsi"/>
          <w:b/>
          <w:bCs/>
        </w:rPr>
        <w:t xml:space="preserve">3. </w:t>
      </w:r>
      <w:r w:rsidR="00833325" w:rsidRPr="00A25024">
        <w:rPr>
          <w:rFonts w:cstheme="minorHAnsi"/>
          <w:b/>
          <w:bCs/>
        </w:rPr>
        <w:t xml:space="preserve">What were the statistical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r w:rsidR="00574030">
        <w:rPr>
          <w:rFonts w:cstheme="minorHAnsi"/>
          <w:bCs/>
        </w:rPr>
        <w:t xml:space="preserve"> </w:t>
      </w:r>
      <w:r w:rsidR="00574030" w:rsidRPr="00574030">
        <w:rPr>
          <w:rFonts w:cstheme="minorHAnsi"/>
          <w:bCs/>
          <w:color w:val="FF0000"/>
        </w:rPr>
        <w:t xml:space="preserve">See tables attached at end of this document. </w:t>
      </w:r>
      <w:r w:rsidR="00833325" w:rsidRPr="00574030">
        <w:rPr>
          <w:rFonts w:cstheme="minorHAnsi"/>
          <w:bCs/>
          <w:color w:val="FF0000"/>
        </w:rPr>
        <w:br/>
      </w:r>
    </w:p>
    <w:p w:rsidR="003025E2" w:rsidRDefault="00092566" w:rsidP="003025E2">
      <w:pPr>
        <w:rPr>
          <w:rFonts w:ascii="Arial" w:eastAsia="Calibri" w:hAnsi="Arial" w:cs="Arial"/>
          <w:sz w:val="24"/>
          <w:szCs w:val="24"/>
        </w:rPr>
      </w:pPr>
      <w:r>
        <w:rPr>
          <w:rFonts w:cstheme="minorHAnsi"/>
          <w:b/>
          <w:bCs/>
        </w:rPr>
        <w:t>2b2.</w:t>
      </w:r>
      <w:r w:rsidR="007757CE" w:rsidRPr="00A25024">
        <w:rPr>
          <w:rFonts w:cstheme="minorHAnsi"/>
          <w:b/>
          <w:bCs/>
        </w:rPr>
        <w:t xml:space="preserve">4. </w:t>
      </w:r>
      <w:r w:rsidR="000B2DF7" w:rsidRPr="00A25024">
        <w:rPr>
          <w:rFonts w:cstheme="minorHAnsi"/>
          <w:b/>
          <w:bCs/>
        </w:rPr>
        <w:t xml:space="preserve">What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3A6973" w:rsidRPr="003A6973">
        <w:rPr>
          <w:rFonts w:ascii="Arial" w:eastAsia="Calibri" w:hAnsi="Arial" w:cs="Arial"/>
          <w:sz w:val="24"/>
          <w:szCs w:val="24"/>
        </w:rPr>
        <w:t xml:space="preserve"> </w:t>
      </w:r>
      <w:r w:rsidR="003025E2" w:rsidRPr="00CA1026">
        <w:rPr>
          <w:rFonts w:ascii="Arial" w:eastAsia="Calibri" w:hAnsi="Arial" w:cs="Arial"/>
          <w:sz w:val="24"/>
          <w:szCs w:val="24"/>
        </w:rPr>
        <w:t xml:space="preserve">Table 2 summarizes the results of the validity test of </w:t>
      </w:r>
      <w:r w:rsidR="003025E2">
        <w:rPr>
          <w:rFonts w:ascii="Arial" w:eastAsia="Calibri" w:hAnsi="Arial" w:cs="Arial"/>
          <w:sz w:val="24"/>
          <w:szCs w:val="24"/>
        </w:rPr>
        <w:t>11</w:t>
      </w:r>
      <w:r w:rsidR="003025E2" w:rsidRPr="00CA1026">
        <w:rPr>
          <w:rFonts w:ascii="Arial" w:eastAsia="Calibri" w:hAnsi="Arial" w:cs="Arial"/>
          <w:sz w:val="24"/>
          <w:szCs w:val="24"/>
        </w:rPr>
        <w:t xml:space="preserve"> data elements. Overall, the agreement rates were high. The agreement rates for all data elements</w:t>
      </w:r>
      <w:r w:rsidR="003025E2">
        <w:rPr>
          <w:rFonts w:ascii="Arial" w:eastAsia="Calibri" w:hAnsi="Arial" w:cs="Arial"/>
          <w:sz w:val="24"/>
          <w:szCs w:val="24"/>
        </w:rPr>
        <w:t xml:space="preserve"> except two</w:t>
      </w:r>
      <w:r w:rsidR="003025E2" w:rsidRPr="00CA1026">
        <w:rPr>
          <w:rFonts w:ascii="Arial" w:eastAsia="Calibri" w:hAnsi="Arial" w:cs="Arial"/>
          <w:sz w:val="24"/>
          <w:szCs w:val="24"/>
        </w:rPr>
        <w:t xml:space="preserve"> were higher than </w:t>
      </w:r>
      <w:r w:rsidR="003025E2">
        <w:rPr>
          <w:rFonts w:ascii="Arial" w:eastAsia="Calibri" w:hAnsi="Arial" w:cs="Arial"/>
          <w:sz w:val="24"/>
          <w:szCs w:val="24"/>
        </w:rPr>
        <w:t>9</w:t>
      </w:r>
      <w:r w:rsidR="003025E2" w:rsidRPr="00CA1026">
        <w:rPr>
          <w:rFonts w:ascii="Arial" w:eastAsia="Calibri" w:hAnsi="Arial" w:cs="Arial"/>
          <w:sz w:val="24"/>
          <w:szCs w:val="24"/>
        </w:rPr>
        <w:t xml:space="preserve">0%. We should point out that </w:t>
      </w:r>
      <w:r w:rsidR="003025E2">
        <w:rPr>
          <w:rFonts w:ascii="Arial" w:eastAsia="Calibri" w:hAnsi="Arial" w:cs="Arial"/>
          <w:sz w:val="24"/>
          <w:szCs w:val="24"/>
        </w:rPr>
        <w:t>ECG</w:t>
      </w:r>
      <w:r w:rsidR="003025E2" w:rsidRPr="00CA1026">
        <w:rPr>
          <w:rFonts w:ascii="Arial" w:eastAsia="Calibri" w:hAnsi="Arial" w:cs="Arial"/>
          <w:sz w:val="24"/>
          <w:szCs w:val="24"/>
        </w:rPr>
        <w:t xml:space="preserve"> had a high agreement rate (</w:t>
      </w:r>
      <w:r w:rsidR="003025E2">
        <w:rPr>
          <w:rFonts w:ascii="Arial" w:eastAsia="Calibri" w:hAnsi="Arial" w:cs="Arial"/>
          <w:sz w:val="24"/>
          <w:szCs w:val="24"/>
        </w:rPr>
        <w:t>99</w:t>
      </w:r>
      <w:r w:rsidR="003025E2" w:rsidRPr="00CA1026">
        <w:rPr>
          <w:rFonts w:ascii="Arial" w:eastAsia="Calibri" w:hAnsi="Arial" w:cs="Arial"/>
          <w:sz w:val="24"/>
          <w:szCs w:val="24"/>
        </w:rPr>
        <w:t xml:space="preserve">%) but a </w:t>
      </w:r>
      <w:r w:rsidR="003025E2">
        <w:rPr>
          <w:rFonts w:ascii="Arial" w:eastAsia="Calibri" w:hAnsi="Arial" w:cs="Arial"/>
          <w:sz w:val="24"/>
          <w:szCs w:val="24"/>
        </w:rPr>
        <w:t>low</w:t>
      </w:r>
      <w:r w:rsidR="003025E2" w:rsidRPr="00CA1026">
        <w:rPr>
          <w:rFonts w:ascii="Arial" w:eastAsia="Calibri" w:hAnsi="Arial" w:cs="Arial"/>
          <w:sz w:val="24"/>
          <w:szCs w:val="24"/>
        </w:rPr>
        <w:t xml:space="preserve"> </w:t>
      </w:r>
      <w:r w:rsidR="003025E2">
        <w:rPr>
          <w:rFonts w:ascii="Arial" w:eastAsia="Calibri" w:hAnsi="Arial" w:cs="Arial"/>
          <w:sz w:val="24"/>
          <w:szCs w:val="24"/>
        </w:rPr>
        <w:t>K</w:t>
      </w:r>
      <w:r w:rsidR="003025E2" w:rsidRPr="00CA1026">
        <w:rPr>
          <w:rFonts w:ascii="Arial" w:eastAsia="Calibri" w:hAnsi="Arial" w:cs="Arial"/>
          <w:sz w:val="24"/>
          <w:szCs w:val="24"/>
        </w:rPr>
        <w:t>appa (0.</w:t>
      </w:r>
      <w:r w:rsidR="003025E2">
        <w:rPr>
          <w:rFonts w:ascii="Arial" w:eastAsia="Calibri" w:hAnsi="Arial" w:cs="Arial"/>
          <w:sz w:val="24"/>
          <w:szCs w:val="24"/>
        </w:rPr>
        <w:t>25</w:t>
      </w:r>
      <w:r w:rsidR="003025E2" w:rsidRPr="00CA1026">
        <w:rPr>
          <w:rFonts w:ascii="Arial" w:eastAsia="Calibri" w:hAnsi="Arial" w:cs="Arial"/>
          <w:sz w:val="24"/>
          <w:szCs w:val="24"/>
        </w:rPr>
        <w:t xml:space="preserve">). The potential reason for the discrepancy between the agreement and </w:t>
      </w:r>
      <w:r w:rsidR="003025E2">
        <w:rPr>
          <w:rFonts w:ascii="Arial" w:eastAsia="Calibri" w:hAnsi="Arial" w:cs="Arial"/>
          <w:sz w:val="24"/>
          <w:szCs w:val="24"/>
        </w:rPr>
        <w:t>K</w:t>
      </w:r>
      <w:r w:rsidR="003025E2" w:rsidRPr="00CA1026">
        <w:rPr>
          <w:rFonts w:ascii="Arial" w:eastAsia="Calibri" w:hAnsi="Arial" w:cs="Arial"/>
          <w:sz w:val="24"/>
          <w:szCs w:val="24"/>
        </w:rPr>
        <w:t xml:space="preserve">appa is that </w:t>
      </w:r>
      <w:r w:rsidR="003025E2">
        <w:rPr>
          <w:rFonts w:ascii="Arial" w:eastAsia="Calibri" w:hAnsi="Arial" w:cs="Arial"/>
          <w:sz w:val="24"/>
          <w:szCs w:val="24"/>
        </w:rPr>
        <w:t>ECG</w:t>
      </w:r>
      <w:r w:rsidR="003025E2" w:rsidRPr="00CA1026">
        <w:rPr>
          <w:rFonts w:ascii="Arial" w:eastAsia="Calibri" w:hAnsi="Arial" w:cs="Arial"/>
          <w:sz w:val="24"/>
          <w:szCs w:val="24"/>
        </w:rPr>
        <w:t>=</w:t>
      </w:r>
      <w:r w:rsidR="003025E2">
        <w:rPr>
          <w:rFonts w:ascii="Arial" w:eastAsia="Calibri" w:hAnsi="Arial" w:cs="Arial"/>
          <w:sz w:val="24"/>
          <w:szCs w:val="24"/>
        </w:rPr>
        <w:t xml:space="preserve">N </w:t>
      </w:r>
      <w:r w:rsidR="001B73C5">
        <w:rPr>
          <w:rFonts w:ascii="Arial" w:eastAsia="Calibri" w:hAnsi="Arial" w:cs="Arial"/>
          <w:sz w:val="24"/>
          <w:szCs w:val="24"/>
        </w:rPr>
        <w:t xml:space="preserve">(an ECG was not performed) </w:t>
      </w:r>
      <w:r w:rsidR="003025E2">
        <w:rPr>
          <w:rFonts w:ascii="Arial" w:eastAsia="Calibri" w:hAnsi="Arial" w:cs="Arial"/>
          <w:sz w:val="24"/>
          <w:szCs w:val="24"/>
        </w:rPr>
        <w:t>is</w:t>
      </w:r>
      <w:r w:rsidR="003025E2" w:rsidRPr="00CA1026">
        <w:rPr>
          <w:rFonts w:ascii="Arial" w:eastAsia="Calibri" w:hAnsi="Arial" w:cs="Arial"/>
          <w:sz w:val="24"/>
          <w:szCs w:val="24"/>
        </w:rPr>
        <w:t xml:space="preserve"> </w:t>
      </w:r>
      <w:r w:rsidR="003025E2">
        <w:rPr>
          <w:rFonts w:ascii="Arial" w:eastAsia="Calibri" w:hAnsi="Arial" w:cs="Arial"/>
          <w:sz w:val="24"/>
          <w:szCs w:val="24"/>
        </w:rPr>
        <w:t>rare event</w:t>
      </w:r>
      <w:r w:rsidR="003025E2" w:rsidRPr="00CA1026">
        <w:rPr>
          <w:rFonts w:ascii="Arial" w:eastAsia="Calibri" w:hAnsi="Arial" w:cs="Arial"/>
          <w:sz w:val="24"/>
          <w:szCs w:val="24"/>
        </w:rPr>
        <w:t xml:space="preserve">. The Kappa statistic is affected by the prevalence of the data of interest. For data of rare occurrence, very low values of kappa may not necessarily reflect low overall agreement. The kappa statistic for all other data elements reflected </w:t>
      </w:r>
      <w:r w:rsidR="003025E2">
        <w:rPr>
          <w:rFonts w:ascii="Arial" w:eastAsia="Calibri" w:hAnsi="Arial" w:cs="Arial"/>
          <w:sz w:val="24"/>
          <w:szCs w:val="24"/>
        </w:rPr>
        <w:t xml:space="preserve">moderate to </w:t>
      </w:r>
      <w:r w:rsidR="003025E2" w:rsidRPr="00CA1026">
        <w:rPr>
          <w:rFonts w:ascii="Arial" w:eastAsia="Calibri" w:hAnsi="Arial" w:cs="Arial"/>
          <w:sz w:val="24"/>
          <w:szCs w:val="24"/>
        </w:rPr>
        <w:t>almost perfect agreement.</w:t>
      </w:r>
    </w:p>
    <w:p w:rsidR="003025E2" w:rsidRPr="004211ED" w:rsidRDefault="003025E2" w:rsidP="003025E2">
      <w:pPr>
        <w:rPr>
          <w:rFonts w:ascii="Arial" w:eastAsia="Calibri" w:hAnsi="Arial" w:cs="Arial"/>
          <w:sz w:val="24"/>
          <w:szCs w:val="24"/>
        </w:rPr>
      </w:pPr>
      <w:r w:rsidRPr="004211ED">
        <w:rPr>
          <w:rFonts w:ascii="Arial" w:eastAsia="Calibri" w:hAnsi="Arial" w:cs="Arial"/>
          <w:sz w:val="24"/>
          <w:szCs w:val="24"/>
        </w:rPr>
        <w:lastRenderedPageBreak/>
        <w:t>There were two types of</w:t>
      </w:r>
      <w:r w:rsidRPr="00760B64">
        <w:rPr>
          <w:rFonts w:ascii="Arial" w:eastAsia="Calibri" w:hAnsi="Arial" w:cs="Arial"/>
          <w:sz w:val="24"/>
          <w:szCs w:val="24"/>
        </w:rPr>
        <w:t xml:space="preserve"> data element for which we did not feel comfortable providing kappa statistics. Three data elements (“Discharge Status”, “E/M Code”, and “ICD-9-CM Principal Diagnosis Code”) were categorical variables with more than two response categories. For these multi-category response variables, we did no</w:t>
      </w:r>
      <w:r>
        <w:rPr>
          <w:rFonts w:ascii="Arial" w:eastAsia="Calibri" w:hAnsi="Arial" w:cs="Arial"/>
          <w:sz w:val="24"/>
          <w:szCs w:val="24"/>
        </w:rPr>
        <w:t>t</w:t>
      </w:r>
      <w:r w:rsidRPr="00760B64">
        <w:rPr>
          <w:rFonts w:ascii="Arial" w:eastAsia="Calibri" w:hAnsi="Arial" w:cs="Arial"/>
          <w:sz w:val="24"/>
          <w:szCs w:val="24"/>
        </w:rPr>
        <w:t xml:space="preserve"> calculate the kappa statistic for three reasons. First, kappa was originally designed for a dichotomous response variable. Although it has since been extended to handle multi-category response variables (from 2 x 2 to 2 x n), one data element for this measure, “Discharge Status”, had 26 unique responses. Calculation of a kappa statistic for this data element is possible, but is likely to have less meaning than the raw agreement rate. Second, these multi-category data elements </w:t>
      </w:r>
      <w:r>
        <w:rPr>
          <w:rFonts w:ascii="Arial" w:eastAsia="Calibri" w:hAnsi="Arial" w:cs="Arial"/>
          <w:sz w:val="24"/>
          <w:szCs w:val="24"/>
        </w:rPr>
        <w:t xml:space="preserve">all </w:t>
      </w:r>
      <w:r w:rsidRPr="00760B64">
        <w:rPr>
          <w:rFonts w:ascii="Arial" w:eastAsia="Calibri" w:hAnsi="Arial" w:cs="Arial"/>
          <w:sz w:val="24"/>
          <w:szCs w:val="24"/>
        </w:rPr>
        <w:t xml:space="preserve">had perfect agreement rates (100%). Any kappa statistic that was a significant departure from this raw agreement rate would suggest unreliability of the kappa statistic, not unreliability of the raw agreement rate. </w:t>
      </w:r>
    </w:p>
    <w:p w:rsidR="003025E2" w:rsidRPr="004211ED" w:rsidRDefault="003025E2" w:rsidP="003025E2">
      <w:pPr>
        <w:rPr>
          <w:rFonts w:ascii="Arial" w:eastAsia="Calibri" w:hAnsi="Arial" w:cs="Arial"/>
          <w:sz w:val="24"/>
          <w:szCs w:val="24"/>
        </w:rPr>
      </w:pPr>
      <w:r w:rsidRPr="004211ED">
        <w:rPr>
          <w:rFonts w:ascii="Arial" w:eastAsia="Calibri" w:hAnsi="Arial" w:cs="Arial"/>
          <w:sz w:val="24"/>
          <w:szCs w:val="24"/>
        </w:rPr>
        <w:t xml:space="preserve">The second date element type for which we did not calculate kappa statistics was date/time variables that are commonly treated as continuous variables. Initially, it was thought that we could calculate the </w:t>
      </w:r>
      <w:proofErr w:type="spellStart"/>
      <w:r w:rsidRPr="004211ED">
        <w:rPr>
          <w:rFonts w:ascii="Arial" w:eastAsia="Calibri" w:hAnsi="Arial" w:cs="Arial"/>
          <w:sz w:val="24"/>
          <w:szCs w:val="24"/>
        </w:rPr>
        <w:t>Intraclass</w:t>
      </w:r>
      <w:proofErr w:type="spellEnd"/>
      <w:r w:rsidRPr="004211ED">
        <w:rPr>
          <w:rFonts w:ascii="Arial" w:eastAsia="Calibri" w:hAnsi="Arial" w:cs="Arial"/>
          <w:sz w:val="24"/>
          <w:szCs w:val="24"/>
        </w:rPr>
        <w:t xml:space="preserve"> Correlation Coefficient (ICC) for these measures. However, upon investigation it was determined not to be appropriate to calculate the ICC for the date and time variables. Because of the way the statistical software that we use (SAS) handles these date and time values, the ICC is inflated to </w:t>
      </w:r>
      <w:r>
        <w:rPr>
          <w:rFonts w:ascii="Arial" w:eastAsia="Calibri" w:hAnsi="Arial" w:cs="Arial"/>
          <w:sz w:val="24"/>
          <w:szCs w:val="24"/>
        </w:rPr>
        <w:t xml:space="preserve">1, which does </w:t>
      </w:r>
      <w:r w:rsidRPr="004211ED">
        <w:rPr>
          <w:rFonts w:ascii="Arial" w:eastAsia="Calibri" w:hAnsi="Arial" w:cs="Arial"/>
          <w:sz w:val="24"/>
          <w:szCs w:val="24"/>
        </w:rPr>
        <w:t>not provid</w:t>
      </w:r>
      <w:r>
        <w:rPr>
          <w:rFonts w:ascii="Arial" w:eastAsia="Calibri" w:hAnsi="Arial" w:cs="Arial"/>
          <w:sz w:val="24"/>
          <w:szCs w:val="24"/>
        </w:rPr>
        <w:t>e</w:t>
      </w:r>
      <w:r w:rsidRPr="004211ED">
        <w:rPr>
          <w:rFonts w:ascii="Arial" w:eastAsia="Calibri" w:hAnsi="Arial" w:cs="Arial"/>
          <w:sz w:val="24"/>
          <w:szCs w:val="24"/>
        </w:rPr>
        <w:t xml:space="preserve"> useful information. As an alternative to the ICC for the time data elements, we calculated the median time difference between the abstractors when the time elements did not have matching values. We acknowledge this does not adjust the agreement rate for chance, but it does provide a sense of the magnitude of disagreement between abstractors when it existed. This analysis was not reported for the date data elements due to the very high agreement in these data elements. </w:t>
      </w:r>
    </w:p>
    <w:p w:rsidR="003025E2" w:rsidRDefault="003025E2" w:rsidP="003025E2">
      <w:pPr>
        <w:rPr>
          <w:rFonts w:ascii="Arial" w:eastAsia="Calibri" w:hAnsi="Arial" w:cs="Arial"/>
          <w:sz w:val="24"/>
          <w:szCs w:val="24"/>
        </w:rPr>
      </w:pPr>
      <w:r>
        <w:rPr>
          <w:rFonts w:ascii="Arial" w:eastAsia="Calibri" w:hAnsi="Arial" w:cs="Arial"/>
          <w:sz w:val="24"/>
          <w:szCs w:val="24"/>
        </w:rPr>
        <w:t>It should be noted that the</w:t>
      </w:r>
      <w:r w:rsidRPr="001A1812">
        <w:rPr>
          <w:rFonts w:ascii="Arial" w:eastAsia="Calibri" w:hAnsi="Arial" w:cs="Arial"/>
          <w:sz w:val="24"/>
          <w:szCs w:val="24"/>
        </w:rPr>
        <w:t xml:space="preserve"> variations in the denominators of individual data elements were not due to excessive missing data</w:t>
      </w:r>
      <w:r>
        <w:rPr>
          <w:rFonts w:ascii="Arial" w:eastAsia="Calibri" w:hAnsi="Arial" w:cs="Arial"/>
          <w:sz w:val="24"/>
          <w:szCs w:val="24"/>
        </w:rPr>
        <w:t xml:space="preserve">. The data were collected and analyzed according to the design of measure algorithm, which may have </w:t>
      </w:r>
      <w:r w:rsidRPr="001A1812">
        <w:rPr>
          <w:rFonts w:ascii="Arial" w:eastAsia="Calibri" w:hAnsi="Arial" w:cs="Arial"/>
          <w:sz w:val="24"/>
          <w:szCs w:val="24"/>
        </w:rPr>
        <w:t xml:space="preserve">a parent-child relationship </w:t>
      </w:r>
      <w:r>
        <w:rPr>
          <w:rFonts w:ascii="Arial" w:eastAsia="Calibri" w:hAnsi="Arial" w:cs="Arial"/>
          <w:sz w:val="24"/>
          <w:szCs w:val="24"/>
        </w:rPr>
        <w:t>between data</w:t>
      </w:r>
      <w:r w:rsidRPr="001A1812">
        <w:rPr>
          <w:rFonts w:ascii="Arial" w:eastAsia="Calibri" w:hAnsi="Arial" w:cs="Arial"/>
          <w:sz w:val="24"/>
          <w:szCs w:val="24"/>
        </w:rPr>
        <w:t xml:space="preserve"> elements</w:t>
      </w:r>
      <w:r>
        <w:rPr>
          <w:rFonts w:ascii="Arial" w:eastAsia="Calibri" w:hAnsi="Arial" w:cs="Arial"/>
          <w:sz w:val="24"/>
          <w:szCs w:val="24"/>
        </w:rPr>
        <w:t xml:space="preserve">. For </w:t>
      </w:r>
      <w:r w:rsidRPr="001A1812">
        <w:rPr>
          <w:rFonts w:ascii="Arial" w:eastAsia="Calibri" w:hAnsi="Arial" w:cs="Arial"/>
          <w:sz w:val="24"/>
          <w:szCs w:val="24"/>
        </w:rPr>
        <w:t>example, the “</w:t>
      </w:r>
      <w:r w:rsidRPr="00C439FC">
        <w:rPr>
          <w:rFonts w:ascii="Arial" w:eastAsia="Calibri" w:hAnsi="Arial" w:cs="Arial"/>
          <w:sz w:val="24"/>
          <w:szCs w:val="24"/>
        </w:rPr>
        <w:t>Reason for No Aspirin on Arrival</w:t>
      </w:r>
      <w:r w:rsidRPr="001A1812">
        <w:rPr>
          <w:rFonts w:ascii="Arial" w:eastAsia="Calibri" w:hAnsi="Arial" w:cs="Arial"/>
          <w:sz w:val="24"/>
          <w:szCs w:val="24"/>
        </w:rPr>
        <w:t xml:space="preserve">” data element had a parent-child relationship with other data elements. If the case </w:t>
      </w:r>
      <w:r>
        <w:rPr>
          <w:rFonts w:ascii="Arial" w:eastAsia="Calibri" w:hAnsi="Arial" w:cs="Arial"/>
          <w:sz w:val="24"/>
          <w:szCs w:val="24"/>
        </w:rPr>
        <w:t>received aspirin on arrival</w:t>
      </w:r>
      <w:r w:rsidRPr="001A1812">
        <w:rPr>
          <w:rFonts w:ascii="Arial" w:eastAsia="Calibri" w:hAnsi="Arial" w:cs="Arial"/>
          <w:sz w:val="24"/>
          <w:szCs w:val="24"/>
        </w:rPr>
        <w:t xml:space="preserve">, the data would not be collected for </w:t>
      </w:r>
      <w:r>
        <w:rPr>
          <w:rFonts w:ascii="Arial" w:eastAsia="Calibri" w:hAnsi="Arial" w:cs="Arial"/>
          <w:sz w:val="24"/>
          <w:szCs w:val="24"/>
        </w:rPr>
        <w:t>this</w:t>
      </w:r>
      <w:r w:rsidRPr="001A1812">
        <w:rPr>
          <w:rFonts w:ascii="Arial" w:eastAsia="Calibri" w:hAnsi="Arial" w:cs="Arial"/>
          <w:sz w:val="24"/>
          <w:szCs w:val="24"/>
        </w:rPr>
        <w:t xml:space="preserve"> data element</w:t>
      </w:r>
      <w:r>
        <w:rPr>
          <w:rFonts w:ascii="Arial" w:eastAsia="Calibri" w:hAnsi="Arial" w:cs="Arial"/>
          <w:sz w:val="24"/>
          <w:szCs w:val="24"/>
        </w:rPr>
        <w:t xml:space="preserve">.  </w:t>
      </w:r>
    </w:p>
    <w:p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3. EXCLUSIONS</w:t>
      </w:r>
      <w:r w:rsidR="005333CC" w:rsidRPr="00A25024">
        <w:rPr>
          <w:rFonts w:cstheme="minorHAnsi"/>
          <w:b/>
          <w:bCs/>
        </w:rPr>
        <w:t xml:space="preserve"> </w:t>
      </w:r>
      <w:r w:rsidR="00356BAD" w:rsidRPr="00A25024">
        <w:rPr>
          <w:rFonts w:cstheme="minorHAnsi"/>
          <w:b/>
          <w:bCs/>
        </w:rPr>
        <w:t>ANALYSIS</w:t>
      </w:r>
    </w:p>
    <w:p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1"/>
            <w14:checkedState w14:val="2612" w14:font="MS Gothic"/>
            <w14:uncheckedState w14:val="2610" w14:font="MS Gothic"/>
          </w14:checkbox>
        </w:sdtPr>
        <w:sdtEndPr/>
        <w:sdtContent>
          <w:r w:rsidR="003A6973">
            <w:rPr>
              <w:rFonts w:ascii="MS Gothic" w:eastAsia="MS Gothic" w:hAnsi="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rsidR="00001D73" w:rsidRDefault="00001D73" w:rsidP="00DB3627">
      <w:pPr>
        <w:autoSpaceDE w:val="0"/>
        <w:autoSpaceDN w:val="0"/>
        <w:adjustRightInd w:val="0"/>
        <w:spacing w:after="0" w:line="240" w:lineRule="auto"/>
        <w:rPr>
          <w:rFonts w:cstheme="minorHAnsi"/>
          <w:b/>
          <w:bCs/>
        </w:rPr>
      </w:pPr>
    </w:p>
    <w:p w:rsidR="00833325"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t xml:space="preserve"> </w:t>
      </w:r>
    </w:p>
    <w:p w:rsidR="00092566" w:rsidRPr="00092566" w:rsidRDefault="00092566" w:rsidP="00092566">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w:t>
      </w:r>
      <w:r w:rsidR="000B2DF7" w:rsidRPr="00A25024">
        <w:rPr>
          <w:rFonts w:cstheme="minorHAnsi"/>
          <w:bCs/>
          <w:i/>
        </w:rPr>
        <w:lastRenderedPageBreak/>
        <w:t>impact on performance measure scores</w:t>
      </w:r>
      <w:r w:rsidR="000B2DF7" w:rsidRPr="00A25024">
        <w:rPr>
          <w:rFonts w:cstheme="minorHAnsi"/>
          <w:bCs/>
        </w:rPr>
        <w:t>)</w:t>
      </w:r>
      <w:r w:rsidR="00833325" w:rsidRPr="00A25024">
        <w:rPr>
          <w:rFonts w:cstheme="minorHAnsi"/>
          <w:bCs/>
        </w:rPr>
        <w:br/>
      </w:r>
    </w:p>
    <w:p w:rsidR="007422FD" w:rsidRPr="00A25024" w:rsidRDefault="00092566" w:rsidP="00DB3627">
      <w:pPr>
        <w:autoSpaceDE w:val="0"/>
        <w:autoSpaceDN w:val="0"/>
        <w:adjustRightInd w:val="0"/>
        <w:spacing w:after="0" w:line="240" w:lineRule="auto"/>
        <w:rPr>
          <w:rFonts w:cstheme="minorHAnsi"/>
          <w:bCs/>
        </w:rPr>
      </w:pPr>
      <w:r>
        <w:rPr>
          <w:rFonts w:cstheme="minorHAnsi"/>
          <w:b/>
          <w:bCs/>
        </w:rPr>
        <w:t>2b3.</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rsidR="00AC1D8E" w:rsidRPr="0086464B" w:rsidRDefault="00092566" w:rsidP="00AC1D8E">
      <w:pPr>
        <w:autoSpaceDE w:val="0"/>
        <w:autoSpaceDN w:val="0"/>
        <w:adjustRightInd w:val="0"/>
        <w:spacing w:after="0" w:line="240" w:lineRule="auto"/>
        <w:rPr>
          <w:rFonts w:cstheme="minorHAnsi"/>
          <w:b/>
          <w:bCs/>
          <w:i/>
        </w:rPr>
      </w:pPr>
      <w:bookmarkStart w:id="11" w:name="section2b4"/>
      <w:bookmarkEnd w:id="11"/>
      <w:r w:rsidRPr="00A25024">
        <w:rPr>
          <w:rFonts w:cstheme="minorHAnsi"/>
          <w:b/>
          <w:bCs/>
        </w:rPr>
        <w:t>2b4.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rsidR="008871A9" w:rsidRDefault="008871A9" w:rsidP="00092566">
      <w:pPr>
        <w:autoSpaceDE w:val="0"/>
        <w:autoSpaceDN w:val="0"/>
        <w:adjustRightInd w:val="0"/>
        <w:spacing w:after="0" w:line="240" w:lineRule="auto"/>
        <w:rPr>
          <w:rFonts w:cstheme="minorHAnsi"/>
          <w:b/>
          <w:bCs/>
        </w:rPr>
      </w:pPr>
    </w:p>
    <w:p w:rsidR="00743E46" w:rsidRDefault="00092566" w:rsidP="00092566">
      <w:pPr>
        <w:autoSpaceDE w:val="0"/>
        <w:autoSpaceDN w:val="0"/>
        <w:adjustRightInd w:val="0"/>
        <w:spacing w:after="0" w:line="240" w:lineRule="auto"/>
        <w:rPr>
          <w:rFonts w:cstheme="minorHAnsi"/>
          <w:b/>
          <w:bCs/>
        </w:rPr>
      </w:pPr>
      <w:r w:rsidRPr="005232D6">
        <w:rPr>
          <w:rFonts w:cstheme="minorHAnsi"/>
          <w:b/>
          <w:bCs/>
        </w:rPr>
        <w:t xml:space="preserve">2b4.1. </w:t>
      </w:r>
      <w:r w:rsidR="00743E46" w:rsidRPr="005232D6">
        <w:rPr>
          <w:rFonts w:cstheme="minorHAnsi"/>
          <w:b/>
          <w:bCs/>
        </w:rPr>
        <w:t>What method of controlling for differences in case mix is used?</w:t>
      </w:r>
    </w:p>
    <w:p w:rsidR="00033038" w:rsidRPr="005232D6" w:rsidRDefault="003729A4"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1"/>
            <w14:checkedState w14:val="2612" w14:font="MS Gothic"/>
            <w14:uncheckedState w14:val="2610" w14:font="MS Gothic"/>
          </w14:checkbox>
        </w:sdtPr>
        <w:sdtEndPr/>
        <w:sdtContent>
          <w:r w:rsidR="003A6973">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rsidR="00743E46" w:rsidRPr="005232D6" w:rsidRDefault="003729A4"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rsidR="00743E46" w:rsidRPr="005232D6" w:rsidRDefault="003729A4"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rsidR="00743E46" w:rsidRPr="005232D6" w:rsidRDefault="003729A4"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2b4.2. </w:t>
      </w:r>
      <w:proofErr w:type="gramStart"/>
      <w:r w:rsidR="008871A9">
        <w:rPr>
          <w:rFonts w:cstheme="minorHAnsi"/>
          <w:b/>
          <w:bCs/>
        </w:rPr>
        <w:t>If</w:t>
      </w:r>
      <w:proofErr w:type="gramEnd"/>
      <w:r w:rsidR="008871A9">
        <w:rPr>
          <w:rFonts w:cstheme="minorHAnsi"/>
          <w:b/>
          <w:bCs/>
        </w:rPr>
        <w:t xml:space="preserve"> an outcome </w:t>
      </w:r>
      <w:r w:rsidR="00052A6F">
        <w:rPr>
          <w:rFonts w:cstheme="minorHAnsi"/>
          <w:b/>
          <w:bCs/>
        </w:rPr>
        <w:t xml:space="preserve">or resource use </w:t>
      </w:r>
      <w:r w:rsidR="00092566" w:rsidRPr="00A25024">
        <w:rPr>
          <w:rFonts w:cstheme="minorHAnsi"/>
          <w:b/>
          <w:bCs/>
        </w:rPr>
        <w:t xml:space="preserve">measure is </w:t>
      </w:r>
      <w:r w:rsidR="00092566" w:rsidRPr="00A25024">
        <w:rPr>
          <w:rFonts w:cstheme="minorHAnsi"/>
          <w:b/>
          <w:bCs/>
          <w:u w:val="single"/>
        </w:rPr>
        <w:t>not risk adjusted or stratified</w:t>
      </w:r>
      <w:r w:rsidR="00092566" w:rsidRPr="00A25024">
        <w:rPr>
          <w:rFonts w:cstheme="minorHAnsi"/>
          <w:b/>
          <w:bCs/>
        </w:rPr>
        <w:t xml:space="preserve">, provide </w:t>
      </w:r>
      <w:r w:rsidR="00092566" w:rsidRPr="00A25024">
        <w:rPr>
          <w:rFonts w:cstheme="minorHAnsi"/>
          <w:b/>
          <w:bCs/>
          <w:u w:val="single"/>
        </w:rPr>
        <w:t>rationale and analyses</w:t>
      </w:r>
      <w:r w:rsidR="00092566" w:rsidRPr="00A25024">
        <w:rPr>
          <w:rFonts w:cstheme="minorHAnsi"/>
          <w:b/>
          <w:bCs/>
        </w:rPr>
        <w:t xml:space="preserve"> to demonstrate </w:t>
      </w:r>
      <w:r w:rsidR="00092566">
        <w:rPr>
          <w:rFonts w:cstheme="minorHAnsi"/>
          <w:b/>
          <w:bCs/>
        </w:rPr>
        <w:t xml:space="preserve">that </w:t>
      </w:r>
      <w:r w:rsidR="00092566" w:rsidRPr="00A25024">
        <w:rPr>
          <w:rFonts w:cstheme="minorHAnsi"/>
          <w:b/>
          <w:bCs/>
        </w:rPr>
        <w:t>controlling for differences in patient characteristics (case mix) is not needed to achieve fair comparisons across measured entities</w:t>
      </w:r>
      <w:r w:rsidR="00092566" w:rsidRPr="00A25024">
        <w:rPr>
          <w:rFonts w:cstheme="minorHAnsi"/>
          <w:bCs/>
        </w:rPr>
        <w:t xml:space="preserve">. </w:t>
      </w:r>
      <w:r w:rsidR="00092566" w:rsidRPr="00A25024">
        <w:rPr>
          <w:rFonts w:cstheme="minorHAnsi"/>
          <w:bCs/>
        </w:rPr>
        <w:br/>
      </w:r>
      <w:r w:rsidR="00092566">
        <w:rPr>
          <w:rFonts w:cstheme="minorHAnsi"/>
          <w:b/>
          <w:bCs/>
        </w:rPr>
        <w:t xml:space="preserve">2b4.3.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factors 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 and not related to disparities</w:t>
      </w:r>
      <w:proofErr w:type="gramStart"/>
      <w:r w:rsidR="00092566" w:rsidRPr="00A25024">
        <w:rPr>
          <w:rFonts w:cstheme="minorHAnsi"/>
          <w:bCs/>
        </w:rPr>
        <w:t>)</w:t>
      </w:r>
      <w:proofErr w:type="gramEnd"/>
      <w:r w:rsidR="00092566" w:rsidRPr="00A25024">
        <w:rPr>
          <w:rFonts w:cstheme="minorHAnsi"/>
          <w:bCs/>
        </w:rPr>
        <w:br/>
      </w:r>
      <w:r w:rsidR="00092566">
        <w:rPr>
          <w:rFonts w:cstheme="minorHAnsi"/>
          <w:b/>
          <w:bCs/>
        </w:rPr>
        <w:t xml:space="preserve">2b4.4. </w:t>
      </w:r>
      <w:r w:rsidR="00092566" w:rsidRPr="00A25024">
        <w:rPr>
          <w:rFonts w:cstheme="minorHAnsi"/>
          <w:b/>
          <w:bCs/>
        </w:rPr>
        <w:t>What were the statistical results of the analyses used to select risk factors?</w:t>
      </w:r>
      <w:r w:rsidR="00001D73">
        <w:rPr>
          <w:rFonts w:cstheme="minorHAnsi"/>
          <w:b/>
          <w:bCs/>
        </w:rPr>
        <w:br/>
      </w:r>
      <w:r w:rsidR="00E1508F">
        <w:rPr>
          <w:rFonts w:cstheme="minorHAnsi"/>
          <w:b/>
          <w:bCs/>
        </w:rPr>
        <w:t>2b4.</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rsidR="00E1508F" w:rsidRDefault="00001D73" w:rsidP="00092566">
      <w:pPr>
        <w:autoSpaceDE w:val="0"/>
        <w:autoSpaceDN w:val="0"/>
        <w:adjustRightInd w:val="0"/>
        <w:spacing w:after="0" w:line="240" w:lineRule="auto"/>
        <w:rPr>
          <w:rFonts w:cstheme="minorHAnsi"/>
          <w:b/>
          <w:bCs/>
        </w:rPr>
      </w:pPr>
      <w:r w:rsidRPr="00001D73">
        <w:rPr>
          <w:rFonts w:cstheme="minorHAnsi"/>
          <w:bCs/>
          <w:i/>
        </w:rPr>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743E46" w:rsidRPr="00BE592D">
          <w:rPr>
            <w:rStyle w:val="Hyperlink"/>
            <w:rFonts w:cstheme="minorHAnsi"/>
            <w:b/>
            <w:bCs/>
            <w:i/>
            <w:highlight w:val="green"/>
          </w:rPr>
          <w:t>2b4.9</w:t>
        </w:r>
      </w:hyperlink>
    </w:p>
    <w:p w:rsidR="00743E46" w:rsidRDefault="00743E46" w:rsidP="00092566">
      <w:pPr>
        <w:autoSpaceDE w:val="0"/>
        <w:autoSpaceDN w:val="0"/>
        <w:adjustRightInd w:val="0"/>
        <w:spacing w:after="0" w:line="240" w:lineRule="auto"/>
        <w:rPr>
          <w:rFonts w:cstheme="minorHAnsi"/>
          <w:b/>
          <w:bCs/>
        </w:rPr>
      </w:pPr>
    </w:p>
    <w:p w:rsidR="00092566" w:rsidRPr="00A25024" w:rsidRDefault="00743E46" w:rsidP="00092566">
      <w:pPr>
        <w:autoSpaceDE w:val="0"/>
        <w:autoSpaceDN w:val="0"/>
        <w:adjustRightInd w:val="0"/>
        <w:spacing w:after="0" w:line="240" w:lineRule="auto"/>
        <w:rPr>
          <w:rFonts w:cstheme="minorHAnsi"/>
          <w:bCs/>
        </w:rPr>
      </w:pPr>
      <w:r>
        <w:rPr>
          <w:rFonts w:cstheme="minorHAnsi"/>
          <w:b/>
          <w:bCs/>
        </w:rPr>
        <w:t xml:space="preserve">2b4.6.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r>
        <w:rPr>
          <w:rFonts w:cstheme="minorHAnsi"/>
          <w:b/>
          <w:bCs/>
        </w:rPr>
        <w:t>2b4.7</w:t>
      </w:r>
      <w:r w:rsidR="00001D73">
        <w:rPr>
          <w:rFonts w:cstheme="minorHAnsi"/>
          <w:b/>
          <w:bCs/>
        </w:rPr>
        <w:t xml:space="preserve">. </w:t>
      </w:r>
      <w:r>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 xml:space="preserve">e.g., </w:t>
      </w:r>
      <w:proofErr w:type="spellStart"/>
      <w:r w:rsidR="003605B4" w:rsidRPr="003605B4">
        <w:rPr>
          <w:rFonts w:cstheme="minorHAnsi"/>
          <w:bCs/>
          <w:i/>
        </w:rPr>
        <w:t>Hosmer-Lemeshow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r>
        <w:rPr>
          <w:rFonts w:cstheme="minorHAnsi"/>
          <w:b/>
          <w:bCs/>
        </w:rPr>
        <w:t>2b4.8</w:t>
      </w:r>
      <w:r w:rsidR="00001D73">
        <w:rPr>
          <w:rFonts w:cstheme="minorHAnsi"/>
          <w:b/>
          <w:bCs/>
        </w:rPr>
        <w:t xml:space="preserve">. </w:t>
      </w:r>
      <w:r>
        <w:rPr>
          <w:rFonts w:cstheme="minorHAnsi"/>
          <w:b/>
          <w:bCs/>
        </w:rPr>
        <w:t xml:space="preserve">Statistical </w:t>
      </w:r>
      <w:r w:rsidR="00092566" w:rsidRPr="00A25024">
        <w:rPr>
          <w:rFonts w:cstheme="minorHAnsi"/>
          <w:b/>
          <w:bCs/>
        </w:rPr>
        <w:t xml:space="preserve">Risk Model Calibration – Risk </w:t>
      </w:r>
      <w:proofErr w:type="spellStart"/>
      <w:r w:rsidR="00092566" w:rsidRPr="00A25024">
        <w:rPr>
          <w:rFonts w:cstheme="minorHAnsi"/>
          <w:b/>
          <w:bCs/>
        </w:rPr>
        <w:t>decile</w:t>
      </w:r>
      <w:proofErr w:type="spellEnd"/>
      <w:r w:rsidR="00092566" w:rsidRPr="00A25024">
        <w:rPr>
          <w:rFonts w:cstheme="minorHAnsi"/>
          <w:b/>
          <w:bCs/>
        </w:rPr>
        <w:t xml:space="preserve"> plots or calibration curves</w:t>
      </w:r>
      <w:proofErr w:type="gramStart"/>
      <w:r w:rsidR="00092566" w:rsidRPr="00A25024">
        <w:rPr>
          <w:rFonts w:cstheme="minorHAnsi"/>
          <w:bCs/>
        </w:rPr>
        <w:t>:</w:t>
      </w:r>
      <w:proofErr w:type="gramEnd"/>
      <w:r w:rsidR="00092566" w:rsidRPr="00A25024">
        <w:rPr>
          <w:rFonts w:cstheme="minorHAnsi"/>
          <w:bCs/>
        </w:rPr>
        <w:br/>
      </w:r>
      <w:bookmarkStart w:id="12" w:name="question2b49"/>
      <w:bookmarkEnd w:id="12"/>
      <w:r>
        <w:rPr>
          <w:rFonts w:cstheme="minorHAnsi"/>
          <w:b/>
        </w:rPr>
        <w:t>2b4.9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rsidR="00092566" w:rsidRPr="00A25024" w:rsidRDefault="00743E46" w:rsidP="00960960">
      <w:pPr>
        <w:autoSpaceDE w:val="0"/>
        <w:autoSpaceDN w:val="0"/>
        <w:adjustRightInd w:val="0"/>
        <w:spacing w:after="0" w:line="240" w:lineRule="auto"/>
        <w:rPr>
          <w:rFonts w:cstheme="minorHAnsi"/>
        </w:rPr>
      </w:pPr>
      <w:r>
        <w:rPr>
          <w:rFonts w:cstheme="minorHAnsi"/>
          <w:b/>
          <w:bCs/>
        </w:rPr>
        <w:t>2b4.10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rsidR="00021170" w:rsidRPr="009B1A15" w:rsidRDefault="009B1A15" w:rsidP="009B1A15">
      <w:pPr>
        <w:spacing w:after="0" w:line="240" w:lineRule="auto"/>
        <w:rPr>
          <w:rFonts w:cstheme="minorHAnsi"/>
        </w:rPr>
      </w:pPr>
      <w:r w:rsidRPr="009B1A15">
        <w:rPr>
          <w:rFonts w:cstheme="minorHAnsi"/>
          <w:b/>
          <w:highlight w:val="green"/>
        </w:rPr>
        <w:t>2b4.11.</w:t>
      </w:r>
      <w:r>
        <w:rPr>
          <w:rFonts w:cstheme="minorHAnsi"/>
          <w:highlight w:val="green"/>
        </w:rPr>
        <w:t xml:space="preserve"> </w:t>
      </w:r>
      <w:r w:rsidR="00092566" w:rsidRPr="009B1A15">
        <w:rPr>
          <w:rFonts w:cstheme="minorHAnsi"/>
          <w:b/>
          <w:highlight w:val="green"/>
        </w:rPr>
        <w:t>Optional</w:t>
      </w:r>
      <w:r w:rsidRPr="009B1A15">
        <w:rPr>
          <w:rFonts w:cstheme="minorHAnsi"/>
          <w:b/>
          <w:highlight w:val="green"/>
        </w:rPr>
        <w:t xml:space="preserve"> Additional </w:t>
      </w:r>
      <w:r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Pr>
          <w:rFonts w:cstheme="minorHAnsi"/>
          <w:i/>
        </w:rPr>
        <w:t>, e.g., testing of risk model in another data se</w:t>
      </w:r>
      <w:r w:rsidR="002408E4">
        <w:rPr>
          <w:rFonts w:cstheme="minorHAnsi"/>
          <w:i/>
        </w:rPr>
        <w:t>t</w:t>
      </w:r>
      <w:r>
        <w:rPr>
          <w:rFonts w:cstheme="minorHAnsi"/>
          <w:i/>
        </w:rPr>
        <w:t>; sensitivity analysis for missing data</w:t>
      </w:r>
      <w:r w:rsidR="002408E4">
        <w:rPr>
          <w:rFonts w:cstheme="minorHAnsi"/>
          <w:i/>
        </w:rPr>
        <w:t>;</w:t>
      </w:r>
      <w:r>
        <w:rPr>
          <w:rFonts w:cstheme="minorHAnsi"/>
          <w:i/>
        </w:rPr>
        <w:t xml:space="preserve"> other methods</w:t>
      </w:r>
      <w:r w:rsidR="008F7E67">
        <w:rPr>
          <w:rFonts w:cstheme="minorHAnsi"/>
          <w:i/>
        </w:rPr>
        <w:t xml:space="preserve"> that were assessed</w:t>
      </w:r>
      <w:r>
        <w:rPr>
          <w:rFonts w:cstheme="minorHAnsi"/>
        </w:rPr>
        <w:t>)</w:t>
      </w:r>
    </w:p>
    <w:p w:rsidR="003755CB" w:rsidRDefault="003755CB" w:rsidP="00D61410">
      <w:pPr>
        <w:autoSpaceDE w:val="0"/>
        <w:autoSpaceDN w:val="0"/>
        <w:adjustRightInd w:val="0"/>
        <w:spacing w:after="0" w:line="240" w:lineRule="auto"/>
        <w:rPr>
          <w:rFonts w:cstheme="minorHAnsi"/>
          <w:b/>
          <w:bCs/>
        </w:rPr>
      </w:pPr>
    </w:p>
    <w:p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rsidR="00D61410" w:rsidRPr="00A25024" w:rsidRDefault="00D61410" w:rsidP="00D61410">
      <w:pPr>
        <w:autoSpaceDE w:val="0"/>
        <w:autoSpaceDN w:val="0"/>
        <w:adjustRightInd w:val="0"/>
        <w:spacing w:after="0" w:line="240" w:lineRule="auto"/>
        <w:rPr>
          <w:rFonts w:cstheme="minorHAnsi"/>
          <w:b/>
          <w:bCs/>
        </w:rPr>
      </w:pPr>
      <w:bookmarkStart w:id="13" w:name="section2b5"/>
      <w:bookmarkEnd w:id="13"/>
      <w:r w:rsidRPr="00A25024">
        <w:rPr>
          <w:rFonts w:cstheme="minorHAnsi"/>
          <w:b/>
          <w:bCs/>
        </w:rPr>
        <w:t>2b5. IDENTIFICATION OF STATISTICALLY SIGNIFICANT &amp; MEANINGFUL DIFFERENCES IN PERFORMANCE</w:t>
      </w:r>
    </w:p>
    <w:p w:rsidR="00D61410" w:rsidRDefault="00D61410" w:rsidP="00D61410">
      <w:pPr>
        <w:autoSpaceDE w:val="0"/>
        <w:autoSpaceDN w:val="0"/>
        <w:adjustRightInd w:val="0"/>
        <w:spacing w:after="0" w:line="240" w:lineRule="auto"/>
        <w:rPr>
          <w:rFonts w:cstheme="minorHAnsi"/>
          <w:bCs/>
          <w:i/>
        </w:rPr>
      </w:pPr>
      <w:r>
        <w:rPr>
          <w:rFonts w:cstheme="minorHAnsi"/>
          <w:b/>
          <w:bCs/>
        </w:rPr>
        <w:lastRenderedPageBreak/>
        <w:t>2b5.1. Describe the method for</w:t>
      </w:r>
      <w:r w:rsidRPr="00A25024">
        <w:rPr>
          <w:rFonts w:cstheme="minorHAnsi"/>
          <w:b/>
          <w:bCs/>
        </w:rPr>
        <w:t xml:space="preserve"> det</w:t>
      </w:r>
      <w:r>
        <w:rPr>
          <w:rFonts w:cstheme="minorHAnsi"/>
          <w:b/>
          <w:bCs/>
        </w:rPr>
        <w:t>ermining</w:t>
      </w:r>
      <w:r w:rsidRPr="00A25024">
        <w:rPr>
          <w:rFonts w:cstheme="minorHAnsi"/>
          <w:b/>
          <w:bCs/>
        </w:rPr>
        <w:t xml:space="preserve"> if statistically significant and clinically/practically meaningful differences in performance measure scores among the measured entities </w:t>
      </w:r>
      <w:r>
        <w:rPr>
          <w:rFonts w:cstheme="minorHAnsi"/>
          <w:b/>
          <w:bCs/>
        </w:rPr>
        <w:t>can</w:t>
      </w:r>
      <w:r w:rsidRPr="00A25024">
        <w:rPr>
          <w:rFonts w:cstheme="minorHAnsi"/>
          <w:b/>
          <w:bCs/>
        </w:rPr>
        <w:t xml:space="preserve"> be identified</w:t>
      </w:r>
      <w:r w:rsidRPr="00A25024">
        <w:rPr>
          <w:rFonts w:cstheme="minorHAnsi"/>
          <w:bCs/>
        </w:rPr>
        <w:t xml:space="preserve"> (</w:t>
      </w:r>
      <w:r w:rsidRPr="00A25024">
        <w:rPr>
          <w:rFonts w:cstheme="minorHAnsi"/>
          <w:bCs/>
          <w:i/>
        </w:rPr>
        <w:t>describe the steps―do not just name a method</w:t>
      </w:r>
      <w:r>
        <w:rPr>
          <w:rFonts w:cstheme="minorHAnsi"/>
          <w:bCs/>
          <w:i/>
        </w:rPr>
        <w:t>; what statistical analysis was used? Do not just repeat the information provided related to performance gap in 1b</w:t>
      </w:r>
      <w:r w:rsidRPr="00A25024">
        <w:rPr>
          <w:rFonts w:cstheme="minorHAnsi"/>
          <w:bCs/>
          <w:i/>
        </w:rPr>
        <w:t xml:space="preserve">) </w:t>
      </w:r>
    </w:p>
    <w:p w:rsidR="00676265" w:rsidRPr="00B319E1" w:rsidRDefault="00676265" w:rsidP="00D61410">
      <w:pPr>
        <w:autoSpaceDE w:val="0"/>
        <w:autoSpaceDN w:val="0"/>
        <w:adjustRightInd w:val="0"/>
        <w:spacing w:after="0" w:line="240" w:lineRule="auto"/>
        <w:rPr>
          <w:rFonts w:cstheme="minorHAnsi"/>
          <w:bCs/>
          <w:color w:val="FF0000"/>
        </w:rPr>
      </w:pPr>
      <w:r w:rsidRPr="00B319E1">
        <w:rPr>
          <w:rFonts w:cstheme="minorHAnsi"/>
          <w:bCs/>
          <w:i/>
          <w:color w:val="FF0000"/>
        </w:rPr>
        <w:t>Per NQF, we reported validity test for data elements. We did not conduct the validity test for performance score.</w:t>
      </w:r>
    </w:p>
    <w:p w:rsidR="00676265" w:rsidRPr="00B319E1" w:rsidRDefault="00D61410" w:rsidP="00676265">
      <w:pPr>
        <w:autoSpaceDE w:val="0"/>
        <w:autoSpaceDN w:val="0"/>
        <w:adjustRightInd w:val="0"/>
        <w:spacing w:after="0" w:line="240" w:lineRule="auto"/>
        <w:rPr>
          <w:rFonts w:cstheme="minorHAnsi"/>
          <w:bCs/>
        </w:rPr>
      </w:pPr>
      <w:r w:rsidRPr="00B319E1">
        <w:rPr>
          <w:rFonts w:cstheme="minorHAnsi"/>
          <w:b/>
          <w:bCs/>
        </w:rPr>
        <w:t xml:space="preserve">2b5.2. </w:t>
      </w:r>
      <w:proofErr w:type="gramStart"/>
      <w:r w:rsidRPr="00B319E1">
        <w:rPr>
          <w:rFonts w:cstheme="minorHAnsi"/>
          <w:b/>
          <w:bCs/>
        </w:rPr>
        <w:t>What</w:t>
      </w:r>
      <w:proofErr w:type="gramEnd"/>
      <w:r w:rsidRPr="00B319E1">
        <w:rPr>
          <w:rFonts w:cstheme="minorHAnsi"/>
          <w:b/>
          <w:bCs/>
        </w:rPr>
        <w:t xml:space="preserve"> were the statistical results from testing the ability to identify </w:t>
      </w:r>
      <w:r w:rsidR="001E69DC" w:rsidRPr="00B319E1">
        <w:rPr>
          <w:rFonts w:cstheme="minorHAnsi"/>
          <w:b/>
          <w:bCs/>
        </w:rPr>
        <w:t xml:space="preserve">statistically significant and/or clinically/practically meaningful </w:t>
      </w:r>
      <w:r w:rsidRPr="00B319E1">
        <w:rPr>
          <w:rFonts w:cstheme="minorHAnsi"/>
          <w:b/>
          <w:bCs/>
        </w:rPr>
        <w:t>differences in performance measure scores across measured entities?</w:t>
      </w:r>
      <w:r w:rsidRPr="00B319E1">
        <w:rPr>
          <w:rFonts w:cstheme="minorHAnsi"/>
          <w:bCs/>
        </w:rPr>
        <w:t xml:space="preserve"> (e.g., </w:t>
      </w:r>
      <w:r w:rsidRPr="00B319E1">
        <w:rPr>
          <w:rFonts w:cstheme="minorHAnsi"/>
          <w:bCs/>
          <w:i/>
        </w:rPr>
        <w:t xml:space="preserve">number and percentage </w:t>
      </w:r>
      <w:r w:rsidR="001E69DC" w:rsidRPr="00B319E1">
        <w:rPr>
          <w:rFonts w:cstheme="minorHAnsi"/>
          <w:bCs/>
          <w:i/>
        </w:rPr>
        <w:t xml:space="preserve">of entities with scores </w:t>
      </w:r>
      <w:r w:rsidRPr="00B319E1">
        <w:rPr>
          <w:rFonts w:cstheme="minorHAnsi"/>
          <w:bCs/>
          <w:i/>
        </w:rPr>
        <w:t xml:space="preserve">that were statistically significantly different from mean </w:t>
      </w:r>
      <w:r w:rsidR="001E69DC" w:rsidRPr="00B319E1">
        <w:rPr>
          <w:rFonts w:cstheme="minorHAnsi"/>
          <w:bCs/>
          <w:i/>
        </w:rPr>
        <w:t>or some benchmark, different from expected; how was meaningful difference defined</w:t>
      </w:r>
      <w:r w:rsidRPr="00B319E1">
        <w:rPr>
          <w:rFonts w:cstheme="minorHAnsi"/>
          <w:bCs/>
        </w:rPr>
        <w:t>)</w:t>
      </w:r>
      <w:r w:rsidR="00054F22" w:rsidRPr="00B319E1">
        <w:rPr>
          <w:rFonts w:cstheme="minorHAnsi"/>
          <w:bCs/>
        </w:rPr>
        <w:t xml:space="preserve"> </w:t>
      </w:r>
    </w:p>
    <w:p w:rsidR="00676265" w:rsidRPr="00676265" w:rsidRDefault="00676265" w:rsidP="00676265">
      <w:pPr>
        <w:autoSpaceDE w:val="0"/>
        <w:autoSpaceDN w:val="0"/>
        <w:adjustRightInd w:val="0"/>
        <w:spacing w:after="0" w:line="240" w:lineRule="auto"/>
        <w:rPr>
          <w:rFonts w:cstheme="minorHAnsi"/>
          <w:bCs/>
          <w:color w:val="FF0000"/>
        </w:rPr>
      </w:pPr>
      <w:r w:rsidRPr="00B319E1">
        <w:rPr>
          <w:rFonts w:cstheme="minorHAnsi"/>
          <w:bCs/>
          <w:i/>
          <w:color w:val="FF0000"/>
        </w:rPr>
        <w:t>Per NQF, we reported validity test for data elements. We did not conduct the validity test for performance score.</w:t>
      </w:r>
    </w:p>
    <w:p w:rsidR="00054F22" w:rsidRDefault="00D61410" w:rsidP="00960960">
      <w:pPr>
        <w:autoSpaceDE w:val="0"/>
        <w:autoSpaceDN w:val="0"/>
        <w:adjustRightInd w:val="0"/>
        <w:spacing w:after="0" w:line="240" w:lineRule="auto"/>
        <w:rPr>
          <w:rFonts w:ascii="Arial" w:eastAsia="Calibri" w:hAnsi="Arial" w:cs="Arial"/>
          <w:sz w:val="24"/>
          <w:szCs w:val="24"/>
        </w:rPr>
      </w:pPr>
      <w:r w:rsidRPr="00A25024">
        <w:rPr>
          <w:rFonts w:cstheme="minorHAnsi"/>
          <w:bCs/>
        </w:rPr>
        <w:br/>
      </w:r>
      <w:r>
        <w:rPr>
          <w:rFonts w:cstheme="minorHAnsi"/>
          <w:b/>
          <w:bCs/>
        </w:rPr>
        <w:t xml:space="preserve">2b5.3. </w:t>
      </w:r>
      <w:proofErr w:type="gramStart"/>
      <w:r w:rsidRPr="00A25024">
        <w:rPr>
          <w:rFonts w:cstheme="minorHAnsi"/>
          <w:b/>
          <w:bCs/>
        </w:rPr>
        <w:t>What</w:t>
      </w:r>
      <w:proofErr w:type="gramEnd"/>
      <w:r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Pr="00A25024">
        <w:rPr>
          <w:rFonts w:cstheme="minorHAnsi"/>
          <w:b/>
          <w:bCs/>
        </w:rPr>
        <w:t xml:space="preserve"> clinically/practically meaningful differences in performance across measured entities?</w:t>
      </w:r>
      <w:r w:rsidRPr="00A25024">
        <w:rPr>
          <w:rFonts w:cstheme="minorHAnsi"/>
          <w:bCs/>
        </w:rPr>
        <w:t xml:space="preserve"> (i</w:t>
      </w:r>
      <w:r w:rsidRPr="00A25024">
        <w:rPr>
          <w:rFonts w:cstheme="minorHAnsi"/>
          <w:bCs/>
          <w:i/>
        </w:rPr>
        <w:t>.e., what d</w:t>
      </w:r>
      <w:r w:rsidR="004C2443">
        <w:rPr>
          <w:rFonts w:cstheme="minorHAnsi"/>
          <w:bCs/>
          <w:i/>
        </w:rPr>
        <w:t>o the results mean in terms of statistical and meaningful differences?</w:t>
      </w:r>
      <w:r w:rsidRPr="00A25024">
        <w:rPr>
          <w:rFonts w:cstheme="minorHAnsi"/>
          <w:bCs/>
        </w:rPr>
        <w:t>)</w:t>
      </w:r>
      <w:r w:rsidR="00054F22">
        <w:rPr>
          <w:rFonts w:cstheme="minorHAnsi"/>
          <w:bCs/>
        </w:rPr>
        <w:t xml:space="preserve"> </w:t>
      </w:r>
    </w:p>
    <w:p w:rsidR="0086464B" w:rsidRDefault="0086464B" w:rsidP="0086464B">
      <w:pPr>
        <w:spacing w:after="0" w:line="240" w:lineRule="auto"/>
        <w:rPr>
          <w:rFonts w:cstheme="minorHAnsi"/>
          <w:b/>
          <w:bCs/>
        </w:rPr>
      </w:pPr>
      <w:r>
        <w:rPr>
          <w:rFonts w:cstheme="minorHAnsi"/>
          <w:b/>
          <w:bCs/>
        </w:rPr>
        <w:t>_______________________________________</w:t>
      </w:r>
    </w:p>
    <w:p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Pr="00A25024">
        <w:rPr>
          <w:rFonts w:cstheme="minorHAnsi"/>
          <w:b/>
          <w:bCs/>
        </w:rPr>
        <w:t xml:space="preserve">6. COMPARABILITY OF PERFORMANCE SCORES </w:t>
      </w:r>
      <w:r w:rsidR="004C498F">
        <w:rPr>
          <w:rFonts w:cstheme="minorHAnsi"/>
          <w:b/>
          <w:bCs/>
        </w:rPr>
        <w:t>WHEN</w:t>
      </w:r>
      <w:r w:rsidR="002B2116" w:rsidRPr="00A25024">
        <w:rPr>
          <w:rFonts w:cstheme="minorHAnsi"/>
          <w:b/>
          <w:bCs/>
        </w:rPr>
        <w:t xml:space="preserve"> MORE THAN ONE SET OF SPECIFICATIONS </w:t>
      </w:r>
    </w:p>
    <w:p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rsidR="00567D12" w:rsidRPr="00A25024" w:rsidRDefault="00567D12" w:rsidP="00DB3627">
      <w:pPr>
        <w:autoSpaceDE w:val="0"/>
        <w:autoSpaceDN w:val="0"/>
        <w:adjustRightInd w:val="0"/>
        <w:spacing w:after="0" w:line="240" w:lineRule="auto"/>
        <w:rPr>
          <w:rFonts w:cstheme="minorHAnsi"/>
          <w:b/>
          <w:bCs/>
        </w:rPr>
      </w:pPr>
    </w:p>
    <w:p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This criterion is directed to measures with more than one set of specifications/instructions (e.g., </w:t>
      </w:r>
      <w:r w:rsidR="00947F78" w:rsidRPr="00A25024">
        <w:rPr>
          <w:rFonts w:cstheme="minorHAnsi"/>
          <w:bCs/>
          <w:i/>
        </w:rPr>
        <w:t>one</w:t>
      </w:r>
      <w:r w:rsidRPr="00A25024">
        <w:rPr>
          <w:rFonts w:cstheme="minorHAnsi"/>
          <w:bCs/>
          <w:i/>
        </w:rPr>
        <w:t xml:space="preserve"> set of </w:t>
      </w:r>
      <w:r w:rsidR="00947F78" w:rsidRPr="00A25024">
        <w:rPr>
          <w:rFonts w:cstheme="minorHAnsi"/>
          <w:bCs/>
          <w:i/>
        </w:rPr>
        <w:t>specifications for</w:t>
      </w:r>
      <w:r w:rsidRPr="00A25024">
        <w:rPr>
          <w:rFonts w:cstheme="minorHAnsi"/>
          <w:bCs/>
          <w:i/>
        </w:rPr>
        <w:t xml:space="preserve"> how to identify and compute the measure f</w:t>
      </w:r>
      <w:r w:rsidR="00947F78" w:rsidRPr="00A25024">
        <w:rPr>
          <w:rFonts w:cstheme="minorHAnsi"/>
          <w:bCs/>
          <w:i/>
        </w:rPr>
        <w:t>ro</w:t>
      </w:r>
      <w:r w:rsidRPr="00A25024">
        <w:rPr>
          <w:rFonts w:cstheme="minorHAnsi"/>
          <w:bCs/>
          <w:i/>
        </w:rPr>
        <w:t xml:space="preserve">m medical </w:t>
      </w:r>
      <w:r w:rsidR="00947F78" w:rsidRPr="00A25024">
        <w:rPr>
          <w:rFonts w:cstheme="minorHAnsi"/>
          <w:bCs/>
          <w:i/>
        </w:rPr>
        <w:t>record</w:t>
      </w:r>
      <w:r w:rsidR="000D7C84">
        <w:rPr>
          <w:rFonts w:cstheme="minorHAnsi"/>
          <w:bCs/>
          <w:i/>
        </w:rPr>
        <w:t xml:space="preserve"> abstraction</w:t>
      </w:r>
      <w:r w:rsidR="00947F78" w:rsidRPr="00A25024">
        <w:rPr>
          <w:rFonts w:cstheme="minorHAnsi"/>
          <w:bCs/>
          <w:i/>
        </w:rPr>
        <w:t xml:space="preserve"> and a different set of specifications </w:t>
      </w:r>
      <w:r w:rsidRPr="00A25024">
        <w:rPr>
          <w:rFonts w:cstheme="minorHAnsi"/>
          <w:bCs/>
          <w:i/>
        </w:rPr>
        <w:t>for claims</w:t>
      </w:r>
      <w:r w:rsidR="00840A41">
        <w:rPr>
          <w:rFonts w:cstheme="minorHAnsi"/>
          <w:bCs/>
          <w:i/>
        </w:rPr>
        <w:t xml:space="preserve"> or eMeasures</w:t>
      </w:r>
      <w:r w:rsidRPr="00A25024">
        <w:rPr>
          <w:rFonts w:cstheme="minorHAnsi"/>
          <w:bCs/>
          <w:i/>
        </w:rPr>
        <w:t xml:space="preserve">). It does not apply to measures that use more than one </w:t>
      </w:r>
      <w:r w:rsidR="00840A41">
        <w:rPr>
          <w:rFonts w:cstheme="minorHAnsi"/>
          <w:bCs/>
          <w:i/>
        </w:rPr>
        <w:t xml:space="preserve">source </w:t>
      </w:r>
      <w:r w:rsidRPr="00A25024">
        <w:rPr>
          <w:rFonts w:cstheme="minorHAnsi"/>
          <w:bCs/>
          <w:i/>
        </w:rPr>
        <w:t>of data in one set of specifications/instructions (e.g., claims data to identify the denominator and medical record abstraction for the numerator).</w:t>
      </w:r>
      <w:r w:rsidR="00127C06">
        <w:rPr>
          <w:rFonts w:cstheme="minorHAnsi"/>
          <w:bCs/>
          <w:i/>
        </w:rPr>
        <w:t xml:space="preserve"> </w:t>
      </w:r>
      <w:r w:rsidR="00D61410" w:rsidRPr="00D61410">
        <w:rPr>
          <w:rFonts w:cstheme="minorHAnsi"/>
          <w:b/>
          <w:bCs/>
          <w:i/>
        </w:rPr>
        <w:t xml:space="preserve">If comparability is not demonstrated, the </w:t>
      </w:r>
      <w:r w:rsidR="00D61410">
        <w:rPr>
          <w:rFonts w:cstheme="minorHAnsi"/>
          <w:b/>
          <w:bCs/>
          <w:i/>
        </w:rPr>
        <w:t>different specifications</w:t>
      </w:r>
      <w:r w:rsidR="00D61410" w:rsidRPr="00D61410">
        <w:rPr>
          <w:rFonts w:cstheme="minorHAnsi"/>
          <w:b/>
          <w:bCs/>
          <w:i/>
        </w:rPr>
        <w:t xml:space="preserve"> </w:t>
      </w:r>
      <w:r w:rsidR="003605B4">
        <w:rPr>
          <w:rFonts w:cstheme="minorHAnsi"/>
          <w:b/>
          <w:bCs/>
          <w:i/>
        </w:rPr>
        <w:t xml:space="preserve">should </w:t>
      </w:r>
      <w:r w:rsidR="00D61410" w:rsidRPr="00D61410">
        <w:rPr>
          <w:rFonts w:cstheme="minorHAnsi"/>
          <w:b/>
          <w:bCs/>
          <w:i/>
        </w:rPr>
        <w:t>be submitted as separate measures.</w:t>
      </w:r>
    </w:p>
    <w:p w:rsidR="000F06B5" w:rsidRPr="00A25024" w:rsidRDefault="000F06B5" w:rsidP="00DB3627">
      <w:pPr>
        <w:autoSpaceDE w:val="0"/>
        <w:autoSpaceDN w:val="0"/>
        <w:adjustRightInd w:val="0"/>
        <w:spacing w:after="0" w:line="240" w:lineRule="auto"/>
        <w:rPr>
          <w:rFonts w:cstheme="minorHAnsi"/>
          <w:bCs/>
        </w:rPr>
      </w:pPr>
    </w:p>
    <w:p w:rsidR="008F7E67" w:rsidRDefault="00E1508F" w:rsidP="00960960">
      <w:pPr>
        <w:autoSpaceDE w:val="0"/>
        <w:autoSpaceDN w:val="0"/>
        <w:adjustRightInd w:val="0"/>
        <w:spacing w:after="0" w:line="240" w:lineRule="auto"/>
        <w:rPr>
          <w:rFonts w:cstheme="minorHAnsi"/>
          <w:b/>
          <w:bCs/>
        </w:rPr>
      </w:pPr>
      <w:r>
        <w:rPr>
          <w:rFonts w:cstheme="minorHAnsi"/>
          <w:b/>
          <w:bCs/>
        </w:rPr>
        <w:t xml:space="preserve">2b6.1.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demonstrate </w:t>
      </w:r>
      <w:r w:rsidR="00127C06">
        <w:rPr>
          <w:rFonts w:cstheme="minorHAnsi"/>
          <w:b/>
          <w:bCs/>
        </w:rPr>
        <w:t>comparability</w:t>
      </w:r>
      <w:r w:rsidR="004B6CEE" w:rsidRPr="00A25024">
        <w:rPr>
          <w:rFonts w:cstheme="minorHAnsi"/>
          <w:b/>
          <w:bCs/>
        </w:rPr>
        <w:t xml:space="preserve"> of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r>
        <w:rPr>
          <w:rFonts w:cstheme="minorHAnsi"/>
          <w:b/>
          <w:bCs/>
        </w:rPr>
        <w:t xml:space="preserve">2b6.2. </w:t>
      </w:r>
      <w:r w:rsidR="000F06B5" w:rsidRPr="00A25024">
        <w:rPr>
          <w:rFonts w:cstheme="minorHAnsi"/>
          <w:b/>
          <w:bCs/>
        </w:rPr>
        <w:t xml:space="preserve">What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proofErr w:type="gramStart"/>
      <w:r w:rsidR="00287649" w:rsidRPr="00A25024">
        <w:rPr>
          <w:rFonts w:cstheme="minorHAnsi"/>
          <w:bCs/>
        </w:rPr>
        <w:t>)</w:t>
      </w:r>
      <w:proofErr w:type="gramEnd"/>
      <w:r w:rsidR="000F06B5" w:rsidRPr="00A25024">
        <w:rPr>
          <w:rFonts w:cstheme="minorHAnsi"/>
          <w:bCs/>
        </w:rPr>
        <w:br/>
      </w:r>
      <w:r>
        <w:rPr>
          <w:rFonts w:cstheme="minorHAnsi"/>
          <w:b/>
          <w:bCs/>
        </w:rPr>
        <w:t xml:space="preserve">2b6.3. </w:t>
      </w:r>
      <w:r w:rsidR="002B0C3A" w:rsidRPr="00A25024">
        <w:rPr>
          <w:rFonts w:cstheme="minorHAnsi"/>
          <w:b/>
          <w:bCs/>
        </w:rPr>
        <w:t xml:space="preserve">What is your interpretation of the results </w:t>
      </w:r>
      <w:r w:rsidR="00A35F8F" w:rsidRPr="00A25024">
        <w:rPr>
          <w:rFonts w:cstheme="minorHAnsi"/>
          <w:b/>
          <w:bCs/>
        </w:rPr>
        <w:t xml:space="preserve">in terms of demonstrating </w:t>
      </w:r>
      <w:r w:rsidR="002B0C3A" w:rsidRPr="00A25024">
        <w:rPr>
          <w:rFonts w:cstheme="minorHAnsi"/>
          <w:b/>
          <w:bCs/>
        </w:rPr>
        <w:t xml:space="preserve">comparability of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r w:rsidR="008F7E67">
        <w:rPr>
          <w:rFonts w:cstheme="minorHAnsi"/>
          <w:b/>
          <w:bCs/>
        </w:rPr>
        <w:t>_______________________________________</w:t>
      </w:r>
    </w:p>
    <w:p w:rsidR="008F7E67" w:rsidRDefault="008F7E67" w:rsidP="008F7E67">
      <w:pPr>
        <w:autoSpaceDE w:val="0"/>
        <w:autoSpaceDN w:val="0"/>
        <w:adjustRightInd w:val="0"/>
        <w:spacing w:after="0" w:line="240" w:lineRule="auto"/>
        <w:rPr>
          <w:rFonts w:cstheme="minorHAnsi"/>
          <w:bCs/>
        </w:rPr>
      </w:pPr>
      <w:r w:rsidRPr="00A25024">
        <w:rPr>
          <w:rFonts w:cstheme="minorHAnsi"/>
          <w:b/>
          <w:bCs/>
        </w:rPr>
        <w:t>2b</w:t>
      </w:r>
      <w:r>
        <w:rPr>
          <w:rFonts w:cstheme="minorHAnsi"/>
          <w:b/>
          <w:bCs/>
        </w:rPr>
        <w:t>7</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r w:rsidR="001E6BE5" w:rsidRPr="001E6BE5">
        <w:rPr>
          <w:rFonts w:cstheme="minorHAnsi"/>
          <w:b/>
          <w:bCs/>
          <w:color w:val="FF0000"/>
        </w:rPr>
        <w:t xml:space="preserve">Missing data regarding timing issues can result in cases being assigned to a </w:t>
      </w:r>
      <w:proofErr w:type="spellStart"/>
      <w:r w:rsidR="001E6BE5" w:rsidRPr="001E6BE5">
        <w:rPr>
          <w:rFonts w:cstheme="minorHAnsi"/>
          <w:b/>
          <w:bCs/>
          <w:color w:val="FF0000"/>
        </w:rPr>
        <w:t>noncalculable</w:t>
      </w:r>
      <w:proofErr w:type="spellEnd"/>
      <w:r w:rsidR="001E6BE5" w:rsidRPr="001E6BE5">
        <w:rPr>
          <w:rFonts w:cstheme="minorHAnsi"/>
          <w:b/>
          <w:bCs/>
          <w:color w:val="FF0000"/>
        </w:rPr>
        <w:t xml:space="preserve"> outcome which does not impair the integrity of our data results but provides a mechanism for facilities to evaluate internal quality improvement efforts to assure accuracy and completion of data collection.</w:t>
      </w:r>
    </w:p>
    <w:p w:rsidR="00027B3A" w:rsidRDefault="008F7E67" w:rsidP="008F7E67">
      <w:pPr>
        <w:autoSpaceDE w:val="0"/>
        <w:autoSpaceDN w:val="0"/>
        <w:adjustRightInd w:val="0"/>
        <w:spacing w:after="0" w:line="240" w:lineRule="auto"/>
        <w:rPr>
          <w:rFonts w:cstheme="minorHAnsi"/>
          <w:bCs/>
        </w:rPr>
      </w:pPr>
      <w:r>
        <w:rPr>
          <w:rFonts w:cstheme="minorHAnsi"/>
          <w:b/>
          <w:bCs/>
        </w:rPr>
        <w:t xml:space="preserve">2b7.1. Describe the method of </w:t>
      </w:r>
      <w:r w:rsidRPr="00A25024">
        <w:rPr>
          <w:rFonts w:cstheme="minorHAnsi"/>
          <w:b/>
          <w:bCs/>
        </w:rPr>
        <w:t>testing conducted</w:t>
      </w:r>
      <w:r>
        <w:rPr>
          <w:rFonts w:cstheme="minorHAnsi"/>
          <w:b/>
          <w:bCs/>
        </w:rPr>
        <w:t xml:space="preserve"> to</w:t>
      </w:r>
      <w:r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00771B2A" w:rsidRPr="00A25024">
        <w:rPr>
          <w:rFonts w:cstheme="minorHAnsi"/>
          <w:bCs/>
        </w:rPr>
        <w:t xml:space="preserve"> </w:t>
      </w:r>
      <w:r w:rsidRPr="00A25024">
        <w:rPr>
          <w:rFonts w:cstheme="minorHAnsi"/>
          <w:bCs/>
        </w:rPr>
        <w:t>(</w:t>
      </w:r>
      <w:r w:rsidRPr="00A25024">
        <w:rPr>
          <w:rFonts w:cstheme="minorHAnsi"/>
          <w:bCs/>
          <w:i/>
        </w:rPr>
        <w:t>describe the steps―do not just name a method</w:t>
      </w:r>
      <w:r>
        <w:rPr>
          <w:rFonts w:cstheme="minorHAnsi"/>
          <w:bCs/>
          <w:i/>
        </w:rPr>
        <w:t>; what statistical analysis was used</w:t>
      </w:r>
      <w:r w:rsidRPr="00A25024">
        <w:rPr>
          <w:rFonts w:cstheme="minorHAnsi"/>
          <w:bCs/>
        </w:rPr>
        <w:t>)</w:t>
      </w:r>
    </w:p>
    <w:p w:rsidR="00027B3A" w:rsidRDefault="008F7E67" w:rsidP="00027B3A">
      <w:pPr>
        <w:rPr>
          <w:rFonts w:ascii="Arial" w:eastAsia="Calibri" w:hAnsi="Arial" w:cs="Arial"/>
          <w:sz w:val="24"/>
          <w:szCs w:val="24"/>
        </w:rPr>
      </w:pPr>
      <w:r w:rsidRPr="00A25024">
        <w:rPr>
          <w:rFonts w:cstheme="minorHAnsi"/>
          <w:bCs/>
        </w:rPr>
        <w:br/>
        <w:t xml:space="preserve"> </w:t>
      </w:r>
      <w:r w:rsidR="00027B3A">
        <w:rPr>
          <w:rFonts w:ascii="Arial" w:eastAsia="Calibri" w:hAnsi="Arial" w:cs="Arial"/>
          <w:sz w:val="24"/>
          <w:szCs w:val="24"/>
        </w:rPr>
        <w:t>It should be noted that the</w:t>
      </w:r>
      <w:r w:rsidR="00027B3A" w:rsidRPr="001A1812">
        <w:rPr>
          <w:rFonts w:ascii="Arial" w:eastAsia="Calibri" w:hAnsi="Arial" w:cs="Arial"/>
          <w:sz w:val="24"/>
          <w:szCs w:val="24"/>
        </w:rPr>
        <w:t xml:space="preserve"> variations in the denominators of individual data elements </w:t>
      </w:r>
      <w:r w:rsidR="00027B3A" w:rsidRPr="001A1812">
        <w:rPr>
          <w:rFonts w:ascii="Arial" w:eastAsia="Calibri" w:hAnsi="Arial" w:cs="Arial"/>
          <w:sz w:val="24"/>
          <w:szCs w:val="24"/>
        </w:rPr>
        <w:lastRenderedPageBreak/>
        <w:t>were not due to excessive missing data</w:t>
      </w:r>
      <w:r w:rsidR="00027B3A">
        <w:rPr>
          <w:rFonts w:ascii="Arial" w:eastAsia="Calibri" w:hAnsi="Arial" w:cs="Arial"/>
          <w:sz w:val="24"/>
          <w:szCs w:val="24"/>
        </w:rPr>
        <w:t xml:space="preserve">. The data were collected and analyzed according to the design of measure algorithm, which may have </w:t>
      </w:r>
      <w:r w:rsidR="00027B3A" w:rsidRPr="001A1812">
        <w:rPr>
          <w:rFonts w:ascii="Arial" w:eastAsia="Calibri" w:hAnsi="Arial" w:cs="Arial"/>
          <w:sz w:val="24"/>
          <w:szCs w:val="24"/>
        </w:rPr>
        <w:t xml:space="preserve">a parent-child relationship </w:t>
      </w:r>
      <w:r w:rsidR="00027B3A">
        <w:rPr>
          <w:rFonts w:ascii="Arial" w:eastAsia="Calibri" w:hAnsi="Arial" w:cs="Arial"/>
          <w:sz w:val="24"/>
          <w:szCs w:val="24"/>
        </w:rPr>
        <w:t>between data</w:t>
      </w:r>
      <w:r w:rsidR="00027B3A" w:rsidRPr="001A1812">
        <w:rPr>
          <w:rFonts w:ascii="Arial" w:eastAsia="Calibri" w:hAnsi="Arial" w:cs="Arial"/>
          <w:sz w:val="24"/>
          <w:szCs w:val="24"/>
        </w:rPr>
        <w:t xml:space="preserve"> elements</w:t>
      </w:r>
      <w:r w:rsidR="00027B3A">
        <w:rPr>
          <w:rFonts w:ascii="Arial" w:eastAsia="Calibri" w:hAnsi="Arial" w:cs="Arial"/>
          <w:sz w:val="24"/>
          <w:szCs w:val="24"/>
        </w:rPr>
        <w:t xml:space="preserve">. For </w:t>
      </w:r>
      <w:r w:rsidR="00027B3A" w:rsidRPr="001A1812">
        <w:rPr>
          <w:rFonts w:ascii="Arial" w:eastAsia="Calibri" w:hAnsi="Arial" w:cs="Arial"/>
          <w:sz w:val="24"/>
          <w:szCs w:val="24"/>
        </w:rPr>
        <w:t>example, the “</w:t>
      </w:r>
      <w:r w:rsidR="00027B3A" w:rsidRPr="00C439FC">
        <w:rPr>
          <w:rFonts w:ascii="Arial" w:eastAsia="Calibri" w:hAnsi="Arial" w:cs="Arial"/>
          <w:sz w:val="24"/>
          <w:szCs w:val="24"/>
        </w:rPr>
        <w:t>Reason for No Aspirin on Arrival</w:t>
      </w:r>
      <w:r w:rsidR="00027B3A" w:rsidRPr="001A1812">
        <w:rPr>
          <w:rFonts w:ascii="Arial" w:eastAsia="Calibri" w:hAnsi="Arial" w:cs="Arial"/>
          <w:sz w:val="24"/>
          <w:szCs w:val="24"/>
        </w:rPr>
        <w:t xml:space="preserve">” data element had a parent-child relationship with other data elements. If the case </w:t>
      </w:r>
      <w:r w:rsidR="00027B3A">
        <w:rPr>
          <w:rFonts w:ascii="Arial" w:eastAsia="Calibri" w:hAnsi="Arial" w:cs="Arial"/>
          <w:sz w:val="24"/>
          <w:szCs w:val="24"/>
        </w:rPr>
        <w:t>received aspirin on arrival</w:t>
      </w:r>
      <w:r w:rsidR="00027B3A" w:rsidRPr="001A1812">
        <w:rPr>
          <w:rFonts w:ascii="Arial" w:eastAsia="Calibri" w:hAnsi="Arial" w:cs="Arial"/>
          <w:sz w:val="24"/>
          <w:szCs w:val="24"/>
        </w:rPr>
        <w:t xml:space="preserve">, the data would not be collected for </w:t>
      </w:r>
      <w:r w:rsidR="00027B3A">
        <w:rPr>
          <w:rFonts w:ascii="Arial" w:eastAsia="Calibri" w:hAnsi="Arial" w:cs="Arial"/>
          <w:sz w:val="24"/>
          <w:szCs w:val="24"/>
        </w:rPr>
        <w:t>this</w:t>
      </w:r>
      <w:r w:rsidR="00027B3A" w:rsidRPr="001A1812">
        <w:rPr>
          <w:rFonts w:ascii="Arial" w:eastAsia="Calibri" w:hAnsi="Arial" w:cs="Arial"/>
          <w:sz w:val="24"/>
          <w:szCs w:val="24"/>
        </w:rPr>
        <w:t xml:space="preserve"> data element</w:t>
      </w:r>
      <w:r w:rsidR="00027B3A">
        <w:rPr>
          <w:rFonts w:ascii="Arial" w:eastAsia="Calibri" w:hAnsi="Arial" w:cs="Arial"/>
          <w:sz w:val="24"/>
          <w:szCs w:val="24"/>
        </w:rPr>
        <w:t xml:space="preserve">.  </w:t>
      </w:r>
    </w:p>
    <w:p w:rsidR="008B604D" w:rsidRDefault="008F7E67">
      <w:pPr>
        <w:autoSpaceDE w:val="0"/>
        <w:autoSpaceDN w:val="0"/>
        <w:adjustRightInd w:val="0"/>
        <w:spacing w:after="0" w:line="240" w:lineRule="auto"/>
        <w:rPr>
          <w:rFonts w:cstheme="minorHAnsi"/>
          <w:bCs/>
        </w:rPr>
      </w:pPr>
      <w:r>
        <w:rPr>
          <w:rFonts w:cstheme="minorHAnsi"/>
          <w:b/>
          <w:bCs/>
        </w:rPr>
        <w:t xml:space="preserve">2b7.2.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Pr="00A25024">
        <w:rPr>
          <w:rFonts w:cstheme="minorHAnsi"/>
          <w:b/>
          <w:bCs/>
        </w:rPr>
        <w:t xml:space="preserve"> results from testing </w:t>
      </w:r>
      <w:r w:rsidR="00771B2A">
        <w:rPr>
          <w:rFonts w:cstheme="minorHAnsi"/>
          <w:b/>
          <w:bCs/>
        </w:rPr>
        <w:t>related to missing data</w:t>
      </w:r>
      <w:r w:rsidRPr="00A25024">
        <w:rPr>
          <w:rFonts w:cstheme="minorHAnsi"/>
          <w:b/>
          <w:bCs/>
        </w:rPr>
        <w:t>?</w:t>
      </w:r>
      <w:r w:rsidRPr="00A25024">
        <w:rPr>
          <w:rFonts w:cstheme="minorHAnsi"/>
          <w:bCs/>
        </w:rPr>
        <w:t xml:space="preserve"> (</w:t>
      </w:r>
      <w:r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Pr="00A25024">
        <w:rPr>
          <w:rFonts w:cstheme="minorHAnsi"/>
          <w:bCs/>
        </w:rPr>
        <w:t>)</w:t>
      </w:r>
      <w:r w:rsidRPr="00A25024">
        <w:rPr>
          <w:rFonts w:cstheme="minorHAnsi"/>
          <w:bCs/>
        </w:rPr>
        <w:br/>
      </w:r>
      <w:r>
        <w:rPr>
          <w:rFonts w:cstheme="minorHAnsi"/>
          <w:b/>
          <w:bCs/>
        </w:rPr>
        <w:t xml:space="preserve">2b7.3. </w:t>
      </w:r>
      <w:r w:rsidRPr="00A25024">
        <w:rPr>
          <w:rFonts w:cstheme="minorHAnsi"/>
          <w:b/>
          <w:bCs/>
        </w:rPr>
        <w:t>What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nonresponders) and how the specified handling of missing data minimizes bias</w:t>
      </w:r>
      <w:r w:rsidRPr="00A25024">
        <w:rPr>
          <w:rFonts w:cstheme="minorHAnsi"/>
          <w:b/>
          <w:bCs/>
        </w:rPr>
        <w:t>?</w:t>
      </w:r>
      <w:r w:rsidRPr="00A25024">
        <w:rPr>
          <w:rFonts w:cstheme="minorHAnsi"/>
          <w:bCs/>
        </w:rPr>
        <w:t xml:space="preserve"> (i</w:t>
      </w:r>
      <w:r w:rsidRPr="00A25024">
        <w:rPr>
          <w:rFonts w:cstheme="minorHAnsi"/>
          <w:bCs/>
          <w:i/>
        </w:rPr>
        <w:t xml:space="preserve">.e., what do the results mean </w:t>
      </w:r>
      <w:r w:rsidR="00145D4F" w:rsidRPr="00FC5DE1">
        <w:rPr>
          <w:rFonts w:cstheme="minorHAnsi"/>
          <w:bCs/>
          <w:i/>
        </w:rPr>
        <w:t>in terms of supporting the selected approach for missing data</w:t>
      </w:r>
      <w:r w:rsidR="00145D4F" w:rsidRPr="00A25024">
        <w:rPr>
          <w:rFonts w:cstheme="minorHAnsi"/>
          <w:bCs/>
          <w:i/>
        </w:rPr>
        <w:t xml:space="preserve"> </w:t>
      </w:r>
      <w:r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Pr="00A25024">
        <w:rPr>
          <w:rFonts w:cstheme="minorHAnsi"/>
          <w:bCs/>
        </w:rPr>
        <w:t>)</w:t>
      </w:r>
    </w:p>
    <w:p w:rsidR="001B73C5" w:rsidRDefault="001B73C5" w:rsidP="003A6973">
      <w:pPr>
        <w:rPr>
          <w:rFonts w:ascii="Arial" w:hAnsi="Arial" w:cs="Arial"/>
          <w:b/>
          <w:sz w:val="24"/>
          <w:szCs w:val="24"/>
          <w:u w:val="single"/>
        </w:rPr>
      </w:pPr>
    </w:p>
    <w:p w:rsidR="003A6973" w:rsidRPr="00C8463B" w:rsidRDefault="003A6973" w:rsidP="003A6973">
      <w:pPr>
        <w:rPr>
          <w:rFonts w:ascii="Arial" w:hAnsi="Arial" w:cs="Arial"/>
          <w:sz w:val="24"/>
          <w:szCs w:val="24"/>
          <w:u w:val="single"/>
        </w:rPr>
      </w:pPr>
      <w:r w:rsidRPr="00C8463B">
        <w:rPr>
          <w:rFonts w:ascii="Arial" w:hAnsi="Arial" w:cs="Arial"/>
          <w:b/>
          <w:sz w:val="24"/>
          <w:szCs w:val="24"/>
          <w:u w:val="single"/>
        </w:rPr>
        <w:t>NQF # 0</w:t>
      </w:r>
      <w:r>
        <w:rPr>
          <w:rFonts w:ascii="Arial" w:hAnsi="Arial" w:cs="Arial"/>
          <w:b/>
          <w:sz w:val="24"/>
          <w:szCs w:val="24"/>
          <w:u w:val="single"/>
        </w:rPr>
        <w:t xml:space="preserve">289 (OP-5): </w:t>
      </w:r>
      <w:r w:rsidRPr="006065EE">
        <w:rPr>
          <w:rFonts w:ascii="Arial" w:hAnsi="Arial" w:cs="Arial"/>
          <w:b/>
          <w:sz w:val="24"/>
          <w:szCs w:val="24"/>
          <w:u w:val="single"/>
        </w:rPr>
        <w:t>Median Time to ECG</w:t>
      </w:r>
    </w:p>
    <w:p w:rsidR="003A6973" w:rsidRDefault="003A6973" w:rsidP="003A6973">
      <w:pPr>
        <w:rPr>
          <w:rFonts w:ascii="Arial" w:eastAsia="Calibri" w:hAnsi="Arial" w:cs="Arial"/>
          <w:sz w:val="24"/>
          <w:szCs w:val="24"/>
        </w:rPr>
      </w:pPr>
      <w:r w:rsidRPr="00C8463B">
        <w:rPr>
          <w:rFonts w:ascii="Arial" w:eastAsia="Calibri" w:hAnsi="Arial" w:cs="Arial"/>
          <w:sz w:val="24"/>
          <w:szCs w:val="24"/>
        </w:rPr>
        <w:t xml:space="preserve">Note: </w:t>
      </w:r>
      <w:r>
        <w:rPr>
          <w:rFonts w:ascii="Arial" w:eastAsia="Calibri" w:hAnsi="Arial" w:cs="Arial"/>
          <w:sz w:val="24"/>
          <w:szCs w:val="24"/>
        </w:rPr>
        <w:t xml:space="preserve">Aspirin at </w:t>
      </w:r>
      <w:r w:rsidRPr="00C8463B">
        <w:rPr>
          <w:rFonts w:ascii="Arial" w:eastAsia="Calibri" w:hAnsi="Arial" w:cs="Arial"/>
          <w:sz w:val="24"/>
          <w:szCs w:val="24"/>
        </w:rPr>
        <w:t>Arrival (0</w:t>
      </w:r>
      <w:r>
        <w:rPr>
          <w:rFonts w:ascii="Arial" w:eastAsia="Calibri" w:hAnsi="Arial" w:cs="Arial"/>
          <w:sz w:val="24"/>
          <w:szCs w:val="24"/>
        </w:rPr>
        <w:t>286</w:t>
      </w:r>
      <w:r w:rsidRPr="00C8463B">
        <w:rPr>
          <w:rFonts w:ascii="Arial" w:eastAsia="Calibri" w:hAnsi="Arial" w:cs="Arial"/>
          <w:sz w:val="24"/>
          <w:szCs w:val="24"/>
        </w:rPr>
        <w:t xml:space="preserve">) and </w:t>
      </w:r>
      <w:r>
        <w:rPr>
          <w:rFonts w:ascii="Arial" w:eastAsia="Calibri" w:hAnsi="Arial" w:cs="Arial"/>
          <w:sz w:val="24"/>
          <w:szCs w:val="24"/>
        </w:rPr>
        <w:t>Median Time to ECG</w:t>
      </w:r>
      <w:r w:rsidRPr="00C8463B">
        <w:rPr>
          <w:rFonts w:ascii="Arial" w:eastAsia="Calibri" w:hAnsi="Arial" w:cs="Arial"/>
          <w:sz w:val="24"/>
          <w:szCs w:val="24"/>
        </w:rPr>
        <w:t xml:space="preserve"> (0</w:t>
      </w:r>
      <w:r>
        <w:rPr>
          <w:rFonts w:ascii="Arial" w:eastAsia="Calibri" w:hAnsi="Arial" w:cs="Arial"/>
          <w:sz w:val="24"/>
          <w:szCs w:val="24"/>
        </w:rPr>
        <w:t>289</w:t>
      </w:r>
      <w:r w:rsidRPr="00C8463B">
        <w:rPr>
          <w:rFonts w:ascii="Arial" w:eastAsia="Calibri" w:hAnsi="Arial" w:cs="Arial"/>
          <w:sz w:val="24"/>
          <w:szCs w:val="24"/>
        </w:rPr>
        <w:t>) can use the same reliability and validity data</w:t>
      </w:r>
      <w:r>
        <w:rPr>
          <w:rFonts w:ascii="Arial" w:eastAsia="Calibri" w:hAnsi="Arial" w:cs="Arial"/>
          <w:sz w:val="24"/>
          <w:szCs w:val="24"/>
        </w:rPr>
        <w:t xml:space="preserve">. These two measures have the same population, which includes </w:t>
      </w:r>
      <w:r w:rsidRPr="00357AF5">
        <w:rPr>
          <w:rFonts w:ascii="Arial" w:eastAsia="Calibri" w:hAnsi="Arial" w:cs="Arial"/>
          <w:sz w:val="24"/>
          <w:szCs w:val="24"/>
        </w:rPr>
        <w:t>Emergency Department acute myocardial infarction (AMI) patients or chest pain patients (with Probable Cardiac Chest Pain).</w:t>
      </w:r>
      <w:r>
        <w:rPr>
          <w:sz w:val="23"/>
          <w:szCs w:val="23"/>
        </w:rPr>
        <w:t xml:space="preserve">  </w:t>
      </w:r>
      <w:r>
        <w:rPr>
          <w:rFonts w:ascii="Arial" w:eastAsia="Calibri" w:hAnsi="Arial" w:cs="Arial"/>
          <w:sz w:val="24"/>
          <w:szCs w:val="24"/>
        </w:rPr>
        <w:t>The following critical data elements were reported:</w:t>
      </w:r>
    </w:p>
    <w:tbl>
      <w:tblPr>
        <w:tblW w:w="6000" w:type="dxa"/>
        <w:tblInd w:w="93" w:type="dxa"/>
        <w:tblLook w:val="04A0" w:firstRow="1" w:lastRow="0" w:firstColumn="1" w:lastColumn="0" w:noHBand="0" w:noVBand="1"/>
      </w:tblPr>
      <w:tblGrid>
        <w:gridCol w:w="3620"/>
        <w:gridCol w:w="2380"/>
      </w:tblGrid>
      <w:tr w:rsidR="003A6973" w:rsidRPr="00357AF5" w:rsidTr="003A6973">
        <w:trPr>
          <w:trHeight w:val="300"/>
        </w:trPr>
        <w:tc>
          <w:tcPr>
            <w:tcW w:w="362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3A6973" w:rsidRPr="001D047F" w:rsidRDefault="003A6973" w:rsidP="003A6973">
            <w:pPr>
              <w:rPr>
                <w:rFonts w:cs="Times New Roman"/>
                <w:b/>
              </w:rPr>
            </w:pPr>
            <w:r w:rsidRPr="001D047F">
              <w:rPr>
                <w:rFonts w:cs="Times New Roman"/>
                <w:b/>
              </w:rPr>
              <w:t>Data Element Name</w:t>
            </w:r>
          </w:p>
        </w:tc>
        <w:tc>
          <w:tcPr>
            <w:tcW w:w="2380" w:type="dxa"/>
            <w:tcBorders>
              <w:top w:val="single" w:sz="4" w:space="0" w:color="auto"/>
              <w:left w:val="nil"/>
              <w:bottom w:val="single" w:sz="4" w:space="0" w:color="auto"/>
              <w:right w:val="single" w:sz="4" w:space="0" w:color="auto"/>
            </w:tcBorders>
            <w:shd w:val="clear" w:color="auto" w:fill="D9D9D9" w:themeFill="background1" w:themeFillShade="D9"/>
            <w:noWrap/>
            <w:vAlign w:val="bottom"/>
            <w:hideMark/>
          </w:tcPr>
          <w:p w:rsidR="003A6973" w:rsidRPr="001D047F" w:rsidRDefault="003A6973" w:rsidP="003A6973">
            <w:pPr>
              <w:rPr>
                <w:rFonts w:cs="Times New Roman"/>
                <w:b/>
              </w:rPr>
            </w:pPr>
            <w:r w:rsidRPr="001D047F">
              <w:rPr>
                <w:rFonts w:cs="Times New Roman"/>
                <w:b/>
              </w:rPr>
              <w:t>Reported for</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Arrival Time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Birthdate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Aspirin Received</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Discharge Status</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E/M Code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 Date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ECG Time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AD6FE9" w:rsidRDefault="003A6973" w:rsidP="003A6973">
            <w:pPr>
              <w:rPr>
                <w:rFonts w:cs="Times New Roman"/>
                <w:lang w:val="fr-FR"/>
              </w:rPr>
            </w:pPr>
            <w:r w:rsidRPr="00AD6FE9">
              <w:rPr>
                <w:rFonts w:cs="Times New Roman"/>
                <w:lang w:val="fr-FR"/>
              </w:rPr>
              <w:t xml:space="preserve">ICD-9-CM Principal </w:t>
            </w:r>
            <w:proofErr w:type="spellStart"/>
            <w:r w:rsidRPr="00AD6FE9">
              <w:rPr>
                <w:rFonts w:cs="Times New Roman"/>
                <w:lang w:val="fr-FR"/>
              </w:rPr>
              <w:t>Diagnosis</w:t>
            </w:r>
            <w:proofErr w:type="spellEnd"/>
            <w:r w:rsidRPr="00AD6FE9">
              <w:rPr>
                <w:rFonts w:cs="Times New Roman"/>
                <w:lang w:val="fr-FR"/>
              </w:rPr>
              <w:t xml:space="preserve"> Code</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Probable Cardiac Chest Pain</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 OP-5</w:t>
            </w:r>
          </w:p>
        </w:tc>
      </w:tr>
      <w:tr w:rsidR="003A6973" w:rsidRPr="00357AF5" w:rsidTr="003A6973">
        <w:trPr>
          <w:trHeight w:val="300"/>
        </w:trPr>
        <w:tc>
          <w:tcPr>
            <w:tcW w:w="3620" w:type="dxa"/>
            <w:tcBorders>
              <w:top w:val="nil"/>
              <w:left w:val="single" w:sz="4" w:space="0" w:color="auto"/>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lastRenderedPageBreak/>
              <w:t>Reason for No Aspirin on Arrival</w:t>
            </w:r>
          </w:p>
        </w:tc>
        <w:tc>
          <w:tcPr>
            <w:tcW w:w="2380" w:type="dxa"/>
            <w:tcBorders>
              <w:top w:val="nil"/>
              <w:left w:val="nil"/>
              <w:bottom w:val="single" w:sz="4" w:space="0" w:color="auto"/>
              <w:right w:val="single" w:sz="4" w:space="0" w:color="auto"/>
            </w:tcBorders>
            <w:shd w:val="clear" w:color="auto" w:fill="auto"/>
            <w:noWrap/>
            <w:vAlign w:val="bottom"/>
            <w:hideMark/>
          </w:tcPr>
          <w:p w:rsidR="003A6973" w:rsidRPr="00357AF5" w:rsidRDefault="003A6973" w:rsidP="003A6973">
            <w:pPr>
              <w:rPr>
                <w:rFonts w:cs="Times New Roman"/>
              </w:rPr>
            </w:pPr>
            <w:r w:rsidRPr="00357AF5">
              <w:rPr>
                <w:rFonts w:cs="Times New Roman"/>
              </w:rPr>
              <w:t>OP-4</w:t>
            </w:r>
          </w:p>
        </w:tc>
      </w:tr>
    </w:tbl>
    <w:p w:rsidR="003A6973" w:rsidRPr="00C8463B" w:rsidRDefault="003A6973" w:rsidP="003A6973">
      <w:pPr>
        <w:rPr>
          <w:rFonts w:ascii="Arial" w:hAnsi="Arial" w:cs="Arial"/>
          <w:b/>
          <w:sz w:val="24"/>
          <w:szCs w:val="24"/>
          <w:u w:val="single"/>
        </w:rPr>
      </w:pPr>
      <w:r w:rsidRPr="00C8463B">
        <w:rPr>
          <w:rFonts w:ascii="Arial" w:hAnsi="Arial" w:cs="Arial"/>
          <w:b/>
          <w:sz w:val="24"/>
          <w:szCs w:val="24"/>
          <w:u w:val="single"/>
        </w:rPr>
        <w:t xml:space="preserve">Validity Testing  </w:t>
      </w:r>
    </w:p>
    <w:p w:rsidR="003A6973" w:rsidRDefault="003A6973" w:rsidP="003A6973">
      <w:pPr>
        <w:ind w:left="720"/>
        <w:rPr>
          <w:rFonts w:ascii="Arial" w:eastAsia="Calibri" w:hAnsi="Arial" w:cs="Arial"/>
          <w:sz w:val="24"/>
          <w:szCs w:val="24"/>
        </w:rPr>
      </w:pPr>
      <w:proofErr w:type="gramStart"/>
      <w:r w:rsidRPr="00CA1026">
        <w:rPr>
          <w:rFonts w:ascii="Arial" w:eastAsia="Calibri" w:hAnsi="Arial" w:cs="Arial"/>
          <w:i/>
          <w:sz w:val="24"/>
          <w:szCs w:val="24"/>
        </w:rPr>
        <w:t>Results.</w:t>
      </w:r>
      <w:proofErr w:type="gramEnd"/>
      <w:r>
        <w:rPr>
          <w:rFonts w:ascii="Arial" w:eastAsia="Calibri" w:hAnsi="Arial" w:cs="Arial"/>
          <w:sz w:val="24"/>
          <w:szCs w:val="24"/>
        </w:rPr>
        <w:t xml:space="preserve"> </w:t>
      </w:r>
      <w:r w:rsidRPr="00CA1026">
        <w:rPr>
          <w:rFonts w:ascii="Arial" w:eastAsia="Calibri" w:hAnsi="Arial" w:cs="Arial"/>
          <w:sz w:val="24"/>
          <w:szCs w:val="24"/>
        </w:rPr>
        <w:t>Table 1 below shows that the distributions of the patient</w:t>
      </w:r>
      <w:r>
        <w:rPr>
          <w:rFonts w:ascii="Arial" w:eastAsia="Calibri" w:hAnsi="Arial" w:cs="Arial"/>
          <w:sz w:val="24"/>
          <w:szCs w:val="24"/>
        </w:rPr>
        <w:t>/hospital</w:t>
      </w:r>
      <w:r w:rsidRPr="00CA1026">
        <w:rPr>
          <w:rFonts w:ascii="Arial" w:eastAsia="Calibri" w:hAnsi="Arial" w:cs="Arial"/>
          <w:sz w:val="24"/>
          <w:szCs w:val="24"/>
        </w:rPr>
        <w:t xml:space="preserve"> characteristics in the sampled dataset </w:t>
      </w:r>
      <w:r>
        <w:rPr>
          <w:rFonts w:ascii="Arial" w:eastAsia="Calibri" w:hAnsi="Arial" w:cs="Arial"/>
          <w:sz w:val="24"/>
          <w:szCs w:val="24"/>
        </w:rPr>
        <w:t>and</w:t>
      </w:r>
      <w:r w:rsidRPr="00CA1026">
        <w:rPr>
          <w:rFonts w:ascii="Arial" w:eastAsia="Calibri" w:hAnsi="Arial" w:cs="Arial"/>
          <w:sz w:val="24"/>
          <w:szCs w:val="24"/>
        </w:rPr>
        <w:t xml:space="preserve"> the original population. Patient’s characteristics in the table included age, gender, and race/ethnicity. Hospital characteristics included bed size, teaching status, and urban vs. rural location. </w:t>
      </w:r>
      <w:r>
        <w:rPr>
          <w:rFonts w:ascii="Arial" w:eastAsia="Calibri" w:hAnsi="Arial" w:cs="Arial"/>
          <w:sz w:val="24"/>
          <w:szCs w:val="24"/>
        </w:rPr>
        <w:t>The sampled dataset had a similar distribution of patient characteristics as the population. Compared to population data, hospitals in</w:t>
      </w:r>
      <w:r w:rsidRPr="00CA1026">
        <w:rPr>
          <w:rFonts w:ascii="Arial" w:eastAsia="Calibri" w:hAnsi="Arial" w:cs="Arial"/>
          <w:sz w:val="24"/>
          <w:szCs w:val="24"/>
        </w:rPr>
        <w:t xml:space="preserve"> the sampled validation dataset </w:t>
      </w:r>
      <w:r>
        <w:rPr>
          <w:rFonts w:ascii="Arial" w:eastAsia="Calibri" w:hAnsi="Arial" w:cs="Arial"/>
          <w:sz w:val="24"/>
          <w:szCs w:val="24"/>
        </w:rPr>
        <w:t xml:space="preserve">tend to be smaller, non-teaching and rural. </w:t>
      </w:r>
    </w:p>
    <w:p w:rsidR="003A6973" w:rsidRDefault="003A6973" w:rsidP="003A6973">
      <w:pPr>
        <w:rPr>
          <w:rFonts w:ascii="Arial" w:eastAsia="Calibri" w:hAnsi="Arial" w:cs="Arial"/>
          <w:sz w:val="24"/>
          <w:szCs w:val="24"/>
        </w:rPr>
      </w:pPr>
      <w:proofErr w:type="gramStart"/>
      <w:r>
        <w:rPr>
          <w:rFonts w:ascii="Arial" w:eastAsia="Calibri" w:hAnsi="Arial" w:cs="Arial"/>
          <w:sz w:val="24"/>
          <w:szCs w:val="24"/>
        </w:rPr>
        <w:t>Table 1.</w:t>
      </w:r>
      <w:proofErr w:type="gramEnd"/>
      <w:r>
        <w:rPr>
          <w:rFonts w:ascii="Arial" w:eastAsia="Calibri" w:hAnsi="Arial" w:cs="Arial"/>
          <w:sz w:val="24"/>
          <w:szCs w:val="24"/>
        </w:rPr>
        <w:t xml:space="preserve"> The distribution of patient and hospital characteristics between Sample and Population</w:t>
      </w:r>
    </w:p>
    <w:tbl>
      <w:tblPr>
        <w:tblW w:w="9380" w:type="dxa"/>
        <w:tblInd w:w="93" w:type="dxa"/>
        <w:tblLook w:val="04A0" w:firstRow="1" w:lastRow="0" w:firstColumn="1" w:lastColumn="0" w:noHBand="0" w:noVBand="1"/>
      </w:tblPr>
      <w:tblGrid>
        <w:gridCol w:w="2484"/>
        <w:gridCol w:w="1746"/>
        <w:gridCol w:w="1702"/>
        <w:gridCol w:w="1628"/>
        <w:gridCol w:w="1820"/>
      </w:tblGrid>
      <w:tr w:rsidR="00C8557E" w:rsidRPr="00C8557E" w:rsidTr="001B73C5">
        <w:trPr>
          <w:trHeight w:val="300"/>
        </w:trPr>
        <w:tc>
          <w:tcPr>
            <w:tcW w:w="248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rPr>
            </w:pPr>
            <w:r w:rsidRPr="00C8557E">
              <w:rPr>
                <w:rFonts w:ascii="Arial" w:hAnsi="Arial" w:cs="Arial"/>
              </w:rPr>
              <w:t> </w:t>
            </w:r>
          </w:p>
        </w:tc>
        <w:tc>
          <w:tcPr>
            <w:tcW w:w="3448" w:type="dxa"/>
            <w:gridSpan w:val="2"/>
            <w:tcBorders>
              <w:top w:val="single" w:sz="4" w:space="0" w:color="auto"/>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Sample</w:t>
            </w:r>
          </w:p>
        </w:tc>
        <w:tc>
          <w:tcPr>
            <w:tcW w:w="3448" w:type="dxa"/>
            <w:gridSpan w:val="2"/>
            <w:tcBorders>
              <w:top w:val="single" w:sz="4" w:space="0" w:color="auto"/>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Population</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hideMark/>
          </w:tcPr>
          <w:p w:rsidR="00C8557E" w:rsidRPr="00C8557E" w:rsidRDefault="00C8557E" w:rsidP="001B73C5">
            <w:pPr>
              <w:rPr>
                <w:rFonts w:ascii="Arial" w:hAnsi="Arial" w:cs="Arial"/>
              </w:rPr>
            </w:pPr>
            <w:r w:rsidRPr="00C8557E">
              <w:rPr>
                <w:rFonts w:ascii="Arial" w:hAnsi="Arial" w:cs="Arial"/>
              </w:rPr>
              <w:t>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Frequency</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Percent</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Frequency</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Percent</w:t>
            </w:r>
          </w:p>
        </w:tc>
      </w:tr>
      <w:tr w:rsidR="00C8557E" w:rsidRPr="00C8557E" w:rsidTr="001B73C5">
        <w:trPr>
          <w:trHeight w:val="435"/>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rPr>
            </w:pPr>
            <w:r w:rsidRPr="00C8557E">
              <w:rPr>
                <w:rFonts w:ascii="Arial" w:hAnsi="Arial" w:cs="Arial"/>
              </w:rPr>
              <w:t>Patient Characteristics</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Gender</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cente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Male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447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58.58</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68,899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60.31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Female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316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41.42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45,344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39.69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Undetermined</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0.00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0.00</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Race</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Caucasian</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616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80.73</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92,809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81.24</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African American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8.52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10,907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9.55</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Hispanic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52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6.82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5,384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4.71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Native American</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0.52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641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0.56</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Asian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1.05</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1,272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1.11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Other/UTD</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2.36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3,233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2.83</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Age Category</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Under 65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434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56.88</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64,737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56.66</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Age 65_74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159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20.84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25,607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22.41</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lastRenderedPageBreak/>
              <w:t xml:space="preserve">Age 75_84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121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15.86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17,393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15.22</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 xml:space="preserve">Age 85 plus </w:t>
            </w:r>
          </w:p>
        </w:tc>
        <w:tc>
          <w:tcPr>
            <w:tcW w:w="1746"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49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6.42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6,509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5.70</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Hospital Characteristics</w:t>
            </w:r>
          </w:p>
        </w:tc>
        <w:tc>
          <w:tcPr>
            <w:tcW w:w="1746"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Bed Size</w:t>
            </w:r>
          </w:p>
        </w:tc>
        <w:tc>
          <w:tcPr>
            <w:tcW w:w="1746"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noWrap/>
            <w:vAlign w:val="bottom"/>
            <w:hideMark/>
          </w:tcPr>
          <w:p w:rsidR="00C8557E" w:rsidRPr="00C8557E" w:rsidRDefault="00C8557E" w:rsidP="001B73C5">
            <w:pPr>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1 - 100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150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46.44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857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31.59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101 - 200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108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33.44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735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27.09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201 - 300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35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10.84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442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16.29</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301 - 400</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13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4.02</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278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10.25</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401 plus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17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5.26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401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14.78</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Teaching Status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Yes</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48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14.86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752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27.72</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No</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275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85.14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1,961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72.28</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1B73C5">
            <w:pPr>
              <w:rPr>
                <w:rFonts w:ascii="Arial" w:hAnsi="Arial" w:cs="Arial"/>
                <w:b/>
                <w:bCs/>
              </w:rPr>
            </w:pPr>
            <w:r w:rsidRPr="00C8557E">
              <w:rPr>
                <w:rFonts w:ascii="Arial" w:hAnsi="Arial" w:cs="Arial"/>
                <w:b/>
                <w:bCs/>
              </w:rPr>
              <w:t>Location</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Rural</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160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49.54</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918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33.84</w:t>
            </w:r>
          </w:p>
        </w:tc>
      </w:tr>
      <w:tr w:rsidR="00C8557E" w:rsidRPr="00C8557E" w:rsidTr="001B73C5">
        <w:trPr>
          <w:trHeight w:val="300"/>
        </w:trPr>
        <w:tc>
          <w:tcPr>
            <w:tcW w:w="2484" w:type="dxa"/>
            <w:tcBorders>
              <w:top w:val="nil"/>
              <w:left w:val="single" w:sz="4" w:space="0" w:color="auto"/>
              <w:bottom w:val="single" w:sz="4" w:space="0" w:color="auto"/>
              <w:right w:val="single" w:sz="4" w:space="0" w:color="auto"/>
            </w:tcBorders>
            <w:shd w:val="clear" w:color="auto" w:fill="auto"/>
            <w:vAlign w:val="center"/>
            <w:hideMark/>
          </w:tcPr>
          <w:p w:rsidR="00C8557E" w:rsidRPr="00C8557E" w:rsidRDefault="00C8557E" w:rsidP="00C8557E">
            <w:pPr>
              <w:ind w:firstLineChars="100" w:firstLine="220"/>
              <w:rPr>
                <w:rFonts w:ascii="Arial" w:hAnsi="Arial" w:cs="Arial"/>
              </w:rPr>
            </w:pPr>
            <w:r w:rsidRPr="00C8557E">
              <w:rPr>
                <w:rFonts w:ascii="Arial" w:hAnsi="Arial" w:cs="Arial"/>
              </w:rPr>
              <w:t>Urban</w:t>
            </w:r>
          </w:p>
        </w:tc>
        <w:tc>
          <w:tcPr>
            <w:tcW w:w="1746" w:type="dxa"/>
            <w:tcBorders>
              <w:top w:val="nil"/>
              <w:left w:val="nil"/>
              <w:bottom w:val="single" w:sz="4" w:space="0" w:color="auto"/>
              <w:right w:val="single" w:sz="4" w:space="0" w:color="auto"/>
            </w:tcBorders>
            <w:shd w:val="clear" w:color="auto" w:fill="auto"/>
            <w:noWrap/>
            <w:vAlign w:val="center"/>
            <w:hideMark/>
          </w:tcPr>
          <w:p w:rsidR="00C8557E" w:rsidRPr="00C8557E" w:rsidRDefault="00C8557E" w:rsidP="001B73C5">
            <w:pPr>
              <w:jc w:val="right"/>
              <w:rPr>
                <w:rFonts w:ascii="Arial" w:hAnsi="Arial" w:cs="Arial"/>
              </w:rPr>
            </w:pPr>
            <w:r w:rsidRPr="00C8557E">
              <w:rPr>
                <w:rFonts w:ascii="Arial" w:hAnsi="Arial" w:cs="Arial"/>
              </w:rPr>
              <w:t xml:space="preserve">            163 </w:t>
            </w:r>
          </w:p>
        </w:tc>
        <w:tc>
          <w:tcPr>
            <w:tcW w:w="1702"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50.46</w:t>
            </w:r>
          </w:p>
        </w:tc>
        <w:tc>
          <w:tcPr>
            <w:tcW w:w="1628"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 xml:space="preserve">         1,795 </w:t>
            </w:r>
          </w:p>
        </w:tc>
        <w:tc>
          <w:tcPr>
            <w:tcW w:w="1820" w:type="dxa"/>
            <w:tcBorders>
              <w:top w:val="nil"/>
              <w:left w:val="nil"/>
              <w:bottom w:val="single" w:sz="4" w:space="0" w:color="auto"/>
              <w:right w:val="single" w:sz="4" w:space="0" w:color="auto"/>
            </w:tcBorders>
            <w:shd w:val="clear" w:color="auto" w:fill="auto"/>
            <w:vAlign w:val="center"/>
            <w:hideMark/>
          </w:tcPr>
          <w:p w:rsidR="00C8557E" w:rsidRPr="00C8557E" w:rsidRDefault="00C8557E" w:rsidP="001B73C5">
            <w:pPr>
              <w:jc w:val="right"/>
              <w:rPr>
                <w:rFonts w:ascii="Arial" w:hAnsi="Arial" w:cs="Arial"/>
              </w:rPr>
            </w:pPr>
            <w:r w:rsidRPr="00C8557E">
              <w:rPr>
                <w:rFonts w:ascii="Arial" w:hAnsi="Arial" w:cs="Arial"/>
              </w:rPr>
              <w:t>66.16</w:t>
            </w:r>
          </w:p>
        </w:tc>
      </w:tr>
    </w:tbl>
    <w:p w:rsidR="00C8557E" w:rsidRDefault="00C8557E" w:rsidP="00C8557E">
      <w:pPr>
        <w:rPr>
          <w:rFonts w:ascii="Arial" w:eastAsia="Calibri" w:hAnsi="Arial" w:cs="Arial"/>
          <w:b/>
          <w:sz w:val="24"/>
          <w:szCs w:val="24"/>
        </w:rPr>
      </w:pPr>
    </w:p>
    <w:p w:rsidR="00C8557E" w:rsidRDefault="00C8557E" w:rsidP="00C8557E">
      <w:pPr>
        <w:rPr>
          <w:rFonts w:ascii="Arial" w:eastAsia="Calibri" w:hAnsi="Arial" w:cs="Arial"/>
          <w:b/>
          <w:sz w:val="24"/>
          <w:szCs w:val="24"/>
        </w:rPr>
      </w:pPr>
      <w:r w:rsidRPr="00CA1026">
        <w:rPr>
          <w:rFonts w:ascii="Arial" w:eastAsia="Calibri" w:hAnsi="Arial" w:cs="Arial"/>
          <w:sz w:val="24"/>
          <w:szCs w:val="24"/>
        </w:rPr>
        <w:t xml:space="preserve">Table 2 summarizes the results of the validity test of </w:t>
      </w:r>
      <w:r>
        <w:rPr>
          <w:rFonts w:ascii="Arial" w:eastAsia="Calibri" w:hAnsi="Arial" w:cs="Arial"/>
          <w:sz w:val="24"/>
          <w:szCs w:val="24"/>
        </w:rPr>
        <w:t>11</w:t>
      </w:r>
      <w:r w:rsidRPr="00CA1026">
        <w:rPr>
          <w:rFonts w:ascii="Arial" w:eastAsia="Calibri" w:hAnsi="Arial" w:cs="Arial"/>
          <w:sz w:val="24"/>
          <w:szCs w:val="24"/>
        </w:rPr>
        <w:t xml:space="preserve"> data elements. Overall, the agreement rates were high. The agreement rates for all data elements</w:t>
      </w:r>
      <w:r>
        <w:rPr>
          <w:rFonts w:ascii="Arial" w:eastAsia="Calibri" w:hAnsi="Arial" w:cs="Arial"/>
          <w:sz w:val="24"/>
          <w:szCs w:val="24"/>
        </w:rPr>
        <w:t xml:space="preserve"> except two</w:t>
      </w:r>
      <w:r w:rsidRPr="00CA1026">
        <w:rPr>
          <w:rFonts w:ascii="Arial" w:eastAsia="Calibri" w:hAnsi="Arial" w:cs="Arial"/>
          <w:sz w:val="24"/>
          <w:szCs w:val="24"/>
        </w:rPr>
        <w:t xml:space="preserve"> were higher than </w:t>
      </w:r>
      <w:r>
        <w:rPr>
          <w:rFonts w:ascii="Arial" w:eastAsia="Calibri" w:hAnsi="Arial" w:cs="Arial"/>
          <w:sz w:val="24"/>
          <w:szCs w:val="24"/>
        </w:rPr>
        <w:t>9</w:t>
      </w:r>
      <w:r w:rsidRPr="00CA1026">
        <w:rPr>
          <w:rFonts w:ascii="Arial" w:eastAsia="Calibri" w:hAnsi="Arial" w:cs="Arial"/>
          <w:sz w:val="24"/>
          <w:szCs w:val="24"/>
        </w:rPr>
        <w:t>0%.</w:t>
      </w:r>
    </w:p>
    <w:p w:rsidR="00C8557E" w:rsidRPr="00A35BD4" w:rsidRDefault="00C8557E" w:rsidP="00C8557E">
      <w:pPr>
        <w:rPr>
          <w:rFonts w:ascii="Arial" w:eastAsia="Calibri" w:hAnsi="Arial" w:cs="Arial"/>
          <w:b/>
          <w:sz w:val="24"/>
          <w:szCs w:val="24"/>
        </w:rPr>
      </w:pPr>
      <w:r w:rsidRPr="00A35BD4">
        <w:rPr>
          <w:rFonts w:ascii="Arial" w:eastAsia="Calibri" w:hAnsi="Arial" w:cs="Arial"/>
          <w:b/>
          <w:sz w:val="24"/>
          <w:szCs w:val="24"/>
        </w:rPr>
        <w:t xml:space="preserve">Table </w:t>
      </w:r>
      <w:r>
        <w:rPr>
          <w:rFonts w:ascii="Arial" w:eastAsia="Calibri" w:hAnsi="Arial" w:cs="Arial"/>
          <w:b/>
          <w:sz w:val="24"/>
          <w:szCs w:val="24"/>
        </w:rPr>
        <w:t>2</w:t>
      </w:r>
      <w:r w:rsidRPr="00A35BD4">
        <w:rPr>
          <w:rFonts w:ascii="Arial" w:eastAsia="Calibri" w:hAnsi="Arial" w:cs="Arial"/>
          <w:b/>
          <w:sz w:val="24"/>
          <w:szCs w:val="24"/>
        </w:rPr>
        <w:t xml:space="preserve">: </w:t>
      </w:r>
      <w:r>
        <w:rPr>
          <w:rFonts w:ascii="Arial" w:eastAsia="Calibri" w:hAnsi="Arial" w:cs="Arial"/>
          <w:b/>
          <w:sz w:val="24"/>
          <w:szCs w:val="24"/>
        </w:rPr>
        <w:t>Validity Test</w:t>
      </w:r>
      <w:r w:rsidRPr="00A35BD4">
        <w:rPr>
          <w:rFonts w:ascii="Arial" w:eastAsia="Calibri" w:hAnsi="Arial" w:cs="Arial"/>
          <w:b/>
          <w:sz w:val="24"/>
          <w:szCs w:val="24"/>
        </w:rPr>
        <w:t xml:space="preserve"> Summary</w:t>
      </w:r>
      <w:r>
        <w:rPr>
          <w:rFonts w:ascii="Arial" w:eastAsia="Calibri" w:hAnsi="Arial" w:cs="Arial"/>
          <w:b/>
          <w:sz w:val="24"/>
          <w:szCs w:val="24"/>
        </w:rPr>
        <w:t xml:space="preserve"> </w:t>
      </w:r>
      <w:r w:rsidRPr="00C8463B">
        <w:rPr>
          <w:rFonts w:ascii="Arial" w:eastAsiaTheme="minorHAnsi" w:hAnsi="Arial" w:cs="Arial"/>
          <w:b/>
          <w:sz w:val="24"/>
          <w:szCs w:val="24"/>
        </w:rPr>
        <w:t>Measure 0</w:t>
      </w:r>
      <w:r>
        <w:rPr>
          <w:rFonts w:ascii="Arial" w:eastAsiaTheme="minorHAnsi" w:hAnsi="Arial" w:cs="Arial"/>
          <w:b/>
          <w:sz w:val="24"/>
          <w:szCs w:val="24"/>
        </w:rPr>
        <w:t>286 and 0289</w:t>
      </w:r>
    </w:p>
    <w:tbl>
      <w:tblPr>
        <w:tblW w:w="9478" w:type="dxa"/>
        <w:tblInd w:w="98" w:type="dxa"/>
        <w:tblLook w:val="04A0" w:firstRow="1" w:lastRow="0" w:firstColumn="1" w:lastColumn="0" w:noHBand="0" w:noVBand="1"/>
      </w:tblPr>
      <w:tblGrid>
        <w:gridCol w:w="2122"/>
        <w:gridCol w:w="1720"/>
        <w:gridCol w:w="1329"/>
        <w:gridCol w:w="1366"/>
        <w:gridCol w:w="1458"/>
        <w:gridCol w:w="1483"/>
      </w:tblGrid>
      <w:tr w:rsidR="00C8557E" w:rsidRPr="00C8557E" w:rsidTr="00C8557E">
        <w:trPr>
          <w:trHeight w:val="1187"/>
        </w:trPr>
        <w:tc>
          <w:tcPr>
            <w:tcW w:w="2371" w:type="dxa"/>
            <w:tcBorders>
              <w:top w:val="single" w:sz="4" w:space="0" w:color="000000"/>
              <w:left w:val="single" w:sz="8" w:space="0" w:color="000000"/>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Data Element Name</w:t>
            </w:r>
          </w:p>
        </w:tc>
        <w:tc>
          <w:tcPr>
            <w:tcW w:w="1572"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Number of Eligible Cases (Denominator)</w:t>
            </w:r>
          </w:p>
        </w:tc>
        <w:tc>
          <w:tcPr>
            <w:tcW w:w="1213"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Number of cases in agreement</w:t>
            </w:r>
          </w:p>
        </w:tc>
        <w:tc>
          <w:tcPr>
            <w:tcW w:w="1238" w:type="dxa"/>
            <w:tcBorders>
              <w:top w:val="single" w:sz="4" w:space="0" w:color="000000"/>
              <w:left w:val="nil"/>
              <w:bottom w:val="single" w:sz="4" w:space="0" w:color="000000"/>
              <w:right w:val="single" w:sz="4"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Agreement Rate (%)</w:t>
            </w:r>
          </w:p>
        </w:tc>
        <w:tc>
          <w:tcPr>
            <w:tcW w:w="1542" w:type="dxa"/>
            <w:tcBorders>
              <w:top w:val="single" w:sz="4" w:space="0" w:color="000000"/>
              <w:left w:val="nil"/>
              <w:bottom w:val="single" w:sz="4" w:space="0" w:color="000000"/>
              <w:right w:val="single" w:sz="8" w:space="0" w:color="000000"/>
            </w:tcBorders>
            <w:shd w:val="clear" w:color="auto" w:fill="auto"/>
            <w:hideMark/>
          </w:tcPr>
          <w:p w:rsidR="00C8557E" w:rsidRPr="00C8557E" w:rsidRDefault="00C8557E" w:rsidP="001B73C5">
            <w:pPr>
              <w:jc w:val="center"/>
              <w:rPr>
                <w:rFonts w:ascii="Arial" w:hAnsi="Arial" w:cs="Arial"/>
                <w:b/>
              </w:rPr>
            </w:pPr>
            <w:r w:rsidRPr="00C8557E">
              <w:rPr>
                <w:rFonts w:ascii="Arial" w:hAnsi="Arial" w:cs="Arial"/>
                <w:b/>
              </w:rPr>
              <w:t xml:space="preserve">Kappa </w:t>
            </w:r>
            <w:proofErr w:type="spellStart"/>
            <w:r w:rsidRPr="00C8557E">
              <w:rPr>
                <w:rFonts w:ascii="Arial" w:hAnsi="Arial" w:cs="Arial"/>
                <w:b/>
              </w:rPr>
              <w:t>Statistic</w:t>
            </w:r>
            <w:r w:rsidRPr="00C8557E">
              <w:rPr>
                <w:rFonts w:ascii="Arial" w:hAnsi="Arial" w:cs="Arial"/>
                <w:b/>
                <w:vertAlign w:val="superscript"/>
              </w:rPr>
              <w:t>a</w:t>
            </w:r>
            <w:proofErr w:type="spellEnd"/>
          </w:p>
        </w:tc>
        <w:tc>
          <w:tcPr>
            <w:tcW w:w="1542" w:type="dxa"/>
            <w:tcBorders>
              <w:top w:val="single" w:sz="4" w:space="0" w:color="000000"/>
              <w:left w:val="nil"/>
              <w:bottom w:val="single" w:sz="4" w:space="0" w:color="000000"/>
              <w:right w:val="single" w:sz="8" w:space="0" w:color="000000"/>
            </w:tcBorders>
          </w:tcPr>
          <w:p w:rsidR="00C8557E" w:rsidRPr="00C8557E" w:rsidRDefault="00C8557E" w:rsidP="001B73C5">
            <w:pPr>
              <w:jc w:val="center"/>
              <w:rPr>
                <w:rFonts w:ascii="Arial" w:hAnsi="Arial" w:cs="Arial"/>
                <w:b/>
              </w:rPr>
            </w:pPr>
            <w:r w:rsidRPr="00C8557E">
              <w:rPr>
                <w:rFonts w:ascii="Arial" w:hAnsi="Arial" w:cs="Arial"/>
                <w:b/>
              </w:rPr>
              <w:t>When times disagree, median difference</w:t>
            </w:r>
          </w:p>
        </w:tc>
      </w:tr>
      <w:tr w:rsidR="00C8557E" w:rsidRPr="00C8557E" w:rsidTr="00C8557E">
        <w:trPr>
          <w:trHeight w:val="300"/>
        </w:trPr>
        <w:tc>
          <w:tcPr>
            <w:tcW w:w="2371" w:type="dxa"/>
            <w:tcBorders>
              <w:top w:val="single" w:sz="4" w:space="0" w:color="000000"/>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Arrival Time</w:t>
            </w:r>
          </w:p>
        </w:tc>
        <w:tc>
          <w:tcPr>
            <w:tcW w:w="1572"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656</w:t>
            </w:r>
          </w:p>
        </w:tc>
        <w:tc>
          <w:tcPr>
            <w:tcW w:w="1213"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621</w:t>
            </w:r>
          </w:p>
        </w:tc>
        <w:tc>
          <w:tcPr>
            <w:tcW w:w="1238" w:type="dxa"/>
            <w:tcBorders>
              <w:top w:val="single" w:sz="4" w:space="0" w:color="000000"/>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94.67</w:t>
            </w:r>
          </w:p>
        </w:tc>
        <w:tc>
          <w:tcPr>
            <w:tcW w:w="1542" w:type="dxa"/>
            <w:tcBorders>
              <w:top w:val="single" w:sz="4" w:space="0" w:color="000000"/>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000000"/>
              <w:left w:val="nil"/>
              <w:bottom w:val="single" w:sz="4" w:space="0" w:color="000000"/>
              <w:right w:val="single" w:sz="8" w:space="0" w:color="000000"/>
            </w:tcBorders>
          </w:tcPr>
          <w:p w:rsidR="00C8557E" w:rsidRPr="00C8557E" w:rsidRDefault="00C8557E" w:rsidP="001B73C5">
            <w:pPr>
              <w:jc w:val="right"/>
              <w:rPr>
                <w:rFonts w:ascii="Arial" w:hAnsi="Arial" w:cs="Arial"/>
              </w:rPr>
            </w:pPr>
            <w:r w:rsidRPr="00C8557E">
              <w:rPr>
                <w:rFonts w:ascii="Arial" w:hAnsi="Arial" w:cs="Arial"/>
              </w:rPr>
              <w:t>9 minutes</w:t>
            </w: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Birthdate</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Aspirin Received</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649</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636</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98.00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0.86</w:t>
            </w:r>
            <w:r w:rsidRPr="00C8557E">
              <w:rPr>
                <w:rFonts w:ascii="Arial" w:hAnsi="Arial" w:cs="Arial"/>
                <w:vertAlign w:val="superscript"/>
              </w:rPr>
              <w:t>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lastRenderedPageBreak/>
              <w:t>Discharge Status</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E/M Code</w:t>
            </w:r>
          </w:p>
        </w:tc>
        <w:tc>
          <w:tcPr>
            <w:tcW w:w="1572"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nil"/>
              <w:left w:val="nil"/>
              <w:bottom w:val="single" w:sz="4" w:space="0" w:color="000000"/>
              <w:right w:val="single" w:sz="4"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nil"/>
              <w:left w:val="nil"/>
              <w:bottom w:val="single" w:sz="4" w:space="0" w:color="000000"/>
              <w:right w:val="single" w:sz="8" w:space="0" w:color="000000"/>
            </w:tcBorders>
            <w:shd w:val="clear" w:color="auto" w:fill="auto"/>
            <w:vAlign w:val="bottom"/>
            <w:hideMark/>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649</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643</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99.08</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0.25</w:t>
            </w:r>
            <w:r w:rsidRPr="00C8557E">
              <w:rPr>
                <w:rFonts w:ascii="Arial" w:hAnsi="Arial" w:cs="Arial"/>
                <w:vertAlign w:val="superscript"/>
              </w:rPr>
              <w:t>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000000"/>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 Date</w:t>
            </w:r>
          </w:p>
        </w:tc>
        <w:tc>
          <w:tcPr>
            <w:tcW w:w="1572"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642</w:t>
            </w:r>
          </w:p>
        </w:tc>
        <w:tc>
          <w:tcPr>
            <w:tcW w:w="1213"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635</w:t>
            </w:r>
          </w:p>
        </w:tc>
        <w:tc>
          <w:tcPr>
            <w:tcW w:w="1238" w:type="dxa"/>
            <w:tcBorders>
              <w:top w:val="nil"/>
              <w:left w:val="nil"/>
              <w:bottom w:val="single" w:sz="4" w:space="0" w:color="000000"/>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98.91</w:t>
            </w:r>
          </w:p>
        </w:tc>
        <w:tc>
          <w:tcPr>
            <w:tcW w:w="1542" w:type="dxa"/>
            <w:tcBorders>
              <w:top w:val="nil"/>
              <w:left w:val="nil"/>
              <w:bottom w:val="single" w:sz="4" w:space="0" w:color="000000"/>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000000"/>
              <w:right w:val="single" w:sz="8" w:space="0" w:color="000000"/>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nil"/>
              <w:left w:val="single" w:sz="8" w:space="0" w:color="000000"/>
              <w:bottom w:val="single" w:sz="4" w:space="0" w:color="auto"/>
              <w:right w:val="single" w:sz="4" w:space="0" w:color="000000"/>
            </w:tcBorders>
            <w:shd w:val="clear" w:color="auto" w:fill="auto"/>
            <w:vAlign w:val="bottom"/>
            <w:hideMark/>
          </w:tcPr>
          <w:p w:rsidR="00C8557E" w:rsidRPr="00C8557E" w:rsidRDefault="00C8557E" w:rsidP="001B73C5">
            <w:pPr>
              <w:rPr>
                <w:rFonts w:ascii="Arial" w:eastAsia="Calibri" w:hAnsi="Arial" w:cs="Arial"/>
              </w:rPr>
            </w:pPr>
            <w:r w:rsidRPr="00C8557E">
              <w:rPr>
                <w:rFonts w:ascii="Arial" w:eastAsia="Calibri" w:hAnsi="Arial" w:cs="Arial"/>
              </w:rPr>
              <w:t>ECG Time</w:t>
            </w:r>
          </w:p>
        </w:tc>
        <w:tc>
          <w:tcPr>
            <w:tcW w:w="1572"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642</w:t>
            </w:r>
          </w:p>
        </w:tc>
        <w:tc>
          <w:tcPr>
            <w:tcW w:w="1213"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588</w:t>
            </w:r>
          </w:p>
        </w:tc>
        <w:tc>
          <w:tcPr>
            <w:tcW w:w="1238" w:type="dxa"/>
            <w:tcBorders>
              <w:top w:val="nil"/>
              <w:left w:val="nil"/>
              <w:bottom w:val="single" w:sz="4" w:space="0" w:color="auto"/>
              <w:right w:val="single" w:sz="4"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91.59</w:t>
            </w:r>
          </w:p>
        </w:tc>
        <w:tc>
          <w:tcPr>
            <w:tcW w:w="1542" w:type="dxa"/>
            <w:tcBorders>
              <w:top w:val="nil"/>
              <w:left w:val="nil"/>
              <w:bottom w:val="single" w:sz="4" w:space="0" w:color="auto"/>
              <w:right w:val="single" w:sz="8" w:space="0" w:color="000000"/>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nil"/>
              <w:left w:val="nil"/>
              <w:bottom w:val="single" w:sz="4" w:space="0" w:color="auto"/>
              <w:right w:val="single" w:sz="8" w:space="0" w:color="000000"/>
            </w:tcBorders>
          </w:tcPr>
          <w:p w:rsidR="00C8557E" w:rsidRPr="00C8557E" w:rsidRDefault="00C8557E" w:rsidP="001B73C5">
            <w:pPr>
              <w:jc w:val="right"/>
              <w:rPr>
                <w:rFonts w:ascii="Arial" w:hAnsi="Arial" w:cs="Arial"/>
              </w:rPr>
            </w:pPr>
            <w:r w:rsidRPr="00C8557E">
              <w:rPr>
                <w:rFonts w:ascii="Arial" w:hAnsi="Arial" w:cs="Arial"/>
              </w:rPr>
              <w:t>11 minutes</w:t>
            </w: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rPr>
                <w:rFonts w:ascii="Arial" w:eastAsia="Calibri" w:hAnsi="Arial" w:cs="Arial"/>
              </w:rPr>
            </w:pPr>
            <w:r w:rsidRPr="00C8557E">
              <w:rPr>
                <w:rFonts w:ascii="Arial" w:eastAsia="Calibri" w:hAnsi="Arial" w:cs="Arial"/>
              </w:rPr>
              <w:t>ICD-9-CM Principal Diagnosis Code</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763</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100.00</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rPr>
                <w:rFonts w:ascii="Arial" w:eastAsia="Calibri" w:hAnsi="Arial" w:cs="Arial"/>
              </w:rPr>
            </w:pPr>
            <w:r w:rsidRPr="00C8557E">
              <w:rPr>
                <w:rFonts w:ascii="Arial" w:eastAsia="Calibri" w:hAnsi="Arial" w:cs="Arial"/>
              </w:rPr>
              <w:t>Probable Cardiac Chest Pain</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449</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383</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85.30</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0.53</w:t>
            </w:r>
            <w:r w:rsidRPr="00C8557E">
              <w:rPr>
                <w:rFonts w:ascii="Arial" w:hAnsi="Arial" w:cs="Arial"/>
                <w:vertAlign w:val="superscript"/>
              </w:rPr>
              <w:t>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r w:rsidR="00C8557E" w:rsidRPr="00C8557E" w:rsidTr="00C8557E">
        <w:trPr>
          <w:trHeight w:val="300"/>
        </w:trPr>
        <w:tc>
          <w:tcPr>
            <w:tcW w:w="2371" w:type="dxa"/>
            <w:tcBorders>
              <w:top w:val="single" w:sz="4" w:space="0" w:color="auto"/>
              <w:left w:val="single" w:sz="4" w:space="0" w:color="auto"/>
              <w:bottom w:val="single" w:sz="4" w:space="0" w:color="auto"/>
              <w:right w:val="single" w:sz="4" w:space="0" w:color="auto"/>
            </w:tcBorders>
            <w:shd w:val="clear" w:color="auto" w:fill="auto"/>
          </w:tcPr>
          <w:p w:rsidR="00C8557E" w:rsidRPr="00C8557E" w:rsidRDefault="00C8557E" w:rsidP="001B73C5">
            <w:pPr>
              <w:rPr>
                <w:rFonts w:ascii="Arial" w:eastAsia="Calibri" w:hAnsi="Arial" w:cs="Arial"/>
              </w:rPr>
            </w:pPr>
            <w:r w:rsidRPr="00C8557E">
              <w:rPr>
                <w:rFonts w:ascii="Arial" w:eastAsia="Calibri" w:hAnsi="Arial" w:cs="Arial"/>
              </w:rPr>
              <w:t>Reason for No Aspirin on Arrival</w:t>
            </w:r>
          </w:p>
        </w:tc>
        <w:tc>
          <w:tcPr>
            <w:tcW w:w="157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44</w:t>
            </w:r>
          </w:p>
        </w:tc>
        <w:tc>
          <w:tcPr>
            <w:tcW w:w="1213"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34</w:t>
            </w:r>
          </w:p>
        </w:tc>
        <w:tc>
          <w:tcPr>
            <w:tcW w:w="1238"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77.27</w:t>
            </w:r>
          </w:p>
        </w:tc>
        <w:tc>
          <w:tcPr>
            <w:tcW w:w="1542" w:type="dxa"/>
            <w:tcBorders>
              <w:top w:val="single" w:sz="4" w:space="0" w:color="auto"/>
              <w:left w:val="single" w:sz="4" w:space="0" w:color="auto"/>
              <w:bottom w:val="single" w:sz="4" w:space="0" w:color="auto"/>
              <w:right w:val="single" w:sz="4" w:space="0" w:color="auto"/>
            </w:tcBorders>
            <w:shd w:val="clear" w:color="auto" w:fill="auto"/>
            <w:vAlign w:val="bottom"/>
          </w:tcPr>
          <w:p w:rsidR="00C8557E" w:rsidRPr="00C8557E" w:rsidRDefault="00C8557E" w:rsidP="001B73C5">
            <w:pPr>
              <w:jc w:val="right"/>
              <w:rPr>
                <w:rFonts w:ascii="Arial" w:hAnsi="Arial" w:cs="Arial"/>
              </w:rPr>
            </w:pPr>
            <w:r w:rsidRPr="00C8557E">
              <w:rPr>
                <w:rFonts w:ascii="Arial" w:hAnsi="Arial" w:cs="Arial"/>
              </w:rPr>
              <w:t>N/A</w:t>
            </w:r>
          </w:p>
        </w:tc>
        <w:tc>
          <w:tcPr>
            <w:tcW w:w="1542" w:type="dxa"/>
            <w:tcBorders>
              <w:top w:val="single" w:sz="4" w:space="0" w:color="auto"/>
              <w:left w:val="single" w:sz="4" w:space="0" w:color="auto"/>
              <w:bottom w:val="single" w:sz="4" w:space="0" w:color="auto"/>
              <w:right w:val="single" w:sz="4" w:space="0" w:color="auto"/>
            </w:tcBorders>
          </w:tcPr>
          <w:p w:rsidR="00C8557E" w:rsidRPr="00C8557E" w:rsidRDefault="00C8557E" w:rsidP="001B73C5">
            <w:pPr>
              <w:jc w:val="right"/>
              <w:rPr>
                <w:rFonts w:ascii="Arial" w:hAnsi="Arial" w:cs="Arial"/>
              </w:rPr>
            </w:pPr>
          </w:p>
        </w:tc>
      </w:tr>
    </w:tbl>
    <w:p w:rsidR="00C8557E" w:rsidRDefault="00C8557E" w:rsidP="00C8557E">
      <w:pPr>
        <w:rPr>
          <w:rFonts w:ascii="Arial" w:eastAsia="Calibri" w:hAnsi="Arial" w:cs="Arial"/>
          <w:sz w:val="24"/>
          <w:szCs w:val="24"/>
        </w:rPr>
      </w:pPr>
      <w:r>
        <w:rPr>
          <w:rFonts w:ascii="Arial" w:eastAsia="Calibri" w:hAnsi="Arial" w:cs="Arial"/>
          <w:sz w:val="24"/>
          <w:szCs w:val="24"/>
        </w:rPr>
        <w:t>a - Kappa Statistics</w:t>
      </w:r>
    </w:p>
    <w:p w:rsidR="003A6973" w:rsidRPr="004448C3" w:rsidRDefault="003729A4" w:rsidP="003A6973">
      <w:pPr>
        <w:pStyle w:val="ListParagraph"/>
        <w:ind w:left="360"/>
        <w:rPr>
          <w:rFonts w:ascii="Arial" w:eastAsia="Calibri" w:hAnsi="Arial" w:cs="Arial"/>
          <w:sz w:val="24"/>
          <w:szCs w:val="24"/>
        </w:rPr>
      </w:pPr>
      <w:r w:rsidRPr="003729A4">
        <w:drawing>
          <wp:inline distT="0" distB="0" distL="0" distR="0" wp14:anchorId="270C2C68" wp14:editId="19106840">
            <wp:extent cx="5943600" cy="95535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943600" cy="955352"/>
                    </a:xfrm>
                    <a:prstGeom prst="rect">
                      <a:avLst/>
                    </a:prstGeom>
                    <a:noFill/>
                    <a:ln>
                      <a:noFill/>
                    </a:ln>
                  </pic:spPr>
                </pic:pic>
              </a:graphicData>
            </a:graphic>
          </wp:inline>
        </w:drawing>
      </w:r>
    </w:p>
    <w:tbl>
      <w:tblPr>
        <w:tblW w:w="9483" w:type="dxa"/>
        <w:tblInd w:w="93" w:type="dxa"/>
        <w:tblLook w:val="04A0" w:firstRow="1" w:lastRow="0" w:firstColumn="1" w:lastColumn="0" w:noHBand="0" w:noVBand="1"/>
      </w:tblPr>
      <w:tblGrid>
        <w:gridCol w:w="5570"/>
        <w:gridCol w:w="1097"/>
        <w:gridCol w:w="991"/>
        <w:gridCol w:w="956"/>
        <w:gridCol w:w="869"/>
      </w:tblGrid>
      <w:tr w:rsidR="003729A4" w:rsidRPr="003729A4" w:rsidTr="003729A4">
        <w:trPr>
          <w:trHeight w:val="300"/>
        </w:trPr>
        <w:tc>
          <w:tcPr>
            <w:tcW w:w="557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109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9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5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75"/>
        </w:trPr>
        <w:tc>
          <w:tcPr>
            <w:tcW w:w="5571" w:type="dxa"/>
            <w:tcBorders>
              <w:top w:val="nil"/>
              <w:left w:val="nil"/>
              <w:bottom w:val="nil"/>
              <w:right w:val="nil"/>
            </w:tcBorders>
            <w:shd w:val="clear" w:color="000000" w:fill="FFFF00"/>
            <w:noWrap/>
            <w:vAlign w:val="bottom"/>
            <w:hideMark/>
          </w:tcPr>
          <w:p w:rsidR="003729A4" w:rsidRPr="003729A4" w:rsidRDefault="003729A4" w:rsidP="003729A4">
            <w:pPr>
              <w:spacing w:after="0" w:line="240" w:lineRule="auto"/>
              <w:rPr>
                <w:rFonts w:ascii="Calibri" w:eastAsia="Times New Roman" w:hAnsi="Calibri" w:cs="Times New Roman"/>
                <w:b/>
                <w:bCs/>
                <w:color w:val="000000"/>
                <w:sz w:val="28"/>
                <w:szCs w:val="28"/>
              </w:rPr>
            </w:pPr>
            <w:r w:rsidRPr="003729A4">
              <w:rPr>
                <w:rFonts w:ascii="Calibri" w:eastAsia="Times New Roman" w:hAnsi="Calibri" w:cs="Times New Roman"/>
                <w:b/>
                <w:bCs/>
                <w:color w:val="000000"/>
                <w:sz w:val="28"/>
                <w:szCs w:val="28"/>
              </w:rPr>
              <w:t>At Patient Level--Median Time by Race</w:t>
            </w:r>
          </w:p>
        </w:tc>
        <w:tc>
          <w:tcPr>
            <w:tcW w:w="109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9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5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109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9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5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600"/>
        </w:trPr>
        <w:tc>
          <w:tcPr>
            <w:tcW w:w="55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b/>
                <w:bCs/>
                <w:color w:val="000000"/>
              </w:rPr>
            </w:pPr>
            <w:r w:rsidRPr="003729A4">
              <w:rPr>
                <w:rFonts w:ascii="Calibri" w:eastAsia="Times New Roman" w:hAnsi="Calibri" w:cs="Times New Roman"/>
                <w:b/>
                <w:bCs/>
                <w:color w:val="000000"/>
              </w:rPr>
              <w:t>Race/Ethnicity</w:t>
            </w:r>
          </w:p>
        </w:tc>
        <w:tc>
          <w:tcPr>
            <w:tcW w:w="1096" w:type="dxa"/>
            <w:tcBorders>
              <w:top w:val="single" w:sz="4" w:space="0" w:color="auto"/>
              <w:left w:val="nil"/>
              <w:bottom w:val="single" w:sz="4" w:space="0" w:color="auto"/>
              <w:right w:val="single" w:sz="4" w:space="0" w:color="auto"/>
            </w:tcBorders>
            <w:shd w:val="clear" w:color="auto" w:fill="auto"/>
            <w:vAlign w:val="bottom"/>
            <w:hideMark/>
          </w:tcPr>
          <w:p w:rsidR="003729A4" w:rsidRPr="003729A4" w:rsidRDefault="003729A4" w:rsidP="003729A4">
            <w:pPr>
              <w:spacing w:after="0" w:line="240" w:lineRule="auto"/>
              <w:jc w:val="center"/>
              <w:rPr>
                <w:rFonts w:ascii="Calibri" w:eastAsia="Times New Roman" w:hAnsi="Calibri" w:cs="Times New Roman"/>
                <w:b/>
                <w:bCs/>
                <w:color w:val="000000"/>
              </w:rPr>
            </w:pPr>
            <w:r w:rsidRPr="003729A4">
              <w:rPr>
                <w:rFonts w:ascii="Calibri" w:eastAsia="Times New Roman" w:hAnsi="Calibri" w:cs="Times New Roman"/>
                <w:b/>
                <w:bCs/>
                <w:color w:val="000000"/>
              </w:rPr>
              <w:t>Median (minutes)</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b/>
                <w:bCs/>
                <w:color w:val="000000"/>
              </w:rPr>
            </w:pPr>
            <w:r w:rsidRPr="003729A4">
              <w:rPr>
                <w:rFonts w:ascii="Calibri" w:eastAsia="Times New Roman" w:hAnsi="Calibri" w:cs="Times New Roman"/>
                <w:b/>
                <w:bCs/>
                <w:color w:val="000000"/>
              </w:rPr>
              <w:t>IQR</w:t>
            </w:r>
          </w:p>
        </w:tc>
        <w:tc>
          <w:tcPr>
            <w:tcW w:w="956" w:type="dxa"/>
            <w:tcBorders>
              <w:top w:val="single" w:sz="4" w:space="0" w:color="auto"/>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b/>
                <w:bCs/>
                <w:color w:val="000000"/>
              </w:rPr>
            </w:pPr>
            <w:r w:rsidRPr="003729A4">
              <w:rPr>
                <w:rFonts w:ascii="Calibri" w:eastAsia="Times New Roman" w:hAnsi="Calibri" w:cs="Times New Roman"/>
                <w:b/>
                <w:bCs/>
                <w:color w:val="000000"/>
              </w:rPr>
              <w:t>Total Cases</w:t>
            </w: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r w:rsidRPr="003729A4">
              <w:rPr>
                <w:rFonts w:ascii="Calibri" w:eastAsia="Times New Roman" w:hAnsi="Calibri" w:cs="Times New Roman"/>
                <w:color w:val="000000"/>
              </w:rPr>
              <w:t>White</w:t>
            </w:r>
          </w:p>
        </w:tc>
        <w:tc>
          <w:tcPr>
            <w:tcW w:w="109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7</w:t>
            </w:r>
          </w:p>
        </w:tc>
        <w:tc>
          <w:tcPr>
            <w:tcW w:w="99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 xml:space="preserve">3-15 </w:t>
            </w:r>
          </w:p>
        </w:tc>
        <w:tc>
          <w:tcPr>
            <w:tcW w:w="956" w:type="dxa"/>
            <w:tcBorders>
              <w:top w:val="nil"/>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right"/>
              <w:rPr>
                <w:rFonts w:ascii="Calibri" w:eastAsia="Times New Roman" w:hAnsi="Calibri" w:cs="Times New Roman"/>
                <w:color w:val="000000"/>
              </w:rPr>
            </w:pPr>
            <w:r w:rsidRPr="003729A4">
              <w:rPr>
                <w:rFonts w:ascii="Calibri" w:eastAsia="Times New Roman" w:hAnsi="Calibri" w:cs="Times New Roman"/>
                <w:color w:val="000000"/>
              </w:rPr>
              <w:t>24,765</w:t>
            </w: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r w:rsidRPr="003729A4">
              <w:rPr>
                <w:rFonts w:ascii="Calibri" w:eastAsia="Times New Roman" w:hAnsi="Calibri" w:cs="Times New Roman"/>
                <w:color w:val="000000"/>
              </w:rPr>
              <w:t>Black</w:t>
            </w:r>
          </w:p>
        </w:tc>
        <w:tc>
          <w:tcPr>
            <w:tcW w:w="109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10</w:t>
            </w:r>
          </w:p>
        </w:tc>
        <w:tc>
          <w:tcPr>
            <w:tcW w:w="991" w:type="dxa"/>
            <w:tcBorders>
              <w:top w:val="single" w:sz="4" w:space="0" w:color="auto"/>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 xml:space="preserve">4-24 </w:t>
            </w:r>
          </w:p>
        </w:tc>
        <w:tc>
          <w:tcPr>
            <w:tcW w:w="95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right"/>
              <w:rPr>
                <w:rFonts w:ascii="Calibri" w:eastAsia="Times New Roman" w:hAnsi="Calibri" w:cs="Times New Roman"/>
                <w:color w:val="000000"/>
              </w:rPr>
            </w:pPr>
            <w:r w:rsidRPr="003729A4">
              <w:rPr>
                <w:rFonts w:ascii="Calibri" w:eastAsia="Times New Roman" w:hAnsi="Calibri" w:cs="Times New Roman"/>
                <w:color w:val="000000"/>
              </w:rPr>
              <w:t>2,495</w:t>
            </w: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r w:rsidRPr="003729A4">
              <w:rPr>
                <w:rFonts w:ascii="Calibri" w:eastAsia="Times New Roman" w:hAnsi="Calibri" w:cs="Times New Roman"/>
                <w:color w:val="000000"/>
              </w:rPr>
              <w:t>Hispanic</w:t>
            </w:r>
          </w:p>
        </w:tc>
        <w:tc>
          <w:tcPr>
            <w:tcW w:w="109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9</w:t>
            </w:r>
          </w:p>
        </w:tc>
        <w:tc>
          <w:tcPr>
            <w:tcW w:w="991"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 xml:space="preserve">4-22 </w:t>
            </w:r>
          </w:p>
        </w:tc>
        <w:tc>
          <w:tcPr>
            <w:tcW w:w="95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right"/>
              <w:rPr>
                <w:rFonts w:ascii="Calibri" w:eastAsia="Times New Roman" w:hAnsi="Calibri" w:cs="Times New Roman"/>
                <w:color w:val="000000"/>
              </w:rPr>
            </w:pPr>
            <w:r w:rsidRPr="003729A4">
              <w:rPr>
                <w:rFonts w:ascii="Calibri" w:eastAsia="Times New Roman" w:hAnsi="Calibri" w:cs="Times New Roman"/>
                <w:color w:val="000000"/>
              </w:rPr>
              <w:t>1,300</w:t>
            </w: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single" w:sz="4" w:space="0" w:color="auto"/>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r w:rsidRPr="003729A4">
              <w:rPr>
                <w:rFonts w:ascii="Calibri" w:eastAsia="Times New Roman" w:hAnsi="Calibri" w:cs="Times New Roman"/>
                <w:color w:val="000000"/>
              </w:rPr>
              <w:t>Other</w:t>
            </w:r>
          </w:p>
        </w:tc>
        <w:tc>
          <w:tcPr>
            <w:tcW w:w="109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8</w:t>
            </w:r>
          </w:p>
        </w:tc>
        <w:tc>
          <w:tcPr>
            <w:tcW w:w="991"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center"/>
              <w:rPr>
                <w:rFonts w:ascii="Calibri" w:eastAsia="Times New Roman" w:hAnsi="Calibri" w:cs="Times New Roman"/>
                <w:color w:val="000000"/>
              </w:rPr>
            </w:pPr>
            <w:r w:rsidRPr="003729A4">
              <w:rPr>
                <w:rFonts w:ascii="Calibri" w:eastAsia="Times New Roman" w:hAnsi="Calibri" w:cs="Times New Roman"/>
                <w:color w:val="000000"/>
              </w:rPr>
              <w:t xml:space="preserve">3-17 </w:t>
            </w:r>
          </w:p>
        </w:tc>
        <w:tc>
          <w:tcPr>
            <w:tcW w:w="956" w:type="dxa"/>
            <w:tcBorders>
              <w:top w:val="nil"/>
              <w:left w:val="nil"/>
              <w:bottom w:val="single" w:sz="4" w:space="0" w:color="auto"/>
              <w:right w:val="single" w:sz="4" w:space="0" w:color="auto"/>
            </w:tcBorders>
            <w:shd w:val="clear" w:color="auto" w:fill="auto"/>
            <w:noWrap/>
            <w:vAlign w:val="bottom"/>
            <w:hideMark/>
          </w:tcPr>
          <w:p w:rsidR="003729A4" w:rsidRPr="003729A4" w:rsidRDefault="003729A4" w:rsidP="003729A4">
            <w:pPr>
              <w:spacing w:after="0" w:line="240" w:lineRule="auto"/>
              <w:jc w:val="right"/>
              <w:rPr>
                <w:rFonts w:ascii="Calibri" w:eastAsia="Times New Roman" w:hAnsi="Calibri" w:cs="Times New Roman"/>
                <w:color w:val="000000"/>
              </w:rPr>
            </w:pPr>
            <w:r w:rsidRPr="003729A4">
              <w:rPr>
                <w:rFonts w:ascii="Calibri" w:eastAsia="Times New Roman" w:hAnsi="Calibri" w:cs="Times New Roman"/>
                <w:color w:val="000000"/>
              </w:rPr>
              <w:t>1,395</w:t>
            </w: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r w:rsidR="003729A4" w:rsidRPr="003729A4" w:rsidTr="003729A4">
        <w:trPr>
          <w:trHeight w:val="300"/>
        </w:trPr>
        <w:tc>
          <w:tcPr>
            <w:tcW w:w="5571" w:type="dxa"/>
            <w:tcBorders>
              <w:top w:val="nil"/>
              <w:left w:val="single" w:sz="4" w:space="0" w:color="auto"/>
              <w:bottom w:val="nil"/>
              <w:right w:val="single" w:sz="4" w:space="0" w:color="auto"/>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r w:rsidRPr="003729A4">
              <w:rPr>
                <w:rFonts w:ascii="Calibri" w:eastAsia="Times New Roman" w:hAnsi="Calibri" w:cs="Times New Roman"/>
                <w:color w:val="000000"/>
              </w:rPr>
              <w:t>*IQR represents the Inter Quartile Range, the 25th and 75th percentiles</w:t>
            </w:r>
          </w:p>
        </w:tc>
        <w:tc>
          <w:tcPr>
            <w:tcW w:w="109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91"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956"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c>
          <w:tcPr>
            <w:tcW w:w="869" w:type="dxa"/>
            <w:tcBorders>
              <w:top w:val="nil"/>
              <w:left w:val="nil"/>
              <w:bottom w:val="nil"/>
              <w:right w:val="nil"/>
            </w:tcBorders>
            <w:shd w:val="clear" w:color="auto" w:fill="auto"/>
            <w:noWrap/>
            <w:vAlign w:val="bottom"/>
            <w:hideMark/>
          </w:tcPr>
          <w:p w:rsidR="003729A4" w:rsidRPr="003729A4" w:rsidRDefault="003729A4" w:rsidP="003729A4">
            <w:pPr>
              <w:spacing w:after="0" w:line="240" w:lineRule="auto"/>
              <w:rPr>
                <w:rFonts w:ascii="Calibri" w:eastAsia="Times New Roman" w:hAnsi="Calibri" w:cs="Times New Roman"/>
                <w:color w:val="000000"/>
              </w:rPr>
            </w:pPr>
          </w:p>
        </w:tc>
      </w:tr>
    </w:tbl>
    <w:p w:rsidR="003729A4" w:rsidRDefault="003729A4">
      <w:pPr>
        <w:rPr>
          <w:rFonts w:cstheme="minorHAnsi"/>
          <w:bCs/>
        </w:rPr>
      </w:pPr>
    </w:p>
    <w:tbl>
      <w:tblPr>
        <w:tblStyle w:val="TableGrid"/>
        <w:tblW w:w="0" w:type="auto"/>
        <w:tblLook w:val="04A0" w:firstRow="1" w:lastRow="0" w:firstColumn="1" w:lastColumn="0" w:noHBand="0" w:noVBand="1"/>
      </w:tblPr>
      <w:tblGrid>
        <w:gridCol w:w="1778"/>
        <w:gridCol w:w="807"/>
        <w:gridCol w:w="807"/>
        <w:gridCol w:w="781"/>
        <w:gridCol w:w="717"/>
        <w:gridCol w:w="743"/>
        <w:gridCol w:w="730"/>
        <w:gridCol w:w="743"/>
        <w:gridCol w:w="755"/>
        <w:gridCol w:w="755"/>
        <w:gridCol w:w="960"/>
      </w:tblGrid>
      <w:tr w:rsidR="003729A4" w:rsidRPr="003729A4" w:rsidTr="00F333FE">
        <w:trPr>
          <w:trHeight w:val="300"/>
        </w:trPr>
        <w:tc>
          <w:tcPr>
            <w:tcW w:w="1778"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Time Interval (Minutes)</w:t>
            </w:r>
          </w:p>
        </w:tc>
        <w:tc>
          <w:tcPr>
            <w:tcW w:w="807"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0-10</w:t>
            </w:r>
          </w:p>
        </w:tc>
        <w:tc>
          <w:tcPr>
            <w:tcW w:w="807"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11-20</w:t>
            </w:r>
          </w:p>
        </w:tc>
        <w:tc>
          <w:tcPr>
            <w:tcW w:w="781"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21-30</w:t>
            </w:r>
          </w:p>
        </w:tc>
        <w:tc>
          <w:tcPr>
            <w:tcW w:w="717"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31-40</w:t>
            </w:r>
          </w:p>
        </w:tc>
        <w:tc>
          <w:tcPr>
            <w:tcW w:w="743"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41-50</w:t>
            </w:r>
          </w:p>
        </w:tc>
        <w:tc>
          <w:tcPr>
            <w:tcW w:w="730"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51-60</w:t>
            </w:r>
          </w:p>
        </w:tc>
        <w:tc>
          <w:tcPr>
            <w:tcW w:w="743"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61-70</w:t>
            </w:r>
          </w:p>
        </w:tc>
        <w:tc>
          <w:tcPr>
            <w:tcW w:w="755"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71-80</w:t>
            </w:r>
          </w:p>
        </w:tc>
        <w:tc>
          <w:tcPr>
            <w:tcW w:w="755"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81-90</w:t>
            </w:r>
          </w:p>
        </w:tc>
        <w:tc>
          <w:tcPr>
            <w:tcW w:w="960" w:type="dxa"/>
            <w:noWrap/>
            <w:hideMark/>
          </w:tcPr>
          <w:p w:rsidR="003729A4" w:rsidRPr="003729A4" w:rsidRDefault="003729A4" w:rsidP="00F333FE">
            <w:pPr>
              <w:autoSpaceDE w:val="0"/>
              <w:autoSpaceDN w:val="0"/>
              <w:adjustRightInd w:val="0"/>
              <w:rPr>
                <w:rFonts w:cstheme="minorHAnsi"/>
                <w:b/>
                <w:bCs/>
              </w:rPr>
            </w:pPr>
            <w:r w:rsidRPr="003729A4">
              <w:rPr>
                <w:rFonts w:cstheme="minorHAnsi"/>
                <w:b/>
                <w:bCs/>
              </w:rPr>
              <w:t>91 and Above</w:t>
            </w:r>
          </w:p>
        </w:tc>
      </w:tr>
      <w:tr w:rsidR="003729A4" w:rsidRPr="003729A4" w:rsidTr="00F333FE">
        <w:trPr>
          <w:trHeight w:val="300"/>
        </w:trPr>
        <w:tc>
          <w:tcPr>
            <w:tcW w:w="1778"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 Hospitals</w:t>
            </w:r>
          </w:p>
        </w:tc>
        <w:tc>
          <w:tcPr>
            <w:tcW w:w="807"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1825</w:t>
            </w:r>
          </w:p>
        </w:tc>
        <w:tc>
          <w:tcPr>
            <w:tcW w:w="807"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663</w:t>
            </w:r>
          </w:p>
        </w:tc>
        <w:tc>
          <w:tcPr>
            <w:tcW w:w="781"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175</w:t>
            </w:r>
          </w:p>
        </w:tc>
        <w:tc>
          <w:tcPr>
            <w:tcW w:w="717"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65</w:t>
            </w:r>
          </w:p>
        </w:tc>
        <w:tc>
          <w:tcPr>
            <w:tcW w:w="743"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34</w:t>
            </w:r>
          </w:p>
        </w:tc>
        <w:tc>
          <w:tcPr>
            <w:tcW w:w="730"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17</w:t>
            </w:r>
          </w:p>
        </w:tc>
        <w:tc>
          <w:tcPr>
            <w:tcW w:w="743"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3</w:t>
            </w:r>
          </w:p>
        </w:tc>
        <w:tc>
          <w:tcPr>
            <w:tcW w:w="755"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13</w:t>
            </w:r>
          </w:p>
        </w:tc>
        <w:tc>
          <w:tcPr>
            <w:tcW w:w="755"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3</w:t>
            </w:r>
          </w:p>
        </w:tc>
        <w:tc>
          <w:tcPr>
            <w:tcW w:w="960" w:type="dxa"/>
            <w:noWrap/>
            <w:hideMark/>
          </w:tcPr>
          <w:p w:rsidR="003729A4" w:rsidRPr="003729A4" w:rsidRDefault="003729A4" w:rsidP="00F333FE">
            <w:pPr>
              <w:autoSpaceDE w:val="0"/>
              <w:autoSpaceDN w:val="0"/>
              <w:adjustRightInd w:val="0"/>
              <w:rPr>
                <w:rFonts w:cstheme="minorHAnsi"/>
                <w:bCs/>
              </w:rPr>
            </w:pPr>
            <w:r w:rsidRPr="003729A4">
              <w:rPr>
                <w:rFonts w:cstheme="minorHAnsi"/>
                <w:bCs/>
              </w:rPr>
              <w:t>28</w:t>
            </w:r>
          </w:p>
        </w:tc>
      </w:tr>
    </w:tbl>
    <w:p w:rsidR="003729A4" w:rsidRDefault="003729A4">
      <w:pPr>
        <w:rPr>
          <w:rFonts w:cstheme="minorHAnsi"/>
          <w:bCs/>
        </w:rPr>
      </w:pPr>
      <w:bookmarkStart w:id="14" w:name="_GoBack"/>
      <w:bookmarkEnd w:id="14"/>
      <w:r>
        <w:rPr>
          <w:rFonts w:cstheme="minorHAnsi"/>
          <w:bCs/>
        </w:rPr>
        <w:br w:type="page"/>
      </w:r>
    </w:p>
    <w:p w:rsidR="003729A4" w:rsidRPr="005560E7" w:rsidRDefault="003729A4">
      <w:pPr>
        <w:autoSpaceDE w:val="0"/>
        <w:autoSpaceDN w:val="0"/>
        <w:adjustRightInd w:val="0"/>
        <w:spacing w:after="0" w:line="240" w:lineRule="auto"/>
        <w:rPr>
          <w:rFonts w:cstheme="minorHAnsi"/>
          <w:bCs/>
        </w:rPr>
      </w:pPr>
      <w:r>
        <w:rPr>
          <w:noProof/>
        </w:rPr>
        <w:lastRenderedPageBreak/>
        <w:drawing>
          <wp:inline distT="0" distB="0" distL="0" distR="0" wp14:anchorId="54620A2D" wp14:editId="7434BD0D">
            <wp:extent cx="5829301" cy="5410201"/>
            <wp:effectExtent l="0" t="0" r="19050" b="1905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sectPr w:rsidR="003729A4" w:rsidRPr="005560E7" w:rsidSect="008505D1">
      <w:headerReference w:type="default" r:id="rId12"/>
      <w:foot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73C5" w:rsidRDefault="001B73C5" w:rsidP="005C73CA">
      <w:pPr>
        <w:spacing w:after="0" w:line="240" w:lineRule="auto"/>
      </w:pPr>
      <w:r>
        <w:separator/>
      </w:r>
    </w:p>
  </w:endnote>
  <w:endnote w:type="continuationSeparator" w:id="0">
    <w:p w:rsidR="001B73C5" w:rsidRDefault="001B73C5"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3C5" w:rsidRDefault="001B73C5">
    <w:pPr>
      <w:pStyle w:val="Footer"/>
    </w:pPr>
    <w:r>
      <w:t>Version 6.5  08/20/13</w:t>
    </w:r>
    <w:r>
      <w:ptab w:relativeTo="margin" w:alignment="center" w:leader="none"/>
    </w:r>
    <w:r>
      <w:ptab w:relativeTo="margin" w:alignment="right" w:leader="none"/>
    </w:r>
    <w:r>
      <w:fldChar w:fldCharType="begin"/>
    </w:r>
    <w:r>
      <w:instrText xml:space="preserve"> PAGE   \* MERGEFORMAT </w:instrText>
    </w:r>
    <w:r>
      <w:fldChar w:fldCharType="separate"/>
    </w:r>
    <w:r w:rsidR="003729A4">
      <w:rPr>
        <w:noProof/>
      </w:rPr>
      <w:t>13</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73C5" w:rsidRDefault="001B73C5" w:rsidP="005C73CA">
      <w:pPr>
        <w:spacing w:after="0" w:line="240" w:lineRule="auto"/>
      </w:pPr>
      <w:r>
        <w:separator/>
      </w:r>
    </w:p>
  </w:footnote>
  <w:footnote w:type="continuationSeparator" w:id="0">
    <w:p w:rsidR="001B73C5" w:rsidRDefault="001B73C5"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73C5" w:rsidRPr="00105D8B" w:rsidRDefault="001B73C5"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2E890A47"/>
    <w:multiLevelType w:val="hybridMultilevel"/>
    <w:tmpl w:val="0B1205E6"/>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decimal"/>
      <w:lvlText w:val="%3."/>
      <w:lvlJc w:val="left"/>
      <w:pPr>
        <w:tabs>
          <w:tab w:val="num" w:pos="2160"/>
        </w:tabs>
        <w:ind w:left="2160" w:hanging="360"/>
      </w:p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1">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9"/>
  </w:num>
  <w:num w:numId="3">
    <w:abstractNumId w:val="2"/>
  </w:num>
  <w:num w:numId="4">
    <w:abstractNumId w:val="5"/>
  </w:num>
  <w:num w:numId="5">
    <w:abstractNumId w:val="1"/>
  </w:num>
  <w:num w:numId="6">
    <w:abstractNumId w:val="0"/>
  </w:num>
  <w:num w:numId="7">
    <w:abstractNumId w:val="3"/>
  </w:num>
  <w:num w:numId="8">
    <w:abstractNumId w:val="19"/>
  </w:num>
  <w:num w:numId="9">
    <w:abstractNumId w:val="8"/>
  </w:num>
  <w:num w:numId="10">
    <w:abstractNumId w:val="24"/>
  </w:num>
  <w:num w:numId="11">
    <w:abstractNumId w:val="11"/>
  </w:num>
  <w:num w:numId="12">
    <w:abstractNumId w:val="22"/>
  </w:num>
  <w:num w:numId="13">
    <w:abstractNumId w:val="17"/>
  </w:num>
  <w:num w:numId="14">
    <w:abstractNumId w:val="17"/>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16"/>
  </w:num>
  <w:num w:numId="16">
    <w:abstractNumId w:val="7"/>
  </w:num>
  <w:num w:numId="17">
    <w:abstractNumId w:val="23"/>
  </w:num>
  <w:num w:numId="18">
    <w:abstractNumId w:val="21"/>
  </w:num>
  <w:num w:numId="19">
    <w:abstractNumId w:val="20"/>
  </w:num>
  <w:num w:numId="20">
    <w:abstractNumId w:val="15"/>
  </w:num>
  <w:num w:numId="21">
    <w:abstractNumId w:val="18"/>
  </w:num>
  <w:num w:numId="22">
    <w:abstractNumId w:val="14"/>
  </w:num>
  <w:num w:numId="23">
    <w:abstractNumId w:val="6"/>
  </w:num>
  <w:num w:numId="24">
    <w:abstractNumId w:val="13"/>
  </w:num>
  <w:num w:numId="25">
    <w:abstractNumId w:val="12"/>
  </w:num>
  <w:num w:numId="26">
    <w:abstractNumId w:val="25"/>
  </w:num>
  <w:num w:numId="27">
    <w:abstractNumId w:val="10"/>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cumentProtection w:edit="forms" w:enforcement="0"/>
  <w:defaultTabStop w:val="720"/>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403A"/>
    <w:rsid w:val="00001D73"/>
    <w:rsid w:val="00003469"/>
    <w:rsid w:val="0001094F"/>
    <w:rsid w:val="00021170"/>
    <w:rsid w:val="0002128B"/>
    <w:rsid w:val="00024DFD"/>
    <w:rsid w:val="00027AB8"/>
    <w:rsid w:val="00027B3A"/>
    <w:rsid w:val="000309DD"/>
    <w:rsid w:val="00031414"/>
    <w:rsid w:val="00033038"/>
    <w:rsid w:val="00033D63"/>
    <w:rsid w:val="0003436F"/>
    <w:rsid w:val="000414E8"/>
    <w:rsid w:val="0004593A"/>
    <w:rsid w:val="00050A3E"/>
    <w:rsid w:val="00052A6F"/>
    <w:rsid w:val="00053F02"/>
    <w:rsid w:val="00054F22"/>
    <w:rsid w:val="0005612B"/>
    <w:rsid w:val="000574AB"/>
    <w:rsid w:val="0006147A"/>
    <w:rsid w:val="000775F8"/>
    <w:rsid w:val="00080CF7"/>
    <w:rsid w:val="000851B2"/>
    <w:rsid w:val="00092566"/>
    <w:rsid w:val="000968F8"/>
    <w:rsid w:val="00097012"/>
    <w:rsid w:val="000B032A"/>
    <w:rsid w:val="000B2DF7"/>
    <w:rsid w:val="000B3880"/>
    <w:rsid w:val="000D7948"/>
    <w:rsid w:val="000D7C84"/>
    <w:rsid w:val="000E4E13"/>
    <w:rsid w:val="000E78F6"/>
    <w:rsid w:val="000F034A"/>
    <w:rsid w:val="000F06B5"/>
    <w:rsid w:val="000F39E9"/>
    <w:rsid w:val="00104B45"/>
    <w:rsid w:val="00105D8B"/>
    <w:rsid w:val="0011342F"/>
    <w:rsid w:val="001202E9"/>
    <w:rsid w:val="0012454F"/>
    <w:rsid w:val="00125273"/>
    <w:rsid w:val="0012575E"/>
    <w:rsid w:val="00127C06"/>
    <w:rsid w:val="0014323E"/>
    <w:rsid w:val="00145149"/>
    <w:rsid w:val="00145D4F"/>
    <w:rsid w:val="0014773C"/>
    <w:rsid w:val="0017696D"/>
    <w:rsid w:val="001848FC"/>
    <w:rsid w:val="001969C5"/>
    <w:rsid w:val="001A6CDD"/>
    <w:rsid w:val="001B73C5"/>
    <w:rsid w:val="001C12EE"/>
    <w:rsid w:val="001C7B02"/>
    <w:rsid w:val="001E0C0E"/>
    <w:rsid w:val="001E4DD4"/>
    <w:rsid w:val="001E69DC"/>
    <w:rsid w:val="001E6BE5"/>
    <w:rsid w:val="001F169D"/>
    <w:rsid w:val="001F1DA1"/>
    <w:rsid w:val="001F6F93"/>
    <w:rsid w:val="001F7A20"/>
    <w:rsid w:val="0021195A"/>
    <w:rsid w:val="00213383"/>
    <w:rsid w:val="00220250"/>
    <w:rsid w:val="0022691B"/>
    <w:rsid w:val="00232163"/>
    <w:rsid w:val="002376F8"/>
    <w:rsid w:val="002408E4"/>
    <w:rsid w:val="00241591"/>
    <w:rsid w:val="00250B4F"/>
    <w:rsid w:val="0025762F"/>
    <w:rsid w:val="0028114D"/>
    <w:rsid w:val="00287649"/>
    <w:rsid w:val="00287E84"/>
    <w:rsid w:val="0029286C"/>
    <w:rsid w:val="0029300E"/>
    <w:rsid w:val="002B0C3A"/>
    <w:rsid w:val="002B2116"/>
    <w:rsid w:val="002B2D9B"/>
    <w:rsid w:val="002B5016"/>
    <w:rsid w:val="002B742C"/>
    <w:rsid w:val="002B7F4D"/>
    <w:rsid w:val="002C285C"/>
    <w:rsid w:val="002C7BE4"/>
    <w:rsid w:val="002D417D"/>
    <w:rsid w:val="002D5E5D"/>
    <w:rsid w:val="002E78A0"/>
    <w:rsid w:val="002F2687"/>
    <w:rsid w:val="002F48E1"/>
    <w:rsid w:val="002F4F3B"/>
    <w:rsid w:val="003025E2"/>
    <w:rsid w:val="003059EB"/>
    <w:rsid w:val="003116AC"/>
    <w:rsid w:val="00315567"/>
    <w:rsid w:val="00330144"/>
    <w:rsid w:val="00346245"/>
    <w:rsid w:val="00356267"/>
    <w:rsid w:val="00356BAD"/>
    <w:rsid w:val="003605B4"/>
    <w:rsid w:val="003627AC"/>
    <w:rsid w:val="00366914"/>
    <w:rsid w:val="003729A4"/>
    <w:rsid w:val="00372FE3"/>
    <w:rsid w:val="003755CB"/>
    <w:rsid w:val="00383F85"/>
    <w:rsid w:val="003A306C"/>
    <w:rsid w:val="003A6973"/>
    <w:rsid w:val="003A7DE7"/>
    <w:rsid w:val="003B1006"/>
    <w:rsid w:val="003B712F"/>
    <w:rsid w:val="003C5F11"/>
    <w:rsid w:val="003D6401"/>
    <w:rsid w:val="003E1863"/>
    <w:rsid w:val="0041606D"/>
    <w:rsid w:val="00416962"/>
    <w:rsid w:val="004348CC"/>
    <w:rsid w:val="004658FF"/>
    <w:rsid w:val="00474ED7"/>
    <w:rsid w:val="004756E1"/>
    <w:rsid w:val="0048008A"/>
    <w:rsid w:val="00483E94"/>
    <w:rsid w:val="00484120"/>
    <w:rsid w:val="004853A0"/>
    <w:rsid w:val="00496B5F"/>
    <w:rsid w:val="004A2E10"/>
    <w:rsid w:val="004B17FF"/>
    <w:rsid w:val="004B1BA0"/>
    <w:rsid w:val="004B6CEE"/>
    <w:rsid w:val="004C2443"/>
    <w:rsid w:val="004C498F"/>
    <w:rsid w:val="004C5D29"/>
    <w:rsid w:val="004C681A"/>
    <w:rsid w:val="004D4D8A"/>
    <w:rsid w:val="004F68EE"/>
    <w:rsid w:val="005038D5"/>
    <w:rsid w:val="00511BA4"/>
    <w:rsid w:val="005149E7"/>
    <w:rsid w:val="0051616E"/>
    <w:rsid w:val="005232D6"/>
    <w:rsid w:val="005333CC"/>
    <w:rsid w:val="005363F1"/>
    <w:rsid w:val="0055007C"/>
    <w:rsid w:val="00554922"/>
    <w:rsid w:val="00555282"/>
    <w:rsid w:val="005560E7"/>
    <w:rsid w:val="005612CC"/>
    <w:rsid w:val="00563029"/>
    <w:rsid w:val="00567D12"/>
    <w:rsid w:val="00574030"/>
    <w:rsid w:val="00576062"/>
    <w:rsid w:val="005829B4"/>
    <w:rsid w:val="0059559F"/>
    <w:rsid w:val="005A49FF"/>
    <w:rsid w:val="005A763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574D2"/>
    <w:rsid w:val="006676D4"/>
    <w:rsid w:val="00675535"/>
    <w:rsid w:val="00676265"/>
    <w:rsid w:val="00681359"/>
    <w:rsid w:val="00696262"/>
    <w:rsid w:val="006C3A4F"/>
    <w:rsid w:val="006C4845"/>
    <w:rsid w:val="006D6BC1"/>
    <w:rsid w:val="006E2BFC"/>
    <w:rsid w:val="006E5C57"/>
    <w:rsid w:val="006F22A5"/>
    <w:rsid w:val="00702C7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624"/>
    <w:rsid w:val="007A4828"/>
    <w:rsid w:val="007B093D"/>
    <w:rsid w:val="007B2069"/>
    <w:rsid w:val="007C04A1"/>
    <w:rsid w:val="007C21FA"/>
    <w:rsid w:val="007D4351"/>
    <w:rsid w:val="007D7019"/>
    <w:rsid w:val="007E18DB"/>
    <w:rsid w:val="007E6F1C"/>
    <w:rsid w:val="00804C69"/>
    <w:rsid w:val="0080711D"/>
    <w:rsid w:val="008155CD"/>
    <w:rsid w:val="00833325"/>
    <w:rsid w:val="00840A41"/>
    <w:rsid w:val="00842F3C"/>
    <w:rsid w:val="008505D1"/>
    <w:rsid w:val="00855158"/>
    <w:rsid w:val="00857EE8"/>
    <w:rsid w:val="0086464B"/>
    <w:rsid w:val="008647FC"/>
    <w:rsid w:val="00864CA8"/>
    <w:rsid w:val="0086506D"/>
    <w:rsid w:val="00865E2D"/>
    <w:rsid w:val="00870E6C"/>
    <w:rsid w:val="00884486"/>
    <w:rsid w:val="008871A9"/>
    <w:rsid w:val="008916BA"/>
    <w:rsid w:val="00892176"/>
    <w:rsid w:val="008A1DB7"/>
    <w:rsid w:val="008A403A"/>
    <w:rsid w:val="008A4C13"/>
    <w:rsid w:val="008B604D"/>
    <w:rsid w:val="008C54A9"/>
    <w:rsid w:val="008E67C3"/>
    <w:rsid w:val="008F589F"/>
    <w:rsid w:val="008F76A9"/>
    <w:rsid w:val="008F7E67"/>
    <w:rsid w:val="00900DBF"/>
    <w:rsid w:val="009048B9"/>
    <w:rsid w:val="00904E91"/>
    <w:rsid w:val="00915886"/>
    <w:rsid w:val="009214DC"/>
    <w:rsid w:val="00927027"/>
    <w:rsid w:val="009344BA"/>
    <w:rsid w:val="00947F78"/>
    <w:rsid w:val="00953234"/>
    <w:rsid w:val="00960960"/>
    <w:rsid w:val="00961EAF"/>
    <w:rsid w:val="0096278F"/>
    <w:rsid w:val="009726E1"/>
    <w:rsid w:val="00977591"/>
    <w:rsid w:val="00980E75"/>
    <w:rsid w:val="00994BE0"/>
    <w:rsid w:val="009A25B1"/>
    <w:rsid w:val="009A4608"/>
    <w:rsid w:val="009A6A57"/>
    <w:rsid w:val="009A70BF"/>
    <w:rsid w:val="009B1A15"/>
    <w:rsid w:val="009C0852"/>
    <w:rsid w:val="009C13CA"/>
    <w:rsid w:val="009C32C6"/>
    <w:rsid w:val="009C665F"/>
    <w:rsid w:val="009D7E38"/>
    <w:rsid w:val="009E095B"/>
    <w:rsid w:val="009E1846"/>
    <w:rsid w:val="009E78FF"/>
    <w:rsid w:val="00A01494"/>
    <w:rsid w:val="00A22FA9"/>
    <w:rsid w:val="00A25024"/>
    <w:rsid w:val="00A35F8F"/>
    <w:rsid w:val="00A41377"/>
    <w:rsid w:val="00A4263D"/>
    <w:rsid w:val="00A509B8"/>
    <w:rsid w:val="00A52AB9"/>
    <w:rsid w:val="00A6210B"/>
    <w:rsid w:val="00A7323A"/>
    <w:rsid w:val="00A831B4"/>
    <w:rsid w:val="00A97798"/>
    <w:rsid w:val="00AA5213"/>
    <w:rsid w:val="00AA65A6"/>
    <w:rsid w:val="00AC1D8E"/>
    <w:rsid w:val="00AC48FA"/>
    <w:rsid w:val="00AD0240"/>
    <w:rsid w:val="00AD4137"/>
    <w:rsid w:val="00B037BA"/>
    <w:rsid w:val="00B20139"/>
    <w:rsid w:val="00B218DA"/>
    <w:rsid w:val="00B319E1"/>
    <w:rsid w:val="00B342FA"/>
    <w:rsid w:val="00B53E8B"/>
    <w:rsid w:val="00B774D2"/>
    <w:rsid w:val="00B8015A"/>
    <w:rsid w:val="00B82A57"/>
    <w:rsid w:val="00BA053B"/>
    <w:rsid w:val="00BB35AE"/>
    <w:rsid w:val="00BC03A1"/>
    <w:rsid w:val="00BC0D25"/>
    <w:rsid w:val="00BD2505"/>
    <w:rsid w:val="00BD46ED"/>
    <w:rsid w:val="00BE592D"/>
    <w:rsid w:val="00BF52B0"/>
    <w:rsid w:val="00BF5697"/>
    <w:rsid w:val="00C14CCC"/>
    <w:rsid w:val="00C22C1C"/>
    <w:rsid w:val="00C33F2E"/>
    <w:rsid w:val="00C34936"/>
    <w:rsid w:val="00C34C14"/>
    <w:rsid w:val="00C355B9"/>
    <w:rsid w:val="00C401C4"/>
    <w:rsid w:val="00C41680"/>
    <w:rsid w:val="00C60A25"/>
    <w:rsid w:val="00C765C5"/>
    <w:rsid w:val="00C82479"/>
    <w:rsid w:val="00C8557E"/>
    <w:rsid w:val="00C867F0"/>
    <w:rsid w:val="00CA06D8"/>
    <w:rsid w:val="00CA345A"/>
    <w:rsid w:val="00CB49FF"/>
    <w:rsid w:val="00CC02CF"/>
    <w:rsid w:val="00CC086A"/>
    <w:rsid w:val="00CD0F66"/>
    <w:rsid w:val="00CD364B"/>
    <w:rsid w:val="00CD67FC"/>
    <w:rsid w:val="00CE23B8"/>
    <w:rsid w:val="00CE50D7"/>
    <w:rsid w:val="00D00344"/>
    <w:rsid w:val="00D1754D"/>
    <w:rsid w:val="00D2223F"/>
    <w:rsid w:val="00D274A4"/>
    <w:rsid w:val="00D277AF"/>
    <w:rsid w:val="00D30F7C"/>
    <w:rsid w:val="00D31163"/>
    <w:rsid w:val="00D320B1"/>
    <w:rsid w:val="00D33AFD"/>
    <w:rsid w:val="00D36489"/>
    <w:rsid w:val="00D42195"/>
    <w:rsid w:val="00D50704"/>
    <w:rsid w:val="00D5760A"/>
    <w:rsid w:val="00D61410"/>
    <w:rsid w:val="00D8181D"/>
    <w:rsid w:val="00D968D8"/>
    <w:rsid w:val="00DA563D"/>
    <w:rsid w:val="00DA7277"/>
    <w:rsid w:val="00DB3627"/>
    <w:rsid w:val="00DB4724"/>
    <w:rsid w:val="00DC4746"/>
    <w:rsid w:val="00DE7149"/>
    <w:rsid w:val="00E0314C"/>
    <w:rsid w:val="00E1508F"/>
    <w:rsid w:val="00E27240"/>
    <w:rsid w:val="00E27EDD"/>
    <w:rsid w:val="00E30584"/>
    <w:rsid w:val="00E310B9"/>
    <w:rsid w:val="00E37E1B"/>
    <w:rsid w:val="00E562C0"/>
    <w:rsid w:val="00E672D6"/>
    <w:rsid w:val="00E76024"/>
    <w:rsid w:val="00E856A2"/>
    <w:rsid w:val="00E96884"/>
    <w:rsid w:val="00EA5435"/>
    <w:rsid w:val="00EA5F47"/>
    <w:rsid w:val="00EC79DE"/>
    <w:rsid w:val="00ED4ACE"/>
    <w:rsid w:val="00EE4D35"/>
    <w:rsid w:val="00EF2DA7"/>
    <w:rsid w:val="00F11EE2"/>
    <w:rsid w:val="00F435AA"/>
    <w:rsid w:val="00F5738A"/>
    <w:rsid w:val="00F612D4"/>
    <w:rsid w:val="00F77F1D"/>
    <w:rsid w:val="00F87CCB"/>
    <w:rsid w:val="00FA48C7"/>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semiHidden/>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108201">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47779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chart" Target="charts/chart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image" Target="media/image1.emf"/><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a:t>Number of  Hospitals in Each Time Interval for OP-5</a:t>
            </a:r>
          </a:p>
        </c:rich>
      </c:tx>
      <c:layout/>
      <c:overlay val="0"/>
    </c:title>
    <c:autoTitleDeleted val="0"/>
    <c:plotArea>
      <c:layout/>
      <c:barChart>
        <c:barDir val="col"/>
        <c:grouping val="clustered"/>
        <c:varyColors val="0"/>
        <c:ser>
          <c:idx val="0"/>
          <c:order val="0"/>
          <c:tx>
            <c:strRef>
              <c:f>'OP5'!$A$11</c:f>
              <c:strCache>
                <c:ptCount val="1"/>
                <c:pt idx="0">
                  <c:v># Hospitals</c:v>
                </c:pt>
              </c:strCache>
            </c:strRef>
          </c:tx>
          <c:spPr>
            <a:solidFill>
              <a:schemeClr val="tx2">
                <a:lumMod val="60000"/>
                <a:lumOff val="40000"/>
              </a:schemeClr>
            </a:solidFill>
            <a:ln w="12700">
              <a:solidFill>
                <a:schemeClr val="tx1"/>
              </a:solidFill>
            </a:ln>
          </c:spPr>
          <c:invertIfNegative val="0"/>
          <c:cat>
            <c:strRef>
              <c:f>'OP5'!$B$10:$K$10</c:f>
              <c:strCache>
                <c:ptCount val="10"/>
                <c:pt idx="0">
                  <c:v>0-10</c:v>
                </c:pt>
                <c:pt idx="1">
                  <c:v>11-20</c:v>
                </c:pt>
                <c:pt idx="2">
                  <c:v>21-30</c:v>
                </c:pt>
                <c:pt idx="3">
                  <c:v>31-40</c:v>
                </c:pt>
                <c:pt idx="4">
                  <c:v>41-50</c:v>
                </c:pt>
                <c:pt idx="5">
                  <c:v>51-60</c:v>
                </c:pt>
                <c:pt idx="6">
                  <c:v>61-70</c:v>
                </c:pt>
                <c:pt idx="7">
                  <c:v>71-80</c:v>
                </c:pt>
                <c:pt idx="8">
                  <c:v>81-90</c:v>
                </c:pt>
                <c:pt idx="9">
                  <c:v>91 and Above</c:v>
                </c:pt>
              </c:strCache>
            </c:strRef>
          </c:cat>
          <c:val>
            <c:numRef>
              <c:f>'OP5'!$B$11:$K$11</c:f>
              <c:numCache>
                <c:formatCode>General</c:formatCode>
                <c:ptCount val="10"/>
                <c:pt idx="0">
                  <c:v>1825</c:v>
                </c:pt>
                <c:pt idx="1">
                  <c:v>663</c:v>
                </c:pt>
                <c:pt idx="2">
                  <c:v>175</c:v>
                </c:pt>
                <c:pt idx="3">
                  <c:v>65</c:v>
                </c:pt>
                <c:pt idx="4">
                  <c:v>34</c:v>
                </c:pt>
                <c:pt idx="5">
                  <c:v>17</c:v>
                </c:pt>
                <c:pt idx="6">
                  <c:v>3</c:v>
                </c:pt>
                <c:pt idx="7">
                  <c:v>13</c:v>
                </c:pt>
                <c:pt idx="8">
                  <c:v>3</c:v>
                </c:pt>
                <c:pt idx="9">
                  <c:v>28</c:v>
                </c:pt>
              </c:numCache>
            </c:numRef>
          </c:val>
        </c:ser>
        <c:dLbls>
          <c:showLegendKey val="0"/>
          <c:showVal val="0"/>
          <c:showCatName val="0"/>
          <c:showSerName val="0"/>
          <c:showPercent val="0"/>
          <c:showBubbleSize val="0"/>
        </c:dLbls>
        <c:gapWidth val="0"/>
        <c:axId val="92573696"/>
        <c:axId val="92575616"/>
      </c:barChart>
      <c:catAx>
        <c:axId val="92573696"/>
        <c:scaling>
          <c:orientation val="minMax"/>
        </c:scaling>
        <c:delete val="0"/>
        <c:axPos val="b"/>
        <c:title>
          <c:tx>
            <c:rich>
              <a:bodyPr anchor="ctr" anchorCtr="1"/>
              <a:lstStyle/>
              <a:p>
                <a:pPr>
                  <a:defRPr sz="1100" b="1"/>
                </a:pPr>
                <a:r>
                  <a:rPr lang="en-US" sz="1100" b="1"/>
                  <a:t>Time Interval (Minutes)</a:t>
                </a:r>
              </a:p>
            </c:rich>
          </c:tx>
          <c:layout>
            <c:manualLayout>
              <c:xMode val="edge"/>
              <c:yMode val="edge"/>
              <c:x val="0.32489727168269761"/>
              <c:y val="0.92403475212161812"/>
            </c:manualLayout>
          </c:layout>
          <c:overlay val="0"/>
        </c:title>
        <c:majorTickMark val="out"/>
        <c:minorTickMark val="none"/>
        <c:tickLblPos val="nextTo"/>
        <c:spPr>
          <a:ln w="12700">
            <a:solidFill>
              <a:schemeClr val="tx1"/>
            </a:solidFill>
          </a:ln>
        </c:spPr>
        <c:crossAx val="92575616"/>
        <c:crosses val="autoZero"/>
        <c:auto val="1"/>
        <c:lblAlgn val="ctr"/>
        <c:lblOffset val="100"/>
        <c:noMultiLvlLbl val="0"/>
      </c:catAx>
      <c:valAx>
        <c:axId val="92575616"/>
        <c:scaling>
          <c:orientation val="minMax"/>
        </c:scaling>
        <c:delete val="0"/>
        <c:axPos val="l"/>
        <c:majorGridlines/>
        <c:title>
          <c:tx>
            <c:rich>
              <a:bodyPr rot="-5400000" vert="horz"/>
              <a:lstStyle/>
              <a:p>
                <a:pPr>
                  <a:defRPr sz="1100" b="1"/>
                </a:pPr>
                <a:r>
                  <a:rPr lang="en-US" sz="1100" b="1"/>
                  <a:t>Number of Hospitals</a:t>
                </a:r>
              </a:p>
            </c:rich>
          </c:tx>
          <c:layout/>
          <c:overlay val="0"/>
        </c:title>
        <c:numFmt formatCode="General" sourceLinked="1"/>
        <c:majorTickMark val="out"/>
        <c:minorTickMark val="none"/>
        <c:tickLblPos val="nextTo"/>
        <c:crossAx val="92573696"/>
        <c:crosses val="autoZero"/>
        <c:crossBetween val="between"/>
      </c:valAx>
    </c:plotArea>
    <c:plotVisOnly val="1"/>
    <c:dispBlanksAs val="gap"/>
    <c:showDLblsOverMax val="0"/>
  </c:chart>
  <c:externalData r:id="rId1">
    <c:autoUpdate val="0"/>
  </c:externalData>
</c:chartSpace>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altName w:val="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127222"/>
    <w:rsid w:val="00190AF4"/>
    <w:rsid w:val="00223FA3"/>
    <w:rsid w:val="002A288F"/>
    <w:rsid w:val="002F052A"/>
    <w:rsid w:val="00350176"/>
    <w:rsid w:val="00370FE6"/>
    <w:rsid w:val="003840F0"/>
    <w:rsid w:val="00394B47"/>
    <w:rsid w:val="00437537"/>
    <w:rsid w:val="0053654E"/>
    <w:rsid w:val="00632A7E"/>
    <w:rsid w:val="00632AB6"/>
    <w:rsid w:val="006C26D3"/>
    <w:rsid w:val="00730B33"/>
    <w:rsid w:val="00772B2A"/>
    <w:rsid w:val="007C672A"/>
    <w:rsid w:val="007D4368"/>
    <w:rsid w:val="00822666"/>
    <w:rsid w:val="00823ECC"/>
    <w:rsid w:val="00866C97"/>
    <w:rsid w:val="009017AE"/>
    <w:rsid w:val="009C542D"/>
    <w:rsid w:val="00A95183"/>
    <w:rsid w:val="00AB4AF7"/>
    <w:rsid w:val="00AD7C4F"/>
    <w:rsid w:val="00AF0C6F"/>
    <w:rsid w:val="00B445F5"/>
    <w:rsid w:val="00BD40CB"/>
    <w:rsid w:val="00C362A2"/>
    <w:rsid w:val="00C90121"/>
    <w:rsid w:val="00CA344F"/>
    <w:rsid w:val="00D1676E"/>
    <w:rsid w:val="00DC0246"/>
    <w:rsid w:val="00E6518A"/>
    <w:rsid w:val="00F31462"/>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37537"/>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9F59D2-D3D4-48F0-BD5D-CEE6DABA3C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13</Pages>
  <Words>4744</Words>
  <Characters>27043</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31724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Reva Winkler</dc:creator>
  <cp:lastModifiedBy>OFMQ</cp:lastModifiedBy>
  <cp:revision>6</cp:revision>
  <dcterms:created xsi:type="dcterms:W3CDTF">2014-01-29T00:19:00Z</dcterms:created>
  <dcterms:modified xsi:type="dcterms:W3CDTF">2014-01-30T23:08:00Z</dcterms:modified>
</cp:coreProperties>
</file>