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A1578E">
            <w:rPr>
              <w:rStyle w:val="Style1"/>
            </w:rPr>
            <w:t>0521</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BB06D3">
            <w:rPr>
              <w:rFonts w:ascii="Trebuchet MS" w:hAnsi="Trebuchet MS"/>
              <w:color w:val="274D38"/>
              <w:sz w:val="18"/>
              <w:szCs w:val="18"/>
              <w:shd w:val="clear" w:color="auto" w:fill="FFFFFF"/>
            </w:rPr>
            <w:t>Heart Failure Symptoms Assessed and Addresse</w:t>
          </w:r>
          <w:r w:rsidR="00BB06D3">
            <w:rPr>
              <w:rFonts w:ascii="Trebuchet MS" w:hAnsi="Trebuchet MS"/>
              <w:color w:val="274D38"/>
              <w:sz w:val="18"/>
              <w:szCs w:val="18"/>
              <w:shd w:val="clear" w:color="auto" w:fill="FFFFFF"/>
            </w:rPr>
            <w:t>d</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bookmarkStart w:id="0" w:name="_GoBack"/>
      <w:bookmarkEnd w:id="0"/>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3-12-23T00:00:00Z">
            <w:dateFormat w:val="M/d/yyyy"/>
            <w:lid w:val="en-US"/>
            <w:storeMappedDataAs w:val="dateTime"/>
            <w:calendar w:val="gregorian"/>
          </w:date>
        </w:sdtPr>
        <w:sdtEndPr>
          <w:rPr>
            <w:rStyle w:val="DefaultParagraphFont"/>
            <w:noProof/>
            <w:color w:val="auto"/>
            <w:u w:val="none"/>
          </w:rPr>
        </w:sdtEndPr>
        <w:sdtContent>
          <w:r w:rsidR="00BB06D3">
            <w:rPr>
              <w:rStyle w:val="Style2"/>
            </w:rPr>
            <w:t>12/23/2013</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1" w:name="Note2"/>
            <w:bookmarkEnd w:id="1"/>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A1578E" w:rsidP="005857F8">
      <w:pPr>
        <w:ind w:left="720" w:hanging="432"/>
        <w:rPr>
          <w:rStyle w:val="Style2"/>
          <w:rFonts w:cstheme="minorHAnsi"/>
        </w:rPr>
      </w:pPr>
      <w:sdt>
        <w:sdtPr>
          <w:rPr>
            <w:bCs/>
            <w:color w:val="0000FF"/>
            <w:u w:val="single"/>
          </w:rPr>
          <w:id w:val="1077707841"/>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A1578E" w:rsidP="005857F8">
      <w:pPr>
        <w:ind w:left="720" w:hanging="432"/>
        <w:rPr>
          <w:b/>
          <w:bCs/>
        </w:rPr>
      </w:pPr>
      <w:sdt>
        <w:sdtPr>
          <w:rPr>
            <w:bCs/>
            <w:color w:val="0000FF"/>
          </w:rPr>
          <w:id w:val="-1541041819"/>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rsidR="00496AF8" w:rsidRPr="003B1CC5" w:rsidRDefault="00A1578E" w:rsidP="005857F8">
      <w:pPr>
        <w:ind w:left="720" w:hanging="432"/>
        <w:rPr>
          <w:bCs/>
        </w:rPr>
      </w:pPr>
      <w:sdt>
        <w:sdtPr>
          <w:rPr>
            <w:bCs/>
            <w:color w:val="0000FF"/>
          </w:rPr>
          <w:id w:val="1309518776"/>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A1578E" w:rsidP="00015986">
      <w:pPr>
        <w:ind w:left="432" w:hanging="432"/>
        <w:rPr>
          <w:bCs/>
        </w:rPr>
      </w:pPr>
      <w:sdt>
        <w:sdtPr>
          <w:rPr>
            <w:bCs/>
            <w:color w:val="0000FF"/>
          </w:rPr>
          <w:id w:val="-1535727686"/>
        </w:sdtPr>
        <w:sdtEndPr/>
        <w:sdtContent>
          <w:proofErr w:type="gramStart"/>
          <w:r w:rsidR="00B03955">
            <w:rPr>
              <w:bCs/>
              <w:color w:val="0000FF"/>
            </w:rPr>
            <w:t>x</w:t>
          </w:r>
          <w:proofErr w:type="gramEnd"/>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A1578E" w:rsidP="00015986">
      <w:pPr>
        <w:ind w:left="432" w:hanging="432"/>
        <w:rPr>
          <w:bCs/>
        </w:rPr>
      </w:pPr>
      <w:sdt>
        <w:sdtPr>
          <w:rPr>
            <w:bCs/>
            <w:color w:val="0000FF"/>
          </w:rPr>
          <w:id w:val="1676770628"/>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A1578E" w:rsidP="00015986">
      <w:pPr>
        <w:ind w:left="432" w:hanging="432"/>
        <w:rPr>
          <w:bCs/>
        </w:rPr>
      </w:pPr>
      <w:sdt>
        <w:sdtPr>
          <w:rPr>
            <w:bCs/>
            <w:color w:val="0000FF"/>
          </w:rPr>
          <w:id w:val="1719405626"/>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Default="007C1887" w:rsidP="002E2177">
      <w:pPr>
        <w:ind w:left="0" w:firstLine="0"/>
      </w:pPr>
    </w:p>
    <w:p w:rsidR="00B03955" w:rsidRDefault="008F3B5E" w:rsidP="002E2177">
      <w:pPr>
        <w:ind w:left="0" w:firstLine="0"/>
      </w:pPr>
      <w:r w:rsidRPr="008F3B5E">
        <w:t xml:space="preserve">The measure describes a </w:t>
      </w:r>
      <w:r>
        <w:t>two-step care process:</w:t>
      </w:r>
      <w:r w:rsidRPr="008F3B5E">
        <w:t xml:space="preserve"> assessing patients with heart failure to identify symptoms of heart failure, then </w:t>
      </w:r>
      <w:r>
        <w:t>appropriately addressing</w:t>
      </w:r>
      <w:r w:rsidRPr="008F3B5E">
        <w:t xml:space="preserve"> hea</w:t>
      </w:r>
      <w:r>
        <w:t>rt failure symptoms through patient education, obtaining/implementing physician orders, or obtaining emergency treatment when appropriate.</w:t>
      </w:r>
      <w:r w:rsidR="007203DF">
        <w:t xml:space="preserve"> </w:t>
      </w:r>
      <w:r w:rsidRPr="008F3B5E">
        <w:t>Appropriate links are process - health outcome. The measure is based on generally accepted standards of care for patients with heart failure. There is a very limited body of research focused on home health care patients and agency processes of care (noted below). However, the processes of care standards are applicable to home health care and performance of the processes of care as recommended in the clinical practice guidelines (as cited below) is expected to influence health outcomes for utilization (fewer acute care visits for both ED use and acute care hospitalizations for patients with heart failure).</w:t>
      </w:r>
    </w:p>
    <w:p w:rsidR="008F3B5E" w:rsidRPr="003B1CC5" w:rsidRDefault="008F3B5E"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A1578E" w:rsidP="002E2177">
      <w:pPr>
        <w:ind w:left="0" w:firstLine="0"/>
      </w:pPr>
      <w:sdt>
        <w:sdtPr>
          <w:rPr>
            <w:bCs/>
            <w:color w:val="0000FF"/>
            <w:highlight w:val="yellow"/>
          </w:rPr>
          <w:id w:val="-468508862"/>
        </w:sdtPr>
        <w:sdtEndPr/>
        <w:sdtContent>
          <w:r w:rsidR="007203DF" w:rsidRPr="007203DF">
            <w:rPr>
              <w:bCs/>
              <w:color w:val="0000FF"/>
              <w:highlight w:val="yellow"/>
            </w:rPr>
            <w:t xml:space="preserve">X </w:t>
          </w:r>
          <w:r w:rsidR="0015535B" w:rsidRPr="007203DF">
            <w:rPr>
              <w:rFonts w:ascii="MS Gothic" w:eastAsia="MS Gothic" w:hAnsi="MS Gothic" w:cs="MS Gothic" w:hint="eastAsia"/>
              <w:bCs/>
              <w:color w:val="0000FF"/>
              <w:highlight w:val="yellow"/>
            </w:rPr>
            <w:t>☐</w:t>
          </w:r>
        </w:sdtContent>
      </w:sdt>
      <w:r w:rsidR="001B38BF" w:rsidRPr="007203DF">
        <w:rPr>
          <w:highlight w:val="yellow"/>
        </w:rPr>
        <w:t xml:space="preserve"> Clinical Practice </w:t>
      </w:r>
      <w:r w:rsidR="00AA5587" w:rsidRPr="007203DF">
        <w:rPr>
          <w:highlight w:val="yellow"/>
        </w:rPr>
        <w:t>G</w:t>
      </w:r>
      <w:r w:rsidR="001B38BF" w:rsidRPr="007203DF">
        <w:rPr>
          <w:highlight w:val="yellow"/>
        </w:rPr>
        <w:t>uideline</w:t>
      </w:r>
      <w:r w:rsidR="00E746A2" w:rsidRPr="007203DF">
        <w:rPr>
          <w:highlight w:val="yellow"/>
        </w:rPr>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A1578E" w:rsidP="002E2177">
      <w:pPr>
        <w:ind w:left="0" w:firstLine="0"/>
        <w:rPr>
          <w:b/>
          <w:i/>
        </w:rPr>
      </w:pPr>
      <w:sdt>
        <w:sdtPr>
          <w:rPr>
            <w:bCs/>
            <w:color w:val="0000FF"/>
          </w:rPr>
          <w:id w:val="-411317169"/>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A1578E" w:rsidP="002E2177">
      <w:pPr>
        <w:ind w:left="0" w:firstLine="0"/>
      </w:pPr>
      <w:sdt>
        <w:sdtPr>
          <w:rPr>
            <w:bCs/>
            <w:color w:val="0000FF"/>
            <w:u w:val="single"/>
          </w:rPr>
          <w:id w:val="1199589694"/>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A1578E" w:rsidP="002E2177">
      <w:pPr>
        <w:ind w:left="0" w:firstLine="0"/>
      </w:pPr>
      <w:sdt>
        <w:sdtPr>
          <w:rPr>
            <w:bCs/>
            <w:color w:val="0000FF"/>
            <w:u w:val="single"/>
          </w:rPr>
          <w:id w:val="302275832"/>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7" w:name="Section1a4"/>
      <w:bookmarkEnd w:id="7"/>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211C14" w:rsidRPr="007203DF" w:rsidRDefault="00211C14" w:rsidP="00211C14">
      <w:pPr>
        <w:ind w:left="0" w:firstLine="0"/>
      </w:pPr>
      <w:r w:rsidRPr="007203DF">
        <w:t>Disease management, advance directives, and end-of-life care in heart failure: HFSA 2010 comprehensive heart failure practice guideline.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211C14" w:rsidRPr="00211C14" w:rsidTr="00211C14">
        <w:trPr>
          <w:tblCellSpacing w:w="15" w:type="dxa"/>
        </w:trPr>
        <w:tc>
          <w:tcPr>
            <w:tcW w:w="0" w:type="auto"/>
            <w:vAlign w:val="center"/>
            <w:hideMark/>
          </w:tcPr>
          <w:p w:rsidR="00211C14" w:rsidRPr="007203DF" w:rsidRDefault="00211C14" w:rsidP="00211C14">
            <w:pPr>
              <w:ind w:left="0" w:firstLine="0"/>
            </w:pPr>
          </w:p>
          <w:p w:rsidR="00211C14" w:rsidRPr="007203DF" w:rsidRDefault="00211C14" w:rsidP="00211C14">
            <w:pPr>
              <w:ind w:left="0" w:firstLine="0"/>
            </w:pPr>
            <w:r w:rsidRPr="007203DF">
              <w:t xml:space="preserve">Heart Failure Society of America, </w:t>
            </w:r>
            <w:proofErr w:type="spellStart"/>
            <w:r w:rsidRPr="007203DF">
              <w:t>Lindenfeld</w:t>
            </w:r>
            <w:proofErr w:type="spellEnd"/>
            <w:r w:rsidRPr="007203DF">
              <w:t xml:space="preserve"> J, Albert NM, </w:t>
            </w:r>
            <w:proofErr w:type="spellStart"/>
            <w:r w:rsidRPr="007203DF">
              <w:t>Boehmer</w:t>
            </w:r>
            <w:proofErr w:type="spellEnd"/>
            <w:r w:rsidRPr="007203DF">
              <w:t xml:space="preserve"> JP, Collins SP, </w:t>
            </w:r>
            <w:proofErr w:type="spellStart"/>
            <w:r w:rsidRPr="007203DF">
              <w:t>Ezekowitz</w:t>
            </w:r>
            <w:proofErr w:type="spellEnd"/>
            <w:r w:rsidRPr="007203DF">
              <w:t xml:space="preserve"> </w:t>
            </w:r>
            <w:r w:rsidRPr="007203DF">
              <w:lastRenderedPageBreak/>
              <w:t xml:space="preserve">JA, </w:t>
            </w:r>
            <w:proofErr w:type="spellStart"/>
            <w:r w:rsidRPr="007203DF">
              <w:t>Givertz</w:t>
            </w:r>
            <w:proofErr w:type="spellEnd"/>
            <w:r w:rsidRPr="007203DF">
              <w:t xml:space="preserve"> MM, Katz SD, </w:t>
            </w:r>
            <w:proofErr w:type="spellStart"/>
            <w:r w:rsidRPr="007203DF">
              <w:t>Klapholz</w:t>
            </w:r>
            <w:proofErr w:type="spellEnd"/>
            <w:r w:rsidRPr="007203DF">
              <w:t xml:space="preserve"> M, Moser DK, Rogers JG, Starling RC, Stevenson WG, Tang WH, </w:t>
            </w:r>
            <w:proofErr w:type="spellStart"/>
            <w:r w:rsidRPr="007203DF">
              <w:t>Teerlink</w:t>
            </w:r>
            <w:proofErr w:type="spellEnd"/>
            <w:r w:rsidRPr="007203DF">
              <w:t xml:space="preserve"> JR, Walsh MN. Disease management, advance directives, and end-of-life care in heart failure: HFSA 2010 comprehensive heart failure practice guideline. J Card Fail. 2010 Jun</w:t>
            </w:r>
            <w:proofErr w:type="gramStart"/>
            <w:r w:rsidRPr="007203DF">
              <w:t>;16</w:t>
            </w:r>
            <w:proofErr w:type="gramEnd"/>
            <w:r w:rsidRPr="007203DF">
              <w:t xml:space="preserve">(6):e98-114. </w:t>
            </w:r>
          </w:p>
        </w:tc>
      </w:tr>
    </w:tbl>
    <w:p w:rsidR="00D53405" w:rsidRPr="003B1CC5" w:rsidRDefault="00D53405" w:rsidP="002E2177">
      <w:pPr>
        <w:ind w:left="0" w:firstLine="0"/>
        <w:rPr>
          <w:rFonts w:cs="Arial"/>
          <w:sz w:val="20"/>
          <w:szCs w:val="20"/>
        </w:rPr>
      </w:pPr>
    </w:p>
    <w:p w:rsidR="006F4B7F" w:rsidRPr="003B1CC5" w:rsidRDefault="006F4B7F" w:rsidP="002E2177">
      <w:pPr>
        <w:ind w:left="0" w:firstLine="0"/>
        <w:rPr>
          <w:color w:val="0000FF"/>
        </w:rPr>
      </w:pPr>
    </w:p>
    <w:p w:rsidR="00D14F0B"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211C14" w:rsidRDefault="00211C14" w:rsidP="002E2177">
      <w:pPr>
        <w:ind w:left="0" w:firstLine="0"/>
      </w:pPr>
    </w:p>
    <w:p w:rsidR="00211C14" w:rsidRPr="007203DF" w:rsidRDefault="00211C14" w:rsidP="00211C14">
      <w:pPr>
        <w:pStyle w:val="ListParagraph"/>
        <w:numPr>
          <w:ilvl w:val="0"/>
          <w:numId w:val="9"/>
        </w:numPr>
        <w:rPr>
          <w:rFonts w:eastAsiaTheme="minorHAnsi"/>
        </w:rPr>
      </w:pPr>
      <w:r w:rsidRPr="007203DF">
        <w:rPr>
          <w:rFonts w:eastAsiaTheme="minorHAnsi"/>
        </w:rPr>
        <w:t>“It is recommended that patients with heart failure (HF) and their family members or caregivers receive individualized education and counseling that emphasizes self-care. This education and counseling should be delivered by providers using a team approach in which nurses with expertise in HF management provide the majority of education and counseling, supplemented by physician input and, when available and needed, input from dieticians, pharmacists, and other health care providers. (Strength of Evidence = B).”</w:t>
      </w:r>
    </w:p>
    <w:p w:rsidR="00211C14" w:rsidRPr="007203DF" w:rsidRDefault="00211C14" w:rsidP="00211C14">
      <w:r>
        <w:t>5. “</w:t>
      </w:r>
      <w:r w:rsidRPr="007203DF">
        <w:t xml:space="preserve">It is recommended that during the care process patients be asked to: </w:t>
      </w:r>
    </w:p>
    <w:p w:rsidR="00211C14" w:rsidRPr="007203DF" w:rsidRDefault="00211C14" w:rsidP="00211C14">
      <w:pPr>
        <w:numPr>
          <w:ilvl w:val="0"/>
          <w:numId w:val="10"/>
        </w:numPr>
        <w:spacing w:before="100" w:beforeAutospacing="1" w:after="100" w:afterAutospacing="1"/>
      </w:pPr>
      <w:r w:rsidRPr="007203DF">
        <w:t xml:space="preserve">Demonstrate knowledge of the name, dose, and purpose of each medication </w:t>
      </w:r>
    </w:p>
    <w:p w:rsidR="00211C14" w:rsidRPr="007203DF" w:rsidRDefault="00211C14" w:rsidP="00211C14">
      <w:pPr>
        <w:numPr>
          <w:ilvl w:val="0"/>
          <w:numId w:val="10"/>
        </w:numPr>
        <w:spacing w:before="100" w:beforeAutospacing="1" w:after="100" w:afterAutospacing="1"/>
      </w:pPr>
      <w:r w:rsidRPr="007203DF">
        <w:t xml:space="preserve">Sort foods into high- and low-sodium categories </w:t>
      </w:r>
    </w:p>
    <w:p w:rsidR="00211C14" w:rsidRPr="007203DF" w:rsidRDefault="00211C14" w:rsidP="00211C14">
      <w:pPr>
        <w:numPr>
          <w:ilvl w:val="0"/>
          <w:numId w:val="10"/>
        </w:numPr>
        <w:spacing w:before="100" w:beforeAutospacing="1" w:after="100" w:afterAutospacing="1"/>
      </w:pPr>
      <w:r w:rsidRPr="007203DF">
        <w:t xml:space="preserve">Demonstrate their preferred method for tracking medication dosing </w:t>
      </w:r>
    </w:p>
    <w:p w:rsidR="00211C14" w:rsidRPr="007203DF" w:rsidRDefault="00211C14" w:rsidP="00211C14">
      <w:pPr>
        <w:numPr>
          <w:ilvl w:val="0"/>
          <w:numId w:val="10"/>
        </w:numPr>
        <w:spacing w:before="100" w:beforeAutospacing="1" w:after="100" w:afterAutospacing="1"/>
      </w:pPr>
      <w:r w:rsidRPr="007203DF">
        <w:t xml:space="preserve">Show provider daily weight log </w:t>
      </w:r>
    </w:p>
    <w:p w:rsidR="00211C14" w:rsidRPr="007203DF" w:rsidRDefault="00211C14" w:rsidP="00211C14">
      <w:pPr>
        <w:numPr>
          <w:ilvl w:val="0"/>
          <w:numId w:val="10"/>
        </w:numPr>
        <w:spacing w:before="100" w:beforeAutospacing="1" w:after="100" w:afterAutospacing="1"/>
      </w:pPr>
      <w:r w:rsidRPr="007203DF">
        <w:t xml:space="preserve">Reiterate symptoms of worsening HF </w:t>
      </w:r>
    </w:p>
    <w:p w:rsidR="00211C14" w:rsidRPr="007203DF" w:rsidRDefault="00211C14" w:rsidP="00211C14">
      <w:pPr>
        <w:numPr>
          <w:ilvl w:val="0"/>
          <w:numId w:val="10"/>
        </w:numPr>
        <w:spacing w:before="100" w:beforeAutospacing="1" w:after="100" w:afterAutospacing="1"/>
      </w:pPr>
      <w:r w:rsidRPr="007203DF">
        <w:t xml:space="preserve">Reiterate when to call the provider because of specific symptoms or weight changes (Strength of Evidence = B)” </w:t>
      </w:r>
    </w:p>
    <w:p w:rsidR="00211C14" w:rsidRPr="007203DF" w:rsidRDefault="00211C14" w:rsidP="00211C14">
      <w:r w:rsidRPr="007203DF">
        <w:t>9. “It is recommended that HF disease management include integration and coordination of care between the primary care physician and HF care specialists and with other agencies, such as home health and cardiac rehabilitation. (Strength of Evidence = C).”</w:t>
      </w: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Default="00211C14" w:rsidP="00265702">
      <w:pPr>
        <w:ind w:left="0" w:firstLine="0"/>
      </w:pPr>
      <w:r>
        <w:t xml:space="preserve">Two are graded B, where B is based on cohort, case-control, post-hoc, sub-group analysis, meta-analysis and prospective, observational studies or registries </w:t>
      </w:r>
    </w:p>
    <w:p w:rsidR="00211C14" w:rsidRDefault="00211C14" w:rsidP="00265702">
      <w:pPr>
        <w:ind w:left="0" w:firstLine="0"/>
      </w:pPr>
    </w:p>
    <w:p w:rsidR="00211C14" w:rsidRPr="003D0C2B" w:rsidRDefault="00211C14" w:rsidP="00265702">
      <w:pPr>
        <w:ind w:left="0" w:firstLine="0"/>
      </w:pPr>
      <w:r w:rsidRPr="003D0C2B">
        <w:t xml:space="preserve">One is graded C, where C </w:t>
      </w:r>
      <w:r w:rsidR="003D0C2B" w:rsidRPr="003D0C2B">
        <w:t>is based on e</w:t>
      </w:r>
      <w:r w:rsidR="003D0C2B" w:rsidRPr="00211C14">
        <w:rPr>
          <w:rFonts w:eastAsia="Times New Roman" w:cs="Times New Roman"/>
        </w:rPr>
        <w:t xml:space="preserve">xpert </w:t>
      </w:r>
      <w:r w:rsidR="003D0C2B" w:rsidRPr="003D0C2B">
        <w:rPr>
          <w:rFonts w:eastAsia="Times New Roman" w:cs="Times New Roman"/>
        </w:rPr>
        <w:t>o</w:t>
      </w:r>
      <w:r w:rsidR="003D0C2B" w:rsidRPr="00211C14">
        <w:rPr>
          <w:rFonts w:eastAsia="Times New Roman" w:cs="Times New Roman"/>
        </w:rPr>
        <w:t>pinion</w:t>
      </w:r>
      <w:r w:rsidR="003D0C2B" w:rsidRPr="003D0C2B">
        <w:rPr>
          <w:rFonts w:eastAsia="Times New Roman" w:cs="Times New Roman"/>
        </w:rPr>
        <w:t>, o</w:t>
      </w:r>
      <w:r w:rsidR="003D0C2B" w:rsidRPr="00211C14">
        <w:rPr>
          <w:rFonts w:eastAsia="Times New Roman" w:cs="Times New Roman"/>
        </w:rPr>
        <w:t>bservational studies – epidemiologic findings</w:t>
      </w:r>
      <w:r w:rsidR="003D0C2B" w:rsidRPr="003D0C2B">
        <w:rPr>
          <w:rFonts w:eastAsia="Times New Roman" w:cs="Times New Roman"/>
        </w:rPr>
        <w:t>, s</w:t>
      </w:r>
      <w:r w:rsidR="003D0C2B" w:rsidRPr="00211C14">
        <w:rPr>
          <w:rFonts w:eastAsia="Times New Roman" w:cs="Times New Roman"/>
        </w:rPr>
        <w:t>afety reporting from large-scale use in practice</w:t>
      </w:r>
    </w:p>
    <w:p w:rsidR="008A45F3" w:rsidRPr="003B1CC5" w:rsidRDefault="008A45F3" w:rsidP="00265702">
      <w:pPr>
        <w:ind w:left="0" w:firstLine="0"/>
      </w:pPr>
    </w:p>
    <w:p w:rsidR="00265702"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040"/>
        <w:gridCol w:w="7558"/>
      </w:tblGrid>
      <w:tr w:rsidR="00211C14" w:rsidRPr="00211C14" w:rsidTr="00211C14">
        <w:trPr>
          <w:tblHeader/>
          <w:tblCellSpacing w:w="22" w:type="dxa"/>
        </w:trPr>
        <w:tc>
          <w:tcPr>
            <w:tcW w:w="0" w:type="auto"/>
            <w:gridSpan w:val="2"/>
            <w:tcBorders>
              <w:top w:val="outset" w:sz="6" w:space="0" w:color="auto"/>
              <w:left w:val="outset" w:sz="6" w:space="0" w:color="auto"/>
              <w:bottom w:val="outset" w:sz="6" w:space="0" w:color="auto"/>
              <w:right w:val="outset" w:sz="6" w:space="0" w:color="auto"/>
            </w:tcBorders>
            <w:hideMark/>
          </w:tcPr>
          <w:p w:rsidR="00211C14" w:rsidRPr="00211C14" w:rsidRDefault="00211C14" w:rsidP="00211C14">
            <w:pPr>
              <w:ind w:left="0" w:firstLine="0"/>
              <w:jc w:val="center"/>
              <w:rPr>
                <w:rFonts w:ascii="Times New Roman" w:eastAsia="Times New Roman" w:hAnsi="Times New Roman" w:cs="Times New Roman"/>
                <w:b/>
                <w:bCs/>
                <w:sz w:val="24"/>
                <w:szCs w:val="24"/>
              </w:rPr>
            </w:pPr>
            <w:r w:rsidRPr="00211C14">
              <w:rPr>
                <w:rFonts w:ascii="Times New Roman" w:eastAsia="Times New Roman" w:hAnsi="Times New Roman" w:cs="Times New Roman"/>
                <w:b/>
                <w:bCs/>
                <w:sz w:val="24"/>
                <w:szCs w:val="24"/>
              </w:rPr>
              <w:t>Hierarchy of Types of Evidence</w:t>
            </w:r>
          </w:p>
        </w:tc>
      </w:tr>
      <w:tr w:rsidR="00211C14" w:rsidRPr="00211C14" w:rsidTr="00211C1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211C14" w:rsidRPr="00211C14" w:rsidRDefault="00211C14" w:rsidP="00211C14">
            <w:pPr>
              <w:ind w:left="0" w:firstLine="0"/>
              <w:jc w:val="center"/>
              <w:rPr>
                <w:rFonts w:ascii="Times New Roman" w:eastAsia="Times New Roman" w:hAnsi="Times New Roman" w:cs="Times New Roman"/>
                <w:b/>
                <w:bCs/>
                <w:sz w:val="24"/>
                <w:szCs w:val="24"/>
              </w:rPr>
            </w:pPr>
            <w:r w:rsidRPr="00211C14">
              <w:rPr>
                <w:rFonts w:ascii="Times New Roman" w:eastAsia="Times New Roman" w:hAnsi="Times New Roman" w:cs="Times New Roman"/>
                <w:b/>
                <w:bCs/>
                <w:sz w:val="24"/>
                <w:szCs w:val="24"/>
              </w:rPr>
              <w:t>Level A</w:t>
            </w:r>
          </w:p>
        </w:tc>
        <w:tc>
          <w:tcPr>
            <w:tcW w:w="0" w:type="auto"/>
            <w:tcBorders>
              <w:top w:val="outset" w:sz="6" w:space="0" w:color="auto"/>
              <w:left w:val="outset" w:sz="6" w:space="0" w:color="auto"/>
              <w:bottom w:val="outset" w:sz="6" w:space="0" w:color="auto"/>
              <w:right w:val="outset" w:sz="6" w:space="0" w:color="auto"/>
            </w:tcBorders>
            <w:hideMark/>
          </w:tcPr>
          <w:p w:rsidR="00211C14" w:rsidRPr="00211C14" w:rsidRDefault="00211C14" w:rsidP="00211C14">
            <w:pPr>
              <w:ind w:left="0" w:firstLine="0"/>
              <w:rPr>
                <w:rFonts w:ascii="Times New Roman" w:eastAsia="Times New Roman" w:hAnsi="Times New Roman" w:cs="Times New Roman"/>
                <w:sz w:val="24"/>
                <w:szCs w:val="24"/>
              </w:rPr>
            </w:pPr>
            <w:r w:rsidRPr="00211C14">
              <w:rPr>
                <w:rFonts w:ascii="Times New Roman" w:eastAsia="Times New Roman" w:hAnsi="Times New Roman" w:cs="Times New Roman"/>
                <w:sz w:val="24"/>
                <w:szCs w:val="24"/>
              </w:rPr>
              <w:t>Randomized, Controlled, Clinical Trials</w:t>
            </w:r>
            <w:r w:rsidRPr="00211C14">
              <w:rPr>
                <w:rFonts w:ascii="Times New Roman" w:eastAsia="Times New Roman" w:hAnsi="Times New Roman" w:cs="Times New Roman"/>
                <w:sz w:val="24"/>
                <w:szCs w:val="24"/>
              </w:rPr>
              <w:br/>
              <w:t>May be assigned based on results of a single methodologically rigorous trial</w:t>
            </w:r>
          </w:p>
        </w:tc>
      </w:tr>
      <w:tr w:rsidR="00211C14" w:rsidRPr="00211C14" w:rsidTr="00211C1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211C14" w:rsidRPr="00211C14" w:rsidRDefault="00211C14" w:rsidP="00211C14">
            <w:pPr>
              <w:ind w:left="0" w:firstLine="0"/>
              <w:jc w:val="center"/>
              <w:rPr>
                <w:rFonts w:ascii="Times New Roman" w:eastAsia="Times New Roman" w:hAnsi="Times New Roman" w:cs="Times New Roman"/>
                <w:b/>
                <w:bCs/>
                <w:sz w:val="24"/>
                <w:szCs w:val="24"/>
              </w:rPr>
            </w:pPr>
            <w:r w:rsidRPr="00211C14">
              <w:rPr>
                <w:rFonts w:ascii="Times New Roman" w:eastAsia="Times New Roman" w:hAnsi="Times New Roman" w:cs="Times New Roman"/>
                <w:b/>
                <w:bCs/>
                <w:sz w:val="24"/>
                <w:szCs w:val="24"/>
              </w:rPr>
              <w:t>Level B</w:t>
            </w:r>
          </w:p>
        </w:tc>
        <w:tc>
          <w:tcPr>
            <w:tcW w:w="0" w:type="auto"/>
            <w:tcBorders>
              <w:top w:val="outset" w:sz="6" w:space="0" w:color="auto"/>
              <w:left w:val="outset" w:sz="6" w:space="0" w:color="auto"/>
              <w:bottom w:val="outset" w:sz="6" w:space="0" w:color="auto"/>
              <w:right w:val="outset" w:sz="6" w:space="0" w:color="auto"/>
            </w:tcBorders>
            <w:hideMark/>
          </w:tcPr>
          <w:p w:rsidR="00211C14" w:rsidRPr="00211C14" w:rsidRDefault="00211C14" w:rsidP="00211C14">
            <w:pPr>
              <w:ind w:left="0" w:firstLine="0"/>
              <w:rPr>
                <w:rFonts w:ascii="Times New Roman" w:eastAsia="Times New Roman" w:hAnsi="Times New Roman" w:cs="Times New Roman"/>
                <w:sz w:val="24"/>
                <w:szCs w:val="24"/>
              </w:rPr>
            </w:pPr>
            <w:r w:rsidRPr="00211C14">
              <w:rPr>
                <w:rFonts w:ascii="Times New Roman" w:eastAsia="Times New Roman" w:hAnsi="Times New Roman" w:cs="Times New Roman"/>
                <w:sz w:val="24"/>
                <w:szCs w:val="24"/>
              </w:rPr>
              <w:t>Cohort and Case-Control Studies</w:t>
            </w:r>
            <w:r w:rsidRPr="00211C14">
              <w:rPr>
                <w:rFonts w:ascii="Times New Roman" w:eastAsia="Times New Roman" w:hAnsi="Times New Roman" w:cs="Times New Roman"/>
                <w:sz w:val="24"/>
                <w:szCs w:val="24"/>
              </w:rPr>
              <w:br/>
              <w:t>Post hoc, subgroup analysis, and meta-analysis</w:t>
            </w:r>
            <w:r w:rsidRPr="00211C14">
              <w:rPr>
                <w:rFonts w:ascii="Times New Roman" w:eastAsia="Times New Roman" w:hAnsi="Times New Roman" w:cs="Times New Roman"/>
                <w:sz w:val="24"/>
                <w:szCs w:val="24"/>
              </w:rPr>
              <w:br/>
              <w:t>Prospective observational studies or registries</w:t>
            </w:r>
          </w:p>
        </w:tc>
      </w:tr>
      <w:tr w:rsidR="00211C14" w:rsidRPr="00211C14" w:rsidTr="00211C1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211C14" w:rsidRPr="00211C14" w:rsidRDefault="00211C14" w:rsidP="00211C14">
            <w:pPr>
              <w:ind w:left="0" w:firstLine="0"/>
              <w:jc w:val="center"/>
              <w:rPr>
                <w:rFonts w:ascii="Times New Roman" w:eastAsia="Times New Roman" w:hAnsi="Times New Roman" w:cs="Times New Roman"/>
                <w:b/>
                <w:bCs/>
                <w:sz w:val="24"/>
                <w:szCs w:val="24"/>
              </w:rPr>
            </w:pPr>
            <w:r w:rsidRPr="00211C14">
              <w:rPr>
                <w:rFonts w:ascii="Times New Roman" w:eastAsia="Times New Roman" w:hAnsi="Times New Roman" w:cs="Times New Roman"/>
                <w:b/>
                <w:bCs/>
                <w:sz w:val="24"/>
                <w:szCs w:val="24"/>
              </w:rPr>
              <w:t>Level C</w:t>
            </w:r>
          </w:p>
        </w:tc>
        <w:tc>
          <w:tcPr>
            <w:tcW w:w="0" w:type="auto"/>
            <w:tcBorders>
              <w:top w:val="outset" w:sz="6" w:space="0" w:color="auto"/>
              <w:left w:val="outset" w:sz="6" w:space="0" w:color="auto"/>
              <w:bottom w:val="outset" w:sz="6" w:space="0" w:color="auto"/>
              <w:right w:val="outset" w:sz="6" w:space="0" w:color="auto"/>
            </w:tcBorders>
            <w:hideMark/>
          </w:tcPr>
          <w:p w:rsidR="00211C14" w:rsidRPr="00211C14" w:rsidRDefault="00211C14" w:rsidP="00211C14">
            <w:pPr>
              <w:ind w:left="0" w:firstLine="0"/>
              <w:rPr>
                <w:rFonts w:ascii="Times New Roman" w:eastAsia="Times New Roman" w:hAnsi="Times New Roman" w:cs="Times New Roman"/>
                <w:sz w:val="24"/>
                <w:szCs w:val="24"/>
              </w:rPr>
            </w:pPr>
            <w:r w:rsidRPr="00211C14">
              <w:rPr>
                <w:rFonts w:ascii="Times New Roman" w:eastAsia="Times New Roman" w:hAnsi="Times New Roman" w:cs="Times New Roman"/>
                <w:sz w:val="24"/>
                <w:szCs w:val="24"/>
              </w:rPr>
              <w:t>Expert Opinion</w:t>
            </w:r>
            <w:r w:rsidRPr="00211C14">
              <w:rPr>
                <w:rFonts w:ascii="Times New Roman" w:eastAsia="Times New Roman" w:hAnsi="Times New Roman" w:cs="Times New Roman"/>
                <w:sz w:val="24"/>
                <w:szCs w:val="24"/>
              </w:rPr>
              <w:br/>
              <w:t>Observational studies – epidemiologic findings</w:t>
            </w:r>
            <w:r w:rsidRPr="00211C14">
              <w:rPr>
                <w:rFonts w:ascii="Times New Roman" w:eastAsia="Times New Roman" w:hAnsi="Times New Roman" w:cs="Times New Roman"/>
                <w:sz w:val="24"/>
                <w:szCs w:val="24"/>
              </w:rPr>
              <w:br/>
              <w:t>Safety reporting from large-scale use in practice</w:t>
            </w:r>
          </w:p>
        </w:tc>
      </w:tr>
    </w:tbl>
    <w:p w:rsidR="00211C14" w:rsidRPr="003B1CC5" w:rsidRDefault="00211C14" w:rsidP="00265702">
      <w:pPr>
        <w:ind w:left="0" w:firstLine="0"/>
      </w:pP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A1578E" w:rsidP="00FC32D3">
      <w:pPr>
        <w:ind w:left="720" w:hanging="432"/>
        <w:rPr>
          <w:b/>
        </w:rPr>
      </w:pPr>
      <w:sdt>
        <w:sdtPr>
          <w:rPr>
            <w:bCs/>
            <w:color w:val="0000FF"/>
          </w:rPr>
          <w:id w:val="-1346319738"/>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7203DF">
        <w:rPr>
          <w:rFonts w:cstheme="minorHAnsi"/>
          <w:b/>
        </w:rPr>
        <w:t>→</w:t>
      </w:r>
      <w:r w:rsidR="00FC32D3" w:rsidRPr="007203DF">
        <w:rPr>
          <w:b/>
        </w:rPr>
        <w:t xml:space="preserve"> </w:t>
      </w:r>
      <w:r w:rsidR="00FC32D3" w:rsidRPr="007203DF">
        <w:rPr>
          <w:b/>
          <w:i/>
        </w:rPr>
        <w:t xml:space="preserve">complete section </w:t>
      </w:r>
      <w:hyperlink w:anchor="Section1a7" w:history="1">
        <w:r w:rsidR="00FC32D3" w:rsidRPr="007203DF">
          <w:rPr>
            <w:rStyle w:val="Hyperlink"/>
            <w:b/>
            <w:i/>
          </w:rPr>
          <w:t>1a.7</w:t>
        </w:r>
      </w:hyperlink>
    </w:p>
    <w:p w:rsidR="00736AEC" w:rsidRPr="003B1CC5" w:rsidRDefault="00A1578E" w:rsidP="0098657F">
      <w:pPr>
        <w:ind w:left="1008" w:hanging="720"/>
      </w:pPr>
      <w:sdt>
        <w:sdtPr>
          <w:rPr>
            <w:bCs/>
            <w:color w:val="0000FF"/>
            <w:highlight w:val="yellow"/>
            <w:u w:val="single"/>
          </w:rPr>
          <w:id w:val="777454248"/>
        </w:sdtPr>
        <w:sdtEndPr/>
        <w:sdtContent>
          <w:r w:rsidR="007203DF" w:rsidRPr="007203DF">
            <w:rPr>
              <w:bCs/>
              <w:color w:val="0000FF"/>
              <w:highlight w:val="yellow"/>
              <w:u w:val="single"/>
            </w:rPr>
            <w:t>X</w:t>
          </w:r>
          <w:r w:rsidR="00FC32D3" w:rsidRPr="007203DF">
            <w:rPr>
              <w:rFonts w:ascii="MS Gothic" w:eastAsia="MS Gothic" w:hAnsi="MS Gothic" w:cs="MS Gothic" w:hint="eastAsia"/>
              <w:bCs/>
              <w:color w:val="0000FF"/>
              <w:highlight w:val="yellow"/>
            </w:rPr>
            <w:t>☐</w:t>
          </w:r>
        </w:sdtContent>
      </w:sdt>
      <w:r w:rsidR="00736AEC" w:rsidRPr="007203DF">
        <w:rPr>
          <w:b/>
          <w:highlight w:val="yellow"/>
        </w:rPr>
        <w:t xml:space="preserve"> </w:t>
      </w:r>
      <w:proofErr w:type="gramStart"/>
      <w:r w:rsidR="00736AEC" w:rsidRPr="007203DF">
        <w:rPr>
          <w:highlight w:val="yellow"/>
        </w:rPr>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9F79CE" w:rsidRPr="007203DF" w:rsidRDefault="00F23F0A" w:rsidP="00AB1571">
      <w:pPr>
        <w:ind w:left="0" w:firstLine="0"/>
      </w:pPr>
      <w:r w:rsidRPr="007203DF">
        <w:t xml:space="preserve">There are no other systematic reviews or meta-analyses that focus on the </w:t>
      </w:r>
      <w:r w:rsidR="00AB1571" w:rsidRPr="007203DF">
        <w:t xml:space="preserve">process of </w:t>
      </w:r>
      <w:r w:rsidRPr="007203DF">
        <w:t>addressing heart failure symptoms</w:t>
      </w:r>
      <w:r w:rsidR="00AB1571" w:rsidRPr="007203DF">
        <w:t>.</w:t>
      </w:r>
      <w:r w:rsidR="009F79CE" w:rsidRPr="007203DF">
        <w:t xml:space="preserve"> Addressing symptoms with physician notification and additional follow up (e.g. telehealth, additional home visits) are expected actions. </w:t>
      </w:r>
      <w:r w:rsidR="00AB1571" w:rsidRPr="007203DF">
        <w:t xml:space="preserve">  </w:t>
      </w:r>
    </w:p>
    <w:p w:rsidR="009F79CE" w:rsidRDefault="009F79CE" w:rsidP="00AB1571">
      <w:pPr>
        <w:ind w:left="0" w:firstLine="0"/>
        <w:rPr>
          <w:rFonts w:ascii="Times New Roman" w:hAnsi="Times New Roman" w:cs="Times New Roman"/>
          <w:sz w:val="24"/>
          <w:szCs w:val="24"/>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rsidSect="00997237">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E37" w:rsidRDefault="00CE1E37" w:rsidP="007E37A5">
      <w:r>
        <w:separator/>
      </w:r>
    </w:p>
  </w:endnote>
  <w:endnote w:type="continuationSeparator" w:id="0">
    <w:p w:rsidR="00CE1E37" w:rsidRDefault="00CE1E3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w:t>
    </w:r>
    <w:proofErr w:type="gramStart"/>
    <w:r w:rsidRPr="00395263">
      <w:t xml:space="preserve">6.5 </w:t>
    </w:r>
    <w:r w:rsidR="00B52E0F">
      <w:t xml:space="preserve"> </w:t>
    </w:r>
    <w:r w:rsidR="00DE1F5D">
      <w:t>08</w:t>
    </w:r>
    <w:proofErr w:type="gramEnd"/>
    <w:r w:rsidR="00DE1F5D">
      <w:t>/20/13</w:t>
    </w:r>
    <w:r w:rsidRPr="00395263">
      <w:ptab w:relativeTo="margin" w:alignment="center" w:leader="none"/>
    </w:r>
    <w:r w:rsidRPr="00395263">
      <w:ptab w:relativeTo="margin" w:alignment="right" w:leader="none"/>
    </w:r>
    <w:r w:rsidR="00997237" w:rsidRPr="00395263">
      <w:fldChar w:fldCharType="begin"/>
    </w:r>
    <w:r w:rsidRPr="00395263">
      <w:instrText xml:space="preserve"> PAGE   \* MERGEFORMAT </w:instrText>
    </w:r>
    <w:r w:rsidR="00997237" w:rsidRPr="00395263">
      <w:fldChar w:fldCharType="separate"/>
    </w:r>
    <w:r w:rsidR="00A1578E">
      <w:rPr>
        <w:noProof/>
      </w:rPr>
      <w:t>1</w:t>
    </w:r>
    <w:r w:rsidR="00997237"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E37" w:rsidRDefault="00CE1E37" w:rsidP="007E37A5">
      <w:r>
        <w:separator/>
      </w:r>
    </w:p>
  </w:footnote>
  <w:footnote w:type="continuationSeparator" w:id="0">
    <w:p w:rsidR="00CE1E37" w:rsidRDefault="00CE1E3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2A5"/>
    <w:multiLevelType w:val="multilevel"/>
    <w:tmpl w:val="0CAC8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45D5966"/>
    <w:multiLevelType w:val="hybridMultilevel"/>
    <w:tmpl w:val="AAB8C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2"/>
  </w:num>
  <w:num w:numId="4">
    <w:abstractNumId w:val="3"/>
  </w:num>
  <w:num w:numId="5">
    <w:abstractNumId w:val="5"/>
  </w:num>
  <w:num w:numId="6">
    <w:abstractNumId w:val="4"/>
  </w:num>
  <w:num w:numId="7">
    <w:abstractNumId w:val="9"/>
  </w:num>
  <w:num w:numId="8">
    <w:abstractNumId w:val="8"/>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1F2F41"/>
    <w:rsid w:val="00201FF9"/>
    <w:rsid w:val="00205857"/>
    <w:rsid w:val="00211C14"/>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1EE0"/>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0C2B"/>
    <w:rsid w:val="003E039E"/>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2F20"/>
    <w:rsid w:val="00634768"/>
    <w:rsid w:val="0063596F"/>
    <w:rsid w:val="006709EB"/>
    <w:rsid w:val="00672824"/>
    <w:rsid w:val="0068184A"/>
    <w:rsid w:val="006B5C51"/>
    <w:rsid w:val="006C7F30"/>
    <w:rsid w:val="006E6FDD"/>
    <w:rsid w:val="006F4B7F"/>
    <w:rsid w:val="006F760B"/>
    <w:rsid w:val="00701CC3"/>
    <w:rsid w:val="007203DF"/>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8F3B5E"/>
    <w:rsid w:val="00905C5B"/>
    <w:rsid w:val="00923295"/>
    <w:rsid w:val="00925F11"/>
    <w:rsid w:val="00935265"/>
    <w:rsid w:val="0094689F"/>
    <w:rsid w:val="009477D6"/>
    <w:rsid w:val="00953ED3"/>
    <w:rsid w:val="00954C89"/>
    <w:rsid w:val="00965FF6"/>
    <w:rsid w:val="009846D6"/>
    <w:rsid w:val="0098657F"/>
    <w:rsid w:val="00997237"/>
    <w:rsid w:val="009A3236"/>
    <w:rsid w:val="009B5A93"/>
    <w:rsid w:val="009B5BEA"/>
    <w:rsid w:val="009C291F"/>
    <w:rsid w:val="009E37BD"/>
    <w:rsid w:val="009E6B86"/>
    <w:rsid w:val="009F79CE"/>
    <w:rsid w:val="00A03301"/>
    <w:rsid w:val="00A12762"/>
    <w:rsid w:val="00A13867"/>
    <w:rsid w:val="00A1578E"/>
    <w:rsid w:val="00A26FED"/>
    <w:rsid w:val="00A421D4"/>
    <w:rsid w:val="00A44FF0"/>
    <w:rsid w:val="00A50E55"/>
    <w:rsid w:val="00A67EB1"/>
    <w:rsid w:val="00A91A47"/>
    <w:rsid w:val="00A95D2B"/>
    <w:rsid w:val="00AA5587"/>
    <w:rsid w:val="00AB1571"/>
    <w:rsid w:val="00AC1E53"/>
    <w:rsid w:val="00AD79C8"/>
    <w:rsid w:val="00AE6CE0"/>
    <w:rsid w:val="00B03955"/>
    <w:rsid w:val="00B058A6"/>
    <w:rsid w:val="00B117D0"/>
    <w:rsid w:val="00B13998"/>
    <w:rsid w:val="00B439DD"/>
    <w:rsid w:val="00B52E0F"/>
    <w:rsid w:val="00B74629"/>
    <w:rsid w:val="00B91F58"/>
    <w:rsid w:val="00BA579E"/>
    <w:rsid w:val="00BB06D3"/>
    <w:rsid w:val="00BE2295"/>
    <w:rsid w:val="00BE6373"/>
    <w:rsid w:val="00BF533A"/>
    <w:rsid w:val="00C46677"/>
    <w:rsid w:val="00C5180E"/>
    <w:rsid w:val="00C54E40"/>
    <w:rsid w:val="00C55F56"/>
    <w:rsid w:val="00C57BA4"/>
    <w:rsid w:val="00C613EB"/>
    <w:rsid w:val="00C84623"/>
    <w:rsid w:val="00CB06C9"/>
    <w:rsid w:val="00CB1E41"/>
    <w:rsid w:val="00CB271C"/>
    <w:rsid w:val="00CE1E37"/>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66CB9"/>
    <w:rsid w:val="00E746A2"/>
    <w:rsid w:val="00E90D06"/>
    <w:rsid w:val="00E97E59"/>
    <w:rsid w:val="00EA79C9"/>
    <w:rsid w:val="00EB66AC"/>
    <w:rsid w:val="00EC2247"/>
    <w:rsid w:val="00EE1F87"/>
    <w:rsid w:val="00EE3931"/>
    <w:rsid w:val="00EE5AF6"/>
    <w:rsid w:val="00EF2CEF"/>
    <w:rsid w:val="00F1092D"/>
    <w:rsid w:val="00F23F0A"/>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fthighlight">
    <w:name w:val="ft_highlight"/>
    <w:basedOn w:val="DefaultParagraphFont"/>
    <w:rsid w:val="00AB15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87103">
      <w:bodyDiv w:val="1"/>
      <w:marLeft w:val="0"/>
      <w:marRight w:val="0"/>
      <w:marTop w:val="0"/>
      <w:marBottom w:val="0"/>
      <w:divBdr>
        <w:top w:val="none" w:sz="0" w:space="0" w:color="auto"/>
        <w:left w:val="none" w:sz="0" w:space="0" w:color="auto"/>
        <w:bottom w:val="none" w:sz="0" w:space="0" w:color="auto"/>
        <w:right w:val="none" w:sz="0" w:space="0" w:color="auto"/>
      </w:divBdr>
      <w:divsChild>
        <w:div w:id="413237085">
          <w:marLeft w:val="0"/>
          <w:marRight w:val="0"/>
          <w:marTop w:val="0"/>
          <w:marBottom w:val="0"/>
          <w:divBdr>
            <w:top w:val="none" w:sz="0" w:space="0" w:color="auto"/>
            <w:left w:val="none" w:sz="0" w:space="0" w:color="auto"/>
            <w:bottom w:val="none" w:sz="0" w:space="0" w:color="auto"/>
            <w:right w:val="none" w:sz="0" w:space="0" w:color="auto"/>
          </w:divBdr>
          <w:divsChild>
            <w:div w:id="569269775">
              <w:marLeft w:val="0"/>
              <w:marRight w:val="0"/>
              <w:marTop w:val="0"/>
              <w:marBottom w:val="0"/>
              <w:divBdr>
                <w:top w:val="none" w:sz="0" w:space="0" w:color="auto"/>
                <w:left w:val="none" w:sz="0" w:space="0" w:color="auto"/>
                <w:bottom w:val="none" w:sz="0" w:space="0" w:color="auto"/>
                <w:right w:val="none" w:sz="0" w:space="0" w:color="auto"/>
              </w:divBdr>
              <w:divsChild>
                <w:div w:id="104841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941858">
          <w:marLeft w:val="0"/>
          <w:marRight w:val="0"/>
          <w:marTop w:val="0"/>
          <w:marBottom w:val="0"/>
          <w:divBdr>
            <w:top w:val="none" w:sz="0" w:space="0" w:color="auto"/>
            <w:left w:val="none" w:sz="0" w:space="0" w:color="auto"/>
            <w:bottom w:val="none" w:sz="0" w:space="0" w:color="auto"/>
            <w:right w:val="none" w:sz="0" w:space="0" w:color="auto"/>
          </w:divBdr>
          <w:divsChild>
            <w:div w:id="1240556637">
              <w:marLeft w:val="0"/>
              <w:marRight w:val="0"/>
              <w:marTop w:val="0"/>
              <w:marBottom w:val="0"/>
              <w:divBdr>
                <w:top w:val="none" w:sz="0" w:space="0" w:color="auto"/>
                <w:left w:val="none" w:sz="0" w:space="0" w:color="auto"/>
                <w:bottom w:val="none" w:sz="0" w:space="0" w:color="auto"/>
                <w:right w:val="none" w:sz="0" w:space="0" w:color="auto"/>
              </w:divBdr>
            </w:div>
            <w:div w:id="172467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557453">
      <w:bodyDiv w:val="1"/>
      <w:marLeft w:val="0"/>
      <w:marRight w:val="0"/>
      <w:marTop w:val="0"/>
      <w:marBottom w:val="0"/>
      <w:divBdr>
        <w:top w:val="none" w:sz="0" w:space="0" w:color="auto"/>
        <w:left w:val="none" w:sz="0" w:space="0" w:color="auto"/>
        <w:bottom w:val="none" w:sz="0" w:space="0" w:color="auto"/>
        <w:right w:val="none" w:sz="0" w:space="0" w:color="auto"/>
      </w:divBdr>
    </w:div>
    <w:div w:id="1737624699">
      <w:bodyDiv w:val="1"/>
      <w:marLeft w:val="0"/>
      <w:marRight w:val="0"/>
      <w:marTop w:val="0"/>
      <w:marBottom w:val="0"/>
      <w:divBdr>
        <w:top w:val="none" w:sz="0" w:space="0" w:color="auto"/>
        <w:left w:val="none" w:sz="0" w:space="0" w:color="auto"/>
        <w:bottom w:val="none" w:sz="0" w:space="0" w:color="auto"/>
        <w:right w:val="none" w:sz="0" w:space="0" w:color="auto"/>
      </w:divBdr>
      <w:divsChild>
        <w:div w:id="1074428648">
          <w:marLeft w:val="0"/>
          <w:marRight w:val="0"/>
          <w:marTop w:val="0"/>
          <w:marBottom w:val="0"/>
          <w:divBdr>
            <w:top w:val="none" w:sz="0" w:space="0" w:color="auto"/>
            <w:left w:val="none" w:sz="0" w:space="0" w:color="auto"/>
            <w:bottom w:val="none" w:sz="0" w:space="0" w:color="auto"/>
            <w:right w:val="none" w:sz="0" w:space="0" w:color="auto"/>
          </w:divBdr>
          <w:divsChild>
            <w:div w:id="2142378141">
              <w:marLeft w:val="0"/>
              <w:marRight w:val="0"/>
              <w:marTop w:val="0"/>
              <w:marBottom w:val="0"/>
              <w:divBdr>
                <w:top w:val="none" w:sz="0" w:space="0" w:color="auto"/>
                <w:left w:val="none" w:sz="0" w:space="0" w:color="auto"/>
                <w:bottom w:val="none" w:sz="0" w:space="0" w:color="auto"/>
                <w:right w:val="none" w:sz="0" w:space="0" w:color="auto"/>
              </w:divBdr>
              <w:divsChild>
                <w:div w:id="28739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497300">
          <w:marLeft w:val="0"/>
          <w:marRight w:val="0"/>
          <w:marTop w:val="0"/>
          <w:marBottom w:val="0"/>
          <w:divBdr>
            <w:top w:val="none" w:sz="0" w:space="0" w:color="auto"/>
            <w:left w:val="none" w:sz="0" w:space="0" w:color="auto"/>
            <w:bottom w:val="none" w:sz="0" w:space="0" w:color="auto"/>
            <w:right w:val="none" w:sz="0" w:space="0" w:color="auto"/>
          </w:divBdr>
          <w:divsChild>
            <w:div w:id="891892729">
              <w:marLeft w:val="0"/>
              <w:marRight w:val="0"/>
              <w:marTop w:val="0"/>
              <w:marBottom w:val="0"/>
              <w:divBdr>
                <w:top w:val="none" w:sz="0" w:space="0" w:color="auto"/>
                <w:left w:val="none" w:sz="0" w:space="0" w:color="auto"/>
                <w:bottom w:val="none" w:sz="0" w:space="0" w:color="auto"/>
                <w:right w:val="none" w:sz="0" w:space="0" w:color="auto"/>
              </w:divBdr>
            </w:div>
            <w:div w:id="165852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9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uspreventiveservicestaskforce.org/uspstf/grades.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altName w:val="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FC30A1"/>
    <w:rsid w:val="00160241"/>
    <w:rsid w:val="002B5F47"/>
    <w:rsid w:val="003A1E4B"/>
    <w:rsid w:val="00455EB5"/>
    <w:rsid w:val="00461C1C"/>
    <w:rsid w:val="004E2027"/>
    <w:rsid w:val="005F21F3"/>
    <w:rsid w:val="008C6E62"/>
    <w:rsid w:val="008F6A9B"/>
    <w:rsid w:val="009C3643"/>
    <w:rsid w:val="00BE0F2D"/>
    <w:rsid w:val="00C03643"/>
    <w:rsid w:val="00C2797F"/>
    <w:rsid w:val="00C80225"/>
    <w:rsid w:val="00D228C9"/>
    <w:rsid w:val="00D671F7"/>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FFF4C-A0AF-4D0A-9439-6FDEEAF7A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2272</Words>
  <Characters>12957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15199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Deborah Deitz</cp:lastModifiedBy>
  <cp:revision>3</cp:revision>
  <dcterms:created xsi:type="dcterms:W3CDTF">2013-12-23T02:44:00Z</dcterms:created>
  <dcterms:modified xsi:type="dcterms:W3CDTF">2013-12-23T02:44:00Z</dcterms:modified>
</cp:coreProperties>
</file>