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EA6AB4">
            <w:rPr>
              <w:rStyle w:val="Style1"/>
            </w:rPr>
            <w:t>0521</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A7A06">
            <w:rPr>
              <w:rStyle w:val="Style1"/>
              <w:rFonts w:cstheme="minorHAnsi"/>
            </w:rPr>
            <w:t>Heart Failure Symptoms Addressed</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3-12-23T00:00:00Z">
            <w:dateFormat w:val="M/d/yyyy"/>
            <w:lid w:val="en-US"/>
            <w:storeMappedDataAs w:val="dateTime"/>
            <w:calendar w:val="gregorian"/>
          </w:date>
        </w:sdtPr>
        <w:sdtEndPr>
          <w:rPr>
            <w:rStyle w:val="DefaultParagraphFont"/>
            <w:noProof/>
            <w:color w:val="auto"/>
            <w:u w:val="none"/>
          </w:rPr>
        </w:sdtEndPr>
        <w:sdtContent>
          <w:r w:rsidR="00B43761">
            <w:rPr>
              <w:rStyle w:val="Style2"/>
              <w:rFonts w:cstheme="minorHAnsi"/>
            </w:rPr>
            <w:t>12/23/2013</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644271"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64427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644271"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644271"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A06B7F">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644271"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64427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64427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64427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644271" w:rsidP="00A06B7F">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A06B7F">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A06B7F">
                  <w:rPr>
                    <w:rStyle w:val="Style1"/>
                  </w:rPr>
                  <w:t>Electronic Clinical Data</w:t>
                </w:r>
              </w:sdtContent>
            </w:sdt>
          </w:p>
        </w:tc>
        <w:tc>
          <w:tcPr>
            <w:tcW w:w="4847" w:type="dxa"/>
          </w:tcPr>
          <w:p w:rsidR="00A01494" w:rsidRPr="00A01494" w:rsidRDefault="00644271" w:rsidP="00A06B7F">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A06B7F">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A06B7F">
                  <w:rPr>
                    <w:rStyle w:val="Style1"/>
                  </w:rPr>
                  <w:t>Electronic Clinical Data</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A06B7F" w:rsidP="00DB3627">
      <w:pPr>
        <w:autoSpaceDE w:val="0"/>
        <w:autoSpaceDN w:val="0"/>
        <w:adjustRightInd w:val="0"/>
        <w:spacing w:after="0" w:line="240" w:lineRule="auto"/>
        <w:rPr>
          <w:rFonts w:cstheme="minorHAnsi"/>
          <w:bCs/>
        </w:rPr>
      </w:pPr>
      <w:r>
        <w:rPr>
          <w:rFonts w:cstheme="minorHAnsi"/>
          <w:bCs/>
        </w:rPr>
        <w:t>Home Health OASIS-C</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BF21FE">
            <w:rPr>
              <w:rStyle w:val="Style1"/>
            </w:rPr>
            <w:t>July 1, 2012 to June 30,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BF21F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BF21F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64427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BF21FE" w:rsidRDefault="002B5016" w:rsidP="00BF21FE">
      <w:pPr>
        <w:rPr>
          <w:rFonts w:ascii="Arial Narrow" w:hAnsi="Arial Narrow" w:cs="Arial"/>
          <w:color w:val="0000FF"/>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4A7A06">
        <w:t>The measure included Medicare-certified agencies with at least 20 home health quality episodes beginning between July 1, 2012 and June 30, 2013 and meeting the measure denominator criteria. There were 8,822 such agencies (74.5 percent of the 11,849 agencies with at least one quality episode ending during the same time period).  Our sample included all quality episodes (1,932,296 in total) from July 1, 2012 to June 30, 2013.</w:t>
      </w:r>
    </w:p>
    <w:p w:rsidR="002E78A0" w:rsidRDefault="002E78A0" w:rsidP="00DB3627">
      <w:pPr>
        <w:autoSpaceDE w:val="0"/>
        <w:autoSpaceDN w:val="0"/>
        <w:adjustRightInd w:val="0"/>
        <w:spacing w:after="0" w:line="240" w:lineRule="auto"/>
        <w:rPr>
          <w:rFonts w:cstheme="minorHAnsi"/>
          <w:bCs/>
        </w:rPr>
      </w:pPr>
    </w:p>
    <w:p w:rsidR="002B5016" w:rsidRPr="00A25024" w:rsidRDefault="002B5016" w:rsidP="00DB3627">
      <w:pPr>
        <w:autoSpaceDE w:val="0"/>
        <w:autoSpaceDN w:val="0"/>
        <w:adjustRightInd w:val="0"/>
        <w:spacing w:after="0" w:line="240" w:lineRule="auto"/>
        <w:rPr>
          <w:rFonts w:cstheme="minorHAnsi"/>
          <w:bCs/>
        </w:rPr>
      </w:pPr>
    </w:p>
    <w:p w:rsidR="00BF21FE" w:rsidRDefault="002B5016" w:rsidP="00BF21FE">
      <w:pPr>
        <w:rPr>
          <w:rFonts w:ascii="Arial Narrow" w:hAnsi="Arial Narrow" w:cs="Arial"/>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4A7A06">
        <w:t>The measure included Medicare-certified agencies with at least 20 home health quality episodes beginning between July 1, 2012 and June 30, 2013 and meeting the measure denominator criteria. There were 8,822 such agencies (74.5 percent of the 11,849 agencies with at least one quality episode ending during the same time period).  Our sample included all quality episodes (1,932,296 in total) from July 1, 2012 to June 30, 2013.</w:t>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BF21FE" w:rsidP="00E37E1B">
      <w:pPr>
        <w:autoSpaceDE w:val="0"/>
        <w:autoSpaceDN w:val="0"/>
        <w:adjustRightInd w:val="0"/>
        <w:spacing w:after="0" w:line="240" w:lineRule="auto"/>
        <w:rPr>
          <w:rFonts w:cstheme="minorHAnsi"/>
          <w:bCs/>
        </w:rPr>
      </w:pPr>
      <w:r>
        <w:rPr>
          <w:rFonts w:cstheme="minorHAnsi"/>
          <w:bCs/>
        </w:rPr>
        <w:t>Not applicable; the same data are used across reliability, validity, and exclusions</w:t>
      </w:r>
      <w:r w:rsidR="00D85F48">
        <w:rPr>
          <w:rFonts w:cstheme="minorHAnsi"/>
          <w:bCs/>
        </w:rPr>
        <w:t xml:space="preserve"> analyses</w:t>
      </w:r>
      <w:r w:rsidR="00310ECF">
        <w:rPr>
          <w:rFonts w:cstheme="minorHAnsi"/>
          <w:bCs/>
        </w:rPr>
        <w:t xml:space="preserve"> in this section</w:t>
      </w:r>
      <w:r>
        <w:rPr>
          <w:rFonts w:cstheme="minorHAnsi"/>
          <w:bCs/>
        </w:rPr>
        <w:t xml:space="preserve">. </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833B3">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B833B3" w:rsidRDefault="00B833B3" w:rsidP="00B833B3">
      <w:r>
        <w:t xml:space="preserve">To address the reliability of the performance scores, Acumen measured the extent to which differences in each quality measure were due to actual differences in agency performance versus variation that arises from measurement error.  Statistically, reliability depends on performance variation for a measure across agencies, the random variation in performance for a measure within an agency’s panel of attributed beneficiaries, and the number of beneficiaries attributed to the agency.  High reliability for a measure suggests that comparisons of relative performance across agencies are likely to be stable over different performance </w:t>
      </w:r>
      <w:proofErr w:type="gramStart"/>
      <w:r>
        <w:t>periods,</w:t>
      </w:r>
      <w:proofErr w:type="gramEnd"/>
      <w:r>
        <w:t xml:space="preserve"> and that the performance of one agency on the quality measure can confidently be distinguished from another.  Potential reliability values range from zero to one, where one (highest possible reliability) means that all variation in the measure’s rates is the result of variation in differences in performance across agencies, while zero (lowest possible reliability) means that all variation is a result of measurement error.</w:t>
      </w:r>
    </w:p>
    <w:p w:rsidR="00B833B3" w:rsidRDefault="00B833B3" w:rsidP="00B833B3"/>
    <w:p w:rsidR="00B833B3" w:rsidRDefault="00B833B3" w:rsidP="00B833B3">
      <w:r>
        <w:t>Following the approach described by Adams,</w:t>
      </w:r>
      <w:r>
        <w:rPr>
          <w:rStyle w:val="FootnoteReference"/>
        </w:rPr>
        <w:footnoteReference w:id="1"/>
      </w:r>
      <w:r>
        <w:t xml:space="preserve"> </w:t>
      </w:r>
      <w:r w:rsidRPr="002413C2">
        <w:t>Acumen fit a beta-binomial model</w:t>
      </w:r>
      <w:r>
        <w:t xml:space="preserve"> to estimate measure reliability. The beta-binomial model is appropriate because a particular agency’s measure rate follows a binomial distribution (i.e., all measures are pass/fail), and it is reasonable to assume that the agencies’ true measure rates vary and follow a beta distribution.  The true measure rates among the agencies vary because of differences in agency styles, for example. It is reasonable to use the beta distribution to fit the true measure rates because it is a flexible distribution on the interval from 0 to 1, can have any mean on the interval, and can be skewed left, right, or U-shaped. </w:t>
      </w:r>
    </w:p>
    <w:p w:rsidR="00B833B3" w:rsidRDefault="00B833B3" w:rsidP="00B833B3">
      <w:r>
        <w:t>Equation (1), which is based on the beta-binomial model, shows that reliability is dependent on two variance components: the variation across agencies, and variation within agencies. In general, reliability for agencies will be higher when the measure rates across agencies are more heterogeneous (as measured by the agency-to-agency variation).  Agencies with larger samples (</w:t>
      </w:r>
      <w:r w:rsidRPr="007E04A2">
        <w:t>n</w:t>
      </w:r>
      <w:r>
        <w:t>) and pass rates (</w:t>
      </w:r>
      <w:r w:rsidRPr="007E04A2">
        <w:t>p</w:t>
      </w:r>
      <w:r>
        <w:t xml:space="preserve">) nearer to 0 or 1 will have higher levels of reliability because the agency-specific error is reduced (i.e. the estimated agency rates are more precise).    </w:t>
      </w:r>
    </w:p>
    <w:p w:rsidR="00B833B3" w:rsidRDefault="00B833B3" w:rsidP="00B833B3">
      <w:pPr>
        <w:pStyle w:val="Body125"/>
      </w:pPr>
      <m:oMath>
        <m:r>
          <m:rPr>
            <m:sty m:val="p"/>
          </m:rPr>
          <w:rPr>
            <w:rFonts w:ascii="Cambria Math" w:hAnsi="Cambria Math"/>
          </w:rPr>
          <m:t xml:space="preserve">Reliability= </m:t>
        </m:r>
        <m:f>
          <m:fPr>
            <m:ctrlPr>
              <w:ins w:id="11" w:author="kchia" w:date="2013-12-19T11:20:00Z">
                <w:rPr>
                  <w:rFonts w:ascii="Cambria Math" w:hAnsi="Cambria Math"/>
                </w:rPr>
              </w:ins>
            </m:ctrlPr>
          </m:fPr>
          <m:num>
            <m:sSubSup>
              <m:sSubSupPr>
                <m:ctrlPr>
                  <w:ins w:id="12" w:author="kchia" w:date="2013-12-19T11:20: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num>
          <m:den>
            <m:sSubSup>
              <m:sSubSupPr>
                <m:ctrlPr>
                  <w:ins w:id="13" w:author="kchia" w:date="2013-12-19T11:20: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r>
              <m:rPr>
                <m:sty m:val="p"/>
              </m:rPr>
              <w:rPr>
                <w:rFonts w:ascii="Cambria Math" w:hAnsi="Cambria Math"/>
              </w:rPr>
              <m:t>+</m:t>
            </m:r>
            <m:sSubSup>
              <m:sSubSupPr>
                <m:ctrlPr>
                  <w:ins w:id="14" w:author="kchia" w:date="2013-12-19T11:20:00Z">
                    <w:rPr>
                      <w:rFonts w:ascii="Cambria Math" w:hAnsi="Cambria Math"/>
                    </w:rPr>
                  </w:ins>
                </m:ctrlPr>
              </m:sSubSupPr>
              <m:e>
                <m:r>
                  <m:rPr>
                    <m:sty m:val="p"/>
                  </m:rPr>
                  <w:rPr>
                    <w:rFonts w:ascii="Cambria Math" w:hAnsi="Cambria Math"/>
                  </w:rPr>
                  <m:t>σ</m:t>
                </m:r>
              </m:e>
              <m:sub>
                <m:r>
                  <m:rPr>
                    <m:sty m:val="p"/>
                  </m:rPr>
                  <w:rPr>
                    <w:rFonts w:ascii="Cambria Math" w:hAnsi="Cambria Math"/>
                  </w:rPr>
                  <m:t>agency-specific-error</m:t>
                </m:r>
              </m:sub>
              <m:sup>
                <m:r>
                  <m:rPr>
                    <m:sty m:val="p"/>
                  </m:rPr>
                  <w:rPr>
                    <w:rFonts w:ascii="Cambria Math" w:hAnsi="Cambria Math"/>
                  </w:rPr>
                  <m:t>2</m:t>
                </m:r>
              </m:sup>
            </m:sSubSup>
          </m:den>
        </m:f>
        <m:r>
          <m:rPr>
            <m:sty m:val="p"/>
          </m:rPr>
          <w:rPr>
            <w:rFonts w:ascii="Cambria Math" w:hAnsi="Cambria Math"/>
          </w:rPr>
          <m:t>=</m:t>
        </m:r>
        <m:f>
          <m:fPr>
            <m:ctrlPr>
              <w:ins w:id="15" w:author="kchia" w:date="2013-12-19T11:20:00Z">
                <w:rPr>
                  <w:rFonts w:ascii="Cambria Math" w:hAnsi="Cambria Math"/>
                </w:rPr>
              </w:ins>
            </m:ctrlPr>
          </m:fPr>
          <m:num>
            <m:sSubSup>
              <m:sSubSupPr>
                <m:ctrlPr>
                  <w:ins w:id="16" w:author="kchia" w:date="2013-12-19T11:20: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num>
          <m:den>
            <m:sSubSup>
              <m:sSubSupPr>
                <m:ctrlPr>
                  <w:ins w:id="17" w:author="kchia" w:date="2013-12-19T11:20: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r>
              <m:rPr>
                <m:sty m:val="p"/>
              </m:rPr>
              <w:rPr>
                <w:rFonts w:ascii="Cambria Math" w:hAnsi="Cambria Math"/>
              </w:rPr>
              <m:t>+</m:t>
            </m:r>
            <m:f>
              <m:fPr>
                <m:ctrlPr>
                  <w:ins w:id="18" w:author="kchia" w:date="2013-12-19T11:20:00Z">
                    <w:rPr>
                      <w:rFonts w:ascii="Cambria Math" w:hAnsi="Cambria Math"/>
                    </w:rPr>
                  </w:ins>
                </m:ctrlPr>
              </m:fPr>
              <m:num>
                <m:r>
                  <m:rPr>
                    <m:sty m:val="p"/>
                  </m:rPr>
                  <w:rPr>
                    <w:rFonts w:ascii="Cambria Math" w:hAnsi="Cambria Math"/>
                  </w:rPr>
                  <m:t>p(1-p)</m:t>
                </m:r>
              </m:num>
              <m:den>
                <m:r>
                  <m:rPr>
                    <m:sty m:val="p"/>
                  </m:rPr>
                  <w:rPr>
                    <w:rFonts w:ascii="Cambria Math" w:hAnsi="Cambria Math"/>
                  </w:rPr>
                  <m:t>n</m:t>
                </m:r>
              </m:den>
            </m:f>
          </m:den>
        </m:f>
      </m:oMath>
      <w:r w:rsidRPr="00D41096">
        <w:rPr>
          <w:rFonts w:eastAsia="Times New Roman"/>
        </w:rPr>
        <w:t xml:space="preserve">   (1)</w:t>
      </w:r>
    </w:p>
    <w:p w:rsidR="00B833B3" w:rsidRPr="00A25024" w:rsidRDefault="00B833B3" w:rsidP="00B833B3">
      <w:pPr>
        <w:rPr>
          <w:rFonts w:cstheme="minorHAnsi"/>
          <w:bCs/>
        </w:rPr>
      </w:pPr>
      <w:r>
        <w:t xml:space="preserve">Acumen also calculated the test-retest reliability using the </w:t>
      </w:r>
      <w:proofErr w:type="spellStart"/>
      <w:r>
        <w:t>intraclass</w:t>
      </w:r>
      <w:proofErr w:type="spellEnd"/>
      <w:r>
        <w:t xml:space="preserve"> correlation coefficient (ICC) to measure between-agency variation and within-agency variation.  Home health episodes within each agency were randomly divided into two separate equally-sized groups. Performance rates were obtained for each set within a measure. Then, a measure-level mean and variance were estimated using the paired performance rates, and an ICC statistic was derived.  ICC values that approach 1 indicate that the fraction of the total variance due to between-agency variation is high.</w:t>
      </w:r>
    </w:p>
    <w:p w:rsidR="00B833B3"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4036AA" w:rsidRDefault="004036AA" w:rsidP="008C54A9">
      <w:pPr>
        <w:autoSpaceDE w:val="0"/>
        <w:autoSpaceDN w:val="0"/>
        <w:adjustRightInd w:val="0"/>
        <w:spacing w:after="0" w:line="240" w:lineRule="auto"/>
        <w:rPr>
          <w:rFonts w:cstheme="minorHAnsi"/>
          <w:bCs/>
        </w:rPr>
      </w:pPr>
    </w:p>
    <w:p w:rsidR="00B833B3" w:rsidRPr="003E3095" w:rsidRDefault="00B833B3" w:rsidP="00B833B3">
      <w:pPr>
        <w:spacing w:after="0"/>
        <w:jc w:val="center"/>
        <w:rPr>
          <w:b/>
        </w:rPr>
      </w:pPr>
      <w:r>
        <w:rPr>
          <w:b/>
        </w:rPr>
        <w:t>Distribution of Beta Binomial Reliability Scores for Agencies with at Least 20 Valid Episodes</w:t>
      </w:r>
    </w:p>
    <w:tbl>
      <w:tblPr>
        <w:tblW w:w="0" w:type="auto"/>
        <w:jc w:val="center"/>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030"/>
        <w:gridCol w:w="1069"/>
        <w:gridCol w:w="1091"/>
        <w:gridCol w:w="1003"/>
        <w:gridCol w:w="1091"/>
        <w:gridCol w:w="1163"/>
        <w:gridCol w:w="1163"/>
      </w:tblGrid>
      <w:tr w:rsidR="004A7A06" w:rsidTr="004E28E0">
        <w:trPr>
          <w:trHeight w:val="330"/>
          <w:jc w:val="center"/>
        </w:trPr>
        <w:tc>
          <w:tcPr>
            <w:tcW w:w="798" w:type="dxa"/>
            <w:shd w:val="clear" w:color="auto" w:fill="CDECFF"/>
            <w:vAlign w:val="center"/>
          </w:tcPr>
          <w:p w:rsidR="004A7A06" w:rsidRPr="00B833B3" w:rsidRDefault="004A7A06" w:rsidP="00B833B3">
            <w:pPr>
              <w:spacing w:after="0" w:line="240" w:lineRule="auto"/>
              <w:rPr>
                <w:b/>
                <w:sz w:val="20"/>
                <w:szCs w:val="20"/>
              </w:rPr>
            </w:pPr>
            <w:r w:rsidRPr="00B833B3">
              <w:rPr>
                <w:b/>
                <w:sz w:val="20"/>
                <w:szCs w:val="20"/>
              </w:rPr>
              <w:t>Mean</w:t>
            </w:r>
          </w:p>
        </w:tc>
        <w:tc>
          <w:tcPr>
            <w:tcW w:w="1030" w:type="dxa"/>
            <w:shd w:val="clear" w:color="auto" w:fill="CDECFF"/>
            <w:vAlign w:val="center"/>
          </w:tcPr>
          <w:p w:rsidR="004A7A06" w:rsidRPr="00B833B3" w:rsidRDefault="004A7A06" w:rsidP="00B833B3">
            <w:pPr>
              <w:pStyle w:val="tt"/>
              <w:spacing w:before="0" w:after="0"/>
              <w:ind w:left="0"/>
              <w:jc w:val="center"/>
              <w:rPr>
                <w:rFonts w:ascii="Calibri" w:hAnsi="Calibri"/>
                <w:b/>
                <w:sz w:val="20"/>
              </w:rPr>
            </w:pPr>
            <w:r w:rsidRPr="00B833B3">
              <w:rPr>
                <w:rFonts w:ascii="Calibri" w:hAnsi="Calibri"/>
                <w:b/>
                <w:sz w:val="20"/>
              </w:rPr>
              <w:t>Minimum</w:t>
            </w:r>
          </w:p>
        </w:tc>
        <w:tc>
          <w:tcPr>
            <w:tcW w:w="1069" w:type="dxa"/>
            <w:shd w:val="clear" w:color="auto" w:fill="CDECFF"/>
            <w:vAlign w:val="center"/>
          </w:tcPr>
          <w:p w:rsidR="004A7A06" w:rsidRPr="00B833B3" w:rsidRDefault="004A7A06" w:rsidP="00B833B3">
            <w:pPr>
              <w:pStyle w:val="tt"/>
              <w:spacing w:before="0" w:after="0"/>
              <w:ind w:left="0"/>
              <w:jc w:val="center"/>
              <w:rPr>
                <w:rFonts w:ascii="Calibri" w:hAnsi="Calibri"/>
                <w:b/>
                <w:sz w:val="20"/>
              </w:rPr>
            </w:pPr>
            <w:r w:rsidRPr="00B833B3">
              <w:rPr>
                <w:rFonts w:ascii="Calibri" w:hAnsi="Calibri"/>
                <w:b/>
                <w:sz w:val="20"/>
              </w:rPr>
              <w:t>10</w:t>
            </w:r>
            <w:r w:rsidRPr="00B833B3">
              <w:rPr>
                <w:rFonts w:ascii="Calibri" w:hAnsi="Calibri"/>
                <w:b/>
                <w:sz w:val="20"/>
                <w:vertAlign w:val="superscript"/>
              </w:rPr>
              <w:t>th</w:t>
            </w:r>
            <w:r w:rsidRPr="00B833B3">
              <w:rPr>
                <w:rFonts w:ascii="Calibri" w:hAnsi="Calibri"/>
                <w:b/>
                <w:sz w:val="20"/>
              </w:rPr>
              <w:t xml:space="preserve"> Percentile</w:t>
            </w:r>
          </w:p>
        </w:tc>
        <w:tc>
          <w:tcPr>
            <w:tcW w:w="1091" w:type="dxa"/>
            <w:shd w:val="clear" w:color="auto" w:fill="CDECFF"/>
            <w:vAlign w:val="center"/>
          </w:tcPr>
          <w:p w:rsidR="004A7A06" w:rsidRPr="00B833B3" w:rsidRDefault="004A7A06" w:rsidP="00B833B3">
            <w:pPr>
              <w:pStyle w:val="tt"/>
              <w:spacing w:before="0" w:after="0"/>
              <w:ind w:left="0"/>
              <w:jc w:val="center"/>
              <w:rPr>
                <w:rFonts w:ascii="Calibri" w:hAnsi="Calibri"/>
                <w:b/>
                <w:sz w:val="20"/>
              </w:rPr>
            </w:pPr>
            <w:r w:rsidRPr="00B833B3">
              <w:rPr>
                <w:rFonts w:ascii="Calibri" w:hAnsi="Calibri"/>
                <w:b/>
                <w:sz w:val="20"/>
              </w:rPr>
              <w:t>25th Percentile</w:t>
            </w:r>
          </w:p>
        </w:tc>
        <w:tc>
          <w:tcPr>
            <w:tcW w:w="1003" w:type="dxa"/>
            <w:shd w:val="clear" w:color="auto" w:fill="CDECFF"/>
            <w:vAlign w:val="center"/>
          </w:tcPr>
          <w:p w:rsidR="004A7A06" w:rsidRPr="00B833B3" w:rsidRDefault="004A7A06" w:rsidP="00B833B3">
            <w:pPr>
              <w:pStyle w:val="tt"/>
              <w:spacing w:before="0" w:after="0"/>
              <w:ind w:left="0"/>
              <w:jc w:val="center"/>
              <w:rPr>
                <w:rFonts w:ascii="Calibri" w:hAnsi="Calibri"/>
                <w:b/>
                <w:sz w:val="20"/>
              </w:rPr>
            </w:pPr>
            <w:r w:rsidRPr="00B833B3">
              <w:rPr>
                <w:rFonts w:ascii="Calibri" w:hAnsi="Calibri"/>
                <w:b/>
                <w:sz w:val="20"/>
              </w:rPr>
              <w:t>Median</w:t>
            </w:r>
          </w:p>
        </w:tc>
        <w:tc>
          <w:tcPr>
            <w:tcW w:w="1091" w:type="dxa"/>
            <w:shd w:val="clear" w:color="auto" w:fill="CDECFF"/>
            <w:vAlign w:val="center"/>
          </w:tcPr>
          <w:p w:rsidR="004A7A06" w:rsidRPr="00B833B3" w:rsidRDefault="004A7A06" w:rsidP="00B833B3">
            <w:pPr>
              <w:pStyle w:val="tt"/>
              <w:spacing w:before="0" w:after="0"/>
              <w:ind w:left="0"/>
              <w:jc w:val="center"/>
              <w:rPr>
                <w:rFonts w:ascii="Calibri" w:hAnsi="Calibri"/>
                <w:b/>
                <w:sz w:val="20"/>
              </w:rPr>
            </w:pPr>
            <w:r w:rsidRPr="00B833B3">
              <w:rPr>
                <w:rFonts w:ascii="Calibri" w:hAnsi="Calibri"/>
                <w:b/>
                <w:sz w:val="20"/>
              </w:rPr>
              <w:t>75th Percentile</w:t>
            </w:r>
          </w:p>
        </w:tc>
        <w:tc>
          <w:tcPr>
            <w:tcW w:w="1163" w:type="dxa"/>
            <w:shd w:val="clear" w:color="auto" w:fill="CDECFF"/>
          </w:tcPr>
          <w:p w:rsidR="004A7A06" w:rsidRPr="00B833B3" w:rsidRDefault="004A7A06" w:rsidP="00B833B3">
            <w:pPr>
              <w:pStyle w:val="tt"/>
              <w:spacing w:before="0" w:after="0"/>
              <w:ind w:left="0"/>
              <w:jc w:val="center"/>
              <w:rPr>
                <w:rFonts w:ascii="Calibri" w:hAnsi="Calibri"/>
                <w:b/>
                <w:sz w:val="20"/>
              </w:rPr>
            </w:pPr>
            <w:r>
              <w:rPr>
                <w:rFonts w:ascii="Calibri" w:hAnsi="Calibri"/>
                <w:b/>
                <w:sz w:val="20"/>
              </w:rPr>
              <w:t>90</w:t>
            </w:r>
            <w:r w:rsidRPr="00B833B3">
              <w:rPr>
                <w:rFonts w:ascii="Calibri" w:hAnsi="Calibri"/>
                <w:b/>
                <w:sz w:val="20"/>
              </w:rPr>
              <w:t>th Percentile</w:t>
            </w:r>
          </w:p>
        </w:tc>
        <w:tc>
          <w:tcPr>
            <w:tcW w:w="1163" w:type="dxa"/>
            <w:shd w:val="clear" w:color="auto" w:fill="CDECFF"/>
            <w:vAlign w:val="center"/>
          </w:tcPr>
          <w:p w:rsidR="004A7A06" w:rsidRPr="00B833B3" w:rsidRDefault="004A7A06" w:rsidP="00B833B3">
            <w:pPr>
              <w:pStyle w:val="tt"/>
              <w:spacing w:before="0" w:after="0"/>
              <w:ind w:left="0"/>
              <w:jc w:val="center"/>
              <w:rPr>
                <w:rFonts w:ascii="Calibri" w:hAnsi="Calibri"/>
                <w:b/>
                <w:sz w:val="20"/>
              </w:rPr>
            </w:pPr>
            <w:r w:rsidRPr="00B833B3">
              <w:rPr>
                <w:rFonts w:ascii="Calibri" w:hAnsi="Calibri"/>
                <w:b/>
                <w:sz w:val="20"/>
              </w:rPr>
              <w:t>Maximum</w:t>
            </w:r>
          </w:p>
        </w:tc>
      </w:tr>
      <w:tr w:rsidR="004A7A06" w:rsidTr="004E28E0">
        <w:trPr>
          <w:trHeight w:val="260"/>
          <w:jc w:val="center"/>
        </w:trPr>
        <w:tc>
          <w:tcPr>
            <w:tcW w:w="798" w:type="dxa"/>
            <w:shd w:val="clear" w:color="auto" w:fill="auto"/>
            <w:vAlign w:val="center"/>
          </w:tcPr>
          <w:p w:rsidR="004A7A06" w:rsidRPr="00B833B3" w:rsidRDefault="004A7A06" w:rsidP="00B833B3">
            <w:pPr>
              <w:spacing w:after="0" w:line="240" w:lineRule="auto"/>
              <w:jc w:val="center"/>
            </w:pPr>
            <w:r>
              <w:t>0.84</w:t>
            </w:r>
          </w:p>
        </w:tc>
        <w:tc>
          <w:tcPr>
            <w:tcW w:w="1030" w:type="dxa"/>
            <w:shd w:val="clear" w:color="auto" w:fill="auto"/>
            <w:vAlign w:val="center"/>
          </w:tcPr>
          <w:p w:rsidR="004A7A06" w:rsidRPr="00B833B3" w:rsidRDefault="004A7A06" w:rsidP="004A7A06">
            <w:pPr>
              <w:spacing w:after="0" w:line="240" w:lineRule="auto"/>
              <w:jc w:val="center"/>
            </w:pPr>
            <w:r w:rsidRPr="00B833B3">
              <w:t>0.</w:t>
            </w:r>
            <w:r>
              <w:t>21</w:t>
            </w:r>
          </w:p>
        </w:tc>
        <w:tc>
          <w:tcPr>
            <w:tcW w:w="1069" w:type="dxa"/>
            <w:shd w:val="clear" w:color="auto" w:fill="auto"/>
            <w:vAlign w:val="center"/>
          </w:tcPr>
          <w:p w:rsidR="004A7A06" w:rsidRPr="00B833B3" w:rsidRDefault="004A7A06" w:rsidP="004A7A06">
            <w:pPr>
              <w:spacing w:after="0" w:line="240" w:lineRule="auto"/>
              <w:jc w:val="center"/>
            </w:pPr>
            <w:r w:rsidRPr="00B833B3">
              <w:t>0.</w:t>
            </w:r>
            <w:r>
              <w:t>59</w:t>
            </w:r>
          </w:p>
        </w:tc>
        <w:tc>
          <w:tcPr>
            <w:tcW w:w="1091" w:type="dxa"/>
            <w:shd w:val="clear" w:color="auto" w:fill="auto"/>
            <w:vAlign w:val="center"/>
          </w:tcPr>
          <w:p w:rsidR="004A7A06" w:rsidRPr="00B833B3" w:rsidRDefault="004A7A06" w:rsidP="004A7A06">
            <w:pPr>
              <w:spacing w:after="0" w:line="240" w:lineRule="auto"/>
              <w:jc w:val="center"/>
            </w:pPr>
            <w:r w:rsidRPr="00B833B3">
              <w:t>0.</w:t>
            </w:r>
            <w:r>
              <w:t>76</w:t>
            </w:r>
          </w:p>
        </w:tc>
        <w:tc>
          <w:tcPr>
            <w:tcW w:w="1003" w:type="dxa"/>
            <w:shd w:val="clear" w:color="auto" w:fill="auto"/>
            <w:vAlign w:val="center"/>
          </w:tcPr>
          <w:p w:rsidR="004A7A06" w:rsidRPr="00B833B3" w:rsidRDefault="004A7A06" w:rsidP="004A7A06">
            <w:pPr>
              <w:spacing w:after="0" w:line="240" w:lineRule="auto"/>
              <w:jc w:val="center"/>
            </w:pPr>
            <w:r w:rsidRPr="00B833B3">
              <w:t>0.9</w:t>
            </w:r>
            <w:r>
              <w:t>0</w:t>
            </w:r>
          </w:p>
        </w:tc>
        <w:tc>
          <w:tcPr>
            <w:tcW w:w="1091" w:type="dxa"/>
            <w:shd w:val="clear" w:color="auto" w:fill="auto"/>
            <w:vAlign w:val="center"/>
          </w:tcPr>
          <w:p w:rsidR="004A7A06" w:rsidRPr="00B833B3" w:rsidRDefault="004A7A06" w:rsidP="004A7A06">
            <w:pPr>
              <w:spacing w:after="0" w:line="240" w:lineRule="auto"/>
              <w:jc w:val="center"/>
            </w:pPr>
            <w:r>
              <w:t>0</w:t>
            </w:r>
            <w:r w:rsidRPr="00B833B3">
              <w:t>.</w:t>
            </w:r>
            <w:r>
              <w:t>97</w:t>
            </w:r>
          </w:p>
        </w:tc>
        <w:tc>
          <w:tcPr>
            <w:tcW w:w="1163" w:type="dxa"/>
          </w:tcPr>
          <w:p w:rsidR="004A7A06" w:rsidRPr="00B833B3" w:rsidRDefault="004A7A06" w:rsidP="00B833B3">
            <w:pPr>
              <w:spacing w:after="0" w:line="240" w:lineRule="auto"/>
              <w:jc w:val="center"/>
            </w:pPr>
            <w:r>
              <w:t>1.00</w:t>
            </w:r>
          </w:p>
        </w:tc>
        <w:tc>
          <w:tcPr>
            <w:tcW w:w="1163" w:type="dxa"/>
            <w:shd w:val="clear" w:color="auto" w:fill="auto"/>
            <w:vAlign w:val="center"/>
          </w:tcPr>
          <w:p w:rsidR="004A7A06" w:rsidRPr="00B833B3" w:rsidRDefault="004A7A06" w:rsidP="00B833B3">
            <w:pPr>
              <w:spacing w:after="0" w:line="240" w:lineRule="auto"/>
              <w:jc w:val="center"/>
            </w:pPr>
            <w:r w:rsidRPr="00B833B3">
              <w:t>1.00</w:t>
            </w:r>
          </w:p>
        </w:tc>
      </w:tr>
    </w:tbl>
    <w:p w:rsidR="004A7A06" w:rsidRDefault="004A7A06" w:rsidP="00B833B3">
      <w:pPr>
        <w:spacing w:after="120"/>
      </w:pPr>
    </w:p>
    <w:p w:rsidR="004036AA" w:rsidRDefault="00092566" w:rsidP="004036AA">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4036AA">
        <w:t>Using the beta-binomial model, Acumen concluded that the measure reliability was high</w:t>
      </w:r>
      <w:r w:rsidR="004036AA" w:rsidRPr="004F4778">
        <w:t xml:space="preserve">.  </w:t>
      </w:r>
      <w:r w:rsidR="004036AA">
        <w:t>The 25</w:t>
      </w:r>
      <w:r w:rsidR="004036AA">
        <w:rPr>
          <w:vertAlign w:val="superscript"/>
        </w:rPr>
        <w:t>th</w:t>
      </w:r>
      <w:r w:rsidR="004036AA">
        <w:t xml:space="preserve"> percentile reliability score is </w:t>
      </w:r>
      <w:r w:rsidR="004036AA" w:rsidRPr="003E3095">
        <w:rPr>
          <w:b/>
        </w:rPr>
        <w:t>0.7</w:t>
      </w:r>
      <w:r w:rsidR="004036AA">
        <w:rPr>
          <w:b/>
        </w:rPr>
        <w:t>6</w:t>
      </w:r>
      <w:r w:rsidR="004036AA">
        <w:t>, which is above the range considered acceptable (0.70 – 0.80) for drawing inferences about home health agencies</w:t>
      </w:r>
      <w:r w:rsidR="004036AA" w:rsidRPr="004F4778">
        <w:t xml:space="preserve">.  </w:t>
      </w:r>
      <w:r w:rsidR="004036AA">
        <w:t xml:space="preserve">The table below summarizes the distribution of reliability scores for agencies with at least 20 valid episodes. </w:t>
      </w:r>
    </w:p>
    <w:p w:rsidR="004036AA" w:rsidRPr="00D41096" w:rsidRDefault="004036AA" w:rsidP="004036AA">
      <w:pPr>
        <w:spacing w:after="120"/>
        <w:rPr>
          <w:rFonts w:ascii="Calibri" w:hAnsi="Calibri"/>
          <w:b/>
        </w:rPr>
      </w:pPr>
      <w:r>
        <w:t xml:space="preserve">Furthermore, the ICC coefficient is </w:t>
      </w:r>
      <w:r w:rsidRPr="003E3095">
        <w:rPr>
          <w:b/>
        </w:rPr>
        <w:t>0.</w:t>
      </w:r>
      <w:r>
        <w:rPr>
          <w:b/>
        </w:rPr>
        <w:t xml:space="preserve">78 </w:t>
      </w:r>
      <w:r>
        <w:t>for agencies with at least 40 valid episodes (recall that an ICC statistic is derived from paired performance rates), indicating that most of the total variation is due to between-agency variation</w:t>
      </w:r>
      <w:r w:rsidRPr="004F4778">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4427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B833B3">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64427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17080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B833B3">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4A7A06" w:rsidRPr="00AD7F63" w:rsidRDefault="00092566" w:rsidP="004A7A06">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proofErr w:type="gramStart"/>
      <w:r w:rsidR="00696262" w:rsidRPr="00A25024">
        <w:rPr>
          <w:rFonts w:cstheme="minorHAnsi"/>
          <w:bCs/>
          <w:i/>
        </w:rPr>
        <w:t>)</w:t>
      </w:r>
      <w:proofErr w:type="gramEnd"/>
      <w:r w:rsidR="00833325" w:rsidRPr="00A25024">
        <w:rPr>
          <w:rFonts w:cstheme="minorHAnsi"/>
          <w:bCs/>
        </w:rPr>
        <w:br/>
      </w:r>
      <w:r w:rsidR="004A7A06">
        <w:t>Acumen invited the</w:t>
      </w:r>
      <w:r w:rsidR="004F426A">
        <w:t xml:space="preserve"> Home Health Quality Measures</w:t>
      </w:r>
      <w:r w:rsidR="004A7A06">
        <w:t xml:space="preserve"> T</w:t>
      </w:r>
      <w:r w:rsidR="004F426A">
        <w:t xml:space="preserve">echnical </w:t>
      </w:r>
      <w:r w:rsidR="004A7A06">
        <w:t>E</w:t>
      </w:r>
      <w:r w:rsidR="004F426A">
        <w:t xml:space="preserve">xpert </w:t>
      </w:r>
      <w:r w:rsidR="004A7A06">
        <w:t>P</w:t>
      </w:r>
      <w:r w:rsidR="004F426A">
        <w:t>anel</w:t>
      </w:r>
      <w:r w:rsidR="004A7A06">
        <w:t xml:space="preserve"> to assess the measure’s face validity</w:t>
      </w:r>
      <w:r w:rsidR="00075A0C">
        <w:t xml:space="preserve"> in December 2010</w:t>
      </w:r>
      <w:r w:rsidR="004A7A06">
        <w:t xml:space="preserve">.  Face validity refers to </w:t>
      </w:r>
      <w:r w:rsidR="004A7A06" w:rsidRPr="00CE33B7">
        <w:t>the extent to which the measure reflects the quality of care for the specific topic and whether the measure focus is the most important aspect of quality for the specific topic</w:t>
      </w:r>
      <w:r w:rsidR="004A7A06">
        <w:t xml:space="preserve">.  </w:t>
      </w:r>
    </w:p>
    <w:p w:rsidR="00B833B3"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AD7F63" w:rsidRDefault="00AD7F63" w:rsidP="00AD7F63">
      <w:r>
        <w:t xml:space="preserve">When asked to rate the face validity of this measure in December 2010, the majority of the TEP members (i.e., 5 out of 8) rated the measure as partially or completely meeting the criteria. </w:t>
      </w:r>
    </w:p>
    <w:p w:rsidR="00644271" w:rsidRDefault="00092566" w:rsidP="00644271">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644271">
        <w:t xml:space="preserve">When asked to rate the face validity of this measure in December 2010, the majority of the TEP members (i.e., 5 out of 8) rated the measure as partially or completely meeting the criteria. </w:t>
      </w:r>
    </w:p>
    <w:p w:rsidR="008A403A" w:rsidRPr="00A25024" w:rsidRDefault="00483E94" w:rsidP="00DB3627">
      <w:pPr>
        <w:autoSpaceDE w:val="0"/>
        <w:autoSpaceDN w:val="0"/>
        <w:adjustRightInd w:val="0"/>
        <w:spacing w:after="0" w:line="240" w:lineRule="auto"/>
        <w:rPr>
          <w:rFonts w:cstheme="minorHAnsi"/>
          <w:bCs/>
        </w:rPr>
      </w:pPr>
      <w:bookmarkStart w:id="19" w:name="_GoBack"/>
      <w:bookmarkEnd w:id="19"/>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4A7A06" w:rsidRDefault="00092566" w:rsidP="004A7A06">
      <w:pPr>
        <w:rPr>
          <w:rFonts w:ascii="Arial Narrow" w:hAnsi="Arial Narrow" w:cs="Arial"/>
          <w:color w:val="0000FF"/>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proofErr w:type="gramEnd"/>
      <w:r w:rsidR="00833325" w:rsidRPr="00A25024">
        <w:rPr>
          <w:rFonts w:cstheme="minorHAnsi"/>
          <w:bCs/>
        </w:rPr>
        <w:br/>
      </w:r>
      <w:r w:rsidR="004A7A06" w:rsidRPr="005B008F">
        <w:t>As noted in the Denominator Exclusion Details, OASIS data are only collected for particular types of patients. The exclusion of patients who are omitted from OASIS data collection (e.g., those who are non-Medicare/Medicaid, under 18, receiving maternity-related or non-skilled services only) is not based on research evidence but because the measure cannot be calculated due to data limitations.</w:t>
      </w:r>
      <w:r w:rsidR="004A7A06" w:rsidRPr="00CD35D2">
        <w:rPr>
          <w:rFonts w:ascii="Arial Narrow" w:hAnsi="Arial Narrow" w:cs="Arial"/>
          <w:color w:val="0000FF"/>
        </w:rPr>
        <w:t xml:space="preserve"> </w:t>
      </w:r>
    </w:p>
    <w:p w:rsidR="004A7A06" w:rsidRDefault="004A7A06" w:rsidP="004A7A06">
      <w:r>
        <w:t>Acumen calculated the frequency of the measure-specific exclusions by exclusion type.  The measure excludes (</w:t>
      </w:r>
      <w:proofErr w:type="spellStart"/>
      <w:r>
        <w:t>i</w:t>
      </w:r>
      <w:proofErr w:type="spellEnd"/>
      <w:r>
        <w:t>) home health episodes for which patient does not have a heart failure diagnosis, and (ii) home health episodes that end in death.  Exclusion (</w:t>
      </w:r>
      <w:proofErr w:type="spellStart"/>
      <w:r>
        <w:t>i</w:t>
      </w:r>
      <w:proofErr w:type="spellEnd"/>
      <w:r>
        <w:t>) is justified because the intervention would not be clinically appropriate for episodes in which patient does not have heart failure diagnosis.  For exclusion (ii), t</w:t>
      </w:r>
      <w:r w:rsidRPr="005B008F">
        <w:t xml:space="preserve">he information needed to calculate this measure is not collected if the home health episode ends in death. </w:t>
      </w:r>
    </w:p>
    <w:p w:rsidR="004A7A06" w:rsidRPr="00750110" w:rsidRDefault="004A7A06" w:rsidP="004A7A06">
      <w:r>
        <w:t>We also analyzed impact of excluding the long-</w:t>
      </w:r>
      <w:r w:rsidRPr="005B008F">
        <w:t>term episode</w:t>
      </w:r>
      <w:r>
        <w:t xml:space="preserve">s.  When NQF first considered the </w:t>
      </w:r>
      <w:r>
        <w:rPr>
          <w:i/>
        </w:rPr>
        <w:t xml:space="preserve">Heart Failure Symptoms Addressed </w:t>
      </w:r>
      <w:r>
        <w:t>measure in 2008, the NQF reviewers added a long-term episode exclusion to avoid excessive burden to agencies in reviewing records longer than 60 days.  Therefore, the version of the</w:t>
      </w:r>
      <w:r>
        <w:rPr>
          <w:i/>
        </w:rPr>
        <w:t xml:space="preserve"> </w:t>
      </w:r>
      <w:r>
        <w:t>measure that was endorsed in 2011 included only the short-term episodes.  However, the data needed to compute the measure are collected once at the end of each care episode, regardless of whether the episode is short or long-term, so including all episodes in the measure does not increase burden. In preparing this measure for the current NQF reevaluation process, we re-considered the impact of the long-term episodes exclusion.</w:t>
      </w:r>
    </w:p>
    <w:p w:rsidR="00812686" w:rsidRDefault="00833325" w:rsidP="00812686">
      <w:pPr>
        <w:rPr>
          <w:rFonts w:cstheme="minorHAnsi"/>
          <w:bCs/>
        </w:rPr>
      </w:pPr>
      <w:r w:rsidRPr="00A25024">
        <w:rPr>
          <w:rFonts w:cstheme="minorHAnsi"/>
          <w:bCs/>
        </w:rPr>
        <w:t xml:space="preserve"> </w:t>
      </w:r>
      <w:r w:rsidR="00092566">
        <w:rPr>
          <w:rFonts w:cstheme="minorHAnsi"/>
          <w:b/>
          <w:bCs/>
        </w:rPr>
        <w:t>2b3.</w:t>
      </w:r>
      <w:r w:rsidR="00A25024" w:rsidRPr="00A25024">
        <w:rPr>
          <w:rFonts w:cstheme="minorHAnsi"/>
          <w:b/>
          <w:bCs/>
        </w:rPr>
        <w:t xml:space="preserve">2. </w:t>
      </w:r>
      <w:proofErr w:type="gramStart"/>
      <w:r w:rsidRPr="00A25024">
        <w:rPr>
          <w:rFonts w:cstheme="minorHAnsi"/>
          <w:b/>
          <w:bCs/>
        </w:rPr>
        <w:t>What</w:t>
      </w:r>
      <w:proofErr w:type="gramEnd"/>
      <w:r w:rsidRPr="00A25024">
        <w:rPr>
          <w:rFonts w:cstheme="minorHAnsi"/>
          <w:b/>
          <w:bCs/>
        </w:rPr>
        <w:t xml:space="preserve"> were the statistical results </w:t>
      </w:r>
      <w:r w:rsidR="007422FD" w:rsidRPr="00A25024">
        <w:rPr>
          <w:rFonts w:cstheme="minorHAnsi"/>
          <w:b/>
          <w:bCs/>
        </w:rPr>
        <w:t>from testing exclusions</w:t>
      </w:r>
      <w:r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812686" w:rsidRPr="00B22AC3" w:rsidRDefault="00812686" w:rsidP="00812686">
      <w:pPr>
        <w:spacing w:after="0" w:line="240" w:lineRule="auto"/>
        <w:jc w:val="center"/>
        <w:rPr>
          <w:rFonts w:ascii="Times New Roman" w:hAnsi="Times New Roman" w:cs="Times New Roman"/>
          <w:b/>
          <w:sz w:val="20"/>
          <w:szCs w:val="20"/>
        </w:rPr>
      </w:pPr>
      <w:r w:rsidRPr="00B22AC3">
        <w:rPr>
          <w:rFonts w:ascii="Times New Roman" w:hAnsi="Times New Roman" w:cs="Times New Roman"/>
          <w:b/>
          <w:i/>
          <w:sz w:val="20"/>
          <w:szCs w:val="20"/>
        </w:rPr>
        <w:t xml:space="preserve">Heart Failure Symptoms Addressed During All Episodes of Care </w:t>
      </w:r>
      <w:r w:rsidRPr="00B22AC3">
        <w:rPr>
          <w:rFonts w:ascii="Times New Roman" w:hAnsi="Times New Roman" w:cs="Times New Roman"/>
          <w:b/>
          <w:sz w:val="20"/>
          <w:szCs w:val="20"/>
        </w:rPr>
        <w:t>Measure Exclusions, By Type</w:t>
      </w:r>
    </w:p>
    <w:tbl>
      <w:tblPr>
        <w:tblW w:w="8355" w:type="dxa"/>
        <w:jc w:val="center"/>
        <w:tblLayout w:type="fixed"/>
        <w:tblCellMar>
          <w:left w:w="0" w:type="dxa"/>
          <w:right w:w="0" w:type="dxa"/>
        </w:tblCellMar>
        <w:tblLook w:val="04A0" w:firstRow="1" w:lastRow="0" w:firstColumn="1" w:lastColumn="0" w:noHBand="0" w:noVBand="1"/>
      </w:tblPr>
      <w:tblGrid>
        <w:gridCol w:w="5589"/>
        <w:gridCol w:w="2766"/>
      </w:tblGrid>
      <w:tr w:rsidR="00812686" w:rsidRPr="00B22AC3" w:rsidTr="004C64A9">
        <w:trPr>
          <w:trHeight w:val="50"/>
          <w:jc w:val="center"/>
        </w:trPr>
        <w:tc>
          <w:tcPr>
            <w:tcW w:w="5593" w:type="dxa"/>
            <w:tcBorders>
              <w:top w:val="single" w:sz="4" w:space="0" w:color="auto"/>
              <w:left w:val="single" w:sz="4" w:space="0" w:color="auto"/>
              <w:bottom w:val="single" w:sz="4" w:space="0" w:color="auto"/>
              <w:right w:val="single" w:sz="4" w:space="0" w:color="auto"/>
            </w:tcBorders>
            <w:shd w:val="clear" w:color="auto" w:fill="CDECFF"/>
            <w:tcMar>
              <w:top w:w="15" w:type="dxa"/>
              <w:left w:w="108" w:type="dxa"/>
              <w:bottom w:w="0" w:type="dxa"/>
              <w:right w:w="108" w:type="dxa"/>
            </w:tcMar>
            <w:vAlign w:val="center"/>
            <w:hideMark/>
          </w:tcPr>
          <w:p w:rsidR="00812686" w:rsidRPr="00B22AC3" w:rsidRDefault="00812686" w:rsidP="00812686">
            <w:pPr>
              <w:spacing w:after="0" w:line="240" w:lineRule="auto"/>
              <w:jc w:val="center"/>
              <w:rPr>
                <w:rFonts w:ascii="Times New Roman" w:hAnsi="Times New Roman" w:cs="Times New Roman"/>
                <w:b/>
                <w:sz w:val="20"/>
                <w:szCs w:val="20"/>
              </w:rPr>
            </w:pPr>
            <w:r w:rsidRPr="00B22AC3">
              <w:rPr>
                <w:rFonts w:ascii="Times New Roman" w:hAnsi="Times New Roman" w:cs="Times New Roman"/>
                <w:b/>
                <w:sz w:val="20"/>
                <w:szCs w:val="20"/>
              </w:rPr>
              <w:t xml:space="preserve">Exclusion Type </w:t>
            </w:r>
          </w:p>
        </w:tc>
        <w:tc>
          <w:tcPr>
            <w:tcW w:w="2768" w:type="dxa"/>
            <w:tcBorders>
              <w:top w:val="single" w:sz="4" w:space="0" w:color="auto"/>
              <w:left w:val="single" w:sz="4" w:space="0" w:color="auto"/>
              <w:bottom w:val="single" w:sz="4" w:space="0" w:color="auto"/>
              <w:right w:val="single" w:sz="4" w:space="0" w:color="auto"/>
            </w:tcBorders>
            <w:shd w:val="clear" w:color="auto" w:fill="CDECFF"/>
            <w:vAlign w:val="center"/>
            <w:hideMark/>
          </w:tcPr>
          <w:p w:rsidR="00812686" w:rsidRPr="00B22AC3" w:rsidRDefault="00812686" w:rsidP="00812686">
            <w:pPr>
              <w:spacing w:after="0" w:line="240" w:lineRule="auto"/>
              <w:jc w:val="center"/>
              <w:rPr>
                <w:rFonts w:ascii="Times New Roman" w:hAnsi="Times New Roman" w:cs="Times New Roman"/>
                <w:b/>
                <w:sz w:val="20"/>
                <w:szCs w:val="20"/>
              </w:rPr>
            </w:pPr>
            <w:r w:rsidRPr="00B22AC3">
              <w:rPr>
                <w:rFonts w:ascii="Times New Roman" w:hAnsi="Times New Roman" w:cs="Times New Roman"/>
                <w:b/>
                <w:sz w:val="20"/>
                <w:szCs w:val="20"/>
              </w:rPr>
              <w:t># of Quality Episodes Excluded</w:t>
            </w:r>
          </w:p>
        </w:tc>
      </w:tr>
      <w:tr w:rsidR="00812686" w:rsidRPr="00B22AC3" w:rsidTr="004C64A9">
        <w:trPr>
          <w:trHeight w:val="50"/>
          <w:jc w:val="center"/>
        </w:trPr>
        <w:tc>
          <w:tcPr>
            <w:tcW w:w="559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hideMark/>
          </w:tcPr>
          <w:p w:rsidR="00812686" w:rsidRPr="00B22AC3" w:rsidRDefault="00812686" w:rsidP="00812686">
            <w:pPr>
              <w:spacing w:after="0" w:line="240" w:lineRule="auto"/>
              <w:rPr>
                <w:rFonts w:ascii="Times New Roman" w:hAnsi="Times New Roman" w:cs="Times New Roman"/>
                <w:sz w:val="20"/>
                <w:szCs w:val="20"/>
              </w:rPr>
            </w:pPr>
            <w:r w:rsidRPr="00B22AC3">
              <w:rPr>
                <w:rFonts w:ascii="Times New Roman" w:hAnsi="Times New Roman" w:cs="Times New Roman"/>
                <w:sz w:val="20"/>
                <w:szCs w:val="20"/>
              </w:rPr>
              <w:t>Patient death at home (missing M2400A value)</w:t>
            </w:r>
          </w:p>
        </w:tc>
        <w:tc>
          <w:tcPr>
            <w:tcW w:w="2768" w:type="dxa"/>
            <w:tcBorders>
              <w:top w:val="single" w:sz="4" w:space="0" w:color="auto"/>
              <w:left w:val="single" w:sz="4" w:space="0" w:color="auto"/>
              <w:bottom w:val="single" w:sz="4" w:space="0" w:color="auto"/>
              <w:right w:val="single" w:sz="4" w:space="0" w:color="auto"/>
            </w:tcBorders>
            <w:hideMark/>
          </w:tcPr>
          <w:p w:rsidR="00812686" w:rsidRPr="00B22AC3" w:rsidRDefault="00812686" w:rsidP="00812686">
            <w:pPr>
              <w:spacing w:after="0" w:line="240" w:lineRule="auto"/>
              <w:jc w:val="center"/>
              <w:rPr>
                <w:rFonts w:ascii="Times New Roman" w:hAnsi="Times New Roman" w:cs="Times New Roman"/>
                <w:sz w:val="20"/>
                <w:szCs w:val="20"/>
              </w:rPr>
            </w:pPr>
            <w:r w:rsidRPr="00B22AC3">
              <w:rPr>
                <w:rFonts w:ascii="Times New Roman" w:hAnsi="Times New Roman" w:cs="Times New Roman"/>
                <w:sz w:val="20"/>
                <w:szCs w:val="20"/>
              </w:rPr>
              <w:t>28,919</w:t>
            </w:r>
          </w:p>
        </w:tc>
      </w:tr>
      <w:tr w:rsidR="00812686" w:rsidRPr="00B22AC3" w:rsidTr="004C64A9">
        <w:trPr>
          <w:trHeight w:val="50"/>
          <w:jc w:val="center"/>
        </w:trPr>
        <w:tc>
          <w:tcPr>
            <w:tcW w:w="559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hideMark/>
          </w:tcPr>
          <w:p w:rsidR="00812686" w:rsidRPr="00B22AC3" w:rsidRDefault="00812686" w:rsidP="00812686">
            <w:pPr>
              <w:spacing w:after="0" w:line="240" w:lineRule="auto"/>
              <w:rPr>
                <w:rFonts w:ascii="Times New Roman" w:hAnsi="Times New Roman" w:cs="Times New Roman"/>
                <w:sz w:val="20"/>
                <w:szCs w:val="20"/>
              </w:rPr>
            </w:pPr>
            <w:r w:rsidRPr="00B22AC3">
              <w:rPr>
                <w:rFonts w:ascii="Times New Roman" w:hAnsi="Times New Roman" w:cs="Times New Roman"/>
                <w:sz w:val="20"/>
                <w:szCs w:val="20"/>
              </w:rPr>
              <w:t xml:space="preserve">No heart failure – no diagnosis found and symptoms not addressed </w:t>
            </w:r>
          </w:p>
        </w:tc>
        <w:tc>
          <w:tcPr>
            <w:tcW w:w="2768"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sz w:val="20"/>
                <w:szCs w:val="20"/>
              </w:rPr>
            </w:pPr>
            <w:r w:rsidRPr="00B22AC3">
              <w:rPr>
                <w:rFonts w:ascii="Times New Roman" w:hAnsi="Times New Roman" w:cs="Times New Roman"/>
                <w:sz w:val="20"/>
                <w:szCs w:val="20"/>
              </w:rPr>
              <w:t>2,936,811</w:t>
            </w:r>
          </w:p>
        </w:tc>
      </w:tr>
      <w:tr w:rsidR="00812686" w:rsidRPr="00B22AC3" w:rsidTr="004C64A9">
        <w:trPr>
          <w:trHeight w:val="70"/>
          <w:jc w:val="center"/>
        </w:trPr>
        <w:tc>
          <w:tcPr>
            <w:tcW w:w="559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hideMark/>
          </w:tcPr>
          <w:p w:rsidR="00812686" w:rsidRPr="00B22AC3" w:rsidRDefault="00812686" w:rsidP="00812686">
            <w:pPr>
              <w:spacing w:after="0" w:line="240" w:lineRule="auto"/>
              <w:rPr>
                <w:rFonts w:ascii="Times New Roman" w:hAnsi="Times New Roman" w:cs="Times New Roman"/>
                <w:b/>
                <w:sz w:val="20"/>
                <w:szCs w:val="20"/>
              </w:rPr>
            </w:pPr>
            <w:r w:rsidRPr="00B22AC3">
              <w:rPr>
                <w:rFonts w:ascii="Times New Roman" w:hAnsi="Times New Roman" w:cs="Times New Roman"/>
                <w:b/>
                <w:sz w:val="20"/>
                <w:szCs w:val="20"/>
              </w:rPr>
              <w:t>Total # of Quality Episodes Excluded</w:t>
            </w:r>
          </w:p>
        </w:tc>
        <w:tc>
          <w:tcPr>
            <w:tcW w:w="2768" w:type="dxa"/>
            <w:tcBorders>
              <w:top w:val="single" w:sz="4" w:space="0" w:color="auto"/>
              <w:left w:val="single" w:sz="4" w:space="0" w:color="auto"/>
              <w:bottom w:val="single" w:sz="4" w:space="0" w:color="auto"/>
              <w:right w:val="single" w:sz="4" w:space="0" w:color="auto"/>
            </w:tcBorders>
            <w:hideMark/>
          </w:tcPr>
          <w:p w:rsidR="00812686" w:rsidRPr="00B22AC3" w:rsidRDefault="00812686" w:rsidP="00812686">
            <w:pPr>
              <w:spacing w:after="0" w:line="240" w:lineRule="auto"/>
              <w:jc w:val="center"/>
              <w:rPr>
                <w:rFonts w:ascii="Times New Roman" w:hAnsi="Times New Roman" w:cs="Times New Roman"/>
                <w:sz w:val="20"/>
                <w:szCs w:val="20"/>
              </w:rPr>
            </w:pPr>
            <w:r w:rsidRPr="00B22AC3">
              <w:rPr>
                <w:rFonts w:ascii="Times New Roman" w:hAnsi="Times New Roman" w:cs="Times New Roman"/>
                <w:sz w:val="20"/>
                <w:szCs w:val="20"/>
              </w:rPr>
              <w:t>2,965,730</w:t>
            </w:r>
          </w:p>
        </w:tc>
      </w:tr>
    </w:tbl>
    <w:p w:rsidR="00673F34" w:rsidRPr="00B22AC3" w:rsidRDefault="00673F34" w:rsidP="00812686">
      <w:pPr>
        <w:spacing w:after="0" w:line="240" w:lineRule="auto"/>
        <w:jc w:val="center"/>
        <w:rPr>
          <w:rFonts w:ascii="Times New Roman" w:hAnsi="Times New Roman" w:cs="Times New Roman"/>
          <w:b/>
          <w:sz w:val="20"/>
          <w:szCs w:val="20"/>
        </w:rPr>
      </w:pPr>
    </w:p>
    <w:p w:rsidR="00812686" w:rsidRPr="00B22AC3" w:rsidRDefault="00812686" w:rsidP="00812686">
      <w:pPr>
        <w:spacing w:after="0" w:line="240" w:lineRule="auto"/>
        <w:jc w:val="center"/>
        <w:rPr>
          <w:rFonts w:ascii="Times New Roman" w:hAnsi="Times New Roman" w:cs="Times New Roman"/>
          <w:b/>
          <w:sz w:val="20"/>
          <w:szCs w:val="20"/>
        </w:rPr>
      </w:pPr>
      <w:r w:rsidRPr="00B22AC3">
        <w:rPr>
          <w:rFonts w:ascii="Times New Roman" w:hAnsi="Times New Roman" w:cs="Times New Roman"/>
          <w:b/>
          <w:sz w:val="20"/>
          <w:szCs w:val="20"/>
        </w:rPr>
        <w:t xml:space="preserve">Agency Performance and Number of Agencies Meeting Episode Threshold </w:t>
      </w:r>
    </w:p>
    <w:p w:rsidR="00812686" w:rsidRPr="00B22AC3" w:rsidRDefault="00812686" w:rsidP="00812686">
      <w:pPr>
        <w:spacing w:after="0" w:line="240" w:lineRule="auto"/>
        <w:jc w:val="center"/>
        <w:rPr>
          <w:rFonts w:ascii="Times New Roman" w:hAnsi="Times New Roman" w:cs="Times New Roman"/>
          <w:b/>
          <w:sz w:val="20"/>
          <w:szCs w:val="20"/>
        </w:rPr>
      </w:pPr>
      <w:proofErr w:type="gramStart"/>
      <w:r w:rsidRPr="00B22AC3">
        <w:rPr>
          <w:rFonts w:ascii="Times New Roman" w:hAnsi="Times New Roman" w:cs="Times New Roman"/>
          <w:b/>
          <w:sz w:val="20"/>
          <w:szCs w:val="20"/>
        </w:rPr>
        <w:t>by</w:t>
      </w:r>
      <w:proofErr w:type="gramEnd"/>
      <w:r w:rsidRPr="00B22AC3">
        <w:rPr>
          <w:rFonts w:ascii="Times New Roman" w:hAnsi="Times New Roman" w:cs="Times New Roman"/>
          <w:b/>
          <w:sz w:val="20"/>
          <w:szCs w:val="20"/>
        </w:rPr>
        <w:t xml:space="preserve"> Episode Type Restriction </w:t>
      </w:r>
    </w:p>
    <w:tbl>
      <w:tblPr>
        <w:tblW w:w="11187" w:type="dxa"/>
        <w:jc w:val="center"/>
        <w:tblLayout w:type="fixed"/>
        <w:tblLook w:val="04A0" w:firstRow="1" w:lastRow="0" w:firstColumn="1" w:lastColumn="0" w:noHBand="0" w:noVBand="1"/>
      </w:tblPr>
      <w:tblGrid>
        <w:gridCol w:w="1581"/>
        <w:gridCol w:w="1136"/>
        <w:gridCol w:w="900"/>
        <w:gridCol w:w="720"/>
        <w:gridCol w:w="1170"/>
        <w:gridCol w:w="681"/>
        <w:gridCol w:w="771"/>
        <w:gridCol w:w="814"/>
        <w:gridCol w:w="814"/>
        <w:gridCol w:w="824"/>
        <w:gridCol w:w="915"/>
        <w:gridCol w:w="861"/>
      </w:tblGrid>
      <w:tr w:rsidR="00812686" w:rsidRPr="00B22AC3" w:rsidTr="00812686">
        <w:trPr>
          <w:trHeight w:val="765"/>
          <w:jc w:val="center"/>
        </w:trPr>
        <w:tc>
          <w:tcPr>
            <w:tcW w:w="1581"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color w:val="000000"/>
                <w:sz w:val="20"/>
                <w:szCs w:val="20"/>
              </w:rPr>
            </w:pPr>
            <w:r w:rsidRPr="00B22AC3">
              <w:rPr>
                <w:rFonts w:ascii="Times New Roman" w:hAnsi="Times New Roman" w:cs="Times New Roman"/>
                <w:b/>
                <w:bCs/>
                <w:color w:val="000000"/>
                <w:sz w:val="20"/>
                <w:szCs w:val="20"/>
              </w:rPr>
              <w:t xml:space="preserve">Episode Type </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 of Agencies with ≥ 20 Episodes</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Agency</w:t>
            </w:r>
          </w:p>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Average</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Std. Dev.</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Average # of Valid Episodes per Agency</w:t>
            </w:r>
          </w:p>
        </w:tc>
        <w:tc>
          <w:tcPr>
            <w:tcW w:w="5680" w:type="dxa"/>
            <w:gridSpan w:val="7"/>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Percentile</w:t>
            </w:r>
          </w:p>
        </w:tc>
      </w:tr>
      <w:tr w:rsidR="00812686" w:rsidRPr="00B22AC3" w:rsidTr="00812686">
        <w:trPr>
          <w:trHeight w:val="285"/>
          <w:jc w:val="center"/>
        </w:trPr>
        <w:tc>
          <w:tcPr>
            <w:tcW w:w="1581" w:type="dxa"/>
            <w:vMerge/>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rPr>
                <w:rFonts w:ascii="Times New Roman" w:hAnsi="Times New Roman" w:cs="Times New Roman"/>
                <w:b/>
                <w:bCs/>
                <w:color w:val="000000"/>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p>
        </w:tc>
        <w:tc>
          <w:tcPr>
            <w:tcW w:w="681"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min</w:t>
            </w:r>
          </w:p>
        </w:tc>
        <w:tc>
          <w:tcPr>
            <w:tcW w:w="771"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p10</w:t>
            </w:r>
          </w:p>
        </w:tc>
        <w:tc>
          <w:tcPr>
            <w:tcW w:w="814"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p25</w:t>
            </w:r>
          </w:p>
        </w:tc>
        <w:tc>
          <w:tcPr>
            <w:tcW w:w="814"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p50</w:t>
            </w:r>
          </w:p>
        </w:tc>
        <w:tc>
          <w:tcPr>
            <w:tcW w:w="824"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p75</w:t>
            </w:r>
          </w:p>
        </w:tc>
        <w:tc>
          <w:tcPr>
            <w:tcW w:w="915"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p90</w:t>
            </w:r>
          </w:p>
        </w:tc>
        <w:tc>
          <w:tcPr>
            <w:tcW w:w="861"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812686" w:rsidRPr="00B22AC3" w:rsidRDefault="00812686" w:rsidP="00812686">
            <w:pPr>
              <w:spacing w:after="0" w:line="240" w:lineRule="auto"/>
              <w:jc w:val="center"/>
              <w:rPr>
                <w:rFonts w:ascii="Times New Roman" w:hAnsi="Times New Roman" w:cs="Times New Roman"/>
                <w:b/>
                <w:bCs/>
                <w:sz w:val="20"/>
                <w:szCs w:val="20"/>
              </w:rPr>
            </w:pPr>
            <w:r w:rsidRPr="00B22AC3">
              <w:rPr>
                <w:rFonts w:ascii="Times New Roman" w:hAnsi="Times New Roman" w:cs="Times New Roman"/>
                <w:b/>
                <w:bCs/>
                <w:sz w:val="20"/>
                <w:szCs w:val="20"/>
              </w:rPr>
              <w:t>max</w:t>
            </w:r>
          </w:p>
        </w:tc>
      </w:tr>
      <w:tr w:rsidR="00812686" w:rsidRPr="00B22AC3" w:rsidTr="00812686">
        <w:trPr>
          <w:trHeight w:val="300"/>
          <w:jc w:val="center"/>
        </w:trPr>
        <w:tc>
          <w:tcPr>
            <w:tcW w:w="1581"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rPr>
                <w:rFonts w:ascii="Times New Roman" w:hAnsi="Times New Roman" w:cs="Times New Roman"/>
                <w:color w:val="000000"/>
                <w:sz w:val="20"/>
                <w:szCs w:val="20"/>
              </w:rPr>
            </w:pPr>
            <w:r w:rsidRPr="00B22AC3">
              <w:rPr>
                <w:rFonts w:ascii="Times New Roman" w:hAnsi="Times New Roman" w:cs="Times New Roman"/>
                <w:color w:val="000000"/>
                <w:sz w:val="20"/>
                <w:szCs w:val="20"/>
              </w:rPr>
              <w:t>Short-Term Episodes Only</w:t>
            </w:r>
          </w:p>
        </w:tc>
        <w:tc>
          <w:tcPr>
            <w:tcW w:w="1136"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7,566</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92.8%</w:t>
            </w:r>
          </w:p>
        </w:tc>
        <w:tc>
          <w:tcPr>
            <w:tcW w:w="720"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7.3%</w:t>
            </w:r>
          </w:p>
        </w:tc>
        <w:tc>
          <w:tcPr>
            <w:tcW w:w="1170"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192.1</w:t>
            </w:r>
          </w:p>
        </w:tc>
        <w:tc>
          <w:tcPr>
            <w:tcW w:w="68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0.0%</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84.6%</w:t>
            </w:r>
          </w:p>
        </w:tc>
        <w:tc>
          <w:tcPr>
            <w:tcW w:w="81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90.3%</w:t>
            </w:r>
          </w:p>
        </w:tc>
        <w:tc>
          <w:tcPr>
            <w:tcW w:w="81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94.4%</w:t>
            </w:r>
          </w:p>
        </w:tc>
        <w:tc>
          <w:tcPr>
            <w:tcW w:w="82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97.4%</w:t>
            </w:r>
          </w:p>
        </w:tc>
        <w:tc>
          <w:tcPr>
            <w:tcW w:w="915"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100.0%</w:t>
            </w:r>
          </w:p>
        </w:tc>
        <w:tc>
          <w:tcPr>
            <w:tcW w:w="86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100.0%</w:t>
            </w:r>
          </w:p>
        </w:tc>
      </w:tr>
      <w:tr w:rsidR="00812686" w:rsidRPr="00B22AC3" w:rsidTr="00812686">
        <w:trPr>
          <w:trHeight w:val="300"/>
          <w:jc w:val="center"/>
        </w:trPr>
        <w:tc>
          <w:tcPr>
            <w:tcW w:w="1581"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rPr>
                <w:rFonts w:ascii="Times New Roman" w:hAnsi="Times New Roman" w:cs="Times New Roman"/>
                <w:color w:val="000000"/>
                <w:sz w:val="20"/>
                <w:szCs w:val="20"/>
              </w:rPr>
            </w:pPr>
            <w:r w:rsidRPr="00B22AC3">
              <w:rPr>
                <w:rFonts w:ascii="Times New Roman" w:hAnsi="Times New Roman" w:cs="Times New Roman"/>
                <w:color w:val="000000"/>
                <w:sz w:val="20"/>
                <w:szCs w:val="20"/>
              </w:rPr>
              <w:t>Long-Term Episodes Only</w:t>
            </w:r>
          </w:p>
        </w:tc>
        <w:tc>
          <w:tcPr>
            <w:tcW w:w="1136"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5,221</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93.2%</w:t>
            </w:r>
          </w:p>
        </w:tc>
        <w:tc>
          <w:tcPr>
            <w:tcW w:w="720"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7.0%</w:t>
            </w:r>
          </w:p>
        </w:tc>
        <w:tc>
          <w:tcPr>
            <w:tcW w:w="1170"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77.0</w:t>
            </w:r>
          </w:p>
        </w:tc>
        <w:tc>
          <w:tcPr>
            <w:tcW w:w="68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1.5%</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84.8%</w:t>
            </w:r>
          </w:p>
        </w:tc>
        <w:tc>
          <w:tcPr>
            <w:tcW w:w="81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90.7%</w:t>
            </w:r>
          </w:p>
        </w:tc>
        <w:tc>
          <w:tcPr>
            <w:tcW w:w="81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95.0%</w:t>
            </w:r>
          </w:p>
        </w:tc>
        <w:tc>
          <w:tcPr>
            <w:tcW w:w="82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97.7%</w:t>
            </w:r>
          </w:p>
        </w:tc>
        <w:tc>
          <w:tcPr>
            <w:tcW w:w="915"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100.0%</w:t>
            </w:r>
          </w:p>
        </w:tc>
        <w:tc>
          <w:tcPr>
            <w:tcW w:w="86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100.0%</w:t>
            </w:r>
          </w:p>
        </w:tc>
      </w:tr>
      <w:tr w:rsidR="00812686" w:rsidRPr="00B22AC3" w:rsidTr="00812686">
        <w:trPr>
          <w:trHeight w:val="300"/>
          <w:jc w:val="center"/>
        </w:trPr>
        <w:tc>
          <w:tcPr>
            <w:tcW w:w="1581"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rPr>
                <w:rFonts w:ascii="Times New Roman" w:hAnsi="Times New Roman" w:cs="Times New Roman"/>
                <w:color w:val="000000"/>
                <w:sz w:val="20"/>
                <w:szCs w:val="20"/>
              </w:rPr>
            </w:pPr>
            <w:r w:rsidRPr="00B22AC3">
              <w:rPr>
                <w:rFonts w:ascii="Times New Roman" w:hAnsi="Times New Roman" w:cs="Times New Roman"/>
                <w:color w:val="000000"/>
                <w:sz w:val="20"/>
                <w:szCs w:val="20"/>
              </w:rPr>
              <w:t>All-Episodes</w:t>
            </w:r>
          </w:p>
        </w:tc>
        <w:tc>
          <w:tcPr>
            <w:tcW w:w="1136"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8,822</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92.9%</w:t>
            </w:r>
          </w:p>
        </w:tc>
        <w:tc>
          <w:tcPr>
            <w:tcW w:w="720" w:type="dxa"/>
            <w:tcBorders>
              <w:top w:val="single" w:sz="4" w:space="0" w:color="auto"/>
              <w:left w:val="single" w:sz="4" w:space="0" w:color="auto"/>
              <w:bottom w:val="single" w:sz="4" w:space="0" w:color="auto"/>
              <w:right w:val="single" w:sz="4" w:space="0" w:color="auto"/>
            </w:tcBorders>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7.2%</w:t>
            </w:r>
          </w:p>
        </w:tc>
        <w:tc>
          <w:tcPr>
            <w:tcW w:w="1170"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216.2</w:t>
            </w:r>
          </w:p>
        </w:tc>
        <w:tc>
          <w:tcPr>
            <w:tcW w:w="68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0.7%</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85.0%</w:t>
            </w:r>
          </w:p>
        </w:tc>
        <w:tc>
          <w:tcPr>
            <w:tcW w:w="81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90.5%</w:t>
            </w:r>
          </w:p>
        </w:tc>
        <w:tc>
          <w:tcPr>
            <w:tcW w:w="81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94.6%</w:t>
            </w:r>
          </w:p>
        </w:tc>
        <w:tc>
          <w:tcPr>
            <w:tcW w:w="824"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97.4%</w:t>
            </w:r>
          </w:p>
        </w:tc>
        <w:tc>
          <w:tcPr>
            <w:tcW w:w="915"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100.0%</w:t>
            </w:r>
          </w:p>
        </w:tc>
        <w:tc>
          <w:tcPr>
            <w:tcW w:w="861" w:type="dxa"/>
            <w:tcBorders>
              <w:top w:val="single" w:sz="4" w:space="0" w:color="auto"/>
              <w:left w:val="single" w:sz="4" w:space="0" w:color="auto"/>
              <w:bottom w:val="single" w:sz="4" w:space="0" w:color="auto"/>
              <w:right w:val="single" w:sz="4" w:space="0" w:color="auto"/>
            </w:tcBorders>
            <w:noWrap/>
            <w:vAlign w:val="center"/>
            <w:hideMark/>
          </w:tcPr>
          <w:p w:rsidR="00812686" w:rsidRPr="00B22AC3" w:rsidRDefault="00812686" w:rsidP="00812686">
            <w:pPr>
              <w:spacing w:after="0" w:line="240" w:lineRule="auto"/>
              <w:jc w:val="center"/>
              <w:rPr>
                <w:rFonts w:ascii="Times New Roman" w:hAnsi="Times New Roman" w:cs="Times New Roman"/>
                <w:color w:val="000000"/>
                <w:sz w:val="20"/>
                <w:szCs w:val="20"/>
              </w:rPr>
            </w:pPr>
            <w:r w:rsidRPr="00B22AC3">
              <w:rPr>
                <w:rFonts w:ascii="Times New Roman" w:hAnsi="Times New Roman" w:cs="Times New Roman"/>
                <w:color w:val="000000"/>
                <w:sz w:val="20"/>
                <w:szCs w:val="20"/>
              </w:rPr>
              <w:t>100.0%</w:t>
            </w:r>
          </w:p>
        </w:tc>
      </w:tr>
    </w:tbl>
    <w:p w:rsidR="00B22AC3" w:rsidRDefault="00B22AC3" w:rsidP="002A6AD2">
      <w:pPr>
        <w:rPr>
          <w:rFonts w:cstheme="minorHAnsi"/>
          <w:b/>
          <w:bCs/>
        </w:rPr>
      </w:pPr>
    </w:p>
    <w:p w:rsidR="002A6AD2" w:rsidRDefault="00092566" w:rsidP="002A6AD2">
      <w:pPr>
        <w:rPr>
          <w:rFonts w:ascii="Arial Narrow" w:hAnsi="Arial Narrow" w:cs="Arial"/>
          <w:color w:val="0000FF"/>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2A6AD2">
        <w:t>The exclusions are supported by sufficient frequency of occurrence.  The results would be distorted without the exclusions.</w:t>
      </w:r>
    </w:p>
    <w:p w:rsidR="00673F34" w:rsidRDefault="00673F34" w:rsidP="00673F34">
      <w:pPr>
        <w:spacing w:before="120"/>
      </w:pPr>
      <w:r>
        <w:t xml:space="preserve">Removing the long-term episodes exclusion (i.e., using all episodes of care rather than the short-term episodes only) does </w:t>
      </w:r>
      <w:r>
        <w:rPr>
          <w:i/>
        </w:rPr>
        <w:t>not</w:t>
      </w:r>
      <w:r>
        <w:t xml:space="preserve"> distort the results; the mean agency performance stays almost the same (~93.0%) as a result of this change.  Additionally, removing the long-term episodes exclusion (i.e., using all episodes of care rather than the short-term episodes only) actually causes the number of agencies eligible for the measure to increase from 7,566 to 8,822 and the average number of valid episodes per agency to increase from 192 to 216.  The table below shows the distribution of agency performance and number of agencies meeting the assessment threshold by episode type restriction. </w:t>
      </w:r>
    </w:p>
    <w:p w:rsidR="007422FD" w:rsidRPr="00A25024" w:rsidRDefault="007422FD" w:rsidP="00812686">
      <w:pPr>
        <w:rPr>
          <w:rFonts w:cstheme="minorHAnsi"/>
          <w:bCs/>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20" w:name="section2b4"/>
      <w:bookmarkEnd w:id="20"/>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64427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C3660E">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64427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64427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4427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C3660E">
        <w:rPr>
          <w:rFonts w:cstheme="minorHAnsi"/>
          <w:bCs/>
        </w:rPr>
        <w:t>Not applicable; this is a process measure.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C3660E">
        <w:rPr>
          <w:rFonts w:cstheme="minorHAnsi"/>
          <w:bCs/>
        </w:rPr>
        <w:t>Not applicable.</w:t>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C3660E">
        <w:rPr>
          <w:rFonts w:cstheme="minorHAnsi"/>
          <w:bCs/>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C3660E">
        <w:rPr>
          <w:rFonts w:cstheme="minorHAnsi"/>
          <w:bCs/>
        </w:rPr>
        <w:t>Not applicable.</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C3660E">
        <w:rPr>
          <w:rFonts w:cstheme="minorHAnsi"/>
          <w:bCs/>
        </w:rPr>
        <w:t>Not applicable.</w:t>
      </w:r>
    </w:p>
    <w:p w:rsidR="00C3660E" w:rsidRPr="00001D73" w:rsidRDefault="00C3660E"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C3660E">
        <w:rPr>
          <w:rFonts w:cstheme="minorHAnsi"/>
          <w:bCs/>
        </w:rPr>
        <w:t>Not applicable.</w:t>
      </w:r>
    </w:p>
    <w:p w:rsidR="00C3660E" w:rsidRDefault="00C3660E" w:rsidP="00092566">
      <w:pPr>
        <w:autoSpaceDE w:val="0"/>
        <w:autoSpaceDN w:val="0"/>
        <w:adjustRightInd w:val="0"/>
        <w:spacing w:after="0" w:line="240" w:lineRule="auto"/>
        <w:rPr>
          <w:rFonts w:cstheme="minorHAnsi"/>
          <w:b/>
          <w:bCs/>
        </w:rPr>
      </w:pPr>
    </w:p>
    <w:p w:rsidR="00C3660E"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C3660E">
        <w:rPr>
          <w:rFonts w:cstheme="minorHAnsi"/>
          <w:bCs/>
        </w:rPr>
        <w:t>Not applicable.</w:t>
      </w:r>
    </w:p>
    <w:p w:rsidR="00743E46" w:rsidRDefault="00092566" w:rsidP="00092566">
      <w:pPr>
        <w:autoSpaceDE w:val="0"/>
        <w:autoSpaceDN w:val="0"/>
        <w:adjustRightInd w:val="0"/>
        <w:spacing w:after="0" w:line="240" w:lineRule="auto"/>
        <w:rPr>
          <w:rFonts w:cstheme="minorHAnsi"/>
          <w:b/>
        </w:rPr>
      </w:pPr>
      <w:r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21" w:name="question2b49"/>
      <w:bookmarkEnd w:id="21"/>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C3660E" w:rsidRDefault="00C3660E" w:rsidP="00C3660E">
      <w:pPr>
        <w:rPr>
          <w:rFonts w:cstheme="minorHAnsi"/>
          <w:bCs/>
        </w:rPr>
      </w:pPr>
      <w:r>
        <w:rPr>
          <w:rFonts w:cstheme="minorHAnsi"/>
          <w:bCs/>
        </w:rPr>
        <w:t>Not applicable.</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C3660E">
        <w:rPr>
          <w:rFonts w:cstheme="minorHAnsi"/>
          <w:bCs/>
        </w:rPr>
        <w:t>Not applicable.</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C3660E" w:rsidP="00D61410">
      <w:pPr>
        <w:autoSpaceDE w:val="0"/>
        <w:autoSpaceDN w:val="0"/>
        <w:adjustRightInd w:val="0"/>
        <w:spacing w:after="0" w:line="240" w:lineRule="auto"/>
        <w:rPr>
          <w:rFonts w:cstheme="minorHAnsi"/>
          <w:b/>
          <w:bCs/>
        </w:rPr>
      </w:pPr>
      <w:r>
        <w:rPr>
          <w:rFonts w:cstheme="minorHAnsi"/>
          <w:bCs/>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22" w:name="section2b5"/>
      <w:bookmarkEnd w:id="22"/>
      <w:r w:rsidRPr="00A25024">
        <w:rPr>
          <w:rFonts w:cstheme="minorHAnsi"/>
          <w:b/>
          <w:bCs/>
        </w:rPr>
        <w:t>2b5. IDENTIFICATION OF STATISTICALLY SIGNIFICANT &amp; MEANINGFUL DIFFERENCES IN PERFORMANCE</w:t>
      </w:r>
    </w:p>
    <w:p w:rsidR="00C3660E" w:rsidRPr="00CD35D2" w:rsidRDefault="00D61410" w:rsidP="00C3660E">
      <w:pPr>
        <w:rPr>
          <w:rFonts w:ascii="Arial Narrow" w:hAnsi="Arial Narrow" w:cs="Arial"/>
          <w:b/>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roofErr w:type="gramStart"/>
      <w:r w:rsidR="00C3660E">
        <w:t>The</w:t>
      </w:r>
      <w:proofErr w:type="gramEnd"/>
      <w:r w:rsidR="00C3660E">
        <w:t xml:space="preserve"> distribution of agency rates was analyzed to determine the inter-quartile range and the 90</w:t>
      </w:r>
      <w:r w:rsidR="00C3660E">
        <w:rPr>
          <w:sz w:val="13"/>
          <w:szCs w:val="13"/>
        </w:rPr>
        <w:t xml:space="preserve">th </w:t>
      </w:r>
      <w:r w:rsidR="00C3660E">
        <w:t>vs. 10</w:t>
      </w:r>
      <w:r w:rsidR="00C3660E">
        <w:rPr>
          <w:sz w:val="13"/>
          <w:szCs w:val="13"/>
        </w:rPr>
        <w:t xml:space="preserve">th </w:t>
      </w:r>
      <w:r w:rsidR="00C3660E">
        <w:t xml:space="preserve">percentile differences.  </w:t>
      </w:r>
    </w:p>
    <w:p w:rsidR="008370A5"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8370A5" w:rsidRDefault="008370A5" w:rsidP="00D61410">
      <w:pPr>
        <w:autoSpaceDE w:val="0"/>
        <w:autoSpaceDN w:val="0"/>
        <w:adjustRightInd w:val="0"/>
        <w:spacing w:after="0" w:line="240" w:lineRule="auto"/>
        <w:rPr>
          <w:rFonts w:cstheme="minorHAnsi"/>
          <w:bCs/>
        </w:rPr>
      </w:pPr>
    </w:p>
    <w:p w:rsidR="008370A5" w:rsidRDefault="008370A5" w:rsidP="00D61410">
      <w:pPr>
        <w:autoSpaceDE w:val="0"/>
        <w:autoSpaceDN w:val="0"/>
        <w:adjustRightInd w:val="0"/>
        <w:spacing w:after="0" w:line="240" w:lineRule="auto"/>
        <w:rPr>
          <w:rFonts w:cstheme="minorHAnsi"/>
          <w:bCs/>
        </w:rPr>
      </w:pPr>
    </w:p>
    <w:p w:rsidR="008370A5" w:rsidRPr="00C3660E" w:rsidRDefault="008370A5" w:rsidP="00D61410">
      <w:pPr>
        <w:autoSpaceDE w:val="0"/>
        <w:autoSpaceDN w:val="0"/>
        <w:adjustRightInd w:val="0"/>
        <w:spacing w:after="0" w:line="240" w:lineRule="auto"/>
        <w:rPr>
          <w:rFonts w:cstheme="minorHAnsi"/>
          <w:bCs/>
        </w:rPr>
      </w:pPr>
    </w:p>
    <w:p w:rsidR="00812686" w:rsidRPr="00812686" w:rsidRDefault="00812686" w:rsidP="00812686">
      <w:pPr>
        <w:spacing w:after="0" w:line="240" w:lineRule="auto"/>
        <w:jc w:val="center"/>
        <w:rPr>
          <w:rFonts w:ascii="Calibri" w:hAnsi="Calibri"/>
          <w:b/>
          <w:i/>
        </w:rPr>
      </w:pPr>
      <w:r w:rsidRPr="00812686">
        <w:rPr>
          <w:rFonts w:ascii="Calibri" w:hAnsi="Calibri"/>
          <w:b/>
          <w:i/>
        </w:rPr>
        <w:t>Observed Measure Rates for Agencies with At Least 20 Valid Episodes</w:t>
      </w:r>
    </w:p>
    <w:tbl>
      <w:tblPr>
        <w:tblW w:w="48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2"/>
        <w:gridCol w:w="732"/>
        <w:gridCol w:w="875"/>
        <w:gridCol w:w="713"/>
        <w:gridCol w:w="759"/>
        <w:gridCol w:w="814"/>
        <w:gridCol w:w="814"/>
        <w:gridCol w:w="814"/>
        <w:gridCol w:w="849"/>
        <w:gridCol w:w="849"/>
      </w:tblGrid>
      <w:tr w:rsidR="00812686" w:rsidRPr="00C07C4D" w:rsidTr="00812686">
        <w:trPr>
          <w:trHeight w:val="413"/>
          <w:tblHeader/>
          <w:jc w:val="center"/>
        </w:trPr>
        <w:tc>
          <w:tcPr>
            <w:tcW w:w="1089" w:type="pct"/>
            <w:shd w:val="clear" w:color="auto" w:fill="CDECFF"/>
            <w:vAlign w:val="center"/>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Specification</w:t>
            </w:r>
          </w:p>
        </w:tc>
        <w:tc>
          <w:tcPr>
            <w:tcW w:w="396"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Mean</w:t>
            </w:r>
          </w:p>
        </w:tc>
        <w:tc>
          <w:tcPr>
            <w:tcW w:w="474"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St. Dev.</w:t>
            </w:r>
          </w:p>
        </w:tc>
        <w:tc>
          <w:tcPr>
            <w:tcW w:w="386" w:type="pct"/>
            <w:shd w:val="clear" w:color="auto" w:fill="CDECFF"/>
            <w:vAlign w:val="center"/>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Min</w:t>
            </w:r>
          </w:p>
        </w:tc>
        <w:tc>
          <w:tcPr>
            <w:tcW w:w="411"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10th</w:t>
            </w:r>
          </w:p>
        </w:tc>
        <w:tc>
          <w:tcPr>
            <w:tcW w:w="441"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25th</w:t>
            </w:r>
          </w:p>
        </w:tc>
        <w:tc>
          <w:tcPr>
            <w:tcW w:w="441"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50th</w:t>
            </w:r>
          </w:p>
        </w:tc>
        <w:tc>
          <w:tcPr>
            <w:tcW w:w="441"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75th</w:t>
            </w:r>
          </w:p>
        </w:tc>
        <w:tc>
          <w:tcPr>
            <w:tcW w:w="460"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90th</w:t>
            </w:r>
          </w:p>
        </w:tc>
        <w:tc>
          <w:tcPr>
            <w:tcW w:w="460" w:type="pct"/>
            <w:shd w:val="clear" w:color="auto" w:fill="CDECFF"/>
            <w:noWrap/>
            <w:vAlign w:val="center"/>
            <w:hideMark/>
          </w:tcPr>
          <w:p w:rsidR="00812686" w:rsidRPr="00D41096" w:rsidRDefault="00812686" w:rsidP="00812686">
            <w:pPr>
              <w:spacing w:after="0" w:line="240" w:lineRule="auto"/>
              <w:jc w:val="center"/>
              <w:rPr>
                <w:rFonts w:ascii="Calibri" w:hAnsi="Calibri"/>
                <w:b/>
                <w:color w:val="000000"/>
                <w:sz w:val="20"/>
                <w:szCs w:val="20"/>
              </w:rPr>
            </w:pPr>
            <w:r w:rsidRPr="00D41096">
              <w:rPr>
                <w:rFonts w:ascii="Calibri" w:hAnsi="Calibri"/>
                <w:b/>
                <w:color w:val="000000"/>
                <w:sz w:val="20"/>
                <w:szCs w:val="20"/>
              </w:rPr>
              <w:t>Max</w:t>
            </w:r>
          </w:p>
        </w:tc>
      </w:tr>
      <w:tr w:rsidR="00812686" w:rsidRPr="00C07C4D" w:rsidTr="00812686">
        <w:trPr>
          <w:trHeight w:val="460"/>
          <w:jc w:val="center"/>
        </w:trPr>
        <w:tc>
          <w:tcPr>
            <w:tcW w:w="1089" w:type="pct"/>
            <w:shd w:val="clear" w:color="000000" w:fill="FFFFFF"/>
            <w:vAlign w:val="center"/>
          </w:tcPr>
          <w:p w:rsidR="00812686" w:rsidRPr="00D41096" w:rsidRDefault="00812686" w:rsidP="00812686">
            <w:pPr>
              <w:spacing w:after="0" w:line="240" w:lineRule="auto"/>
              <w:jc w:val="center"/>
              <w:rPr>
                <w:rFonts w:ascii="Calibri" w:hAnsi="Calibri"/>
                <w:color w:val="000000"/>
                <w:sz w:val="20"/>
                <w:szCs w:val="20"/>
              </w:rPr>
            </w:pPr>
            <w:r w:rsidRPr="00D41096">
              <w:rPr>
                <w:rFonts w:ascii="Calibri" w:hAnsi="Calibri"/>
                <w:color w:val="000000"/>
                <w:sz w:val="20"/>
                <w:szCs w:val="20"/>
              </w:rPr>
              <w:t xml:space="preserve">Observed Rates </w:t>
            </w:r>
          </w:p>
        </w:tc>
        <w:tc>
          <w:tcPr>
            <w:tcW w:w="396"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92.9%</w:t>
            </w:r>
          </w:p>
        </w:tc>
        <w:tc>
          <w:tcPr>
            <w:tcW w:w="474"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7.2%</w:t>
            </w:r>
          </w:p>
        </w:tc>
        <w:tc>
          <w:tcPr>
            <w:tcW w:w="386" w:type="pct"/>
            <w:shd w:val="clear" w:color="000000" w:fill="FFFFFF"/>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0.7%</w:t>
            </w:r>
          </w:p>
        </w:tc>
        <w:tc>
          <w:tcPr>
            <w:tcW w:w="411"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85.0%</w:t>
            </w:r>
          </w:p>
        </w:tc>
        <w:tc>
          <w:tcPr>
            <w:tcW w:w="441"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90.5%</w:t>
            </w:r>
          </w:p>
        </w:tc>
        <w:tc>
          <w:tcPr>
            <w:tcW w:w="441"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94.6%</w:t>
            </w:r>
          </w:p>
        </w:tc>
        <w:tc>
          <w:tcPr>
            <w:tcW w:w="441"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97.4%</w:t>
            </w:r>
          </w:p>
        </w:tc>
        <w:tc>
          <w:tcPr>
            <w:tcW w:w="460"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100.0%</w:t>
            </w:r>
          </w:p>
        </w:tc>
        <w:tc>
          <w:tcPr>
            <w:tcW w:w="460" w:type="pct"/>
            <w:shd w:val="clear" w:color="000000" w:fill="FFFFFF"/>
            <w:noWrap/>
            <w:vAlign w:val="center"/>
          </w:tcPr>
          <w:p w:rsidR="00812686" w:rsidRPr="00D41096" w:rsidRDefault="00812686" w:rsidP="00812686">
            <w:pPr>
              <w:spacing w:after="0" w:line="240" w:lineRule="auto"/>
              <w:jc w:val="center"/>
              <w:rPr>
                <w:rFonts w:ascii="Calibri" w:hAnsi="Calibri"/>
                <w:color w:val="000000"/>
                <w:sz w:val="20"/>
                <w:szCs w:val="20"/>
              </w:rPr>
            </w:pPr>
            <w:r>
              <w:rPr>
                <w:rFonts w:ascii="Calibri" w:hAnsi="Calibri"/>
                <w:color w:val="000000"/>
                <w:sz w:val="20"/>
                <w:szCs w:val="20"/>
              </w:rPr>
              <w:t>100.0%</w:t>
            </w:r>
          </w:p>
        </w:tc>
      </w:tr>
    </w:tbl>
    <w:p w:rsidR="00812686" w:rsidRPr="00CD35D2" w:rsidRDefault="00812686" w:rsidP="00812686">
      <w:pPr>
        <w:rPr>
          <w:rFonts w:ascii="Arial Narrow" w:hAnsi="Arial Narrow" w:cs="Arial"/>
          <w:b/>
          <w:bCs/>
        </w:rPr>
      </w:pPr>
    </w:p>
    <w:p w:rsidR="00812686" w:rsidRPr="00075BE3" w:rsidRDefault="00812686" w:rsidP="00812686">
      <w:r w:rsidRPr="00075BE3">
        <w:t>Inter-quartile range (75</w:t>
      </w:r>
      <w:r w:rsidRPr="00075BE3">
        <w:rPr>
          <w:sz w:val="13"/>
          <w:szCs w:val="13"/>
        </w:rPr>
        <w:t xml:space="preserve">th </w:t>
      </w:r>
      <w:r w:rsidRPr="00075BE3">
        <w:t>– 25</w:t>
      </w:r>
      <w:r w:rsidRPr="00075BE3">
        <w:rPr>
          <w:sz w:val="13"/>
          <w:szCs w:val="13"/>
        </w:rPr>
        <w:t>th</w:t>
      </w:r>
      <w:r w:rsidRPr="00075BE3">
        <w:t xml:space="preserve">) = </w:t>
      </w:r>
      <w:r>
        <w:t>97</w:t>
      </w:r>
      <w:r w:rsidRPr="00075BE3">
        <w:t>.</w:t>
      </w:r>
      <w:r>
        <w:t>4%</w:t>
      </w:r>
      <w:r w:rsidRPr="00075BE3">
        <w:t xml:space="preserve"> –</w:t>
      </w:r>
      <w:r>
        <w:t xml:space="preserve"> 90.5%</w:t>
      </w:r>
      <w:r w:rsidRPr="00075BE3">
        <w:t xml:space="preserve"> = </w:t>
      </w:r>
      <w:r>
        <w:t>6</w:t>
      </w:r>
      <w:r w:rsidRPr="00075BE3">
        <w:t>.</w:t>
      </w:r>
      <w:r>
        <w:t>9%</w:t>
      </w:r>
      <w:r w:rsidRPr="00075BE3">
        <w:t xml:space="preserve"> </w:t>
      </w:r>
    </w:p>
    <w:p w:rsidR="00812686" w:rsidRPr="00075BE3" w:rsidRDefault="00812686" w:rsidP="00812686">
      <w:r w:rsidRPr="00075BE3">
        <w:t>90</w:t>
      </w:r>
      <w:r w:rsidRPr="00075BE3">
        <w:rPr>
          <w:sz w:val="13"/>
          <w:szCs w:val="13"/>
        </w:rPr>
        <w:t xml:space="preserve">th </w:t>
      </w:r>
      <w:r w:rsidRPr="00075BE3">
        <w:t>– 10</w:t>
      </w:r>
      <w:r w:rsidRPr="00075BE3">
        <w:rPr>
          <w:sz w:val="13"/>
          <w:szCs w:val="13"/>
        </w:rPr>
        <w:t xml:space="preserve">th </w:t>
      </w:r>
      <w:r w:rsidRPr="00075BE3">
        <w:t>percentile = 1</w:t>
      </w:r>
      <w:r>
        <w:t>00.0%</w:t>
      </w:r>
      <w:r w:rsidRPr="00075BE3">
        <w:t xml:space="preserve"> –</w:t>
      </w:r>
      <w:r>
        <w:t xml:space="preserve"> 85.0% = 15.0%</w:t>
      </w:r>
      <w:r w:rsidRPr="00075BE3">
        <w:t xml:space="preserve"> </w:t>
      </w:r>
    </w:p>
    <w:p w:rsidR="00812686" w:rsidRDefault="00D61410" w:rsidP="00812686">
      <w:pPr>
        <w:autoSpaceDE w:val="0"/>
        <w:autoSpaceDN w:val="0"/>
        <w:adjustRightInd w:val="0"/>
        <w:spacing w:after="0" w:line="240" w:lineRule="auto"/>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812686">
        <w:t>A</w:t>
      </w:r>
      <w:r w:rsidR="00812686" w:rsidRPr="00075BE3">
        <w:t>n agency at the 75th percentile still has a</w:t>
      </w:r>
      <w:r w:rsidR="00812686">
        <w:t xml:space="preserve"> performance rate</w:t>
      </w:r>
      <w:r w:rsidR="00812686" w:rsidRPr="00075BE3">
        <w:t xml:space="preserve"> that is </w:t>
      </w:r>
      <w:r w:rsidR="00812686">
        <w:t>6</w:t>
      </w:r>
      <w:r w:rsidR="00812686" w:rsidRPr="00075BE3">
        <w:t>.</w:t>
      </w:r>
      <w:r w:rsidR="00812686">
        <w:t>9</w:t>
      </w:r>
      <w:r w:rsidR="00812686" w:rsidRPr="00075BE3">
        <w:t xml:space="preserve"> percentage points higher than an agency at the 25</w:t>
      </w:r>
      <w:r w:rsidR="00812686" w:rsidRPr="000B6514">
        <w:rPr>
          <w:vertAlign w:val="superscript"/>
        </w:rPr>
        <w:t>th</w:t>
      </w:r>
      <w:r w:rsidR="00812686">
        <w:t xml:space="preserve"> percentile, meaning the poorer quality agency performs considerably worse on the measure than the agency providing better quality care.</w:t>
      </w:r>
    </w:p>
    <w:p w:rsidR="00D61410" w:rsidRPr="00A25024" w:rsidRDefault="00D61410"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C3660E" w:rsidRPr="00CD35D2" w:rsidRDefault="00E1508F" w:rsidP="00C3660E">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F06B5" w:rsidRPr="00A25024">
        <w:rPr>
          <w:rFonts w:cstheme="minorHAnsi"/>
          <w:bCs/>
        </w:rPr>
        <w:t>)</w:t>
      </w:r>
      <w:proofErr w:type="gramEnd"/>
      <w:r w:rsidR="000F06B5" w:rsidRPr="00A25024">
        <w:rPr>
          <w:rFonts w:cstheme="minorHAnsi"/>
          <w:bCs/>
        </w:rPr>
        <w:br/>
      </w:r>
      <w:r w:rsidR="00C3660E">
        <w:t>Not applicable; this measure uses a single data source.</w:t>
      </w:r>
      <w:r w:rsidR="00C3660E" w:rsidRPr="00CD35D2">
        <w:t xml:space="preserve"> </w:t>
      </w: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C3660E">
        <w:rPr>
          <w:rFonts w:cstheme="minorHAnsi"/>
          <w:bCs/>
        </w:rPr>
        <w:t>Not applicable.</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C3660E">
        <w:rPr>
          <w:rFonts w:cstheme="minorHAnsi"/>
          <w:bCs/>
        </w:rPr>
        <w:t>Not applicable.</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002568C8">
        <w:rPr>
          <w:rFonts w:cstheme="minorHAnsi"/>
          <w:bCs/>
        </w:rPr>
        <w:t xml:space="preserve">There are minimal issues with missing data because the OASIS submission system rejects assessments with missing values, and the provider must then resubmit the assessment.  The system’s skip pattern specifies that </w:t>
      </w:r>
      <w:r w:rsidR="00910BAE">
        <w:rPr>
          <w:rFonts w:cstheme="minorHAnsi"/>
          <w:bCs/>
        </w:rPr>
        <w:t>M1500</w:t>
      </w:r>
      <w:r w:rsidR="002568C8">
        <w:rPr>
          <w:rFonts w:cstheme="minorHAnsi"/>
          <w:bCs/>
        </w:rPr>
        <w:t xml:space="preserve"> would not be completed for episodes that end in patient death; these episodes are excluded from the calculations.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Pr="009149A1" w:rsidRDefault="008F7E67" w:rsidP="009149A1">
      <w:pPr>
        <w:pStyle w:val="NormalWeb"/>
        <w:spacing w:after="240"/>
        <w:rPr>
          <w:rFonts w:asciiTheme="minorHAnsi" w:hAnsiTheme="minorHAnsi" w:cstheme="minorHAnsi"/>
          <w:bCs/>
          <w:sz w:val="22"/>
          <w:szCs w:val="22"/>
        </w:rPr>
      </w:pPr>
      <w:r w:rsidRPr="009149A1">
        <w:rPr>
          <w:rFonts w:asciiTheme="minorHAnsi" w:hAnsiTheme="minorHAnsi" w:cstheme="minorHAnsi"/>
          <w:b/>
          <w:bCs/>
          <w:sz w:val="22"/>
          <w:szCs w:val="22"/>
        </w:rPr>
        <w:t xml:space="preserve">2b7.2. </w:t>
      </w:r>
      <w:proofErr w:type="gramStart"/>
      <w:r w:rsidR="00145D4F" w:rsidRPr="009149A1">
        <w:rPr>
          <w:rFonts w:asciiTheme="minorHAnsi" w:hAnsiTheme="minorHAnsi" w:cstheme="minorHAnsi"/>
          <w:b/>
          <w:bCs/>
          <w:sz w:val="22"/>
          <w:szCs w:val="22"/>
        </w:rPr>
        <w:t>What</w:t>
      </w:r>
      <w:proofErr w:type="gramEnd"/>
      <w:r w:rsidR="00145D4F" w:rsidRPr="009149A1">
        <w:rPr>
          <w:rFonts w:asciiTheme="minorHAnsi" w:hAnsiTheme="minorHAnsi" w:cstheme="minorHAnsi"/>
          <w:b/>
          <w:bCs/>
          <w:sz w:val="22"/>
          <w:szCs w:val="22"/>
        </w:rPr>
        <w:t xml:space="preserve"> is the overall frequency of missing data</w:t>
      </w:r>
      <w:r w:rsidR="005560E7" w:rsidRPr="009149A1">
        <w:rPr>
          <w:rFonts w:asciiTheme="minorHAnsi" w:hAnsiTheme="minorHAnsi" w:cstheme="minorHAnsi"/>
          <w:b/>
          <w:bCs/>
          <w:sz w:val="22"/>
          <w:szCs w:val="22"/>
        </w:rPr>
        <w:t>,</w:t>
      </w:r>
      <w:r w:rsidR="00145D4F" w:rsidRPr="009149A1">
        <w:rPr>
          <w:rFonts w:asciiTheme="minorHAnsi" w:hAnsiTheme="minorHAnsi" w:cstheme="minorHAnsi"/>
          <w:b/>
          <w:bCs/>
          <w:sz w:val="22"/>
          <w:szCs w:val="22"/>
        </w:rPr>
        <w:t xml:space="preserve"> the distribution of missing data across providers</w:t>
      </w:r>
      <w:r w:rsidR="005560E7" w:rsidRPr="009149A1">
        <w:rPr>
          <w:rFonts w:asciiTheme="minorHAnsi" w:hAnsiTheme="minorHAnsi" w:cstheme="minorHAnsi"/>
          <w:b/>
          <w:bCs/>
          <w:sz w:val="22"/>
          <w:szCs w:val="22"/>
        </w:rPr>
        <w:t>,</w:t>
      </w:r>
      <w:r w:rsidR="00145D4F" w:rsidRPr="009149A1">
        <w:rPr>
          <w:rFonts w:asciiTheme="minorHAnsi" w:hAnsiTheme="minorHAnsi" w:cstheme="minorHAnsi"/>
          <w:b/>
          <w:bCs/>
          <w:sz w:val="22"/>
          <w:szCs w:val="22"/>
        </w:rPr>
        <w:t xml:space="preserve"> and the</w:t>
      </w:r>
      <w:r w:rsidRPr="009149A1">
        <w:rPr>
          <w:rFonts w:asciiTheme="minorHAnsi" w:hAnsiTheme="minorHAnsi" w:cstheme="minorHAnsi"/>
          <w:b/>
          <w:bCs/>
          <w:sz w:val="22"/>
          <w:szCs w:val="22"/>
        </w:rPr>
        <w:t xml:space="preserve"> results from testing </w:t>
      </w:r>
      <w:r w:rsidR="00771B2A" w:rsidRPr="009149A1">
        <w:rPr>
          <w:rFonts w:asciiTheme="minorHAnsi" w:hAnsiTheme="minorHAnsi" w:cstheme="minorHAnsi"/>
          <w:b/>
          <w:bCs/>
          <w:sz w:val="22"/>
          <w:szCs w:val="22"/>
        </w:rPr>
        <w:t>related to missing data</w:t>
      </w:r>
      <w:r w:rsidRPr="009149A1">
        <w:rPr>
          <w:rFonts w:asciiTheme="minorHAnsi" w:hAnsiTheme="minorHAnsi" w:cstheme="minorHAnsi"/>
          <w:b/>
          <w:bCs/>
          <w:sz w:val="22"/>
          <w:szCs w:val="22"/>
        </w:rPr>
        <w:t>?</w:t>
      </w:r>
      <w:r w:rsidRPr="009149A1">
        <w:rPr>
          <w:rFonts w:asciiTheme="minorHAnsi" w:hAnsiTheme="minorHAnsi" w:cstheme="minorHAnsi"/>
          <w:bCs/>
          <w:sz w:val="22"/>
          <w:szCs w:val="22"/>
        </w:rPr>
        <w:t xml:space="preserve"> (</w:t>
      </w:r>
      <w:r w:rsidRPr="009149A1">
        <w:rPr>
          <w:rFonts w:asciiTheme="minorHAnsi" w:hAnsiTheme="minorHAnsi" w:cstheme="minorHAnsi"/>
          <w:bCs/>
          <w:i/>
          <w:sz w:val="22"/>
          <w:szCs w:val="22"/>
        </w:rPr>
        <w:t>e.g.,</w:t>
      </w:r>
      <w:r w:rsidR="008B604D" w:rsidRPr="009149A1">
        <w:rPr>
          <w:rFonts w:asciiTheme="minorHAnsi" w:hAnsiTheme="minorHAnsi" w:cstheme="minorHAnsi"/>
          <w:b/>
          <w:bCs/>
          <w:sz w:val="22"/>
          <w:szCs w:val="22"/>
        </w:rPr>
        <w:t xml:space="preserve"> </w:t>
      </w:r>
      <w:r w:rsidR="00145D4F" w:rsidRPr="009149A1">
        <w:rPr>
          <w:rFonts w:asciiTheme="minorHAnsi" w:hAnsiTheme="minorHAnsi" w:cstheme="minorHAnsi"/>
          <w:bCs/>
          <w:i/>
          <w:sz w:val="22"/>
          <w:szCs w:val="22"/>
        </w:rPr>
        <w:t xml:space="preserve">results of sensitivity analysis of </w:t>
      </w:r>
      <w:r w:rsidR="005560E7" w:rsidRPr="009149A1">
        <w:rPr>
          <w:rFonts w:asciiTheme="minorHAnsi" w:hAnsiTheme="minorHAnsi" w:cstheme="minorHAnsi"/>
          <w:bCs/>
          <w:i/>
          <w:sz w:val="22"/>
          <w:szCs w:val="22"/>
        </w:rPr>
        <w:t xml:space="preserve">the </w:t>
      </w:r>
      <w:r w:rsidR="00145D4F" w:rsidRPr="009149A1">
        <w:rPr>
          <w:rFonts w:asciiTheme="minorHAnsi" w:hAnsiTheme="minorHAnsi" w:cstheme="minorHAnsi"/>
          <w:bCs/>
          <w:i/>
          <w:sz w:val="22"/>
          <w:szCs w:val="22"/>
        </w:rPr>
        <w:t xml:space="preserve">effect of various rules for missing data/nonresponse; </w:t>
      </w:r>
      <w:r w:rsidR="00145D4F" w:rsidRPr="009149A1">
        <w:rPr>
          <w:rFonts w:asciiTheme="minorHAnsi" w:hAnsiTheme="minorHAnsi" w:cstheme="minorHAnsi"/>
          <w:bCs/>
          <w:i/>
          <w:sz w:val="22"/>
          <w:szCs w:val="22"/>
          <w:u w:val="single"/>
        </w:rPr>
        <w:t>if no empirical sensitivity analysis</w:t>
      </w:r>
      <w:r w:rsidR="00145D4F" w:rsidRPr="009149A1">
        <w:rPr>
          <w:rFonts w:asciiTheme="minorHAnsi" w:hAnsiTheme="minorHAnsi" w:cstheme="minorHAnsi"/>
          <w:bCs/>
          <w:i/>
          <w:sz w:val="22"/>
          <w:szCs w:val="22"/>
        </w:rPr>
        <w:t>, identify the approaches for handling missing data that were considered and pros and cons of each</w:t>
      </w:r>
      <w:r w:rsidRPr="009149A1">
        <w:rPr>
          <w:rFonts w:asciiTheme="minorHAnsi" w:hAnsiTheme="minorHAnsi" w:cstheme="minorHAnsi"/>
          <w:bCs/>
          <w:sz w:val="22"/>
          <w:szCs w:val="22"/>
        </w:rPr>
        <w:t>)</w:t>
      </w:r>
      <w:r w:rsidRPr="009149A1">
        <w:rPr>
          <w:rFonts w:asciiTheme="minorHAnsi" w:hAnsiTheme="minorHAnsi" w:cstheme="minorHAnsi"/>
          <w:bCs/>
          <w:sz w:val="22"/>
          <w:szCs w:val="22"/>
        </w:rPr>
        <w:br/>
      </w:r>
      <w:r w:rsidR="00B22AC3">
        <w:rPr>
          <w:rFonts w:cstheme="minorHAnsi"/>
          <w:bCs/>
        </w:rPr>
        <w:t xml:space="preserve">There are minimal issues with missing data because the OASIS submission system rejects assessments with missing values, and the provider must then resubmit the assessment.  The system’s skip pattern specifies that M1500 would not be completed for episodes that end in patient death; these episodes are excluded from the calculations.  </w:t>
      </w: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22AC3" w:rsidP="00B22AC3">
      <w:pPr>
        <w:autoSpaceDE w:val="0"/>
        <w:autoSpaceDN w:val="0"/>
        <w:adjustRightInd w:val="0"/>
        <w:spacing w:after="0" w:line="240" w:lineRule="auto"/>
        <w:rPr>
          <w:rFonts w:cstheme="minorHAnsi"/>
          <w:bCs/>
        </w:rPr>
      </w:pPr>
      <w:r>
        <w:rPr>
          <w:rFonts w:cstheme="minorHAnsi"/>
          <w:bCs/>
        </w:rPr>
        <w:t xml:space="preserve">There are minimal issues with missing data because the OASIS submission system rejects assessments with missing values, and the provider must then resubmit the assessment.  The system’s skip pattern specifies that M1500 would not be completed for episodes that end in patient death; these episodes are excluded from the calculations.  </w:t>
      </w: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644271">
      <w:rPr>
        <w:noProof/>
      </w:rPr>
      <w:t>6</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 w:id="1">
    <w:p w:rsidR="00B833B3" w:rsidRPr="00200CF9" w:rsidRDefault="00B833B3" w:rsidP="00B833B3">
      <w:pPr>
        <w:pStyle w:val="FootnoteText"/>
      </w:pPr>
      <w:r>
        <w:rPr>
          <w:rStyle w:val="FootnoteReference"/>
        </w:rPr>
        <w:footnoteRef/>
      </w:r>
      <w:r>
        <w:t xml:space="preserve"> </w:t>
      </w:r>
      <w:r w:rsidRPr="006A23D2">
        <w:t>For more information about re</w:t>
      </w:r>
      <w:r>
        <w:t xml:space="preserve">liability testing for </w:t>
      </w:r>
      <w:r w:rsidRPr="006A23D2">
        <w:t>performance measurement</w:t>
      </w:r>
      <w:r>
        <w:t>, as well as the methodology for constructing the reliability score reported on Table 6</w:t>
      </w:r>
      <w:r w:rsidRPr="006A23D2">
        <w:t>, see “Reliability of Provider Profiling: A Tutorial” by John Adams, RAND</w:t>
      </w:r>
      <w:r w:rsidRPr="004F4778">
        <w:t xml:space="preserve">.  </w:t>
      </w:r>
      <w:r w:rsidRPr="006A23D2">
        <w:t>http://www.rand.org/pubs/technical_reports/TR653.html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63D0E21"/>
    <w:multiLevelType w:val="hybridMultilevel"/>
    <w:tmpl w:val="7526C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7E15"/>
    <w:rsid w:val="00075A0C"/>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0806"/>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68C8"/>
    <w:rsid w:val="0025762F"/>
    <w:rsid w:val="0028114D"/>
    <w:rsid w:val="00287649"/>
    <w:rsid w:val="00287E84"/>
    <w:rsid w:val="0029286C"/>
    <w:rsid w:val="0029300E"/>
    <w:rsid w:val="002A6AD2"/>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0ECF"/>
    <w:rsid w:val="003116AC"/>
    <w:rsid w:val="00315567"/>
    <w:rsid w:val="00330144"/>
    <w:rsid w:val="00346245"/>
    <w:rsid w:val="003523C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036AA"/>
    <w:rsid w:val="0041606D"/>
    <w:rsid w:val="00416962"/>
    <w:rsid w:val="004348CC"/>
    <w:rsid w:val="004658FF"/>
    <w:rsid w:val="00474ED7"/>
    <w:rsid w:val="004756E1"/>
    <w:rsid w:val="0048008A"/>
    <w:rsid w:val="00483E94"/>
    <w:rsid w:val="00484120"/>
    <w:rsid w:val="004853A0"/>
    <w:rsid w:val="004950FE"/>
    <w:rsid w:val="00496B5F"/>
    <w:rsid w:val="004A2E10"/>
    <w:rsid w:val="004A7A06"/>
    <w:rsid w:val="004B17FF"/>
    <w:rsid w:val="004B1BA0"/>
    <w:rsid w:val="004B6CEE"/>
    <w:rsid w:val="004C2443"/>
    <w:rsid w:val="004C498F"/>
    <w:rsid w:val="004C5D29"/>
    <w:rsid w:val="004C681A"/>
    <w:rsid w:val="004D4D8A"/>
    <w:rsid w:val="004F426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87495"/>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44271"/>
    <w:rsid w:val="006574D2"/>
    <w:rsid w:val="006676D4"/>
    <w:rsid w:val="00673F3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40A7"/>
    <w:rsid w:val="00764839"/>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3D79"/>
    <w:rsid w:val="00804C69"/>
    <w:rsid w:val="0080711D"/>
    <w:rsid w:val="00812686"/>
    <w:rsid w:val="008155CD"/>
    <w:rsid w:val="00820EE2"/>
    <w:rsid w:val="00823EFD"/>
    <w:rsid w:val="00833325"/>
    <w:rsid w:val="008370A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0BAE"/>
    <w:rsid w:val="009149A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06B7F"/>
    <w:rsid w:val="00A22FA9"/>
    <w:rsid w:val="00A25024"/>
    <w:rsid w:val="00A35F8F"/>
    <w:rsid w:val="00A41377"/>
    <w:rsid w:val="00A4263D"/>
    <w:rsid w:val="00A509B8"/>
    <w:rsid w:val="00A52AB9"/>
    <w:rsid w:val="00A6210B"/>
    <w:rsid w:val="00A7323A"/>
    <w:rsid w:val="00A831B4"/>
    <w:rsid w:val="00A97798"/>
    <w:rsid w:val="00AA3EE7"/>
    <w:rsid w:val="00AA5213"/>
    <w:rsid w:val="00AA52CF"/>
    <w:rsid w:val="00AA65A6"/>
    <w:rsid w:val="00AC1D8E"/>
    <w:rsid w:val="00AC48FA"/>
    <w:rsid w:val="00AD0240"/>
    <w:rsid w:val="00AD4137"/>
    <w:rsid w:val="00AD7F63"/>
    <w:rsid w:val="00B037BA"/>
    <w:rsid w:val="00B20139"/>
    <w:rsid w:val="00B218DA"/>
    <w:rsid w:val="00B22AC3"/>
    <w:rsid w:val="00B342FA"/>
    <w:rsid w:val="00B43761"/>
    <w:rsid w:val="00B53E8B"/>
    <w:rsid w:val="00B774D2"/>
    <w:rsid w:val="00B8015A"/>
    <w:rsid w:val="00B82A57"/>
    <w:rsid w:val="00B833B3"/>
    <w:rsid w:val="00BA053B"/>
    <w:rsid w:val="00BB35AE"/>
    <w:rsid w:val="00BC03A1"/>
    <w:rsid w:val="00BC0D25"/>
    <w:rsid w:val="00BD2505"/>
    <w:rsid w:val="00BE592D"/>
    <w:rsid w:val="00BF21FE"/>
    <w:rsid w:val="00BF52B0"/>
    <w:rsid w:val="00BF5697"/>
    <w:rsid w:val="00C14CCC"/>
    <w:rsid w:val="00C22C1C"/>
    <w:rsid w:val="00C33F2E"/>
    <w:rsid w:val="00C34936"/>
    <w:rsid w:val="00C34C14"/>
    <w:rsid w:val="00C355B9"/>
    <w:rsid w:val="00C3660E"/>
    <w:rsid w:val="00C401C4"/>
    <w:rsid w:val="00C41680"/>
    <w:rsid w:val="00C60A25"/>
    <w:rsid w:val="00C765C5"/>
    <w:rsid w:val="00C82479"/>
    <w:rsid w:val="00C867F0"/>
    <w:rsid w:val="00C9633F"/>
    <w:rsid w:val="00CA06D8"/>
    <w:rsid w:val="00CA345A"/>
    <w:rsid w:val="00CB49FF"/>
    <w:rsid w:val="00CC02CF"/>
    <w:rsid w:val="00CC086A"/>
    <w:rsid w:val="00CC682C"/>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85F48"/>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A6AB4"/>
    <w:rsid w:val="00EC79DE"/>
    <w:rsid w:val="00ED4ACE"/>
    <w:rsid w:val="00EE1670"/>
    <w:rsid w:val="00EE4D35"/>
    <w:rsid w:val="00EF2DA7"/>
    <w:rsid w:val="00F435AA"/>
    <w:rsid w:val="00F45944"/>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paragraph" w:customStyle="1" w:styleId="Body125">
    <w:name w:val="Body 1.25"/>
    <w:basedOn w:val="BodyText"/>
    <w:link w:val="Body125Char"/>
    <w:uiPriority w:val="6"/>
    <w:qFormat/>
    <w:rsid w:val="00B833B3"/>
    <w:pPr>
      <w:spacing w:before="120" w:line="300" w:lineRule="auto"/>
      <w:ind w:firstLine="720"/>
    </w:pPr>
    <w:rPr>
      <w:rFonts w:ascii="Times New Roman" w:eastAsia="Calibri" w:hAnsi="Times New Roman" w:cs="Times New Roman"/>
      <w:color w:val="000000"/>
      <w:sz w:val="24"/>
      <w:szCs w:val="24"/>
    </w:rPr>
  </w:style>
  <w:style w:type="character" w:customStyle="1" w:styleId="Body125Char">
    <w:name w:val="Body 1.25 Char"/>
    <w:link w:val="Body125"/>
    <w:uiPriority w:val="6"/>
    <w:rsid w:val="00B833B3"/>
    <w:rPr>
      <w:rFonts w:ascii="Times New Roman" w:eastAsia="Calibri" w:hAnsi="Times New Roman" w:cs="Times New Roman"/>
      <w:color w:val="000000"/>
      <w:sz w:val="24"/>
      <w:szCs w:val="24"/>
    </w:rPr>
  </w:style>
  <w:style w:type="paragraph" w:styleId="BodyText">
    <w:name w:val="Body Text"/>
    <w:basedOn w:val="Normal"/>
    <w:link w:val="BodyTextChar"/>
    <w:uiPriority w:val="99"/>
    <w:semiHidden/>
    <w:unhideWhenUsed/>
    <w:rsid w:val="00B833B3"/>
    <w:pPr>
      <w:spacing w:after="120"/>
    </w:pPr>
  </w:style>
  <w:style w:type="character" w:customStyle="1" w:styleId="BodyTextChar">
    <w:name w:val="Body Text Char"/>
    <w:basedOn w:val="DefaultParagraphFont"/>
    <w:link w:val="BodyText"/>
    <w:uiPriority w:val="99"/>
    <w:semiHidden/>
    <w:rsid w:val="00B833B3"/>
  </w:style>
  <w:style w:type="character" w:customStyle="1" w:styleId="Style2Char">
    <w:name w:val="Style2 Char"/>
    <w:rsid w:val="00B833B3"/>
    <w:rPr>
      <w:rFonts w:ascii="Calibri" w:hAnsi="Calibri"/>
      <w:color w:val="000000"/>
    </w:rPr>
  </w:style>
  <w:style w:type="paragraph" w:customStyle="1" w:styleId="tt">
    <w:name w:val="tt"/>
    <w:aliases w:val="table text,Table Text"/>
    <w:basedOn w:val="Normal"/>
    <w:link w:val="ttChar"/>
    <w:uiPriority w:val="17"/>
    <w:qFormat/>
    <w:rsid w:val="00B833B3"/>
    <w:pPr>
      <w:spacing w:before="60" w:after="60" w:line="240" w:lineRule="auto"/>
      <w:ind w:left="432"/>
    </w:pPr>
    <w:rPr>
      <w:rFonts w:ascii="Arial Narrow" w:eastAsia="Times New Roman" w:hAnsi="Arial Narrow" w:cs="Times New Roman"/>
      <w:sz w:val="18"/>
      <w:szCs w:val="20"/>
    </w:rPr>
  </w:style>
  <w:style w:type="character" w:customStyle="1" w:styleId="ttChar">
    <w:name w:val="tt Char"/>
    <w:aliases w:val="table text Char,Table Text Char"/>
    <w:link w:val="tt"/>
    <w:uiPriority w:val="17"/>
    <w:locked/>
    <w:rsid w:val="00B833B3"/>
    <w:rPr>
      <w:rFonts w:ascii="Arial Narrow" w:eastAsia="Times New Roman" w:hAnsi="Arial Narrow" w:cs="Times New Roman"/>
      <w:sz w:val="18"/>
      <w:szCs w:val="20"/>
    </w:rPr>
  </w:style>
  <w:style w:type="character" w:customStyle="1" w:styleId="Style3Char">
    <w:name w:val="Style3 Char"/>
    <w:rsid w:val="00B833B3"/>
    <w:rPr>
      <w:rFonts w:ascii="Calibri" w:eastAsia="Times New Roman" w:hAnsi="Calibri"/>
      <w:b/>
    </w:rPr>
  </w:style>
  <w:style w:type="paragraph" w:styleId="NormalWeb">
    <w:name w:val="Normal (Web)"/>
    <w:basedOn w:val="Normal"/>
    <w:uiPriority w:val="99"/>
    <w:unhideWhenUsed/>
    <w:rsid w:val="00823EFD"/>
    <w:pPr>
      <w:spacing w:after="0" w:line="240" w:lineRule="auto"/>
    </w:pPr>
    <w:rPr>
      <w:rFonts w:ascii="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paragraph" w:customStyle="1" w:styleId="Body125">
    <w:name w:val="Body 1.25"/>
    <w:basedOn w:val="BodyText"/>
    <w:link w:val="Body125Char"/>
    <w:uiPriority w:val="6"/>
    <w:qFormat/>
    <w:rsid w:val="00B833B3"/>
    <w:pPr>
      <w:spacing w:before="120" w:line="300" w:lineRule="auto"/>
      <w:ind w:firstLine="720"/>
    </w:pPr>
    <w:rPr>
      <w:rFonts w:ascii="Times New Roman" w:eastAsia="Calibri" w:hAnsi="Times New Roman" w:cs="Times New Roman"/>
      <w:color w:val="000000"/>
      <w:sz w:val="24"/>
      <w:szCs w:val="24"/>
    </w:rPr>
  </w:style>
  <w:style w:type="character" w:customStyle="1" w:styleId="Body125Char">
    <w:name w:val="Body 1.25 Char"/>
    <w:link w:val="Body125"/>
    <w:uiPriority w:val="6"/>
    <w:rsid w:val="00B833B3"/>
    <w:rPr>
      <w:rFonts w:ascii="Times New Roman" w:eastAsia="Calibri" w:hAnsi="Times New Roman" w:cs="Times New Roman"/>
      <w:color w:val="000000"/>
      <w:sz w:val="24"/>
      <w:szCs w:val="24"/>
    </w:rPr>
  </w:style>
  <w:style w:type="paragraph" w:styleId="BodyText">
    <w:name w:val="Body Text"/>
    <w:basedOn w:val="Normal"/>
    <w:link w:val="BodyTextChar"/>
    <w:uiPriority w:val="99"/>
    <w:semiHidden/>
    <w:unhideWhenUsed/>
    <w:rsid w:val="00B833B3"/>
    <w:pPr>
      <w:spacing w:after="120"/>
    </w:pPr>
  </w:style>
  <w:style w:type="character" w:customStyle="1" w:styleId="BodyTextChar">
    <w:name w:val="Body Text Char"/>
    <w:basedOn w:val="DefaultParagraphFont"/>
    <w:link w:val="BodyText"/>
    <w:uiPriority w:val="99"/>
    <w:semiHidden/>
    <w:rsid w:val="00B833B3"/>
  </w:style>
  <w:style w:type="character" w:customStyle="1" w:styleId="Style2Char">
    <w:name w:val="Style2 Char"/>
    <w:rsid w:val="00B833B3"/>
    <w:rPr>
      <w:rFonts w:ascii="Calibri" w:hAnsi="Calibri"/>
      <w:color w:val="000000"/>
    </w:rPr>
  </w:style>
  <w:style w:type="paragraph" w:customStyle="1" w:styleId="tt">
    <w:name w:val="tt"/>
    <w:aliases w:val="table text,Table Text"/>
    <w:basedOn w:val="Normal"/>
    <w:link w:val="ttChar"/>
    <w:uiPriority w:val="17"/>
    <w:qFormat/>
    <w:rsid w:val="00B833B3"/>
    <w:pPr>
      <w:spacing w:before="60" w:after="60" w:line="240" w:lineRule="auto"/>
      <w:ind w:left="432"/>
    </w:pPr>
    <w:rPr>
      <w:rFonts w:ascii="Arial Narrow" w:eastAsia="Times New Roman" w:hAnsi="Arial Narrow" w:cs="Times New Roman"/>
      <w:sz w:val="18"/>
      <w:szCs w:val="20"/>
    </w:rPr>
  </w:style>
  <w:style w:type="character" w:customStyle="1" w:styleId="ttChar">
    <w:name w:val="tt Char"/>
    <w:aliases w:val="table text Char,Table Text Char"/>
    <w:link w:val="tt"/>
    <w:uiPriority w:val="17"/>
    <w:locked/>
    <w:rsid w:val="00B833B3"/>
    <w:rPr>
      <w:rFonts w:ascii="Arial Narrow" w:eastAsia="Times New Roman" w:hAnsi="Arial Narrow" w:cs="Times New Roman"/>
      <w:sz w:val="18"/>
      <w:szCs w:val="20"/>
    </w:rPr>
  </w:style>
  <w:style w:type="character" w:customStyle="1" w:styleId="Style3Char">
    <w:name w:val="Style3 Char"/>
    <w:rsid w:val="00B833B3"/>
    <w:rPr>
      <w:rFonts w:ascii="Calibri" w:eastAsia="Times New Roman" w:hAnsi="Calibri"/>
      <w:b/>
    </w:rPr>
  </w:style>
  <w:style w:type="paragraph" w:styleId="NormalWeb">
    <w:name w:val="Normal (Web)"/>
    <w:basedOn w:val="Normal"/>
    <w:uiPriority w:val="99"/>
    <w:unhideWhenUsed/>
    <w:rsid w:val="00823EFD"/>
    <w:pPr>
      <w:spacing w:after="0" w:line="240" w:lineRule="auto"/>
    </w:pPr>
    <w:rPr>
      <w:rFonts w:ascii="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093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9928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4729</Words>
  <Characters>26958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kchia</cp:lastModifiedBy>
  <cp:revision>4</cp:revision>
  <dcterms:created xsi:type="dcterms:W3CDTF">2014-01-08T22:47:00Z</dcterms:created>
  <dcterms:modified xsi:type="dcterms:W3CDTF">2014-01-08T22:48:00Z</dcterms:modified>
</cp:coreProperties>
</file>