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rsidR="00496AF8" w:rsidRPr="00496AF8" w:rsidRDefault="00496AF8" w:rsidP="002E2177">
      <w:pPr>
        <w:ind w:left="0" w:firstLine="0"/>
        <w:rPr>
          <w:noProof/>
        </w:rPr>
      </w:pPr>
    </w:p>
    <w:p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howingPlcHdr/>
        </w:sdtPr>
        <w:sdtEndPr>
          <w:rPr>
            <w:rStyle w:val="DefaultParagraphFont"/>
            <w:rFonts w:cstheme="minorHAnsi"/>
            <w:b/>
            <w:noProof/>
            <w:color w:val="auto"/>
          </w:rPr>
        </w:sdtEndPr>
        <w:sdtContent>
          <w:r w:rsidRPr="003B1CC5">
            <w:rPr>
              <w:rStyle w:val="PlaceholderText"/>
            </w:rPr>
            <w:t>Click here to enter NQF number</w:t>
          </w:r>
        </w:sdtContent>
      </w:sdt>
    </w:p>
    <w:p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7F20FA" w:rsidRPr="007F20FA">
            <w:rPr>
              <w:rStyle w:val="Style1"/>
            </w:rPr>
            <w:t>Percutaneous Coronary Intervention (PCI): Comprehensive Documentation of Indications for PCI</w:t>
          </w:r>
        </w:sdtContent>
      </w:sdt>
    </w:p>
    <w:p w:rsidR="00E97E59"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rsidR="00114848" w:rsidRPr="003B1CC5" w:rsidRDefault="00114848" w:rsidP="002E2177">
      <w:pPr>
        <w:ind w:left="0" w:firstLine="0"/>
        <w:rPr>
          <w:b/>
          <w:noProof/>
        </w:rPr>
      </w:pPr>
    </w:p>
    <w:p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rPr>
          <w:id w:val="-1689821638"/>
          <w:placeholder>
            <w:docPart w:val="6A100845774148B09AFD987423307E3B"/>
          </w:placeholder>
          <w:date w:fullDate="2013-12-23T00:00:00Z">
            <w:dateFormat w:val="M/d/yyyy"/>
            <w:lid w:val="en-US"/>
            <w:storeMappedDataAs w:val="dateTime"/>
            <w:calendar w:val="gregorian"/>
          </w:date>
        </w:sdtPr>
        <w:sdtEndPr>
          <w:rPr>
            <w:rStyle w:val="DefaultParagraphFont"/>
            <w:noProof/>
            <w:color w:val="auto"/>
            <w:u w:val="none"/>
          </w:rPr>
        </w:sdtEndPr>
        <w:sdtContent>
          <w:r w:rsidR="007F20FA">
            <w:rPr>
              <w:rStyle w:val="Style2"/>
            </w:rPr>
            <w:t>12/23/2013</w:t>
          </w:r>
        </w:sdtContent>
      </w:sdt>
    </w:p>
    <w:p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534"/>
      </w:tblGrid>
      <w:tr w:rsidR="00496AF8" w:rsidRPr="003B1CC5" w:rsidTr="00176E60">
        <w:trPr>
          <w:jc w:val="center"/>
        </w:trPr>
        <w:tc>
          <w:tcPr>
            <w:tcW w:w="9576" w:type="dxa"/>
          </w:tcPr>
          <w:p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rsidR="002F20A7" w:rsidRPr="003B1CC5" w:rsidRDefault="002F20A7" w:rsidP="00024526">
            <w:pPr>
              <w:pStyle w:val="ListParagraph"/>
              <w:numPr>
                <w:ilvl w:val="0"/>
                <w:numId w:val="5"/>
              </w:numPr>
              <w:spacing w:after="0" w:line="240" w:lineRule="auto"/>
            </w:pPr>
            <w:r w:rsidRPr="003B1CC5">
              <w:t xml:space="preserve">Respond to </w:t>
            </w:r>
            <w:r w:rsidR="00440687" w:rsidRPr="003B1CC5">
              <w:rPr>
                <w:u w:val="single"/>
              </w:rPr>
              <w:t>all</w:t>
            </w:r>
            <w:r w:rsidR="00440687" w:rsidRPr="003B1CC5">
              <w:t xml:space="preserve"> </w:t>
            </w:r>
            <w:r w:rsidRPr="003B1CC5">
              <w:t xml:space="preserve">questions </w:t>
            </w:r>
            <w:r w:rsidR="00440687" w:rsidRPr="003B1CC5">
              <w:t xml:space="preserve">as instructed </w:t>
            </w:r>
            <w:r w:rsidRPr="003B1CC5">
              <w:t>with answers imm</w:t>
            </w:r>
            <w:r w:rsidR="000A0810" w:rsidRPr="003B1CC5">
              <w:t>ediately following the question</w:t>
            </w:r>
            <w:r w:rsidRPr="003B1CC5">
              <w:t>.</w:t>
            </w:r>
            <w:r w:rsidR="008B652E" w:rsidRPr="003B1CC5">
              <w:t xml:space="preserve"> All information needed to demonstrate meeting the </w:t>
            </w:r>
            <w:r w:rsidR="008B652E" w:rsidRPr="003B1CC5">
              <w:rPr>
                <w:rFonts w:cstheme="minorHAnsi"/>
              </w:rPr>
              <w:t xml:space="preserve">evidence </w:t>
            </w:r>
            <w:r w:rsidR="00A13867" w:rsidRPr="003B1CC5">
              <w:rPr>
                <w:rFonts w:cstheme="minorHAnsi"/>
              </w:rPr>
              <w:t>sub</w:t>
            </w:r>
            <w:r w:rsidR="008B652E" w:rsidRPr="003B1CC5">
              <w:rPr>
                <w:rFonts w:cstheme="minorHAnsi"/>
              </w:rPr>
              <w:t>criterion (1a)</w:t>
            </w:r>
            <w:r w:rsidR="008B652E" w:rsidRPr="003B1CC5">
              <w:t xml:space="preserve"> must be in this form.  An appendix of </w:t>
            </w:r>
            <w:r w:rsidR="008B652E" w:rsidRPr="003B1CC5">
              <w:rPr>
                <w:i/>
              </w:rPr>
              <w:t>supplemental</w:t>
            </w:r>
            <w:r w:rsidR="008B652E" w:rsidRPr="003B1CC5">
              <w:t xml:space="preserve"> materials may be submitted, but there is no guarantee it will be reviewed.</w:t>
            </w:r>
          </w:p>
          <w:p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rsidR="00496AF8" w:rsidRPr="003B1CC5" w:rsidRDefault="002F20A7" w:rsidP="008B652E">
            <w:pPr>
              <w:pStyle w:val="ListParagraph"/>
              <w:numPr>
                <w:ilvl w:val="0"/>
                <w:numId w:val="5"/>
              </w:numPr>
              <w:spacing w:after="0" w:line="240" w:lineRule="auto"/>
            </w:pPr>
            <w:r w:rsidRPr="003B1CC5">
              <w:t xml:space="preserve">Maximum of </w:t>
            </w:r>
            <w:r w:rsidR="00235ADC" w:rsidRPr="003B1CC5">
              <w:t>10</w:t>
            </w:r>
            <w:r w:rsidR="00A421D4" w:rsidRPr="003B1CC5">
              <w:t xml:space="preserve"> pages (</w:t>
            </w:r>
            <w:r w:rsidR="00114848" w:rsidRPr="003B1CC5">
              <w:rPr>
                <w:i/>
              </w:rPr>
              <w:t>incudes questions/instructions</w:t>
            </w:r>
            <w:r w:rsidRPr="003B1CC5">
              <w:t>; minimum font size 11 pt</w:t>
            </w:r>
            <w:r w:rsidR="00114848" w:rsidRPr="003B1CC5">
              <w:t>; do not change margins).</w:t>
            </w:r>
            <w:r w:rsidR="0088371C" w:rsidRPr="003B1CC5">
              <w:t xml:space="preserve"> </w:t>
            </w:r>
            <w:r w:rsidR="009E37BD" w:rsidRPr="003B1CC5">
              <w:rPr>
                <w:b/>
                <w:i/>
              </w:rPr>
              <w:t xml:space="preserve">Contact </w:t>
            </w:r>
            <w:r w:rsidR="008B652E" w:rsidRPr="003B1CC5">
              <w:rPr>
                <w:b/>
                <w:i/>
              </w:rPr>
              <w:t xml:space="preserve">NQF </w:t>
            </w:r>
            <w:r w:rsidR="0014347E" w:rsidRPr="003B1CC5">
              <w:rPr>
                <w:b/>
                <w:i/>
              </w:rPr>
              <w:t>staff if more pages are needed</w:t>
            </w:r>
            <w:r w:rsidR="009E37BD" w:rsidRPr="003B1CC5">
              <w:rPr>
                <w:b/>
                <w:i/>
              </w:rPr>
              <w:t>.</w:t>
            </w:r>
          </w:p>
          <w:p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9" w:history="1">
              <w:r w:rsidRPr="003B1CC5">
                <w:rPr>
                  <w:rStyle w:val="Hyperlink"/>
                </w:rPr>
                <w:t>Submitting Standards webpage</w:t>
              </w:r>
            </w:hyperlink>
            <w:r w:rsidRPr="003B1CC5">
              <w:t>.</w:t>
            </w:r>
          </w:p>
        </w:tc>
      </w:tr>
    </w:tbl>
    <w:p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534"/>
      </w:tblGrid>
      <w:tr w:rsidR="00176E60" w:rsidRPr="003B1CC5" w:rsidTr="00176E60">
        <w:trPr>
          <w:jc w:val="center"/>
        </w:trPr>
        <w:tc>
          <w:tcPr>
            <w:tcW w:w="9576" w:type="dxa"/>
          </w:tcPr>
          <w:p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Steering Committee and other stakeholders in understanding to what degree the evidence for this measure meets NQF’s evaluation criteria.</w:t>
            </w:r>
          </w:p>
          <w:p w:rsidR="008659ED" w:rsidRPr="003B1CC5" w:rsidRDefault="008659ED" w:rsidP="008659ED">
            <w:pPr>
              <w:ind w:left="90" w:hanging="90"/>
              <w:rPr>
                <w:sz w:val="20"/>
                <w:szCs w:val="20"/>
              </w:rPr>
            </w:pPr>
            <w:bookmarkStart w:id="0" w:name="Note2"/>
            <w:bookmarkEnd w:id="0"/>
          </w:p>
          <w:p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 xml:space="preserve">Health </w:t>
            </w:r>
            <w:r w:rsidRPr="003B1CC5">
              <w:rPr>
                <w:rFonts w:eastAsia="Calibri" w:cs="Calibri"/>
                <w:sz w:val="20"/>
                <w:szCs w:val="20"/>
              </w:rPr>
              <w:t>outcome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3B1CC5">
              <w:rPr>
                <w:rFonts w:eastAsia="Calibri" w:cs="Calibri"/>
                <w:sz w:val="20"/>
                <w:szCs w:val="20"/>
              </w:rPr>
              <w:t>a rationale supports the relationship of the health outcome to processes or structures of care. Applies to p</w:t>
            </w:r>
            <w:r w:rsidRPr="00A03301">
              <w:rPr>
                <w:rFonts w:eastAsia="Calibri" w:cs="Calibri"/>
                <w:sz w:val="20"/>
                <w:szCs w:val="20"/>
              </w:rPr>
              <w:t>atient</w:t>
            </w:r>
            <w:r w:rsidRPr="003B1CC5">
              <w:rPr>
                <w:rFonts w:eastAsia="Calibri" w:cs="Calibri"/>
                <w:sz w:val="20"/>
                <w:szCs w:val="20"/>
              </w:rPr>
              <w:t>-reported outcomes (PRO), including health-related quality of life/functional status, symptom/symptom burden, experience with care, health-related behavior.</w:t>
            </w:r>
          </w:p>
          <w:p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p>
          <w:p w:rsidR="00CB1E41" w:rsidRPr="003B1CC5" w:rsidRDefault="00CB1E41" w:rsidP="008659ED">
            <w:pPr>
              <w:autoSpaceDE w:val="0"/>
              <w:autoSpaceDN w:val="0"/>
              <w:adjustRightInd w:val="0"/>
              <w:rPr>
                <w:rFonts w:eastAsia="Calibri" w:cs="Calibri"/>
                <w:b/>
                <w:bCs/>
                <w:iCs/>
                <w:sz w:val="18"/>
              </w:rPr>
            </w:pPr>
          </w:p>
          <w:p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rsidR="008659ED" w:rsidRPr="003B1CC5" w:rsidRDefault="008659ED" w:rsidP="00CB1E41">
            <w:pPr>
              <w:ind w:left="0" w:firstLine="0"/>
              <w:rPr>
                <w:rFonts w:eastAsia="Calibri" w:cs="Calibri"/>
                <w:sz w:val="20"/>
                <w:szCs w:val="20"/>
              </w:rPr>
            </w:pPr>
            <w:bookmarkStart w:id="1" w:name="Note3"/>
            <w:bookmarkEnd w:id="1"/>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rsidR="008659ED" w:rsidRPr="003B1CC5" w:rsidRDefault="008659ED" w:rsidP="00CB1E41">
            <w:pPr>
              <w:ind w:left="0" w:firstLine="0"/>
              <w:rPr>
                <w:rFonts w:eastAsia="Calibri" w:cs="Calibri"/>
                <w:sz w:val="20"/>
                <w:szCs w:val="20"/>
              </w:rPr>
            </w:pPr>
            <w:bookmarkStart w:id="2" w:name="Note4"/>
            <w:bookmarkEnd w:id="2"/>
            <w:r w:rsidRPr="003B1CC5">
              <w:rPr>
                <w:rFonts w:eastAsia="Calibri" w:cs="Calibri"/>
                <w:b/>
                <w:sz w:val="20"/>
                <w:szCs w:val="20"/>
              </w:rPr>
              <w:t>4.</w:t>
            </w:r>
            <w:r w:rsidRPr="003B1CC5">
              <w:rPr>
                <w:rFonts w:eastAsia="Calibri" w:cs="Calibri"/>
                <w:sz w:val="20"/>
                <w:szCs w:val="20"/>
              </w:rPr>
              <w:t xml:space="preserve"> The preferred systems for grading the evidence are the U.S. Preventive Services Task Force (USPSTF) </w:t>
            </w:r>
            <w:hyperlink r:id="rId10" w:history="1">
              <w:r w:rsidRPr="003B1CC5">
                <w:rPr>
                  <w:rFonts w:eastAsia="Calibri" w:cs="Calibri"/>
                  <w:color w:val="0000FF"/>
                  <w:sz w:val="20"/>
                  <w:szCs w:val="20"/>
                  <w:u w:val="single"/>
                </w:rPr>
                <w:t>grading definitions</w:t>
              </w:r>
            </w:hyperlink>
            <w:r w:rsidRPr="003B1CC5">
              <w:rPr>
                <w:rFonts w:eastAsia="Calibri" w:cs="Calibri"/>
                <w:sz w:val="20"/>
                <w:szCs w:val="20"/>
              </w:rPr>
              <w:t xml:space="preserve"> and </w:t>
            </w:r>
            <w:hyperlink r:id="rId11" w:history="1">
              <w:r w:rsidRPr="003B1CC5">
                <w:rPr>
                  <w:rFonts w:eastAsia="Calibri" w:cs="Calibri"/>
                  <w:color w:val="0000FF"/>
                  <w:sz w:val="20"/>
                  <w:szCs w:val="20"/>
                  <w:u w:val="single"/>
                </w:rPr>
                <w:t>methods</w:t>
              </w:r>
            </w:hyperlink>
            <w:r w:rsidRPr="003B1CC5">
              <w:rPr>
                <w:rFonts w:eastAsia="Calibri" w:cs="Calibri"/>
                <w:sz w:val="20"/>
                <w:szCs w:val="20"/>
              </w:rPr>
              <w:t xml:space="preserve">, or Grading of Recommendations, Assessment, Development and Evaluation </w:t>
            </w:r>
            <w:hyperlink r:id="rId12" w:history="1">
              <w:r w:rsidRPr="003B1CC5">
                <w:rPr>
                  <w:rFonts w:eastAsia="Calibri" w:cs="Calibri"/>
                  <w:color w:val="0000FF"/>
                  <w:sz w:val="20"/>
                  <w:szCs w:val="20"/>
                  <w:u w:val="single"/>
                </w:rPr>
                <w:t>(GRADE) guidelines</w:t>
              </w:r>
            </w:hyperlink>
            <w:r w:rsidRPr="003B1CC5">
              <w:rPr>
                <w:rFonts w:eastAsia="Calibri" w:cs="Calibri"/>
                <w:sz w:val="20"/>
                <w:szCs w:val="20"/>
              </w:rPr>
              <w:t>.</w:t>
            </w:r>
          </w:p>
          <w:p w:rsidR="008659ED" w:rsidRPr="003B1CC5" w:rsidRDefault="008659ED" w:rsidP="00CB1E41">
            <w:pPr>
              <w:ind w:left="0" w:firstLine="0"/>
              <w:rPr>
                <w:rFonts w:eastAsia="Calibri" w:cs="Calibri"/>
                <w:sz w:val="20"/>
                <w:szCs w:val="20"/>
              </w:rPr>
            </w:pPr>
            <w:bookmarkStart w:id="3" w:name="Note5"/>
            <w:bookmarkEnd w:id="3"/>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step in such a multistep process, the step with the strongest evidence for the link to the desired outcome should be selected as the focus of measurement. Note: A measure focused only on collecting PROM data is not a PRO-PM.</w:t>
            </w:r>
          </w:p>
          <w:p w:rsidR="008659ED" w:rsidRPr="003B1CC5" w:rsidRDefault="008659ED" w:rsidP="00CB1E41">
            <w:pPr>
              <w:autoSpaceDE w:val="0"/>
              <w:autoSpaceDN w:val="0"/>
              <w:adjustRightInd w:val="0"/>
              <w:ind w:left="0" w:firstLine="0"/>
              <w:contextualSpacing/>
            </w:pPr>
            <w:bookmarkStart w:id="4" w:name="Note6"/>
            <w:bookmarkEnd w:id="4"/>
            <w:r w:rsidRPr="003B1CC5">
              <w:rPr>
                <w:rFonts w:eastAsia="Calibri" w:cs="Calibri"/>
                <w:b/>
                <w:sz w:val="20"/>
                <w:szCs w:val="20"/>
              </w:rPr>
              <w:lastRenderedPageBreak/>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3"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4"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rsidR="00A67EB1" w:rsidRPr="003B1CC5" w:rsidRDefault="00496AF8" w:rsidP="002E2177">
      <w:pPr>
        <w:ind w:left="0" w:firstLine="0"/>
        <w:rPr>
          <w:bCs/>
          <w:i/>
        </w:rPr>
      </w:pPr>
      <w:r w:rsidRPr="003B1CC5">
        <w:rPr>
          <w:b/>
          <w:bCs/>
          <w:color w:val="0000FF"/>
        </w:rPr>
        <w:lastRenderedPageBreak/>
        <w:t>1</w:t>
      </w:r>
      <w:r w:rsidR="00773485" w:rsidRPr="003B1CC5">
        <w:rPr>
          <w:b/>
          <w:bCs/>
          <w:color w:val="0000FF"/>
        </w:rPr>
        <w:t>a</w:t>
      </w:r>
      <w:r w:rsidRPr="003B1CC5">
        <w:rPr>
          <w:b/>
          <w:bCs/>
          <w:color w:val="0000FF"/>
        </w:rPr>
        <w:t>.1.</w:t>
      </w:r>
      <w:r w:rsidRPr="003B1CC5">
        <w:rPr>
          <w:b/>
          <w:bCs/>
        </w:rPr>
        <w:t>This is a measure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rsidR="00496AF8" w:rsidRPr="003B1CC5" w:rsidRDefault="00526739" w:rsidP="005857F8">
      <w:pPr>
        <w:ind w:left="720" w:hanging="432"/>
        <w:rPr>
          <w:rStyle w:val="Style2"/>
          <w:rFonts w:cstheme="minorHAnsi"/>
        </w:rPr>
      </w:pPr>
      <w:sdt>
        <w:sdtPr>
          <w:rPr>
            <w:bCs/>
            <w:color w:val="0000FF"/>
            <w:u w:val="single"/>
          </w:rPr>
          <w:id w:val="1077707841"/>
          <w14:checkbox>
            <w14:checked w14:val="0"/>
            <w14:checkedState w14:val="2612" w14:font="MS Gothic"/>
            <w14:uncheckedState w14:val="2610" w14:font="MS Gothic"/>
          </w14:checkbox>
        </w:sdtPr>
        <w:sdtEndPr/>
        <w:sdtContent>
          <w:r w:rsidR="00236F87" w:rsidRPr="003B1CC5">
            <w:rPr>
              <w:rFonts w:ascii="MS Gothic" w:eastAsia="MS Gothic" w:hAnsi="MS Gothic" w:cs="MS Gothic" w:hint="eastAsia"/>
              <w:bCs/>
              <w:color w:val="0000FF"/>
            </w:rPr>
            <w:t>☐</w:t>
          </w:r>
        </w:sdtContent>
      </w:sdt>
      <w:r w:rsidR="0015535B" w:rsidRPr="003B1CC5">
        <w:rPr>
          <w:bCs/>
          <w:color w:val="0000FF"/>
        </w:rPr>
        <w:t xml:space="preserve"> </w:t>
      </w:r>
      <w:r w:rsidR="00E41417" w:rsidRPr="003B1CC5">
        <w:rPr>
          <w:bCs/>
        </w:rPr>
        <w:t>H</w:t>
      </w:r>
      <w:r w:rsidR="00BE6373" w:rsidRPr="003B1CC5">
        <w:rPr>
          <w:bCs/>
        </w:rPr>
        <w:t>ealth outc</w:t>
      </w:r>
      <w:r w:rsidR="00496AF8" w:rsidRPr="003B1CC5">
        <w:rPr>
          <w:bCs/>
        </w:rPr>
        <w:t>ome</w:t>
      </w:r>
      <w:r w:rsidR="00B117D0" w:rsidRPr="003B1CC5">
        <w:rPr>
          <w:bCs/>
        </w:rPr>
        <w:t xml:space="preserve">: </w:t>
      </w:r>
      <w:sdt>
        <w:sdtPr>
          <w:rPr>
            <w:rStyle w:val="Style2"/>
            <w:rFonts w:cstheme="minorHAnsi"/>
          </w:rPr>
          <w:id w:val="-768232283"/>
          <w:placeholder>
            <w:docPart w:val="8A37B22604104FD58FD9B5969045D3F1"/>
          </w:placeholder>
          <w:showingPlcHdr/>
        </w:sdtPr>
        <w:sdtEndPr>
          <w:rPr>
            <w:rStyle w:val="DefaultParagraphFont"/>
            <w:rFonts w:cstheme="minorBidi"/>
            <w:color w:val="auto"/>
            <w:u w:val="none"/>
          </w:rPr>
        </w:sdtEndPr>
        <w:sdtContent>
          <w:r w:rsidR="00496AF8" w:rsidRPr="003B1CC5">
            <w:rPr>
              <w:color w:val="A6A6A6" w:themeColor="background1" w:themeShade="A6"/>
            </w:rPr>
            <w:t>Click here to n</w:t>
          </w:r>
          <w:r w:rsidR="00496AF8" w:rsidRPr="003B1CC5">
            <w:rPr>
              <w:rStyle w:val="PlaceholderText"/>
              <w:rFonts w:cstheme="minorHAnsi"/>
              <w:color w:val="A6A6A6" w:themeColor="background1" w:themeShade="A6"/>
            </w:rPr>
            <w:t>ame the health outcome</w:t>
          </w:r>
        </w:sdtContent>
      </w:sdt>
    </w:p>
    <w:p w:rsidR="00236F87" w:rsidRPr="003B1CC5" w:rsidRDefault="00526739" w:rsidP="005857F8">
      <w:pPr>
        <w:ind w:left="720" w:hanging="432"/>
        <w:rPr>
          <w:b/>
          <w:bCs/>
        </w:rPr>
      </w:pPr>
      <w:sdt>
        <w:sdtPr>
          <w:rPr>
            <w:bCs/>
            <w:color w:val="0000FF"/>
          </w:rPr>
          <w:id w:val="-1541041819"/>
          <w14:checkbox>
            <w14:checked w14:val="0"/>
            <w14:checkedState w14:val="2612" w14:font="MS Gothic"/>
            <w14:uncheckedState w14:val="2610" w14:font="MS Gothic"/>
          </w14:checkbox>
        </w:sdtPr>
        <w:sdtEndPr/>
        <w:sdtContent>
          <w:r w:rsidR="00236F87" w:rsidRPr="003B1CC5">
            <w:rPr>
              <w:rFonts w:ascii="MS Gothic" w:eastAsia="MS Gothic" w:hAnsi="MS Gothic" w:cs="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placeholder>
            <w:docPart w:val="962214A8263E430591B9ED4CADA7154B"/>
          </w:placeholder>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rsidR="00B117D0" w:rsidRPr="003B1CC5"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r w:rsidR="005857F8" w:rsidRPr="003B1CC5">
        <w:rPr>
          <w:bCs/>
          <w:i/>
        </w:rPr>
        <w:t>HRQoL/functional status, symptom/</w:t>
      </w:r>
      <w:r w:rsidR="003008F4">
        <w:rPr>
          <w:bCs/>
          <w:i/>
        </w:rPr>
        <w:t xml:space="preserve">symptom </w:t>
      </w:r>
      <w:r w:rsidR="005857F8" w:rsidRPr="003B1CC5">
        <w:rPr>
          <w:bCs/>
          <w:i/>
        </w:rPr>
        <w:t>burden, experience with care, health-related behaviors</w:t>
      </w:r>
    </w:p>
    <w:p w:rsidR="00496AF8" w:rsidRPr="003B1CC5" w:rsidRDefault="00526739" w:rsidP="005857F8">
      <w:pPr>
        <w:ind w:left="720" w:hanging="432"/>
        <w:rPr>
          <w:bCs/>
        </w:rPr>
      </w:pPr>
      <w:sdt>
        <w:sdtPr>
          <w:rPr>
            <w:bCs/>
            <w:color w:val="0000FF"/>
          </w:rPr>
          <w:id w:val="130951877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placeholder>
            <w:docPart w:val="15AC292313CE45DC8AC3FC91D340CC66"/>
          </w:placeholder>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rsidR="00496AF8" w:rsidRPr="003B1CC5" w:rsidRDefault="00526739" w:rsidP="00015986">
      <w:pPr>
        <w:ind w:left="432" w:hanging="432"/>
        <w:rPr>
          <w:bCs/>
        </w:rPr>
      </w:pPr>
      <w:sdt>
        <w:sdtPr>
          <w:rPr>
            <w:bCs/>
            <w:color w:val="0000FF"/>
          </w:rPr>
          <w:id w:val="-1535727686"/>
          <w14:checkbox>
            <w14:checked w14:val="1"/>
            <w14:checkedState w14:val="2612" w14:font="MS Gothic"/>
            <w14:uncheckedState w14:val="2610" w14:font="MS Gothic"/>
          </w14:checkbox>
        </w:sdtPr>
        <w:sdtEndPr/>
        <w:sdtContent>
          <w:r w:rsidR="007F20FA">
            <w:rPr>
              <w:rFonts w:ascii="MS Gothic" w:eastAsia="MS Gothic" w:hAnsi="MS Gothic" w:hint="eastAsia"/>
              <w:bCs/>
              <w:color w:val="0000FF"/>
            </w:rPr>
            <w:t>☒</w:t>
          </w:r>
        </w:sdtContent>
      </w:sdt>
      <w:r w:rsidR="0015535B" w:rsidRPr="003B1CC5">
        <w:rPr>
          <w:bCs/>
        </w:rPr>
        <w:t xml:space="preserve"> </w:t>
      </w:r>
      <w:r w:rsidR="00E41417" w:rsidRPr="003B1CC5">
        <w:rPr>
          <w:bCs/>
        </w:rPr>
        <w:t>P</w:t>
      </w:r>
      <w:r w:rsidR="00496AF8" w:rsidRPr="003B1CC5">
        <w:rPr>
          <w:bCs/>
        </w:rPr>
        <w:t xml:space="preserve">rocess:  </w:t>
      </w:r>
      <w:sdt>
        <w:sdtPr>
          <w:rPr>
            <w:rStyle w:val="Style2"/>
            <w:rFonts w:cstheme="minorHAnsi"/>
          </w:rPr>
          <w:id w:val="321244333"/>
          <w:placeholder>
            <w:docPart w:val="4CBFC8EF1476485CBF0E82C994E3DC6E"/>
          </w:placeholder>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process</w:t>
          </w:r>
        </w:sdtContent>
      </w:sdt>
    </w:p>
    <w:p w:rsidR="00496AF8" w:rsidRPr="003B1CC5" w:rsidRDefault="00526739"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rsidR="00496AF8" w:rsidRPr="003B1CC5" w:rsidRDefault="00526739"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O</w:t>
      </w:r>
      <w:r w:rsidR="00496AF8" w:rsidRPr="003B1CC5">
        <w:rPr>
          <w:bCs/>
        </w:rPr>
        <w:t xml:space="preserve">ther: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rsidR="00496AF8" w:rsidRPr="003B1CC5" w:rsidRDefault="00496AF8" w:rsidP="002E2177">
      <w:pPr>
        <w:ind w:left="0" w:firstLine="0"/>
        <w:rPr>
          <w:bCs/>
        </w:rPr>
      </w:pPr>
    </w:p>
    <w:p w:rsidR="00850C35" w:rsidRPr="003B1CC5" w:rsidRDefault="00925F11" w:rsidP="002E2177">
      <w:pPr>
        <w:ind w:left="0" w:firstLine="0"/>
        <w:rPr>
          <w:b/>
          <w:bCs/>
        </w:rPr>
      </w:pPr>
      <w:r w:rsidRPr="003B1CC5">
        <w:rPr>
          <w:b/>
          <w:iCs/>
          <w:caps/>
        </w:rPr>
        <w:t>_________________________</w:t>
      </w:r>
    </w:p>
    <w:p w:rsidR="00496AF8" w:rsidRPr="003B1CC5" w:rsidRDefault="00496AF8" w:rsidP="002E2177">
      <w:pPr>
        <w:ind w:left="0" w:firstLine="0"/>
        <w:rPr>
          <w:bCs/>
          <w:i/>
        </w:rPr>
      </w:pPr>
      <w:r w:rsidRPr="003B1CC5">
        <w:rPr>
          <w:b/>
          <w:bCs/>
        </w:rPr>
        <w:t>HEALTH OUTCOME</w:t>
      </w:r>
      <w:r w:rsidR="00236F87" w:rsidRPr="003B1CC5">
        <w:rPr>
          <w:b/>
          <w:bCs/>
        </w:rPr>
        <w:t>/PRO</w:t>
      </w:r>
      <w:r w:rsidRPr="003B1CC5">
        <w:rPr>
          <w:b/>
          <w:bCs/>
        </w:rPr>
        <w:t xml:space="preserve"> </w:t>
      </w:r>
      <w:r w:rsidR="005857F8" w:rsidRPr="003B1CC5">
        <w:rPr>
          <w:b/>
          <w:bCs/>
        </w:rPr>
        <w:t xml:space="preserve">PERFORMANCE </w:t>
      </w:r>
      <w:r w:rsidRPr="003B1CC5">
        <w:rPr>
          <w:b/>
          <w:bCs/>
        </w:rPr>
        <w:t xml:space="preserve">MEASURE </w:t>
      </w:r>
      <w:r w:rsidRPr="003B1CC5">
        <w:rPr>
          <w:bCs/>
        </w:rPr>
        <w:t xml:space="preserve"> </w:t>
      </w:r>
      <w:r w:rsidRPr="003B1CC5">
        <w:rPr>
          <w:bCs/>
          <w:i/>
          <w:highlight w:val="green"/>
        </w:rPr>
        <w:t xml:space="preserve">If not </w:t>
      </w:r>
      <w:r w:rsidR="00132070" w:rsidRPr="003B1CC5">
        <w:rPr>
          <w:bCs/>
          <w:i/>
          <w:highlight w:val="green"/>
        </w:rPr>
        <w:t>a health outcome</w:t>
      </w:r>
      <w:r w:rsidR="00AC1E53">
        <w:rPr>
          <w:bCs/>
          <w:i/>
          <w:highlight w:val="green"/>
        </w:rPr>
        <w:t xml:space="preserve"> or PRO</w:t>
      </w:r>
      <w:r w:rsidR="00132070" w:rsidRPr="003B1CC5">
        <w:rPr>
          <w:bCs/>
          <w:i/>
          <w:highlight w:val="green"/>
        </w:rPr>
        <w:t xml:space="preserve">, skip to </w:t>
      </w:r>
      <w:hyperlink w:anchor="Section1a3" w:history="1">
        <w:r w:rsidR="00132070" w:rsidRPr="003B1CC5">
          <w:rPr>
            <w:rStyle w:val="Hyperlink"/>
            <w:bCs/>
            <w:i/>
            <w:highlight w:val="green"/>
          </w:rPr>
          <w:t>1</w:t>
        </w:r>
        <w:r w:rsidR="00837121" w:rsidRPr="003B1CC5">
          <w:rPr>
            <w:rStyle w:val="Hyperlink"/>
            <w:bCs/>
            <w:i/>
            <w:highlight w:val="green"/>
          </w:rPr>
          <w:t>a</w:t>
        </w:r>
        <w:r w:rsidR="00132070" w:rsidRPr="003B1CC5">
          <w:rPr>
            <w:rStyle w:val="Hyperlink"/>
            <w:bCs/>
            <w:i/>
            <w:highlight w:val="green"/>
          </w:rPr>
          <w:t>.3</w:t>
        </w:r>
      </w:hyperlink>
    </w:p>
    <w:p w:rsidR="002B06BD" w:rsidRPr="003B1CC5" w:rsidRDefault="002B06BD" w:rsidP="002B06BD">
      <w:pPr>
        <w:ind w:left="432" w:hanging="432"/>
        <w:rPr>
          <w:iCs/>
        </w:rPr>
      </w:pPr>
      <w:r w:rsidRPr="003B1CC5">
        <w:rPr>
          <w:b/>
          <w:bCs/>
          <w:color w:val="0000FF"/>
        </w:rPr>
        <w:t>1a.2.</w:t>
      </w:r>
      <w:r w:rsidRPr="003B1CC5">
        <w:rPr>
          <w:bCs/>
        </w:rPr>
        <w:t xml:space="preserve"> </w:t>
      </w:r>
      <w:r w:rsidRPr="003B1CC5">
        <w:rPr>
          <w:b/>
          <w:iCs/>
        </w:rPr>
        <w:t xml:space="preserve">Briefly state or diagram the </w:t>
      </w:r>
      <w:r w:rsidR="00236F87" w:rsidRPr="003B1CC5">
        <w:rPr>
          <w:b/>
          <w:iCs/>
        </w:rPr>
        <w:t xml:space="preserve">path </w:t>
      </w:r>
      <w:r w:rsidRPr="003B1CC5">
        <w:rPr>
          <w:b/>
          <w:iCs/>
        </w:rPr>
        <w:t xml:space="preserve">between the health outcome </w:t>
      </w:r>
      <w:r w:rsidR="00AA5587" w:rsidRPr="003B1CC5">
        <w:rPr>
          <w:b/>
          <w:iCs/>
        </w:rPr>
        <w:t>(</w:t>
      </w:r>
      <w:r w:rsidRPr="003B1CC5">
        <w:rPr>
          <w:b/>
          <w:iCs/>
        </w:rPr>
        <w:t>or PRO</w:t>
      </w:r>
      <w:r w:rsidR="00AA5587" w:rsidRPr="003B1CC5">
        <w:rPr>
          <w:b/>
          <w:iCs/>
        </w:rPr>
        <w:t>)</w:t>
      </w:r>
      <w:r w:rsidRPr="003B1CC5">
        <w:rPr>
          <w:b/>
          <w:iCs/>
        </w:rPr>
        <w:t xml:space="preserve"> and </w:t>
      </w:r>
      <w:r w:rsidR="00CB06C9" w:rsidRPr="003B1CC5">
        <w:rPr>
          <w:b/>
          <w:iCs/>
        </w:rPr>
        <w:t>the</w:t>
      </w:r>
      <w:r w:rsidRPr="003B1CC5">
        <w:rPr>
          <w:b/>
          <w:iCs/>
        </w:rPr>
        <w:t xml:space="preserve"> healthcare structure</w:t>
      </w:r>
      <w:r w:rsidR="00CB06C9" w:rsidRPr="003B1CC5">
        <w:rPr>
          <w:b/>
          <w:iCs/>
        </w:rPr>
        <w:t>s</w:t>
      </w:r>
      <w:r w:rsidRPr="003B1CC5">
        <w:rPr>
          <w:b/>
          <w:iCs/>
        </w:rPr>
        <w:t>, process</w:t>
      </w:r>
      <w:r w:rsidR="00CB06C9" w:rsidRPr="003B1CC5">
        <w:rPr>
          <w:b/>
          <w:iCs/>
        </w:rPr>
        <w:t>es</w:t>
      </w:r>
      <w:r w:rsidRPr="003B1CC5">
        <w:rPr>
          <w:b/>
          <w:iCs/>
        </w:rPr>
        <w:t>, intervention</w:t>
      </w:r>
      <w:r w:rsidR="00CB06C9" w:rsidRPr="003B1CC5">
        <w:rPr>
          <w:b/>
          <w:iCs/>
        </w:rPr>
        <w:t>s</w:t>
      </w:r>
      <w:r w:rsidRPr="003B1CC5">
        <w:rPr>
          <w:b/>
          <w:iCs/>
        </w:rPr>
        <w:t>, or service</w:t>
      </w:r>
      <w:r w:rsidR="00CB06C9" w:rsidRPr="003B1CC5">
        <w:rPr>
          <w:b/>
          <w:iCs/>
        </w:rPr>
        <w:t>s that influence it</w:t>
      </w:r>
      <w:r w:rsidR="00024526" w:rsidRPr="003B1CC5">
        <w:rPr>
          <w:b/>
          <w:iCs/>
        </w:rPr>
        <w:t>.</w:t>
      </w:r>
    </w:p>
    <w:p w:rsidR="002B06BD" w:rsidRPr="003B1CC5" w:rsidRDefault="002B06BD" w:rsidP="002E2177">
      <w:pPr>
        <w:ind w:left="432" w:hanging="432"/>
        <w:rPr>
          <w:color w:val="0000FF"/>
        </w:rPr>
      </w:pPr>
    </w:p>
    <w:p w:rsidR="00496AF8" w:rsidRPr="003B1CC5" w:rsidRDefault="00B058A6" w:rsidP="002E2177">
      <w:pPr>
        <w:ind w:left="432" w:hanging="432"/>
        <w:rPr>
          <w:iCs/>
        </w:rPr>
      </w:pPr>
      <w:r w:rsidRPr="003B1CC5">
        <w:rPr>
          <w:b/>
          <w:color w:val="0000FF"/>
        </w:rPr>
        <w:t>1</w:t>
      </w:r>
      <w:r w:rsidR="00773485" w:rsidRPr="003B1CC5">
        <w:rPr>
          <w:b/>
          <w:color w:val="0000FF"/>
        </w:rPr>
        <w:t>a</w:t>
      </w:r>
      <w:r w:rsidRPr="003B1CC5">
        <w:rPr>
          <w:b/>
          <w:color w:val="0000FF"/>
        </w:rPr>
        <w:t>.2</w:t>
      </w:r>
      <w:r w:rsidR="00496AF8" w:rsidRPr="003B1CC5">
        <w:rPr>
          <w:b/>
          <w:color w:val="0000FF"/>
        </w:rPr>
        <w:t>.</w:t>
      </w:r>
      <w:r w:rsidR="00E41417" w:rsidRPr="003B1CC5">
        <w:rPr>
          <w:b/>
          <w:color w:val="0000FF"/>
        </w:rPr>
        <w:t>1.</w:t>
      </w:r>
      <w:r w:rsidR="00E41417" w:rsidRPr="003B1CC5">
        <w:rPr>
          <w:iCs/>
        </w:rPr>
        <w:t xml:space="preserve"> </w:t>
      </w:r>
      <w:r w:rsidR="00496AF8" w:rsidRPr="003B1CC5">
        <w:rPr>
          <w:b/>
          <w:iCs/>
        </w:rPr>
        <w:t xml:space="preserve">State the rationale </w:t>
      </w:r>
      <w:r w:rsidR="001D5B5D" w:rsidRPr="003B1CC5">
        <w:rPr>
          <w:b/>
          <w:iCs/>
        </w:rPr>
        <w:t xml:space="preserve">supporting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health outcome</w:t>
      </w:r>
      <w:r w:rsidR="005857F8" w:rsidRPr="003B1CC5">
        <w:rPr>
          <w:b/>
          <w:iCs/>
        </w:rPr>
        <w:t xml:space="preserve"> </w:t>
      </w:r>
      <w:r w:rsidR="00AA5587" w:rsidRPr="003B1CC5">
        <w:rPr>
          <w:b/>
          <w:iCs/>
        </w:rPr>
        <w:t>(</w:t>
      </w:r>
      <w:r w:rsidR="005857F8" w:rsidRPr="003B1CC5">
        <w:rPr>
          <w:b/>
          <w:iCs/>
        </w:rPr>
        <w:t>or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496AF8" w:rsidRPr="003B1CC5">
        <w:rPr>
          <w:b/>
          <w:iCs/>
        </w:rPr>
        <w:t>healthcare structure, process, intervention, or service</w:t>
      </w:r>
      <w:r w:rsidR="00AC1E53">
        <w:rPr>
          <w:b/>
          <w:iCs/>
        </w:rPr>
        <w:t xml:space="preserve"> (</w:t>
      </w:r>
      <w:r w:rsidR="00AC1E53" w:rsidRPr="00417770">
        <w:rPr>
          <w:b/>
          <w:i/>
          <w:iCs/>
        </w:rPr>
        <w:t>i.e., influence on outcome/PRO</w:t>
      </w:r>
      <w:r w:rsidR="00AC1E53" w:rsidRPr="00AC1E53">
        <w:rPr>
          <w:b/>
          <w:iCs/>
        </w:rPr>
        <w:t>)</w:t>
      </w:r>
      <w:r w:rsidR="005D25E9">
        <w:rPr>
          <w:b/>
          <w:iCs/>
        </w:rPr>
        <w:t>.</w:t>
      </w:r>
    </w:p>
    <w:p w:rsidR="00D14F0B" w:rsidRPr="003B1CC5" w:rsidRDefault="00D14F0B" w:rsidP="002E2177">
      <w:pPr>
        <w:ind w:left="0" w:firstLine="0"/>
        <w:rPr>
          <w:iCs/>
        </w:rPr>
      </w:pPr>
    </w:p>
    <w:p w:rsidR="00496AF8" w:rsidRPr="003B1CC5" w:rsidRDefault="00496AF8" w:rsidP="002E2177">
      <w:pPr>
        <w:ind w:left="0" w:firstLine="0"/>
        <w:rPr>
          <w:i/>
          <w:iCs/>
        </w:rPr>
      </w:pPr>
      <w:r w:rsidRPr="003B1CC5">
        <w:rPr>
          <w:i/>
          <w:iCs/>
          <w:highlight w:val="green"/>
          <w:u w:val="single"/>
        </w:rPr>
        <w:t>Note</w:t>
      </w:r>
      <w:r w:rsidR="009B5BEA" w:rsidRPr="003B1CC5">
        <w:rPr>
          <w:i/>
          <w:iCs/>
          <w:highlight w:val="green"/>
        </w:rPr>
        <w:t>:  F</w:t>
      </w:r>
      <w:r w:rsidRPr="003B1CC5">
        <w:rPr>
          <w:i/>
          <w:iCs/>
          <w:highlight w:val="green"/>
        </w:rPr>
        <w:t>or health outcome</w:t>
      </w:r>
      <w:r w:rsidR="00236F87" w:rsidRPr="003B1CC5">
        <w:rPr>
          <w:i/>
          <w:iCs/>
          <w:highlight w:val="green"/>
        </w:rPr>
        <w:t>/PRO</w:t>
      </w:r>
      <w:r w:rsidRPr="003B1CC5">
        <w:rPr>
          <w:i/>
          <w:iCs/>
          <w:highlight w:val="green"/>
        </w:rPr>
        <w:t xml:space="preserve"> </w:t>
      </w:r>
      <w:r w:rsidR="005857F8" w:rsidRPr="003B1CC5">
        <w:rPr>
          <w:i/>
          <w:iCs/>
          <w:highlight w:val="green"/>
        </w:rPr>
        <w:t xml:space="preserve">performance </w:t>
      </w:r>
      <w:r w:rsidRPr="003B1CC5">
        <w:rPr>
          <w:i/>
          <w:iCs/>
          <w:highlight w:val="green"/>
        </w:rPr>
        <w:t>measures, no further information is require</w:t>
      </w:r>
      <w:r w:rsidR="005857F8" w:rsidRPr="003B1CC5">
        <w:rPr>
          <w:i/>
          <w:iCs/>
          <w:highlight w:val="green"/>
        </w:rPr>
        <w:t xml:space="preserve">d; however, you may provide evidence for any of the structures, processes, interventions, or service identified above. </w:t>
      </w:r>
    </w:p>
    <w:p w:rsidR="002B06BD" w:rsidRPr="003B1CC5" w:rsidRDefault="00925F11" w:rsidP="002E2177">
      <w:pPr>
        <w:ind w:left="0" w:firstLine="0"/>
        <w:rPr>
          <w:b/>
          <w:iCs/>
          <w:caps/>
        </w:rPr>
      </w:pPr>
      <w:r w:rsidRPr="003B1CC5">
        <w:rPr>
          <w:b/>
          <w:iCs/>
          <w:caps/>
        </w:rPr>
        <w:t>_________________________</w:t>
      </w:r>
    </w:p>
    <w:p w:rsidR="00496AF8" w:rsidRPr="003B1CC5" w:rsidRDefault="002F20A7" w:rsidP="002E2177">
      <w:pPr>
        <w:ind w:left="0" w:firstLine="0"/>
        <w:rPr>
          <w:b/>
          <w:iCs/>
        </w:rPr>
      </w:pPr>
      <w:r w:rsidRPr="003B1CC5">
        <w:rPr>
          <w:b/>
          <w:iCs/>
          <w:caps/>
        </w:rPr>
        <w:t>intermediate outcome</w:t>
      </w:r>
      <w:r w:rsidR="007573F0" w:rsidRPr="003B1CC5">
        <w:rPr>
          <w:b/>
          <w:iCs/>
          <w:caps/>
        </w:rPr>
        <w:t>, PROCESS, or STRUCTURE</w:t>
      </w:r>
      <w:r w:rsidRPr="003B1CC5">
        <w:rPr>
          <w:b/>
          <w:iCs/>
          <w:caps/>
        </w:rPr>
        <w:t xml:space="preserve"> </w:t>
      </w:r>
      <w:r w:rsidR="0055559D" w:rsidRPr="003B1CC5">
        <w:rPr>
          <w:b/>
          <w:iCs/>
          <w:caps/>
        </w:rPr>
        <w:t xml:space="preserve">PERFORMANCE </w:t>
      </w:r>
      <w:r w:rsidRPr="003B1CC5">
        <w:rPr>
          <w:b/>
          <w:iCs/>
          <w:caps/>
        </w:rPr>
        <w:t>measure</w:t>
      </w:r>
      <w:r w:rsidR="00496AF8" w:rsidRPr="003B1CC5">
        <w:rPr>
          <w:b/>
          <w:iCs/>
        </w:rPr>
        <w:t xml:space="preserve"> </w:t>
      </w:r>
    </w:p>
    <w:p w:rsidR="00496AF8" w:rsidRPr="003B1CC5" w:rsidRDefault="002B06BD" w:rsidP="002E2177">
      <w:pPr>
        <w:ind w:left="0" w:firstLine="0"/>
        <w:rPr>
          <w:i/>
          <w:iCs/>
        </w:rPr>
      </w:pPr>
      <w:bookmarkStart w:id="5" w:name="Section1a3"/>
      <w:bookmarkEnd w:id="5"/>
      <w:r w:rsidRPr="003B1CC5">
        <w:rPr>
          <w:b/>
          <w:iCs/>
          <w:color w:val="0000FF"/>
        </w:rPr>
        <w:t>1a.3.</w:t>
      </w:r>
      <w:r w:rsidRPr="003B1CC5">
        <w:rPr>
          <w:i/>
          <w:iCs/>
          <w:color w:val="0000FF"/>
        </w:rPr>
        <w:t xml:space="preserve"> </w:t>
      </w:r>
      <w:r w:rsidRPr="003B1CC5">
        <w:rPr>
          <w:b/>
          <w:iCs/>
        </w:rPr>
        <w:t xml:space="preserve">Briefly state or diagram the </w:t>
      </w:r>
      <w:r w:rsidR="00236F87" w:rsidRPr="003B1CC5">
        <w:rPr>
          <w:b/>
          <w:iCs/>
        </w:rPr>
        <w:t xml:space="preserve">path </w:t>
      </w:r>
      <w:r w:rsidRPr="003B1CC5">
        <w:rPr>
          <w:b/>
          <w:iCs/>
        </w:rPr>
        <w:t>between structure, process, intermediate outcome, and health outcomes</w:t>
      </w:r>
      <w:r w:rsidRPr="003B1CC5">
        <w:rPr>
          <w:iCs/>
        </w:rPr>
        <w:t>. Include all the steps between the measure focus and the health outcome.</w:t>
      </w:r>
      <w:r w:rsidRPr="003B1CC5">
        <w:rPr>
          <w:i/>
          <w:iCs/>
        </w:rPr>
        <w:t xml:space="preserve"> </w:t>
      </w:r>
    </w:p>
    <w:p w:rsidR="007C1887" w:rsidRDefault="007C1887" w:rsidP="002E2177">
      <w:pPr>
        <w:ind w:left="0" w:firstLine="0"/>
      </w:pPr>
    </w:p>
    <w:p w:rsidR="007F20FA" w:rsidRDefault="007F20FA" w:rsidP="002E2177">
      <w:pPr>
        <w:ind w:left="0" w:firstLine="0"/>
      </w:pPr>
      <w:r w:rsidRPr="00255F91">
        <w:rPr>
          <w:i/>
          <w:iCs/>
          <w:noProof/>
        </w:rPr>
        <w:drawing>
          <wp:inline distT="0" distB="0" distL="0" distR="0" wp14:anchorId="212E7211" wp14:editId="0DDACA19">
            <wp:extent cx="5486400" cy="1471961"/>
            <wp:effectExtent l="0" t="0" r="1905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rsidR="007F20FA" w:rsidRDefault="007F20FA" w:rsidP="007F20FA">
      <w:pPr>
        <w:ind w:left="0" w:firstLine="0"/>
      </w:pPr>
      <w:r>
        <w:t>In certain clinical situations, PCI confers benefits to the patient, in terms of survival and improved health outcomes including symptoms, functional status and quality of life. The primary objective of the Appropriate Use Criteria (AUC) – recently updated by the American College of Cardiology Foundation (ACCF), Society for Cardiovascular Angiography and Interventions (SCAI), Society of Thoracic Surgeons (STS), and the American Association for Thoracic Surgery (AATS), with other key specialty societies – is to improve physician decision making and patient education regarding the clinical indications and expected benefits from revascularization. The AUC incorporates 5 clinical indications in determinations of appropriateness of PCI.</w:t>
      </w:r>
    </w:p>
    <w:p w:rsidR="007F20FA" w:rsidRDefault="007F20FA" w:rsidP="007F20FA">
      <w:pPr>
        <w:ind w:left="0" w:firstLine="0"/>
      </w:pPr>
    </w:p>
    <w:p w:rsidR="007F20FA" w:rsidRDefault="007F20FA" w:rsidP="007F20FA">
      <w:pPr>
        <w:ind w:left="0" w:firstLine="0"/>
      </w:pPr>
      <w:r>
        <w:t>1.</w:t>
      </w:r>
      <w:r>
        <w:tab/>
        <w:t>Clinical presentation</w:t>
      </w:r>
    </w:p>
    <w:p w:rsidR="007F20FA" w:rsidRDefault="007F20FA" w:rsidP="007F20FA">
      <w:pPr>
        <w:ind w:left="0" w:firstLine="0"/>
      </w:pPr>
      <w:r>
        <w:t>2.</w:t>
      </w:r>
      <w:r>
        <w:tab/>
        <w:t>Symptom severity</w:t>
      </w:r>
    </w:p>
    <w:p w:rsidR="007F20FA" w:rsidRDefault="007F20FA" w:rsidP="007F20FA">
      <w:pPr>
        <w:ind w:left="0" w:firstLine="0"/>
      </w:pPr>
      <w:r>
        <w:lastRenderedPageBreak/>
        <w:t>3.</w:t>
      </w:r>
      <w:r>
        <w:tab/>
        <w:t>Ischemia severity</w:t>
      </w:r>
    </w:p>
    <w:p w:rsidR="007F20FA" w:rsidRDefault="007F20FA" w:rsidP="007F20FA">
      <w:pPr>
        <w:ind w:left="0" w:firstLine="0"/>
      </w:pPr>
      <w:r>
        <w:t>4.</w:t>
      </w:r>
      <w:r>
        <w:tab/>
        <w:t>Extent of medical therapy</w:t>
      </w:r>
    </w:p>
    <w:p w:rsidR="007F20FA" w:rsidRDefault="007F20FA" w:rsidP="007F20FA">
      <w:pPr>
        <w:ind w:left="0" w:firstLine="0"/>
      </w:pPr>
      <w:r>
        <w:t>5.</w:t>
      </w:r>
      <w:r>
        <w:tab/>
        <w:t>Extent of coronary anatomical findings on angiography</w:t>
      </w:r>
    </w:p>
    <w:p w:rsidR="007F20FA" w:rsidRDefault="007F20FA" w:rsidP="007F20FA">
      <w:pPr>
        <w:ind w:left="0" w:firstLine="0"/>
      </w:pPr>
      <w:r>
        <w:t>The clear documentation of these indications is critically important in considerations of appropriateness of PCI based on individual patient characteristics; thus, this performance measure is essential to ensuring that this process can take place. Recent evidence suggests that the requisite data for determining the appropriateness of PCI is not always complete. (See Importance Section 1.b3 of NQF Submission Form for this measure)</w:t>
      </w:r>
    </w:p>
    <w:p w:rsidR="007F20FA" w:rsidRPr="003B1CC5" w:rsidRDefault="007F20FA" w:rsidP="007F20FA">
      <w:pPr>
        <w:ind w:left="0" w:firstLine="0"/>
      </w:pPr>
    </w:p>
    <w:p w:rsidR="0055559D"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w:t>
      </w:r>
      <w:r w:rsidR="0094689F" w:rsidRPr="003B1CC5">
        <w:rPr>
          <w:b/>
          <w:color w:val="0000FF"/>
        </w:rPr>
        <w:t>3.</w:t>
      </w:r>
      <w:r w:rsidR="002B06BD" w:rsidRPr="003B1CC5">
        <w:rPr>
          <w:b/>
          <w:color w:val="0000FF"/>
        </w:rPr>
        <w:t>1</w:t>
      </w:r>
      <w:r w:rsidR="001B38BF" w:rsidRPr="003B1CC5">
        <w:rPr>
          <w:b/>
          <w:color w:val="0000FF"/>
        </w:rPr>
        <w:t>.</w:t>
      </w:r>
      <w:r w:rsidRPr="003B1CC5">
        <w:rPr>
          <w:color w:val="0000FF"/>
        </w:rPr>
        <w:t xml:space="preserve"> </w:t>
      </w:r>
      <w:proofErr w:type="gramStart"/>
      <w:r w:rsidRPr="003B1CC5">
        <w:rPr>
          <w:b/>
        </w:rPr>
        <w:t>What</w:t>
      </w:r>
      <w:proofErr w:type="gramEnd"/>
      <w:r w:rsidRPr="003B1CC5">
        <w:rPr>
          <w:b/>
        </w:rPr>
        <w:t xml:space="preserve"> is the source of</w:t>
      </w:r>
      <w:r w:rsidR="00030F43" w:rsidRPr="003B1CC5">
        <w:rPr>
          <w:b/>
        </w:rPr>
        <w:t xml:space="preserve"> the</w:t>
      </w:r>
      <w:r w:rsidRPr="003B1CC5">
        <w:rPr>
          <w:b/>
        </w:rPr>
        <w:t xml:space="preserve"> </w:t>
      </w:r>
      <w:r w:rsidR="007573F0" w:rsidRPr="003B1CC5">
        <w:rPr>
          <w:b/>
          <w:u w:val="single"/>
        </w:rPr>
        <w:t xml:space="preserve">systematic review of the body of </w:t>
      </w:r>
      <w:r w:rsidRPr="003B1CC5">
        <w:rPr>
          <w:b/>
          <w:u w:val="single"/>
        </w:rPr>
        <w:t>evi</w:t>
      </w:r>
      <w:r w:rsidR="00201FF9" w:rsidRPr="003B1CC5">
        <w:rPr>
          <w:b/>
          <w:u w:val="single"/>
        </w:rPr>
        <w:t>dence</w:t>
      </w:r>
      <w:r w:rsidR="00201FF9" w:rsidRPr="003B1CC5">
        <w:rPr>
          <w:b/>
        </w:rPr>
        <w:t xml:space="preserve"> that </w:t>
      </w:r>
      <w:r w:rsidR="00BA579E" w:rsidRPr="003B1CC5">
        <w:rPr>
          <w:b/>
        </w:rPr>
        <w:t xml:space="preserve">supports </w:t>
      </w:r>
      <w:r w:rsidR="007C1887" w:rsidRPr="003B1CC5">
        <w:rPr>
          <w:b/>
        </w:rPr>
        <w:t xml:space="preserve">the </w:t>
      </w:r>
      <w:r w:rsidR="00BA579E" w:rsidRPr="003B1CC5">
        <w:rPr>
          <w:b/>
        </w:rPr>
        <w:t>performance measure</w:t>
      </w:r>
      <w:r w:rsidRPr="003B1CC5">
        <w:rPr>
          <w:b/>
        </w:rPr>
        <w:t>?</w:t>
      </w:r>
    </w:p>
    <w:p w:rsidR="00FD4D82" w:rsidRPr="003B1CC5" w:rsidRDefault="00526739" w:rsidP="002E2177">
      <w:pPr>
        <w:ind w:left="0" w:firstLine="0"/>
      </w:pPr>
      <w:sdt>
        <w:sdtPr>
          <w:rPr>
            <w:bCs/>
            <w:color w:val="0000FF"/>
          </w:rPr>
          <w:id w:val="-468508862"/>
          <w14:checkbox>
            <w14:checked w14:val="1"/>
            <w14:checkedState w14:val="2612" w14:font="MS Gothic"/>
            <w14:uncheckedState w14:val="2610" w14:font="MS Gothic"/>
          </w14:checkbox>
        </w:sdtPr>
        <w:sdtEndPr/>
        <w:sdtContent>
          <w:r w:rsidR="007F20FA">
            <w:rPr>
              <w:rFonts w:ascii="MS Gothic" w:eastAsia="MS Gothic" w:hAnsi="MS Gothic" w:hint="eastAsia"/>
              <w:bCs/>
              <w:color w:val="0000FF"/>
            </w:rPr>
            <w:t>☒</w:t>
          </w:r>
        </w:sdtContent>
      </w:sdt>
      <w:r w:rsidR="001B38BF" w:rsidRPr="003B1CC5">
        <w:t xml:space="preserve"> Clinical Practice </w:t>
      </w:r>
      <w:r w:rsidR="00AA5587" w:rsidRPr="003B1CC5">
        <w:t>G</w:t>
      </w:r>
      <w:r w:rsidR="001B38BF" w:rsidRPr="003B1CC5">
        <w:t>uideline</w:t>
      </w:r>
      <w:r w:rsidR="00E746A2" w:rsidRPr="003B1CC5">
        <w:t xml:space="preserve"> recommendation</w:t>
      </w:r>
      <w:r w:rsidR="001B38BF" w:rsidRPr="003B1CC5">
        <w:t xml:space="preserve"> – </w:t>
      </w:r>
      <w:r w:rsidR="00FD4D82" w:rsidRPr="003B1CC5">
        <w:rPr>
          <w:b/>
          <w:i/>
        </w:rPr>
        <w:t>complete section</w:t>
      </w:r>
      <w:r w:rsidR="00CF0AB1" w:rsidRPr="003B1CC5">
        <w:rPr>
          <w:b/>
          <w:i/>
        </w:rPr>
        <w:t>s</w:t>
      </w:r>
      <w:r w:rsidR="00FD4D82" w:rsidRPr="003B1CC5">
        <w:rPr>
          <w:b/>
          <w:i/>
        </w:rPr>
        <w:t xml:space="preserve"> </w:t>
      </w:r>
      <w:hyperlink w:anchor="Section1a4" w:history="1">
        <w:r w:rsidR="00FD4D82" w:rsidRPr="003B1CC5">
          <w:rPr>
            <w:rStyle w:val="Hyperlink"/>
            <w:b/>
            <w:i/>
          </w:rPr>
          <w:t>1</w:t>
        </w:r>
        <w:r w:rsidR="00773485" w:rsidRPr="003B1CC5">
          <w:rPr>
            <w:rStyle w:val="Hyperlink"/>
            <w:b/>
            <w:i/>
          </w:rPr>
          <w:t>a</w:t>
        </w:r>
        <w:r w:rsidR="00701CC3" w:rsidRPr="003B1CC5">
          <w:rPr>
            <w:rStyle w:val="Hyperlink"/>
            <w:b/>
            <w:i/>
          </w:rPr>
          <w:t>.</w:t>
        </w:r>
        <w:r w:rsidR="00AA5587" w:rsidRPr="003B1CC5">
          <w:rPr>
            <w:rStyle w:val="Hyperlink"/>
            <w:b/>
            <w:i/>
          </w:rPr>
          <w:t>4</w:t>
        </w:r>
      </w:hyperlink>
      <w:r w:rsidR="00CB06C9" w:rsidRPr="003B1CC5">
        <w:rPr>
          <w:b/>
          <w:i/>
        </w:rPr>
        <w:t>,</w:t>
      </w:r>
      <w:r w:rsidR="00773485" w:rsidRPr="003B1CC5">
        <w:rPr>
          <w:b/>
          <w:i/>
        </w:rPr>
        <w:t xml:space="preserve"> and </w:t>
      </w:r>
      <w:hyperlink w:anchor="Section1a7" w:history="1">
        <w:r w:rsidR="00773485" w:rsidRPr="003B1CC5">
          <w:rPr>
            <w:rStyle w:val="Hyperlink"/>
            <w:b/>
            <w:i/>
          </w:rPr>
          <w:t>1a.7</w:t>
        </w:r>
      </w:hyperlink>
      <w:r w:rsidR="001B38BF" w:rsidRPr="003B1CC5">
        <w:t xml:space="preserve"> </w:t>
      </w:r>
    </w:p>
    <w:p w:rsidR="00FD4D82" w:rsidRPr="003B1CC5" w:rsidRDefault="00526739" w:rsidP="002E2177">
      <w:pPr>
        <w:ind w:left="0" w:firstLine="0"/>
        <w:rPr>
          <w:b/>
          <w:i/>
        </w:rPr>
      </w:pPr>
      <w:sdt>
        <w:sdtPr>
          <w:rPr>
            <w:bCs/>
            <w:color w:val="0000FF"/>
          </w:rPr>
          <w:id w:val="-411317169"/>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FD4D82" w:rsidRPr="003B1CC5">
        <w:t xml:space="preserve"> US Preventive Services Task Force Recommendation </w:t>
      </w:r>
      <w:r w:rsidR="001B38BF" w:rsidRPr="003B1CC5">
        <w:t xml:space="preserve">– </w:t>
      </w:r>
      <w:r w:rsidR="00FD4D82" w:rsidRPr="003B1CC5">
        <w:rPr>
          <w:b/>
          <w:i/>
        </w:rPr>
        <w:t>complete section</w:t>
      </w:r>
      <w:r w:rsidR="00CF0AB1" w:rsidRPr="003B1CC5">
        <w:rPr>
          <w:b/>
          <w:i/>
        </w:rPr>
        <w:t>s</w:t>
      </w:r>
      <w:r w:rsidR="00FD4D82" w:rsidRPr="003B1CC5">
        <w:rPr>
          <w:b/>
          <w:i/>
        </w:rPr>
        <w:t xml:space="preserve"> </w:t>
      </w:r>
      <w:hyperlink w:anchor="Section1a5" w:history="1">
        <w:r w:rsidR="00FD4D82" w:rsidRPr="003B1CC5">
          <w:rPr>
            <w:rStyle w:val="Hyperlink"/>
            <w:b/>
            <w:i/>
          </w:rPr>
          <w:t>1</w:t>
        </w:r>
        <w:r w:rsidR="00773485" w:rsidRPr="003B1CC5">
          <w:rPr>
            <w:rStyle w:val="Hyperlink"/>
            <w:b/>
            <w:i/>
          </w:rPr>
          <w:t>a</w:t>
        </w:r>
        <w:r w:rsidR="00FD4D82" w:rsidRPr="003B1CC5">
          <w:rPr>
            <w:rStyle w:val="Hyperlink"/>
            <w:b/>
            <w:i/>
          </w:rPr>
          <w:t>.5</w:t>
        </w:r>
      </w:hyperlink>
      <w:r w:rsidR="007C1887" w:rsidRPr="003B1CC5">
        <w:rPr>
          <w:b/>
          <w:i/>
        </w:rPr>
        <w:t xml:space="preserve"> and </w:t>
      </w:r>
      <w:hyperlink w:anchor="Section1a7" w:history="1">
        <w:r w:rsidR="00CF772F" w:rsidRPr="003B1CC5">
          <w:rPr>
            <w:rStyle w:val="Hyperlink"/>
            <w:b/>
            <w:i/>
          </w:rPr>
          <w:t>1a.7</w:t>
        </w:r>
      </w:hyperlink>
    </w:p>
    <w:p w:rsidR="007573F0" w:rsidRPr="003B1CC5" w:rsidRDefault="00526739" w:rsidP="002E2177">
      <w:pPr>
        <w:ind w:left="0" w:firstLine="0"/>
      </w:pPr>
      <w:sdt>
        <w:sdtPr>
          <w:rPr>
            <w:bCs/>
            <w:color w:val="0000FF"/>
          </w:rPr>
          <w:id w:val="1199589694"/>
          <w14:checkbox>
            <w14:checked w14:val="0"/>
            <w14:checkedState w14:val="2612" w14:font="MS Gothic"/>
            <w14:uncheckedState w14:val="2610" w14:font="MS Gothic"/>
          </w14:checkbox>
        </w:sdtPr>
        <w:sdtEndPr/>
        <w:sdtContent>
          <w:r w:rsidR="007573F0" w:rsidRPr="003B1CC5">
            <w:rPr>
              <w:rFonts w:ascii="MS Gothic" w:eastAsia="MS Gothic" w:hAnsi="MS Gothic" w:cs="MS Gothic" w:hint="eastAsia"/>
              <w:bCs/>
              <w:color w:val="0000FF"/>
            </w:rPr>
            <w:t>☐</w:t>
          </w:r>
        </w:sdtContent>
      </w:sdt>
      <w:r w:rsidR="007573F0" w:rsidRPr="003B1CC5">
        <w:t xml:space="preserve"> Other systematic review and grading of the body of evidence (</w:t>
      </w:r>
      <w:r w:rsidR="007573F0" w:rsidRPr="003B1CC5">
        <w:rPr>
          <w:i/>
        </w:rPr>
        <w:t>e.g., Cochrane Collaboration, AHRQ Evidence Practice Center</w:t>
      </w:r>
      <w:r w:rsidR="007573F0" w:rsidRPr="003B1CC5">
        <w:t xml:space="preserve">) – </w:t>
      </w:r>
      <w:r w:rsidR="007573F0" w:rsidRPr="003B1CC5">
        <w:rPr>
          <w:b/>
          <w:i/>
        </w:rPr>
        <w:t xml:space="preserve">complete sections </w:t>
      </w:r>
      <w:hyperlink w:anchor="Section1a6" w:history="1">
        <w:r w:rsidR="007573F0" w:rsidRPr="003B1CC5">
          <w:rPr>
            <w:rStyle w:val="Hyperlink"/>
            <w:b/>
            <w:i/>
          </w:rPr>
          <w:t>1a.6</w:t>
        </w:r>
      </w:hyperlink>
      <w:r w:rsidR="007573F0" w:rsidRPr="003B1CC5">
        <w:rPr>
          <w:b/>
          <w:i/>
        </w:rPr>
        <w:t xml:space="preserve"> and </w:t>
      </w:r>
      <w:hyperlink w:anchor="Section1a7" w:history="1">
        <w:r w:rsidR="00CF772F" w:rsidRPr="003B1CC5">
          <w:rPr>
            <w:rStyle w:val="Hyperlink"/>
            <w:b/>
            <w:i/>
          </w:rPr>
          <w:t>1a.7</w:t>
        </w:r>
      </w:hyperlink>
    </w:p>
    <w:p w:rsidR="00FD4D82" w:rsidRPr="003B1CC5" w:rsidRDefault="00526739" w:rsidP="002E2177">
      <w:pPr>
        <w:ind w:left="0" w:firstLine="0"/>
      </w:pPr>
      <w:sdt>
        <w:sdtPr>
          <w:rPr>
            <w:bCs/>
            <w:color w:val="0000FF"/>
          </w:rPr>
          <w:id w:val="302275832"/>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FD4D82" w:rsidRPr="003B1CC5">
        <w:t xml:space="preserve"> Other </w:t>
      </w:r>
      <w:r w:rsidR="001B38BF" w:rsidRPr="003B1CC5">
        <w:t xml:space="preserve">– </w:t>
      </w:r>
      <w:r w:rsidR="00FD4D82" w:rsidRPr="003B1CC5">
        <w:rPr>
          <w:b/>
          <w:i/>
        </w:rPr>
        <w:t xml:space="preserve">complete section </w:t>
      </w:r>
      <w:hyperlink w:anchor="Section1a8" w:history="1">
        <w:r w:rsidR="00FD4D82" w:rsidRPr="003B1CC5">
          <w:rPr>
            <w:rStyle w:val="Hyperlink"/>
            <w:b/>
            <w:i/>
          </w:rPr>
          <w:t>1</w:t>
        </w:r>
        <w:r w:rsidR="00773485" w:rsidRPr="003B1CC5">
          <w:rPr>
            <w:rStyle w:val="Hyperlink"/>
            <w:b/>
            <w:i/>
          </w:rPr>
          <w:t>a</w:t>
        </w:r>
        <w:r w:rsidR="00FD4D82" w:rsidRPr="003B1CC5">
          <w:rPr>
            <w:rStyle w:val="Hyperlink"/>
            <w:b/>
            <w:i/>
          </w:rPr>
          <w:t>.</w:t>
        </w:r>
        <w:r w:rsidR="00773485" w:rsidRPr="003B1CC5">
          <w:rPr>
            <w:rStyle w:val="Hyperlink"/>
            <w:b/>
            <w:i/>
          </w:rPr>
          <w:t>8</w:t>
        </w:r>
      </w:hyperlink>
    </w:p>
    <w:p w:rsidR="00FD4D82" w:rsidRPr="003B1CC5" w:rsidRDefault="00FD4D82" w:rsidP="002E2177">
      <w:pPr>
        <w:ind w:left="0" w:firstLine="0"/>
      </w:pPr>
    </w:p>
    <w:p w:rsidR="00201FF9" w:rsidRPr="003B1CC5" w:rsidRDefault="00201FF9" w:rsidP="002E2177">
      <w:pPr>
        <w:ind w:left="0" w:firstLine="0"/>
        <w:rPr>
          <w:i/>
        </w:rPr>
      </w:pPr>
      <w:r w:rsidRPr="003B1CC5">
        <w:rPr>
          <w:i/>
          <w:highlight w:val="green"/>
        </w:rPr>
        <w:t xml:space="preserve">Please complete the sections indicated </w:t>
      </w:r>
      <w:r w:rsidR="00030F43" w:rsidRPr="003B1CC5">
        <w:rPr>
          <w:i/>
          <w:highlight w:val="green"/>
        </w:rPr>
        <w:t xml:space="preserve">above </w:t>
      </w:r>
      <w:r w:rsidRPr="003B1CC5">
        <w:rPr>
          <w:i/>
          <w:highlight w:val="green"/>
        </w:rPr>
        <w:t xml:space="preserve">for the source of evidence. You may skip the </w:t>
      </w:r>
      <w:r w:rsidR="00030F43" w:rsidRPr="003B1CC5">
        <w:rPr>
          <w:i/>
          <w:highlight w:val="green"/>
        </w:rPr>
        <w:t>section</w:t>
      </w:r>
      <w:r w:rsidRPr="003B1CC5">
        <w:rPr>
          <w:i/>
          <w:highlight w:val="green"/>
        </w:rPr>
        <w:t>s that do not apply.</w:t>
      </w:r>
    </w:p>
    <w:p w:rsidR="00925F11" w:rsidRPr="003B1CC5" w:rsidRDefault="00925F11" w:rsidP="002E2177">
      <w:pPr>
        <w:ind w:left="0" w:firstLine="0"/>
        <w:rPr>
          <w:b/>
          <w:iCs/>
          <w:caps/>
        </w:rPr>
      </w:pPr>
      <w:r w:rsidRPr="003B1CC5">
        <w:rPr>
          <w:b/>
          <w:iCs/>
          <w:caps/>
        </w:rPr>
        <w:t>_________________________</w:t>
      </w:r>
      <w:bookmarkStart w:id="6" w:name="Section1a4"/>
      <w:bookmarkEnd w:id="6"/>
    </w:p>
    <w:p w:rsidR="009B5BEA"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.4</w:t>
      </w:r>
      <w:r w:rsidR="00201FF9" w:rsidRPr="003B1CC5">
        <w:rPr>
          <w:b/>
          <w:color w:val="0000FF"/>
        </w:rPr>
        <w:t>.</w:t>
      </w:r>
      <w:r w:rsidRPr="003B1CC5">
        <w:rPr>
          <w:b/>
          <w:color w:val="0070C0"/>
        </w:rPr>
        <w:t xml:space="preserve"> </w:t>
      </w:r>
      <w:r w:rsidR="0055559D" w:rsidRPr="003B1CC5">
        <w:rPr>
          <w:b/>
        </w:rPr>
        <w:t>CLINICAL PRACTICE GUIDELINE</w:t>
      </w:r>
      <w:r w:rsidR="00E746A2" w:rsidRPr="003B1CC5">
        <w:rPr>
          <w:b/>
        </w:rPr>
        <w:t xml:space="preserve"> RECOMMENDATION</w:t>
      </w:r>
    </w:p>
    <w:p w:rsidR="007E37A5" w:rsidRPr="003B1CC5"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Pr="003B1CC5">
        <w:rPr>
          <w:b/>
          <w:color w:val="0000FF"/>
        </w:rPr>
        <w:t>.1.</w:t>
      </w:r>
      <w:r w:rsidRPr="003B1CC5">
        <w:t xml:space="preserve"> </w:t>
      </w:r>
      <w:r w:rsidR="00496AF8" w:rsidRPr="003B1CC5">
        <w:rPr>
          <w:b/>
        </w:rPr>
        <w:t>Guideline citation</w:t>
      </w:r>
      <w:r w:rsidR="002F20A7" w:rsidRPr="003B1CC5">
        <w:t xml:space="preserve"> </w:t>
      </w:r>
      <w:r w:rsidR="006709EB" w:rsidRPr="003B1CC5">
        <w:t>(</w:t>
      </w:r>
      <w:r w:rsidR="006709EB" w:rsidRPr="003B1CC5">
        <w:rPr>
          <w:i/>
        </w:rPr>
        <w:t>including date</w:t>
      </w:r>
      <w:r w:rsidR="006709EB" w:rsidRPr="003B1CC5">
        <w:t>)</w:t>
      </w:r>
      <w:r w:rsidR="00265702" w:rsidRPr="003B1CC5">
        <w:t xml:space="preserve"> and </w:t>
      </w:r>
      <w:r w:rsidR="00265702" w:rsidRPr="003B1CC5">
        <w:rPr>
          <w:b/>
        </w:rPr>
        <w:t>URL for guideline</w:t>
      </w:r>
      <w:r w:rsidR="00265702" w:rsidRPr="003B1CC5">
        <w:t xml:space="preserve"> (</w:t>
      </w:r>
      <w:r w:rsidR="00265702" w:rsidRPr="003B1CC5">
        <w:rPr>
          <w:i/>
        </w:rPr>
        <w:t>if available online</w:t>
      </w:r>
      <w:r w:rsidR="00265702" w:rsidRPr="003B1CC5">
        <w:t>):</w:t>
      </w:r>
    </w:p>
    <w:p w:rsidR="007F20FA" w:rsidRPr="007F20FA" w:rsidRDefault="007F20FA" w:rsidP="007F20FA">
      <w:pPr>
        <w:ind w:left="0" w:firstLine="0"/>
        <w:rPr>
          <w:rFonts w:cs="Arial"/>
          <w:b/>
        </w:rPr>
      </w:pPr>
      <w:r w:rsidRPr="007F20FA">
        <w:rPr>
          <w:rFonts w:cs="Arial"/>
          <w:b/>
        </w:rPr>
        <w:t xml:space="preserve">2012 Appropriate Use Criteria (AUC) for Coronary Revascularization </w:t>
      </w:r>
    </w:p>
    <w:p w:rsidR="007F20FA" w:rsidRPr="007F20FA" w:rsidRDefault="007F20FA" w:rsidP="007F20FA">
      <w:pPr>
        <w:ind w:left="0" w:firstLine="0"/>
        <w:rPr>
          <w:rFonts w:cs="Arial"/>
        </w:rPr>
      </w:pPr>
      <w:r w:rsidRPr="007F20FA">
        <w:rPr>
          <w:rFonts w:cs="Arial"/>
        </w:rPr>
        <w:t xml:space="preserve">Patel MR, </w:t>
      </w:r>
      <w:proofErr w:type="spellStart"/>
      <w:r w:rsidRPr="007F20FA">
        <w:rPr>
          <w:rFonts w:cs="Arial"/>
        </w:rPr>
        <w:t>Dehmer</w:t>
      </w:r>
      <w:proofErr w:type="spellEnd"/>
      <w:r w:rsidRPr="007F20FA">
        <w:rPr>
          <w:rFonts w:cs="Arial"/>
        </w:rPr>
        <w:t xml:space="preserve"> GJ, </w:t>
      </w:r>
      <w:proofErr w:type="spellStart"/>
      <w:r w:rsidRPr="007F20FA">
        <w:rPr>
          <w:rFonts w:cs="Arial"/>
        </w:rPr>
        <w:t>Hirshfeld</w:t>
      </w:r>
      <w:proofErr w:type="spellEnd"/>
      <w:r w:rsidRPr="007F20FA">
        <w:rPr>
          <w:rFonts w:cs="Arial"/>
        </w:rPr>
        <w:t xml:space="preserve"> JW, Smith PK, </w:t>
      </w:r>
      <w:proofErr w:type="spellStart"/>
      <w:r w:rsidRPr="007F20FA">
        <w:rPr>
          <w:rFonts w:cs="Arial"/>
        </w:rPr>
        <w:t>Spertus</w:t>
      </w:r>
      <w:proofErr w:type="spellEnd"/>
      <w:r w:rsidRPr="007F20FA">
        <w:rPr>
          <w:rFonts w:cs="Arial"/>
        </w:rPr>
        <w:t xml:space="preserve"> JA. ACCF/SCAI/STS/AATS/AHA/ASNC/HFSA/SCCT 2012 appropriate use criteria for coronary revascularization focused update: a report of the American College of Cardiology Foundation Appropriate Use Criteria Task Force, Society for Cardiovascular Angiography and Interventions, Society of Thoracic Surgeons, American Association for Thoracic Surgery, American Heart Association, American Society of Nuclear Cardiology, and the Society of Cardiovascular Computed Tomography. </w:t>
      </w:r>
      <w:r w:rsidRPr="007F20FA">
        <w:rPr>
          <w:rFonts w:cs="Arial"/>
          <w:i/>
        </w:rPr>
        <w:t xml:space="preserve">J Am </w:t>
      </w:r>
      <w:proofErr w:type="spellStart"/>
      <w:r w:rsidRPr="007F20FA">
        <w:rPr>
          <w:rFonts w:cs="Arial"/>
          <w:i/>
        </w:rPr>
        <w:t>Coll</w:t>
      </w:r>
      <w:proofErr w:type="spellEnd"/>
      <w:r w:rsidRPr="007F20FA">
        <w:rPr>
          <w:rFonts w:cs="Arial"/>
          <w:i/>
        </w:rPr>
        <w:t xml:space="preserve"> </w:t>
      </w:r>
      <w:proofErr w:type="spellStart"/>
      <w:r w:rsidRPr="007F20FA">
        <w:rPr>
          <w:rFonts w:cs="Arial"/>
          <w:i/>
        </w:rPr>
        <w:t>Cardiol</w:t>
      </w:r>
      <w:proofErr w:type="spellEnd"/>
      <w:r w:rsidRPr="007F20FA">
        <w:rPr>
          <w:rFonts w:cs="Arial"/>
        </w:rPr>
        <w:t xml:space="preserve"> 2012</w:t>
      </w:r>
      <w:proofErr w:type="gramStart"/>
      <w:r w:rsidRPr="007F20FA">
        <w:rPr>
          <w:rFonts w:cs="Arial"/>
        </w:rPr>
        <w:t>;59:857</w:t>
      </w:r>
      <w:proofErr w:type="gramEnd"/>
      <w:r w:rsidRPr="007F20FA">
        <w:rPr>
          <w:rFonts w:cs="Arial"/>
        </w:rPr>
        <w:t>–81.</w:t>
      </w:r>
    </w:p>
    <w:p w:rsidR="007F20FA" w:rsidRPr="007F20FA" w:rsidRDefault="007F20FA" w:rsidP="007F20FA">
      <w:pPr>
        <w:ind w:left="0" w:firstLine="0"/>
        <w:rPr>
          <w:rFonts w:cs="Arial"/>
        </w:rPr>
      </w:pPr>
      <w:r w:rsidRPr="007F20FA">
        <w:rPr>
          <w:rFonts w:cs="Arial"/>
        </w:rPr>
        <w:t xml:space="preserve">URL: </w:t>
      </w:r>
      <w:hyperlink r:id="rId20" w:history="1">
        <w:r w:rsidRPr="007F20FA">
          <w:rPr>
            <w:rFonts w:cs="Arial"/>
            <w:color w:val="0000FF" w:themeColor="hyperlink"/>
            <w:u w:val="single"/>
          </w:rPr>
          <w:t>http://content.onlinejacc.org/article.aspx?articleid=1201161</w:t>
        </w:r>
      </w:hyperlink>
    </w:p>
    <w:p w:rsidR="007F20FA" w:rsidRPr="007F20FA" w:rsidRDefault="007F20FA" w:rsidP="007F20FA">
      <w:pPr>
        <w:ind w:left="0" w:firstLine="0"/>
        <w:rPr>
          <w:rFonts w:cs="Arial"/>
        </w:rPr>
      </w:pPr>
    </w:p>
    <w:p w:rsidR="007F20FA" w:rsidRPr="007F20FA" w:rsidRDefault="007F20FA" w:rsidP="007F20FA">
      <w:pPr>
        <w:ind w:left="0" w:firstLine="0"/>
        <w:rPr>
          <w:rFonts w:cs="Arial"/>
          <w:b/>
        </w:rPr>
      </w:pPr>
      <w:r w:rsidRPr="007F20FA">
        <w:rPr>
          <w:rFonts w:cs="Arial"/>
          <w:b/>
        </w:rPr>
        <w:t>2011 ACCF/AHA/SCAI guideline for percutaneous coronary intervention</w:t>
      </w:r>
    </w:p>
    <w:p w:rsidR="007F20FA" w:rsidRPr="007F20FA" w:rsidRDefault="007F20FA" w:rsidP="007F20FA">
      <w:pPr>
        <w:ind w:left="0" w:firstLine="0"/>
        <w:rPr>
          <w:rFonts w:cs="Arial"/>
        </w:rPr>
      </w:pPr>
      <w:r w:rsidRPr="007F20FA">
        <w:rPr>
          <w:rFonts w:cs="Arial"/>
        </w:rPr>
        <w:t xml:space="preserve">Levine GN, Bates ER, Blankenship JC, et al. 2011 ACCF/AHA/ SCAI guideline for percutaneous coronary intervention: a report of the American College of Cardiology Foundation/American Heart Association Task Force on Practice Guidelines and the Society for Cardiovascular Angiography and Interventions. </w:t>
      </w:r>
      <w:proofErr w:type="gramStart"/>
      <w:r w:rsidRPr="007F20FA">
        <w:rPr>
          <w:rFonts w:cs="Arial"/>
          <w:i/>
        </w:rPr>
        <w:t>Circulation.</w:t>
      </w:r>
      <w:proofErr w:type="gramEnd"/>
      <w:r w:rsidRPr="007F20FA">
        <w:rPr>
          <w:rFonts w:cs="Arial"/>
          <w:i/>
        </w:rPr>
        <w:t xml:space="preserve"> </w:t>
      </w:r>
      <w:r w:rsidRPr="007F20FA">
        <w:rPr>
          <w:rFonts w:cs="Arial"/>
        </w:rPr>
        <w:t>2011</w:t>
      </w:r>
      <w:proofErr w:type="gramStart"/>
      <w:r w:rsidRPr="007F20FA">
        <w:rPr>
          <w:rFonts w:cs="Arial"/>
        </w:rPr>
        <w:t>;124:e574</w:t>
      </w:r>
      <w:proofErr w:type="gramEnd"/>
      <w:r w:rsidRPr="007F20FA">
        <w:rPr>
          <w:rFonts w:cs="Arial"/>
        </w:rPr>
        <w:t xml:space="preserve">-e651. </w:t>
      </w:r>
    </w:p>
    <w:p w:rsidR="007F20FA" w:rsidRPr="007F20FA" w:rsidRDefault="007F20FA" w:rsidP="007F20FA">
      <w:pPr>
        <w:ind w:left="0" w:firstLine="0"/>
        <w:rPr>
          <w:rFonts w:cs="Arial"/>
        </w:rPr>
      </w:pPr>
      <w:r w:rsidRPr="007F20FA">
        <w:rPr>
          <w:rFonts w:cs="Arial"/>
        </w:rPr>
        <w:t xml:space="preserve">URL: </w:t>
      </w:r>
      <w:hyperlink r:id="rId21" w:history="1">
        <w:r w:rsidRPr="007F20FA">
          <w:rPr>
            <w:rFonts w:cs="Arial"/>
            <w:color w:val="0000FF" w:themeColor="hyperlink"/>
            <w:u w:val="single"/>
          </w:rPr>
          <w:t>http://my.americanheart.org/professional/General/2011-ACCFAHASCAI-Guideline-for-Percutaneous-Coronary-Intervention_UCM_433333_Article.jsp</w:t>
        </w:r>
      </w:hyperlink>
    </w:p>
    <w:p w:rsidR="006F4B7F" w:rsidRPr="003B1CC5" w:rsidRDefault="006F4B7F" w:rsidP="002E2177">
      <w:pPr>
        <w:ind w:left="0" w:firstLine="0"/>
        <w:rPr>
          <w:color w:val="0000FF"/>
        </w:rPr>
      </w:pPr>
    </w:p>
    <w:p w:rsidR="00D14F0B" w:rsidRPr="003B1CC5"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00265702" w:rsidRPr="003B1CC5">
        <w:rPr>
          <w:b/>
          <w:color w:val="0000FF"/>
        </w:rPr>
        <w:t>.2</w:t>
      </w:r>
      <w:r w:rsidRPr="003B1CC5">
        <w:rPr>
          <w:b/>
          <w:color w:val="0000FF"/>
        </w:rPr>
        <w:t>.</w:t>
      </w:r>
      <w:r w:rsidRPr="003B1CC5">
        <w:t xml:space="preserve"> </w:t>
      </w:r>
      <w:r w:rsidR="00496AF8" w:rsidRPr="003B1CC5">
        <w:rPr>
          <w:b/>
        </w:rPr>
        <w:t>Identify</w:t>
      </w:r>
      <w:r w:rsidR="00A44FF0" w:rsidRPr="003B1CC5">
        <w:rPr>
          <w:b/>
        </w:rPr>
        <w:t xml:space="preserve"> </w:t>
      </w:r>
      <w:r w:rsidR="00C54E40" w:rsidRPr="003B1CC5">
        <w:rPr>
          <w:b/>
        </w:rPr>
        <w:t>g</w:t>
      </w:r>
      <w:r w:rsidR="00496AF8" w:rsidRPr="003B1CC5">
        <w:rPr>
          <w:b/>
        </w:rPr>
        <w:t xml:space="preserve">uideline </w:t>
      </w:r>
      <w:r w:rsidR="00E746A2" w:rsidRPr="003B1CC5">
        <w:rPr>
          <w:b/>
        </w:rPr>
        <w:t xml:space="preserve">recommendation </w:t>
      </w:r>
      <w:r w:rsidR="00496AF8" w:rsidRPr="003B1CC5">
        <w:rPr>
          <w:b/>
        </w:rPr>
        <w:t>number and/or page number</w:t>
      </w:r>
      <w:r w:rsidR="00265702" w:rsidRPr="003B1CC5">
        <w:t xml:space="preserve"> and </w:t>
      </w:r>
      <w:r w:rsidR="00C54E40" w:rsidRPr="003B1CC5">
        <w:rPr>
          <w:b/>
        </w:rPr>
        <w:t>q</w:t>
      </w:r>
      <w:r w:rsidR="00265702" w:rsidRPr="003B1CC5">
        <w:rPr>
          <w:b/>
        </w:rPr>
        <w:t>uote verbatim, the specific guideline recommendation</w:t>
      </w:r>
      <w:r w:rsidR="00FC32D3" w:rsidRPr="003B1CC5">
        <w:t>.</w:t>
      </w:r>
    </w:p>
    <w:p w:rsidR="007F20FA" w:rsidRPr="007F20FA" w:rsidRDefault="007F20FA" w:rsidP="007F20FA">
      <w:pPr>
        <w:rPr>
          <w:rFonts w:eastAsia="Times New Roman" w:cs="Times New Roman"/>
        </w:rPr>
      </w:pPr>
      <w:r w:rsidRPr="007F20FA">
        <w:rPr>
          <w:rFonts w:eastAsia="Times New Roman" w:cs="Times New Roman"/>
        </w:rPr>
        <w:t>The AUC classifies the clinical indications used to determine the appropriateness of coronary revascularization including PCI and CABG. The documentation of these indications is the focus of this measure, but we focus on its application to PCI given the target of this performance measure.</w:t>
      </w:r>
    </w:p>
    <w:p w:rsidR="007F20FA" w:rsidRPr="007F20FA" w:rsidRDefault="007F20FA" w:rsidP="007F20FA">
      <w:pPr>
        <w:rPr>
          <w:rFonts w:eastAsia="Times New Roman" w:cs="Times New Roman"/>
        </w:rPr>
      </w:pPr>
      <w:r w:rsidRPr="007F20FA">
        <w:rPr>
          <w:rFonts w:eastAsia="Times New Roman" w:cs="Times New Roman"/>
        </w:rPr>
        <w:t xml:space="preserve">In turn, the ACCF/AHA/SCAI guidelines provide the evidence on the benefits and risks of PCI to assist physicians in selecting the optimal strategy for an individual patient. </w:t>
      </w:r>
    </w:p>
    <w:p w:rsidR="007F20FA" w:rsidRPr="007F20FA" w:rsidRDefault="007F20FA" w:rsidP="007F20FA">
      <w:pPr>
        <w:rPr>
          <w:rFonts w:eastAsia="Times New Roman" w:cs="Times New Roman"/>
        </w:rPr>
      </w:pPr>
      <w:r w:rsidRPr="007F20FA">
        <w:rPr>
          <w:rFonts w:eastAsia="Times New Roman" w:cs="Times New Roman"/>
        </w:rPr>
        <w:t xml:space="preserve">In conjunction, the AUC and the clinical guideline provide the foundation for this measure.  </w:t>
      </w:r>
    </w:p>
    <w:p w:rsidR="007F20FA" w:rsidRPr="007F20FA" w:rsidRDefault="007F20FA" w:rsidP="007F20FA">
      <w:pPr>
        <w:rPr>
          <w:rFonts w:eastAsia="Times New Roman" w:cs="Times New Roman"/>
        </w:rPr>
      </w:pPr>
    </w:p>
    <w:p w:rsidR="007F20FA" w:rsidRPr="007F20FA" w:rsidRDefault="007F20FA" w:rsidP="007F20FA">
      <w:pPr>
        <w:rPr>
          <w:rFonts w:eastAsia="Times New Roman" w:cs="Times New Roman"/>
        </w:rPr>
      </w:pPr>
      <w:r w:rsidRPr="007F20FA">
        <w:rPr>
          <w:rFonts w:eastAsia="Times New Roman" w:cs="Times New Roman"/>
        </w:rPr>
        <w:lastRenderedPageBreak/>
        <w:t xml:space="preserve">From the ACCF/SCAI/STS/AATS/AHA/ASNC/HFSA/SCCT 2012 appropriate use criteria (AUC) for coronary revascularization (pp. 860-861): </w:t>
      </w:r>
    </w:p>
    <w:p w:rsidR="007F20FA" w:rsidRPr="007F20FA" w:rsidRDefault="007F20FA" w:rsidP="007F20FA">
      <w:pPr>
        <w:rPr>
          <w:rFonts w:eastAsia="Times New Roman" w:cs="Times New Roman"/>
        </w:rPr>
      </w:pPr>
    </w:p>
    <w:p w:rsidR="007F20FA" w:rsidRPr="007F20FA" w:rsidRDefault="007F20FA" w:rsidP="007F20FA">
      <w:pPr>
        <w:rPr>
          <w:rFonts w:eastAsia="Times New Roman" w:cs="Times New Roman"/>
        </w:rPr>
      </w:pPr>
      <w:r w:rsidRPr="007F20FA">
        <w:rPr>
          <w:rFonts w:eastAsia="Times New Roman" w:cs="Times New Roman"/>
        </w:rPr>
        <w:t xml:space="preserve">Indications for coronary revascularization were developed considering the following common variables: </w:t>
      </w:r>
    </w:p>
    <w:p w:rsidR="007F20FA" w:rsidRPr="007F20FA" w:rsidRDefault="007F20FA" w:rsidP="007F20FA">
      <w:pPr>
        <w:numPr>
          <w:ilvl w:val="0"/>
          <w:numId w:val="9"/>
        </w:numPr>
        <w:tabs>
          <w:tab w:val="num" w:pos="2160"/>
        </w:tabs>
        <w:contextualSpacing/>
        <w:rPr>
          <w:rFonts w:eastAsia="Times New Roman" w:cs="Times New Roman"/>
        </w:rPr>
      </w:pPr>
      <w:r w:rsidRPr="007F20FA">
        <w:rPr>
          <w:rFonts w:eastAsia="Times New Roman" w:cs="Times New Roman"/>
        </w:rPr>
        <w:t>The clinical presentation (e.g., acute coronary syndrome, stable angina);</w:t>
      </w:r>
    </w:p>
    <w:p w:rsidR="007F20FA" w:rsidRPr="007F20FA" w:rsidRDefault="007F20FA" w:rsidP="007F20FA">
      <w:pPr>
        <w:numPr>
          <w:ilvl w:val="0"/>
          <w:numId w:val="9"/>
        </w:numPr>
        <w:tabs>
          <w:tab w:val="num" w:pos="2160"/>
        </w:tabs>
        <w:contextualSpacing/>
        <w:rPr>
          <w:rFonts w:eastAsia="Times New Roman" w:cs="Times New Roman"/>
        </w:rPr>
      </w:pPr>
      <w:r w:rsidRPr="007F20FA">
        <w:rPr>
          <w:rFonts w:eastAsia="Times New Roman" w:cs="Times New Roman"/>
        </w:rPr>
        <w:t>Severity of angina (asymptomatic, Canadian Cardiovascular Society [CCS] Class I, II, III, or IV);</w:t>
      </w:r>
    </w:p>
    <w:p w:rsidR="007F20FA" w:rsidRPr="007F20FA" w:rsidRDefault="007F20FA" w:rsidP="007F20FA">
      <w:pPr>
        <w:numPr>
          <w:ilvl w:val="0"/>
          <w:numId w:val="9"/>
        </w:numPr>
        <w:tabs>
          <w:tab w:val="num" w:pos="2880"/>
        </w:tabs>
        <w:contextualSpacing/>
        <w:rPr>
          <w:rFonts w:eastAsia="Times New Roman" w:cs="Times New Roman"/>
        </w:rPr>
      </w:pPr>
      <w:r w:rsidRPr="007F20FA">
        <w:rPr>
          <w:rFonts w:eastAsia="Times New Roman" w:cs="Times New Roman"/>
        </w:rPr>
        <w:t>Extent of ischemia on noninvasive testing and the presence or absence of other prognostic factors, such as congestive heart failure, depressed left ventricular function, or diabetes;</w:t>
      </w:r>
    </w:p>
    <w:p w:rsidR="007F20FA" w:rsidRPr="007F20FA" w:rsidRDefault="007F20FA" w:rsidP="007F20FA">
      <w:pPr>
        <w:numPr>
          <w:ilvl w:val="0"/>
          <w:numId w:val="9"/>
        </w:numPr>
        <w:tabs>
          <w:tab w:val="num" w:pos="2160"/>
        </w:tabs>
        <w:contextualSpacing/>
        <w:rPr>
          <w:rFonts w:eastAsia="Times New Roman" w:cs="Times New Roman"/>
        </w:rPr>
      </w:pPr>
      <w:r w:rsidRPr="007F20FA">
        <w:rPr>
          <w:rFonts w:eastAsia="Times New Roman" w:cs="Times New Roman"/>
        </w:rPr>
        <w:t>Extent of medical therapy; and</w:t>
      </w:r>
    </w:p>
    <w:p w:rsidR="007F20FA" w:rsidRPr="007F20FA" w:rsidRDefault="007F20FA" w:rsidP="007F20FA">
      <w:pPr>
        <w:numPr>
          <w:ilvl w:val="0"/>
          <w:numId w:val="9"/>
        </w:numPr>
        <w:tabs>
          <w:tab w:val="num" w:pos="2160"/>
        </w:tabs>
        <w:contextualSpacing/>
        <w:rPr>
          <w:rFonts w:eastAsia="Times New Roman" w:cs="Times New Roman"/>
        </w:rPr>
      </w:pPr>
      <w:r w:rsidRPr="007F20FA">
        <w:rPr>
          <w:rFonts w:eastAsia="Times New Roman" w:cs="Times New Roman"/>
        </w:rPr>
        <w:t>Extent of anatomic disease (1-, 2-, 3-vessel disease, with or without proximal LAD or left main coronary disease).</w:t>
      </w:r>
    </w:p>
    <w:p w:rsidR="007F20FA" w:rsidRPr="007F20FA" w:rsidRDefault="007F20FA" w:rsidP="007F20FA">
      <w:pPr>
        <w:ind w:left="0" w:firstLine="0"/>
        <w:rPr>
          <w:rFonts w:eastAsia="Times New Roman" w:cs="Times New Roman"/>
        </w:rPr>
      </w:pPr>
    </w:p>
    <w:p w:rsidR="007F20FA" w:rsidRPr="007F20FA" w:rsidRDefault="007F20FA" w:rsidP="007F20FA">
      <w:pPr>
        <w:rPr>
          <w:rFonts w:eastAsia="Times New Roman" w:cs="Times New Roman"/>
        </w:rPr>
      </w:pPr>
      <w:r w:rsidRPr="007F20FA">
        <w:rPr>
          <w:rFonts w:eastAsia="Times New Roman" w:cs="Times New Roman"/>
        </w:rPr>
        <w:t xml:space="preserve">From the 2011 ACCF/AHA/ SCAI guideline for percutaneous coronary intervention (pp. e582-e583): </w:t>
      </w:r>
    </w:p>
    <w:p w:rsidR="007F20FA" w:rsidRPr="007F20FA" w:rsidRDefault="007F20FA" w:rsidP="007F20FA">
      <w:pPr>
        <w:rPr>
          <w:rFonts w:eastAsia="Times New Roman" w:cs="Times New Roman"/>
        </w:rPr>
      </w:pPr>
    </w:p>
    <w:p w:rsidR="007F20FA" w:rsidRPr="007F20FA" w:rsidRDefault="007F20FA" w:rsidP="007F20FA">
      <w:pPr>
        <w:numPr>
          <w:ilvl w:val="0"/>
          <w:numId w:val="10"/>
        </w:numPr>
        <w:contextualSpacing/>
        <w:rPr>
          <w:rFonts w:eastAsia="Times New Roman" w:cs="Times New Roman"/>
        </w:rPr>
      </w:pPr>
      <w:r w:rsidRPr="007F20FA">
        <w:rPr>
          <w:rFonts w:eastAsia="Times New Roman" w:cs="Times New Roman"/>
        </w:rPr>
        <w:t xml:space="preserve">PCI to improve survival is reasonable as an alternative to CABG in selected stable patients with significant (≥50% diameter stenosis) unprotected left main CAD with: 1) anatomic conditions associated with a low risk of PCI procedural complications and a high likelihood of good long-term outcome (e.g., a low SYNTAX* score [≤22], </w:t>
      </w:r>
      <w:proofErr w:type="spellStart"/>
      <w:r w:rsidRPr="007F20FA">
        <w:rPr>
          <w:rFonts w:eastAsia="Times New Roman" w:cs="Times New Roman"/>
        </w:rPr>
        <w:t>ostial</w:t>
      </w:r>
      <w:proofErr w:type="spellEnd"/>
      <w:r w:rsidRPr="007F20FA">
        <w:rPr>
          <w:rFonts w:eastAsia="Times New Roman" w:cs="Times New Roman"/>
        </w:rPr>
        <w:t xml:space="preserve"> or trunk left main CAD); and 2) clinical characteristics that predict a significantly increased risk of adverse surgical outcomes (e.g., STS-predicted risk of operative mortality ≥5%). (</w:t>
      </w:r>
      <w:r w:rsidRPr="007F20FA">
        <w:rPr>
          <w:rFonts w:eastAsia="Times New Roman" w:cs="Times New Roman"/>
          <w:b/>
        </w:rPr>
        <w:t xml:space="preserve">Class </w:t>
      </w:r>
      <w:proofErr w:type="spellStart"/>
      <w:r w:rsidRPr="007F20FA">
        <w:rPr>
          <w:rFonts w:eastAsia="Times New Roman" w:cs="Times New Roman"/>
          <w:b/>
        </w:rPr>
        <w:t>IIa</w:t>
      </w:r>
      <w:proofErr w:type="spellEnd"/>
      <w:r w:rsidRPr="007F20FA">
        <w:rPr>
          <w:rFonts w:eastAsia="Times New Roman" w:cs="Times New Roman"/>
        </w:rPr>
        <w:t xml:space="preserve">, Level of Evidence: B) </w:t>
      </w:r>
    </w:p>
    <w:p w:rsidR="007F20FA" w:rsidRPr="007F20FA" w:rsidRDefault="007F20FA" w:rsidP="007F20FA">
      <w:pPr>
        <w:ind w:firstLine="0"/>
        <w:contextualSpacing/>
        <w:rPr>
          <w:rFonts w:eastAsia="Times New Roman" w:cs="Times New Roman"/>
        </w:rPr>
      </w:pPr>
    </w:p>
    <w:p w:rsidR="007F20FA" w:rsidRPr="007F20FA" w:rsidRDefault="007F20FA" w:rsidP="007F20FA">
      <w:pPr>
        <w:rPr>
          <w:rFonts w:eastAsia="Times New Roman" w:cs="Times New Roman"/>
        </w:rPr>
      </w:pPr>
      <w:r w:rsidRPr="007F20FA">
        <w:rPr>
          <w:rFonts w:eastAsia="Times New Roman" w:cs="Times New Roman"/>
        </w:rPr>
        <w:t xml:space="preserve">* Synergy between Percutaneous Coronary Intervention with TAXUS and Cardiac Surgery (SYNTAX) developed under the direction of the SYNTAX Steering Committee. </w:t>
      </w:r>
    </w:p>
    <w:p w:rsidR="007F20FA" w:rsidRPr="007F20FA" w:rsidRDefault="007F20FA" w:rsidP="007F20FA">
      <w:pPr>
        <w:ind w:firstLine="0"/>
        <w:rPr>
          <w:rFonts w:eastAsia="Times New Roman" w:cs="Times New Roman"/>
        </w:rPr>
      </w:pPr>
      <w:r w:rsidRPr="007F20FA">
        <w:rPr>
          <w:rFonts w:eastAsia="Times New Roman" w:cs="Times New Roman"/>
        </w:rPr>
        <w:t xml:space="preserve">Available at: </w:t>
      </w:r>
      <w:hyperlink r:id="rId22" w:history="1">
        <w:r w:rsidRPr="007F20FA">
          <w:rPr>
            <w:rFonts w:eastAsia="Times New Roman" w:cs="Times New Roman"/>
            <w:u w:val="single"/>
          </w:rPr>
          <w:t>http://www.syntaxscore.com/</w:t>
        </w:r>
      </w:hyperlink>
    </w:p>
    <w:p w:rsidR="007F20FA" w:rsidRPr="007F20FA" w:rsidRDefault="007F20FA" w:rsidP="007F20FA">
      <w:pPr>
        <w:ind w:firstLine="0"/>
        <w:rPr>
          <w:rFonts w:eastAsia="Times New Roman" w:cs="Times New Roman"/>
        </w:rPr>
      </w:pPr>
    </w:p>
    <w:p w:rsidR="007F20FA" w:rsidRPr="007F20FA" w:rsidRDefault="007F20FA" w:rsidP="007F20FA">
      <w:pPr>
        <w:numPr>
          <w:ilvl w:val="0"/>
          <w:numId w:val="10"/>
        </w:numPr>
        <w:contextualSpacing/>
        <w:rPr>
          <w:rFonts w:eastAsia="Times New Roman" w:cs="Times New Roman"/>
        </w:rPr>
      </w:pPr>
      <w:r w:rsidRPr="007F20FA">
        <w:rPr>
          <w:rFonts w:eastAsia="Times New Roman" w:cs="Times New Roman"/>
        </w:rPr>
        <w:t>PCI to improve survival may be reasonable as an alternative to CABG in selected stable patients with significant (≥50% diameter stenosis) unprotected left main CAD with: 1) anatomic conditions associated with a low to intermediate risk of PCI procedural complications and an intermediate to high likelihood of good long-term outcome (e.g., low-intermediate SYNTAX score of &lt;33, bifurcation left main CAD); and 2) clinical characteristics that predict an increased risk of adverse surgical outcomes (e.g., moderate-severe chronic obstructive pulmonary disease, disability from previous stroke, or previous cardiac surgery; STS-predicted risk of operative mortality &gt;2%). (</w:t>
      </w:r>
      <w:r w:rsidRPr="007F20FA">
        <w:rPr>
          <w:rFonts w:eastAsia="Times New Roman" w:cs="Times New Roman"/>
          <w:b/>
        </w:rPr>
        <w:t xml:space="preserve">Class </w:t>
      </w:r>
      <w:proofErr w:type="spellStart"/>
      <w:r w:rsidRPr="007F20FA">
        <w:rPr>
          <w:rFonts w:eastAsia="Times New Roman" w:cs="Times New Roman"/>
          <w:b/>
        </w:rPr>
        <w:t>IIb</w:t>
      </w:r>
      <w:proofErr w:type="spellEnd"/>
      <w:r w:rsidRPr="007F20FA">
        <w:rPr>
          <w:rFonts w:eastAsia="Times New Roman" w:cs="Times New Roman"/>
        </w:rPr>
        <w:t xml:space="preserve">, Level of Evidence: B) </w:t>
      </w:r>
    </w:p>
    <w:p w:rsidR="007F20FA" w:rsidRPr="007F20FA" w:rsidRDefault="007F20FA" w:rsidP="007F20FA">
      <w:pPr>
        <w:spacing w:after="200" w:line="276" w:lineRule="auto"/>
        <w:ind w:left="720"/>
        <w:contextualSpacing/>
        <w:rPr>
          <w:rFonts w:eastAsia="Times New Roman" w:cs="Times New Roman"/>
        </w:rPr>
      </w:pPr>
    </w:p>
    <w:p w:rsidR="007F20FA" w:rsidRPr="007F20FA" w:rsidRDefault="007F20FA" w:rsidP="007F20FA">
      <w:pPr>
        <w:numPr>
          <w:ilvl w:val="0"/>
          <w:numId w:val="10"/>
        </w:numPr>
        <w:contextualSpacing/>
        <w:rPr>
          <w:rFonts w:eastAsia="Times New Roman" w:cs="Times New Roman"/>
        </w:rPr>
      </w:pPr>
      <w:r w:rsidRPr="007F20FA">
        <w:rPr>
          <w:rFonts w:eastAsia="Times New Roman" w:cs="Times New Roman"/>
        </w:rPr>
        <w:t>PCI to improve survival</w:t>
      </w:r>
      <w:r w:rsidRPr="007F20FA">
        <w:rPr>
          <w:rFonts w:eastAsia="Times New Roman" w:cs="Times New Roman"/>
          <w:b/>
          <w:i/>
        </w:rPr>
        <w:t xml:space="preserve"> </w:t>
      </w:r>
      <w:r w:rsidRPr="007F20FA">
        <w:rPr>
          <w:rFonts w:eastAsia="Times New Roman" w:cs="Times New Roman"/>
        </w:rPr>
        <w:t>should not be performed in stable patients with significant (≥50% diameter stenosis) unprotected left main CAD who have unfavorable anatomy for PCI and who are good candidates for CABG. (</w:t>
      </w:r>
      <w:r w:rsidRPr="007F20FA">
        <w:rPr>
          <w:rFonts w:eastAsia="Times New Roman" w:cs="Times New Roman"/>
          <w:b/>
        </w:rPr>
        <w:t>Class III</w:t>
      </w:r>
      <w:r w:rsidRPr="007F20FA">
        <w:rPr>
          <w:rFonts w:eastAsia="Times New Roman" w:cs="Times New Roman"/>
        </w:rPr>
        <w:t>, Level of Evidence: B)</w:t>
      </w:r>
    </w:p>
    <w:p w:rsidR="007F20FA" w:rsidRPr="007F20FA" w:rsidRDefault="007F20FA" w:rsidP="007F20FA">
      <w:pPr>
        <w:ind w:left="0" w:firstLine="0"/>
        <w:rPr>
          <w:rFonts w:eastAsia="Times New Roman" w:cs="Times New Roman"/>
        </w:rPr>
      </w:pPr>
    </w:p>
    <w:p w:rsidR="007F20FA" w:rsidRPr="007F20FA" w:rsidRDefault="007F20FA" w:rsidP="007F20FA">
      <w:pPr>
        <w:numPr>
          <w:ilvl w:val="0"/>
          <w:numId w:val="10"/>
        </w:numPr>
        <w:contextualSpacing/>
        <w:rPr>
          <w:rFonts w:eastAsia="Times New Roman" w:cs="Times New Roman"/>
        </w:rPr>
      </w:pPr>
      <w:r w:rsidRPr="007F20FA">
        <w:rPr>
          <w:rFonts w:eastAsia="Times New Roman" w:cs="Times New Roman"/>
        </w:rPr>
        <w:t>CABG or PCI to improve survival is beneficial in survivors of sudden cardiac death with presumed ischemia-mediated ventricular tachycardia caused by significant (≥70% diameter) stenosis in a major coronary artery. (</w:t>
      </w:r>
      <w:r w:rsidRPr="007F20FA">
        <w:rPr>
          <w:rFonts w:eastAsia="Times New Roman" w:cs="Times New Roman"/>
          <w:b/>
        </w:rPr>
        <w:t>Class I</w:t>
      </w:r>
      <w:r w:rsidRPr="007F20FA">
        <w:rPr>
          <w:rFonts w:eastAsia="Times New Roman" w:cs="Times New Roman"/>
        </w:rPr>
        <w:t>, Level of Evidence: C)</w:t>
      </w:r>
    </w:p>
    <w:p w:rsidR="007F20FA" w:rsidRPr="007F20FA" w:rsidRDefault="007F20FA" w:rsidP="007F20FA">
      <w:pPr>
        <w:rPr>
          <w:rFonts w:eastAsia="Times New Roman" w:cs="Times New Roman"/>
        </w:rPr>
      </w:pPr>
    </w:p>
    <w:p w:rsidR="007F20FA" w:rsidRPr="007F20FA" w:rsidRDefault="007F20FA" w:rsidP="007F20FA">
      <w:pPr>
        <w:numPr>
          <w:ilvl w:val="0"/>
          <w:numId w:val="10"/>
        </w:numPr>
        <w:contextualSpacing/>
        <w:rPr>
          <w:rFonts w:eastAsia="Times New Roman" w:cs="Times New Roman"/>
        </w:rPr>
      </w:pPr>
      <w:r w:rsidRPr="007F20FA">
        <w:rPr>
          <w:rFonts w:eastAsia="Times New Roman" w:cs="Times New Roman"/>
        </w:rPr>
        <w:t>The usefulness of PCI to improve survival is uncertain in patients with 2- or 3-vessel CAD (with or without involvement of the proximal LAD artery) or 1-vessel proximal LAD disease. (</w:t>
      </w:r>
      <w:r w:rsidRPr="007F20FA">
        <w:rPr>
          <w:rFonts w:eastAsia="Times New Roman" w:cs="Times New Roman"/>
          <w:b/>
        </w:rPr>
        <w:t xml:space="preserve">Class </w:t>
      </w:r>
      <w:proofErr w:type="spellStart"/>
      <w:r w:rsidRPr="007F20FA">
        <w:rPr>
          <w:rFonts w:eastAsia="Times New Roman" w:cs="Times New Roman"/>
          <w:b/>
        </w:rPr>
        <w:t>IIb</w:t>
      </w:r>
      <w:proofErr w:type="spellEnd"/>
      <w:r w:rsidRPr="007F20FA">
        <w:rPr>
          <w:rFonts w:eastAsia="Times New Roman" w:cs="Times New Roman"/>
        </w:rPr>
        <w:t>, Level of Evidence: B)</w:t>
      </w:r>
    </w:p>
    <w:p w:rsidR="007F20FA" w:rsidRPr="007F20FA" w:rsidRDefault="007F20FA" w:rsidP="007F20FA">
      <w:pPr>
        <w:rPr>
          <w:rFonts w:eastAsia="Times New Roman" w:cs="Times New Roman"/>
        </w:rPr>
      </w:pPr>
    </w:p>
    <w:p w:rsidR="007F20FA" w:rsidRPr="007F20FA" w:rsidRDefault="007F20FA" w:rsidP="007F20FA">
      <w:pPr>
        <w:numPr>
          <w:ilvl w:val="0"/>
          <w:numId w:val="10"/>
        </w:numPr>
        <w:contextualSpacing/>
        <w:rPr>
          <w:rFonts w:eastAsia="Times New Roman" w:cs="Times New Roman"/>
        </w:rPr>
      </w:pPr>
      <w:r w:rsidRPr="007F20FA">
        <w:rPr>
          <w:rFonts w:eastAsia="Times New Roman" w:cs="Times New Roman"/>
        </w:rPr>
        <w:t xml:space="preserve">CABG or PCI should not be performed with the primary or sole intent to improve survival in patients with SIHD with 1 or more coronary </w:t>
      </w:r>
      <w:proofErr w:type="spellStart"/>
      <w:r w:rsidRPr="007F20FA">
        <w:rPr>
          <w:rFonts w:eastAsia="Times New Roman" w:cs="Times New Roman"/>
        </w:rPr>
        <w:t>stenoses</w:t>
      </w:r>
      <w:proofErr w:type="spellEnd"/>
      <w:r w:rsidRPr="007F20FA">
        <w:rPr>
          <w:rFonts w:eastAsia="Times New Roman" w:cs="Times New Roman"/>
        </w:rPr>
        <w:t xml:space="preserve"> that are not anatomically or functionally </w:t>
      </w:r>
      <w:r w:rsidRPr="007F20FA">
        <w:rPr>
          <w:rFonts w:eastAsia="Times New Roman" w:cs="Times New Roman"/>
        </w:rPr>
        <w:lastRenderedPageBreak/>
        <w:t>significant (e.g., &lt;70% diameter non–left main coronary artery stenosis, FFR&gt;0.80, no or only mild ischemia on noninvasive testing), involve only the left circumflex or right coronary artery, or subtend only a small area of viable myocardium. (</w:t>
      </w:r>
      <w:r w:rsidRPr="007F20FA">
        <w:rPr>
          <w:rFonts w:eastAsia="Times New Roman" w:cs="Times New Roman"/>
          <w:b/>
        </w:rPr>
        <w:t>Class III</w:t>
      </w:r>
      <w:r w:rsidRPr="007F20FA">
        <w:rPr>
          <w:rFonts w:eastAsia="Times New Roman" w:cs="Times New Roman"/>
        </w:rPr>
        <w:t xml:space="preserve">, Level of Evidence: B) </w:t>
      </w:r>
    </w:p>
    <w:p w:rsidR="007F20FA" w:rsidRPr="007F20FA" w:rsidRDefault="007F20FA" w:rsidP="007F20FA">
      <w:pPr>
        <w:rPr>
          <w:rFonts w:eastAsia="Times New Roman" w:cs="Times New Roman"/>
        </w:rPr>
      </w:pPr>
    </w:p>
    <w:p w:rsidR="007F20FA" w:rsidRPr="007F20FA" w:rsidRDefault="007F20FA" w:rsidP="007F20FA">
      <w:pPr>
        <w:numPr>
          <w:ilvl w:val="0"/>
          <w:numId w:val="10"/>
        </w:numPr>
        <w:contextualSpacing/>
        <w:rPr>
          <w:rFonts w:eastAsia="Times New Roman" w:cs="Times New Roman"/>
        </w:rPr>
      </w:pPr>
      <w:r w:rsidRPr="007F20FA">
        <w:rPr>
          <w:rFonts w:eastAsia="Times New Roman" w:cs="Times New Roman"/>
        </w:rPr>
        <w:t xml:space="preserve">CABG or PCI to improve symptoms is beneficial in patients with 1 or more significant (≥70% diameter) coronary artery </w:t>
      </w:r>
      <w:proofErr w:type="spellStart"/>
      <w:r w:rsidRPr="007F20FA">
        <w:rPr>
          <w:rFonts w:eastAsia="Times New Roman" w:cs="Times New Roman"/>
        </w:rPr>
        <w:t>stenoses</w:t>
      </w:r>
      <w:proofErr w:type="spellEnd"/>
      <w:r w:rsidRPr="007F20FA">
        <w:rPr>
          <w:rFonts w:eastAsia="Times New Roman" w:cs="Times New Roman"/>
        </w:rPr>
        <w:t xml:space="preserve"> amenable to revascularization and unacceptable angina despite [guideline-directed medical therapy (GDMT)]. (</w:t>
      </w:r>
      <w:r w:rsidRPr="007F20FA">
        <w:rPr>
          <w:rFonts w:eastAsia="Times New Roman" w:cs="Times New Roman"/>
          <w:b/>
        </w:rPr>
        <w:t>Class I</w:t>
      </w:r>
      <w:r w:rsidRPr="007F20FA">
        <w:rPr>
          <w:rFonts w:eastAsia="Times New Roman" w:cs="Times New Roman"/>
        </w:rPr>
        <w:t xml:space="preserve">, Level of Evidence: A) </w:t>
      </w:r>
    </w:p>
    <w:p w:rsidR="007F20FA" w:rsidRPr="007F20FA" w:rsidRDefault="007F20FA" w:rsidP="007F20FA">
      <w:pPr>
        <w:rPr>
          <w:rFonts w:eastAsia="Times New Roman" w:cs="Times New Roman"/>
        </w:rPr>
      </w:pPr>
    </w:p>
    <w:p w:rsidR="007F20FA" w:rsidRPr="007F20FA" w:rsidRDefault="007F20FA" w:rsidP="007F20FA">
      <w:pPr>
        <w:numPr>
          <w:ilvl w:val="0"/>
          <w:numId w:val="10"/>
        </w:numPr>
        <w:contextualSpacing/>
        <w:rPr>
          <w:rFonts w:eastAsia="Times New Roman" w:cs="Times New Roman"/>
        </w:rPr>
      </w:pPr>
      <w:r w:rsidRPr="007F20FA">
        <w:rPr>
          <w:rFonts w:eastAsia="Times New Roman" w:cs="Times New Roman"/>
        </w:rPr>
        <w:t xml:space="preserve">CABG or PCI to improve symptoms is reasonable in patients with 1 or more significant (≥70% diameter) coronary artery </w:t>
      </w:r>
      <w:proofErr w:type="spellStart"/>
      <w:r w:rsidRPr="007F20FA">
        <w:rPr>
          <w:rFonts w:eastAsia="Times New Roman" w:cs="Times New Roman"/>
        </w:rPr>
        <w:t>stenoses</w:t>
      </w:r>
      <w:proofErr w:type="spellEnd"/>
      <w:r w:rsidRPr="007F20FA">
        <w:rPr>
          <w:rFonts w:eastAsia="Times New Roman" w:cs="Times New Roman"/>
        </w:rPr>
        <w:t xml:space="preserve"> and unacceptable angina for whom GDMT cannot be implemented because of medication contraindications, adverse effects, or patient preferences. (</w:t>
      </w:r>
      <w:r w:rsidRPr="007F20FA">
        <w:rPr>
          <w:rFonts w:eastAsia="Times New Roman" w:cs="Times New Roman"/>
          <w:b/>
        </w:rPr>
        <w:t xml:space="preserve">Class </w:t>
      </w:r>
      <w:proofErr w:type="spellStart"/>
      <w:r w:rsidRPr="007F20FA">
        <w:rPr>
          <w:rFonts w:eastAsia="Times New Roman" w:cs="Times New Roman"/>
          <w:b/>
        </w:rPr>
        <w:t>IIa</w:t>
      </w:r>
      <w:proofErr w:type="spellEnd"/>
      <w:r w:rsidRPr="007F20FA">
        <w:rPr>
          <w:rFonts w:eastAsia="Times New Roman" w:cs="Times New Roman"/>
        </w:rPr>
        <w:t xml:space="preserve">, Level of Evidence: C)  </w:t>
      </w:r>
    </w:p>
    <w:p w:rsidR="007F20FA" w:rsidRPr="007F20FA" w:rsidRDefault="007F20FA" w:rsidP="007F20FA">
      <w:pPr>
        <w:rPr>
          <w:rFonts w:eastAsia="Times New Roman" w:cs="Times New Roman"/>
        </w:rPr>
      </w:pPr>
    </w:p>
    <w:p w:rsidR="00496AF8" w:rsidRPr="007F20FA" w:rsidRDefault="007F20FA" w:rsidP="007F20FA">
      <w:pPr>
        <w:numPr>
          <w:ilvl w:val="0"/>
          <w:numId w:val="10"/>
        </w:numPr>
        <w:contextualSpacing/>
        <w:rPr>
          <w:rFonts w:eastAsia="Times New Roman" w:cs="Times New Roman"/>
        </w:rPr>
      </w:pPr>
      <w:r w:rsidRPr="007F20FA">
        <w:rPr>
          <w:rFonts w:eastAsia="Times New Roman" w:cs="Times New Roman"/>
        </w:rPr>
        <w:t>CABG or PCI to improve symptoms should not be performed in patients who do not meet anatomic (≥50% diameter left main or ≥70% non–left main stenosis diameter) or physiological (e.g., abnormal FFR) criteria for revascularization. (</w:t>
      </w:r>
      <w:r w:rsidRPr="007F20FA">
        <w:rPr>
          <w:rFonts w:eastAsia="Times New Roman" w:cs="Times New Roman"/>
          <w:b/>
        </w:rPr>
        <w:t>Class III</w:t>
      </w:r>
      <w:r w:rsidRPr="007F20FA">
        <w:rPr>
          <w:rFonts w:eastAsia="Times New Roman" w:cs="Times New Roman"/>
        </w:rPr>
        <w:t xml:space="preserve">, Level of Evidence: C) </w:t>
      </w:r>
    </w:p>
    <w:p w:rsidR="00496AF8" w:rsidRPr="003B1CC5" w:rsidRDefault="00496AF8" w:rsidP="002E2177">
      <w:pPr>
        <w:ind w:left="0" w:firstLine="0"/>
      </w:pPr>
    </w:p>
    <w:p w:rsidR="008A45F3" w:rsidRPr="003B1CC5" w:rsidRDefault="00B058A6" w:rsidP="00265702">
      <w:pPr>
        <w:ind w:left="0" w:firstLine="0"/>
      </w:pPr>
      <w:r w:rsidRPr="003B1CC5">
        <w:rPr>
          <w:b/>
          <w:color w:val="0000FF"/>
        </w:rPr>
        <w:t>1</w:t>
      </w:r>
      <w:r w:rsidR="00773485" w:rsidRPr="003B1CC5">
        <w:rPr>
          <w:b/>
          <w:color w:val="0000FF"/>
        </w:rPr>
        <w:t>a</w:t>
      </w:r>
      <w:r w:rsidRPr="003B1CC5">
        <w:rPr>
          <w:b/>
          <w:color w:val="0000FF"/>
        </w:rPr>
        <w:t>.4</w:t>
      </w:r>
      <w:r w:rsidR="00265702" w:rsidRPr="003B1CC5">
        <w:rPr>
          <w:b/>
          <w:color w:val="0000FF"/>
        </w:rPr>
        <w:t>.3</w:t>
      </w:r>
      <w:r w:rsidR="008B51D9" w:rsidRPr="003B1CC5">
        <w:rPr>
          <w:b/>
          <w:color w:val="0000FF"/>
        </w:rPr>
        <w:t>.</w:t>
      </w:r>
      <w:r w:rsidR="008B51D9" w:rsidRPr="003B1CC5">
        <w:rPr>
          <w:bCs/>
        </w:rPr>
        <w:t xml:space="preserve"> </w:t>
      </w:r>
      <w:r w:rsidR="00496AF8" w:rsidRPr="003B1CC5">
        <w:rPr>
          <w:b/>
        </w:rPr>
        <w:t xml:space="preserve">Grade assigned to the </w:t>
      </w:r>
      <w:r w:rsidR="00736AEC" w:rsidRPr="003B1CC5">
        <w:rPr>
          <w:b/>
        </w:rPr>
        <w:t xml:space="preserve">quoted </w:t>
      </w:r>
      <w:r w:rsidR="00496AF8" w:rsidRPr="003B1CC5">
        <w:rPr>
          <w:b/>
        </w:rPr>
        <w:t xml:space="preserve">recommendation </w:t>
      </w:r>
      <w:r w:rsidR="00496AF8" w:rsidRPr="003B1CC5">
        <w:rPr>
          <w:b/>
          <w:u w:val="single"/>
        </w:rPr>
        <w:t>with definition</w:t>
      </w:r>
      <w:r w:rsidR="00496AF8" w:rsidRPr="003B1CC5">
        <w:rPr>
          <w:b/>
        </w:rPr>
        <w:t xml:space="preserve"> of the grade</w:t>
      </w:r>
      <w:r w:rsidR="00FC32D3" w:rsidRPr="003B1CC5">
        <w:rPr>
          <w:b/>
        </w:rPr>
        <w:t>:</w:t>
      </w:r>
      <w:r w:rsidR="008A45F3" w:rsidRPr="003B1CC5">
        <w:t xml:space="preserve"> </w:t>
      </w:r>
      <w:r w:rsidR="00496AF8" w:rsidRPr="003B1CC5">
        <w:t xml:space="preserve"> </w:t>
      </w:r>
    </w:p>
    <w:tbl>
      <w:tblPr>
        <w:tblStyle w:val="TableGrid1"/>
        <w:tblW w:w="0" w:type="auto"/>
        <w:jc w:val="center"/>
        <w:tblInd w:w="-576" w:type="dxa"/>
        <w:tblLook w:val="04A0" w:firstRow="1" w:lastRow="0" w:firstColumn="1" w:lastColumn="0" w:noHBand="0" w:noVBand="1"/>
      </w:tblPr>
      <w:tblGrid>
        <w:gridCol w:w="2880"/>
        <w:gridCol w:w="4644"/>
      </w:tblGrid>
      <w:tr w:rsidR="007F20FA" w:rsidRPr="007F20FA" w:rsidTr="00B153A7">
        <w:trPr>
          <w:jc w:val="center"/>
        </w:trPr>
        <w:tc>
          <w:tcPr>
            <w:tcW w:w="2880" w:type="dxa"/>
          </w:tcPr>
          <w:p w:rsidR="007F20FA" w:rsidRPr="007F20FA" w:rsidRDefault="007F20FA" w:rsidP="007F20FA">
            <w:r w:rsidRPr="007F20FA">
              <w:t>Recommendation #</w:t>
            </w:r>
          </w:p>
          <w:p w:rsidR="007F20FA" w:rsidRPr="007F20FA" w:rsidRDefault="007F20FA" w:rsidP="007F20FA">
            <w:r w:rsidRPr="007F20FA">
              <w:t>(see 1a.4.2 above)</w:t>
            </w:r>
          </w:p>
        </w:tc>
        <w:tc>
          <w:tcPr>
            <w:tcW w:w="4644" w:type="dxa"/>
          </w:tcPr>
          <w:p w:rsidR="007F20FA" w:rsidRPr="007F20FA" w:rsidRDefault="007F20FA" w:rsidP="007F20FA">
            <w:r w:rsidRPr="007F20FA">
              <w:t>Grade (for definitions</w:t>
            </w:r>
            <w:r w:rsidR="00526739">
              <w:t xml:space="preserve"> </w:t>
            </w:r>
            <w:r w:rsidRPr="007F20FA">
              <w:t xml:space="preserve"> see  1a.4.4 below)</w:t>
            </w:r>
          </w:p>
        </w:tc>
      </w:tr>
      <w:tr w:rsidR="007F20FA" w:rsidRPr="007F20FA" w:rsidTr="00B153A7">
        <w:trPr>
          <w:jc w:val="center"/>
        </w:trPr>
        <w:tc>
          <w:tcPr>
            <w:tcW w:w="2880" w:type="dxa"/>
          </w:tcPr>
          <w:p w:rsidR="007F20FA" w:rsidRPr="007F20FA" w:rsidRDefault="007F20FA" w:rsidP="007F20FA">
            <w:pPr>
              <w:jc w:val="center"/>
            </w:pPr>
            <w:r w:rsidRPr="007F20FA">
              <w:t>1</w:t>
            </w:r>
          </w:p>
        </w:tc>
        <w:tc>
          <w:tcPr>
            <w:tcW w:w="4644" w:type="dxa"/>
          </w:tcPr>
          <w:p w:rsidR="007F20FA" w:rsidRPr="007F20FA" w:rsidRDefault="007F20FA" w:rsidP="007F20FA">
            <w:r w:rsidRPr="007F20FA">
              <w:t xml:space="preserve">Class </w:t>
            </w:r>
            <w:proofErr w:type="spellStart"/>
            <w:r w:rsidRPr="007F20FA">
              <w:t>IIa</w:t>
            </w:r>
            <w:proofErr w:type="spellEnd"/>
            <w:r w:rsidRPr="007F20FA">
              <w:t xml:space="preserve"> </w:t>
            </w:r>
          </w:p>
        </w:tc>
      </w:tr>
      <w:tr w:rsidR="007F20FA" w:rsidRPr="007F20FA" w:rsidTr="00B153A7">
        <w:trPr>
          <w:jc w:val="center"/>
        </w:trPr>
        <w:tc>
          <w:tcPr>
            <w:tcW w:w="2880" w:type="dxa"/>
          </w:tcPr>
          <w:p w:rsidR="007F20FA" w:rsidRPr="007F20FA" w:rsidRDefault="007F20FA" w:rsidP="007F20FA">
            <w:pPr>
              <w:jc w:val="center"/>
            </w:pPr>
            <w:r w:rsidRPr="007F20FA">
              <w:t>2</w:t>
            </w:r>
          </w:p>
        </w:tc>
        <w:tc>
          <w:tcPr>
            <w:tcW w:w="4644" w:type="dxa"/>
          </w:tcPr>
          <w:p w:rsidR="007F20FA" w:rsidRPr="007F20FA" w:rsidRDefault="007F20FA" w:rsidP="007F20FA">
            <w:r w:rsidRPr="007F20FA">
              <w:t xml:space="preserve">Class </w:t>
            </w:r>
            <w:proofErr w:type="spellStart"/>
            <w:r w:rsidRPr="007F20FA">
              <w:t>IIb</w:t>
            </w:r>
            <w:proofErr w:type="spellEnd"/>
            <w:r w:rsidRPr="007F20FA">
              <w:t xml:space="preserve"> </w:t>
            </w:r>
          </w:p>
        </w:tc>
      </w:tr>
      <w:tr w:rsidR="007F20FA" w:rsidRPr="007F20FA" w:rsidTr="00B153A7">
        <w:trPr>
          <w:jc w:val="center"/>
        </w:trPr>
        <w:tc>
          <w:tcPr>
            <w:tcW w:w="2880" w:type="dxa"/>
          </w:tcPr>
          <w:p w:rsidR="007F20FA" w:rsidRPr="007F20FA" w:rsidRDefault="007F20FA" w:rsidP="007F20FA">
            <w:pPr>
              <w:jc w:val="center"/>
            </w:pPr>
            <w:r w:rsidRPr="007F20FA">
              <w:t>3</w:t>
            </w:r>
          </w:p>
        </w:tc>
        <w:tc>
          <w:tcPr>
            <w:tcW w:w="4644" w:type="dxa"/>
          </w:tcPr>
          <w:p w:rsidR="007F20FA" w:rsidRPr="007F20FA" w:rsidRDefault="007F20FA" w:rsidP="007F20FA">
            <w:r w:rsidRPr="007F20FA">
              <w:t>Class III</w:t>
            </w:r>
          </w:p>
        </w:tc>
      </w:tr>
      <w:tr w:rsidR="007F20FA" w:rsidRPr="007F20FA" w:rsidTr="00B153A7">
        <w:trPr>
          <w:jc w:val="center"/>
        </w:trPr>
        <w:tc>
          <w:tcPr>
            <w:tcW w:w="2880" w:type="dxa"/>
          </w:tcPr>
          <w:p w:rsidR="007F20FA" w:rsidRPr="007F20FA" w:rsidRDefault="007F20FA" w:rsidP="007F20FA">
            <w:pPr>
              <w:jc w:val="center"/>
            </w:pPr>
            <w:r w:rsidRPr="007F20FA">
              <w:t>4</w:t>
            </w:r>
          </w:p>
        </w:tc>
        <w:tc>
          <w:tcPr>
            <w:tcW w:w="4644" w:type="dxa"/>
          </w:tcPr>
          <w:p w:rsidR="007F20FA" w:rsidRPr="007F20FA" w:rsidRDefault="007F20FA" w:rsidP="007F20FA">
            <w:r w:rsidRPr="007F20FA">
              <w:t xml:space="preserve">Class I </w:t>
            </w:r>
          </w:p>
        </w:tc>
      </w:tr>
      <w:tr w:rsidR="007F20FA" w:rsidRPr="007F20FA" w:rsidTr="00B153A7">
        <w:trPr>
          <w:jc w:val="center"/>
        </w:trPr>
        <w:tc>
          <w:tcPr>
            <w:tcW w:w="2880" w:type="dxa"/>
          </w:tcPr>
          <w:p w:rsidR="007F20FA" w:rsidRPr="007F20FA" w:rsidRDefault="007F20FA" w:rsidP="007F20FA">
            <w:pPr>
              <w:jc w:val="center"/>
            </w:pPr>
            <w:r w:rsidRPr="007F20FA">
              <w:t>5</w:t>
            </w:r>
          </w:p>
        </w:tc>
        <w:tc>
          <w:tcPr>
            <w:tcW w:w="4644" w:type="dxa"/>
          </w:tcPr>
          <w:p w:rsidR="007F20FA" w:rsidRPr="007F20FA" w:rsidRDefault="007F20FA" w:rsidP="007F20FA">
            <w:r w:rsidRPr="007F20FA">
              <w:t xml:space="preserve">Class </w:t>
            </w:r>
            <w:proofErr w:type="spellStart"/>
            <w:r w:rsidRPr="007F20FA">
              <w:t>IIb</w:t>
            </w:r>
            <w:proofErr w:type="spellEnd"/>
            <w:r w:rsidRPr="007F20FA">
              <w:t xml:space="preserve"> </w:t>
            </w:r>
          </w:p>
        </w:tc>
      </w:tr>
      <w:tr w:rsidR="007F20FA" w:rsidRPr="007F20FA" w:rsidTr="00B153A7">
        <w:trPr>
          <w:jc w:val="center"/>
        </w:trPr>
        <w:tc>
          <w:tcPr>
            <w:tcW w:w="2880" w:type="dxa"/>
          </w:tcPr>
          <w:p w:rsidR="007F20FA" w:rsidRPr="007F20FA" w:rsidRDefault="007F20FA" w:rsidP="007F20FA">
            <w:pPr>
              <w:jc w:val="center"/>
            </w:pPr>
            <w:r w:rsidRPr="007F20FA">
              <w:t>6</w:t>
            </w:r>
          </w:p>
        </w:tc>
        <w:tc>
          <w:tcPr>
            <w:tcW w:w="4644" w:type="dxa"/>
          </w:tcPr>
          <w:p w:rsidR="007F20FA" w:rsidRPr="007F20FA" w:rsidRDefault="007F20FA" w:rsidP="007F20FA">
            <w:r w:rsidRPr="007F20FA">
              <w:t>Class III</w:t>
            </w:r>
          </w:p>
        </w:tc>
      </w:tr>
      <w:tr w:rsidR="007F20FA" w:rsidRPr="007F20FA" w:rsidTr="00B153A7">
        <w:trPr>
          <w:jc w:val="center"/>
        </w:trPr>
        <w:tc>
          <w:tcPr>
            <w:tcW w:w="2880" w:type="dxa"/>
          </w:tcPr>
          <w:p w:rsidR="007F20FA" w:rsidRPr="007F20FA" w:rsidRDefault="007F20FA" w:rsidP="007F20FA">
            <w:pPr>
              <w:jc w:val="center"/>
            </w:pPr>
            <w:r w:rsidRPr="007F20FA">
              <w:t>7</w:t>
            </w:r>
          </w:p>
        </w:tc>
        <w:tc>
          <w:tcPr>
            <w:tcW w:w="4644" w:type="dxa"/>
          </w:tcPr>
          <w:p w:rsidR="007F20FA" w:rsidRPr="007F20FA" w:rsidRDefault="007F20FA" w:rsidP="007F20FA">
            <w:r w:rsidRPr="007F20FA">
              <w:t>Class I</w:t>
            </w:r>
          </w:p>
        </w:tc>
      </w:tr>
      <w:tr w:rsidR="007F20FA" w:rsidRPr="007F20FA" w:rsidTr="00B153A7">
        <w:trPr>
          <w:jc w:val="center"/>
        </w:trPr>
        <w:tc>
          <w:tcPr>
            <w:tcW w:w="2880" w:type="dxa"/>
          </w:tcPr>
          <w:p w:rsidR="007F20FA" w:rsidRPr="007F20FA" w:rsidRDefault="007F20FA" w:rsidP="007F20FA">
            <w:pPr>
              <w:jc w:val="center"/>
            </w:pPr>
            <w:r w:rsidRPr="007F20FA">
              <w:t>8</w:t>
            </w:r>
          </w:p>
        </w:tc>
        <w:tc>
          <w:tcPr>
            <w:tcW w:w="4644" w:type="dxa"/>
          </w:tcPr>
          <w:p w:rsidR="007F20FA" w:rsidRPr="007F20FA" w:rsidRDefault="007F20FA" w:rsidP="007F20FA">
            <w:r w:rsidRPr="007F20FA">
              <w:t xml:space="preserve">Class </w:t>
            </w:r>
            <w:proofErr w:type="spellStart"/>
            <w:r w:rsidRPr="007F20FA">
              <w:t>IIa</w:t>
            </w:r>
            <w:proofErr w:type="spellEnd"/>
            <w:r w:rsidRPr="007F20FA">
              <w:t xml:space="preserve"> </w:t>
            </w:r>
          </w:p>
        </w:tc>
      </w:tr>
      <w:tr w:rsidR="007F20FA" w:rsidRPr="007F20FA" w:rsidTr="00B153A7">
        <w:trPr>
          <w:jc w:val="center"/>
        </w:trPr>
        <w:tc>
          <w:tcPr>
            <w:tcW w:w="2880" w:type="dxa"/>
          </w:tcPr>
          <w:p w:rsidR="007F20FA" w:rsidRPr="007F20FA" w:rsidRDefault="007F20FA" w:rsidP="007F20FA">
            <w:pPr>
              <w:jc w:val="center"/>
            </w:pPr>
            <w:r w:rsidRPr="007F20FA">
              <w:t>9</w:t>
            </w:r>
          </w:p>
        </w:tc>
        <w:tc>
          <w:tcPr>
            <w:tcW w:w="4644" w:type="dxa"/>
          </w:tcPr>
          <w:p w:rsidR="007F20FA" w:rsidRPr="007F20FA" w:rsidRDefault="007F20FA" w:rsidP="007F20FA">
            <w:r w:rsidRPr="007F20FA">
              <w:t>Class III</w:t>
            </w:r>
          </w:p>
        </w:tc>
      </w:tr>
    </w:tbl>
    <w:p w:rsidR="008A45F3" w:rsidRPr="003B1CC5" w:rsidRDefault="008A45F3" w:rsidP="00265702">
      <w:pPr>
        <w:ind w:left="0" w:firstLine="0"/>
      </w:pPr>
    </w:p>
    <w:p w:rsidR="00265702" w:rsidRPr="003B1CC5" w:rsidRDefault="00965FF6" w:rsidP="00265702">
      <w:pPr>
        <w:ind w:left="0" w:firstLine="0"/>
      </w:pPr>
      <w:r w:rsidRPr="003B1CC5">
        <w:rPr>
          <w:b/>
          <w:color w:val="0000FF"/>
        </w:rPr>
        <w:t>1a.4.4.</w:t>
      </w:r>
      <w:r w:rsidRPr="003B1CC5">
        <w:rPr>
          <w:b/>
          <w:color w:val="17365D" w:themeColor="text2" w:themeShade="BF"/>
        </w:rPr>
        <w:t xml:space="preserve"> </w:t>
      </w:r>
      <w:proofErr w:type="gramStart"/>
      <w:r w:rsidR="00C54E40" w:rsidRPr="003B1CC5">
        <w:rPr>
          <w:b/>
        </w:rPr>
        <w:t>Provide</w:t>
      </w:r>
      <w:proofErr w:type="gramEnd"/>
      <w:r w:rsidR="00C54E40" w:rsidRPr="003B1CC5">
        <w:rPr>
          <w:b/>
        </w:rPr>
        <w:t xml:space="preserve"> all other grades and associated definitions for recommendation</w:t>
      </w:r>
      <w:r w:rsidR="00205857" w:rsidRPr="003B1CC5">
        <w:rPr>
          <w:b/>
        </w:rPr>
        <w:t>s</w:t>
      </w:r>
      <w:r w:rsidR="00C54E40" w:rsidRPr="003B1CC5">
        <w:rPr>
          <w:b/>
        </w:rPr>
        <w:t xml:space="preserve"> in the grading system.</w:t>
      </w:r>
      <w:r w:rsidR="00FC32D3" w:rsidRPr="003B1CC5">
        <w:rPr>
          <w:b/>
        </w:rPr>
        <w:t xml:space="preserve"> </w:t>
      </w:r>
      <w:r w:rsidR="007573F0" w:rsidRPr="003B1CC5">
        <w:rPr>
          <w:b/>
        </w:rPr>
        <w:t xml:space="preserve"> </w:t>
      </w:r>
      <w:r w:rsidR="007573F0" w:rsidRPr="003B1CC5">
        <w:t>(</w:t>
      </w:r>
      <w:r w:rsidR="008A45F3" w:rsidRPr="003B1CC5">
        <w:rPr>
          <w:i/>
        </w:rPr>
        <w:t xml:space="preserve">Note: </w:t>
      </w:r>
      <w:r w:rsidR="00352B52" w:rsidRPr="003B1CC5">
        <w:rPr>
          <w:i/>
        </w:rPr>
        <w:t xml:space="preserve">If separate </w:t>
      </w:r>
      <w:r w:rsidRPr="003B1CC5">
        <w:rPr>
          <w:i/>
        </w:rPr>
        <w:t>g</w:t>
      </w:r>
      <w:r w:rsidR="00352B52" w:rsidRPr="003B1CC5">
        <w:rPr>
          <w:i/>
        </w:rPr>
        <w:t xml:space="preserve">rades </w:t>
      </w:r>
      <w:r w:rsidR="00030F43" w:rsidRPr="003B1CC5">
        <w:rPr>
          <w:i/>
        </w:rPr>
        <w:t xml:space="preserve">for the </w:t>
      </w:r>
      <w:r w:rsidR="00352B52" w:rsidRPr="003B1CC5">
        <w:rPr>
          <w:i/>
        </w:rPr>
        <w:t xml:space="preserve">strength of the </w:t>
      </w:r>
      <w:r w:rsidR="00030F43" w:rsidRPr="003B1CC5">
        <w:rPr>
          <w:i/>
        </w:rPr>
        <w:t>evidence</w:t>
      </w:r>
      <w:r w:rsidR="00352B52" w:rsidRPr="003B1CC5">
        <w:rPr>
          <w:i/>
        </w:rPr>
        <w:t xml:space="preserve">, report </w:t>
      </w:r>
      <w:r w:rsidR="00205857" w:rsidRPr="003B1CC5">
        <w:rPr>
          <w:i/>
        </w:rPr>
        <w:t xml:space="preserve">them </w:t>
      </w:r>
      <w:r w:rsidR="00030F43" w:rsidRPr="003B1CC5">
        <w:rPr>
          <w:i/>
        </w:rPr>
        <w:t>in section 1a.7.</w:t>
      </w:r>
      <w:r w:rsidR="00030F43" w:rsidRPr="003B1CC5">
        <w:t>)</w:t>
      </w:r>
      <w:r w:rsidRPr="003B1CC5">
        <w:t xml:space="preserve"> </w:t>
      </w:r>
    </w:p>
    <w:p w:rsidR="007F20FA" w:rsidRDefault="007F20FA" w:rsidP="007F20FA">
      <w:pPr>
        <w:ind w:left="0" w:firstLine="0"/>
        <w:rPr>
          <w:rFonts w:cs="Arial"/>
        </w:rPr>
      </w:pPr>
    </w:p>
    <w:p w:rsidR="007F20FA" w:rsidRPr="007F20FA" w:rsidRDefault="007F20FA" w:rsidP="007F20FA">
      <w:pPr>
        <w:ind w:left="0" w:firstLine="0"/>
        <w:rPr>
          <w:rFonts w:cs="Arial"/>
        </w:rPr>
      </w:pPr>
      <w:r w:rsidRPr="007F20FA">
        <w:rPr>
          <w:rFonts w:cs="Arial"/>
        </w:rPr>
        <w:t xml:space="preserve">Class of Recommendation (COR) is an estimate of the size of the treatment effect considering risks versus benefits in addition to evidence and/or agreement that a given treatment or procedure is or is not useful/effective or in some situations may cause harm. </w:t>
      </w:r>
    </w:p>
    <w:p w:rsidR="007F20FA" w:rsidRPr="007F20FA" w:rsidRDefault="007F20FA" w:rsidP="007F20FA">
      <w:pPr>
        <w:ind w:left="0" w:firstLine="0"/>
        <w:rPr>
          <w:rFonts w:cs="Arial"/>
        </w:rPr>
      </w:pPr>
    </w:p>
    <w:p w:rsidR="007F20FA" w:rsidRPr="007F20FA" w:rsidRDefault="007F20FA" w:rsidP="007F20FA">
      <w:pPr>
        <w:ind w:left="0" w:firstLine="0"/>
        <w:rPr>
          <w:rFonts w:cs="Arial"/>
        </w:rPr>
      </w:pPr>
      <w:r w:rsidRPr="007F20FA">
        <w:rPr>
          <w:rFonts w:cs="Arial"/>
        </w:rPr>
        <w:t xml:space="preserve">Class I: Procedure/Treatment should be </w:t>
      </w:r>
      <w:proofErr w:type="gramStart"/>
      <w:r w:rsidRPr="007F20FA">
        <w:rPr>
          <w:rFonts w:cs="Arial"/>
        </w:rPr>
        <w:t>performed/administered</w:t>
      </w:r>
      <w:proofErr w:type="gramEnd"/>
    </w:p>
    <w:p w:rsidR="007F20FA" w:rsidRPr="007F20FA" w:rsidRDefault="007F20FA" w:rsidP="007F20FA">
      <w:pPr>
        <w:ind w:left="0" w:firstLine="0"/>
        <w:rPr>
          <w:rFonts w:cs="Arial"/>
        </w:rPr>
      </w:pPr>
      <w:r w:rsidRPr="007F20FA">
        <w:rPr>
          <w:rFonts w:cs="Arial"/>
        </w:rPr>
        <w:t xml:space="preserve">Class </w:t>
      </w:r>
      <w:proofErr w:type="spellStart"/>
      <w:r w:rsidRPr="007F20FA">
        <w:rPr>
          <w:rFonts w:cs="Arial"/>
        </w:rPr>
        <w:t>IIa</w:t>
      </w:r>
      <w:proofErr w:type="spellEnd"/>
      <w:r w:rsidRPr="007F20FA">
        <w:rPr>
          <w:rFonts w:cs="Arial"/>
        </w:rPr>
        <w:t>: It is reasonable to perform procedure/administer treatment</w:t>
      </w:r>
    </w:p>
    <w:p w:rsidR="007F20FA" w:rsidRPr="007F20FA" w:rsidRDefault="007F20FA" w:rsidP="007F20FA">
      <w:pPr>
        <w:ind w:left="0" w:firstLine="0"/>
        <w:rPr>
          <w:rFonts w:cs="Arial"/>
        </w:rPr>
      </w:pPr>
      <w:r w:rsidRPr="007F20FA">
        <w:rPr>
          <w:rFonts w:cs="Arial"/>
        </w:rPr>
        <w:t xml:space="preserve">Class </w:t>
      </w:r>
      <w:proofErr w:type="spellStart"/>
      <w:r w:rsidRPr="007F20FA">
        <w:rPr>
          <w:rFonts w:cs="Arial"/>
        </w:rPr>
        <w:t>IIb</w:t>
      </w:r>
      <w:proofErr w:type="spellEnd"/>
      <w:r w:rsidRPr="007F20FA">
        <w:rPr>
          <w:rFonts w:cs="Arial"/>
        </w:rPr>
        <w:t>: Procedure/Treatment may be considered</w:t>
      </w:r>
    </w:p>
    <w:p w:rsidR="007F20FA" w:rsidRPr="007F20FA" w:rsidRDefault="007F20FA" w:rsidP="007F20FA">
      <w:pPr>
        <w:ind w:left="0" w:firstLine="0"/>
        <w:rPr>
          <w:rFonts w:cs="Arial"/>
        </w:rPr>
      </w:pPr>
      <w:r w:rsidRPr="007F20FA">
        <w:rPr>
          <w:rFonts w:cs="Arial"/>
        </w:rPr>
        <w:t>Class III: No benefit (Not helpful or No proven benefit)</w:t>
      </w:r>
    </w:p>
    <w:p w:rsidR="007F20FA" w:rsidRPr="007F20FA" w:rsidRDefault="007F20FA" w:rsidP="007F20FA">
      <w:pPr>
        <w:ind w:left="0" w:firstLine="0"/>
        <w:rPr>
          <w:rFonts w:cs="Arial"/>
        </w:rPr>
      </w:pPr>
      <w:r w:rsidRPr="007F20FA">
        <w:rPr>
          <w:rFonts w:cs="Arial"/>
        </w:rPr>
        <w:t>Class III: Harm (Excess cost w/o benefit or Harmful to patients)</w:t>
      </w:r>
    </w:p>
    <w:p w:rsidR="007F20FA" w:rsidRPr="007F20FA" w:rsidRDefault="007F20FA" w:rsidP="007F20FA">
      <w:pPr>
        <w:ind w:left="0" w:firstLine="0"/>
        <w:rPr>
          <w:rFonts w:cs="Arial"/>
        </w:rPr>
      </w:pPr>
    </w:p>
    <w:p w:rsidR="007F20FA" w:rsidRPr="007F20FA" w:rsidRDefault="007F20FA" w:rsidP="007F20FA">
      <w:pPr>
        <w:ind w:left="0" w:firstLine="0"/>
        <w:rPr>
          <w:bCs/>
        </w:rPr>
      </w:pPr>
      <w:r w:rsidRPr="007F20FA">
        <w:rPr>
          <w:bCs/>
        </w:rPr>
        <w:t>Specific COR definitions are included in Table 1 below.</w:t>
      </w:r>
    </w:p>
    <w:p w:rsidR="007F20FA" w:rsidRPr="007F20FA" w:rsidRDefault="007F20FA" w:rsidP="007F20FA">
      <w:pPr>
        <w:ind w:left="0" w:firstLine="0"/>
        <w:rPr>
          <w:b/>
          <w:bCs/>
        </w:rPr>
      </w:pPr>
    </w:p>
    <w:p w:rsidR="007F20FA" w:rsidRPr="007F20FA" w:rsidRDefault="007F20FA" w:rsidP="007F20FA">
      <w:pPr>
        <w:ind w:left="0" w:firstLine="0"/>
        <w:rPr>
          <w:rFonts w:cs="Arial"/>
        </w:rPr>
      </w:pPr>
      <w:bookmarkStart w:id="7" w:name="_GoBack"/>
      <w:bookmarkEnd w:id="7"/>
      <w:proofErr w:type="gramStart"/>
      <w:r w:rsidRPr="007F20FA">
        <w:rPr>
          <w:b/>
          <w:bCs/>
        </w:rPr>
        <w:t>Table 1.</w:t>
      </w:r>
      <w:proofErr w:type="gramEnd"/>
      <w:r w:rsidRPr="007F20FA">
        <w:rPr>
          <w:b/>
          <w:bCs/>
        </w:rPr>
        <w:t xml:space="preserve"> Applying Classification of Recommendation and Level of Evidence</w:t>
      </w:r>
    </w:p>
    <w:p w:rsidR="00A12762" w:rsidRDefault="007F20FA" w:rsidP="00265702">
      <w:pPr>
        <w:ind w:left="0" w:firstLine="0"/>
        <w:rPr>
          <w:b/>
        </w:rPr>
      </w:pPr>
      <w:r>
        <w:rPr>
          <w:b/>
          <w:noProof/>
        </w:rPr>
        <w:lastRenderedPageBreak/>
        <w:drawing>
          <wp:inline distT="0" distB="0" distL="0" distR="0" wp14:anchorId="0C72D4BA" wp14:editId="2C579F24">
            <wp:extent cx="5943600" cy="5213350"/>
            <wp:effectExtent l="0" t="0" r="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43600" cy="5213350"/>
                    </a:xfrm>
                    <a:prstGeom prst="rect">
                      <a:avLst/>
                    </a:prstGeom>
                    <a:noFill/>
                    <a:ln>
                      <a:noFill/>
                    </a:ln>
                  </pic:spPr>
                </pic:pic>
              </a:graphicData>
            </a:graphic>
          </wp:inline>
        </w:drawing>
      </w:r>
    </w:p>
    <w:p w:rsidR="007F20FA" w:rsidRPr="003B1CC5" w:rsidRDefault="007F20FA" w:rsidP="00265702">
      <w:pPr>
        <w:ind w:left="0" w:firstLine="0"/>
        <w:rPr>
          <w:b/>
        </w:rPr>
      </w:pPr>
    </w:p>
    <w:p w:rsidR="00850C35" w:rsidRPr="003B1CC5" w:rsidRDefault="00850C35" w:rsidP="00265702">
      <w:pPr>
        <w:ind w:left="0" w:firstLine="0"/>
        <w:rPr>
          <w:b/>
        </w:rPr>
      </w:pPr>
    </w:p>
    <w:p w:rsidR="00A12762" w:rsidRPr="003B1CC5" w:rsidRDefault="00776F6D" w:rsidP="002E2177">
      <w:pPr>
        <w:ind w:left="432" w:hanging="432"/>
        <w:rPr>
          <w:b/>
          <w:color w:val="0000FF"/>
        </w:rPr>
      </w:pPr>
      <w:r w:rsidRPr="003B1CC5">
        <w:rPr>
          <w:b/>
          <w:color w:val="0000FF"/>
        </w:rPr>
        <w:t>1a.4.5</w:t>
      </w:r>
      <w:r w:rsidR="00A12762" w:rsidRPr="003B1CC5">
        <w:rPr>
          <w:b/>
          <w:color w:val="0000FF"/>
        </w:rPr>
        <w:t>.</w:t>
      </w:r>
      <w:r w:rsidR="00A12762" w:rsidRPr="003B1CC5">
        <w:rPr>
          <w:b/>
          <w:color w:val="17365D" w:themeColor="text2" w:themeShade="BF"/>
        </w:rPr>
        <w:t xml:space="preserve"> </w:t>
      </w:r>
      <w:r w:rsidR="00030F43" w:rsidRPr="003B1CC5">
        <w:rPr>
          <w:b/>
        </w:rPr>
        <w:t xml:space="preserve">Citation and </w:t>
      </w:r>
      <w:r w:rsidR="00A12762" w:rsidRPr="003B1CC5">
        <w:rPr>
          <w:b/>
        </w:rPr>
        <w:t>URL for methodology for grading</w:t>
      </w:r>
      <w:r w:rsidR="00965FF6" w:rsidRPr="003B1CC5">
        <w:rPr>
          <w:b/>
        </w:rPr>
        <w:t xml:space="preserve"> recommendati</w:t>
      </w:r>
      <w:r w:rsidRPr="003B1CC5">
        <w:rPr>
          <w:b/>
        </w:rPr>
        <w:t>o</w:t>
      </w:r>
      <w:r w:rsidR="00965FF6" w:rsidRPr="003B1CC5">
        <w:rPr>
          <w:b/>
        </w:rPr>
        <w:t>ns</w:t>
      </w:r>
      <w:r w:rsidR="00A12762" w:rsidRPr="003B1CC5">
        <w:rPr>
          <w:b/>
        </w:rPr>
        <w:t xml:space="preserve"> </w:t>
      </w:r>
      <w:r w:rsidR="00A12762" w:rsidRPr="003B1CC5">
        <w:t>(</w:t>
      </w:r>
      <w:r w:rsidR="00A12762" w:rsidRPr="003B1CC5">
        <w:rPr>
          <w:i/>
        </w:rPr>
        <w:t xml:space="preserve">if </w:t>
      </w:r>
      <w:r w:rsidR="00AD79C8" w:rsidRPr="003B1CC5">
        <w:rPr>
          <w:i/>
        </w:rPr>
        <w:t>different from 1a.4.</w:t>
      </w:r>
      <w:r w:rsidR="00030F43" w:rsidRPr="003B1CC5">
        <w:rPr>
          <w:i/>
        </w:rPr>
        <w:t>1</w:t>
      </w:r>
      <w:r w:rsidR="00A12762" w:rsidRPr="003B1CC5">
        <w:t>)</w:t>
      </w:r>
      <w:r w:rsidRPr="003B1CC5">
        <w:rPr>
          <w:b/>
        </w:rPr>
        <w:t>:</w:t>
      </w:r>
    </w:p>
    <w:p w:rsidR="007F20FA" w:rsidRPr="007F20FA" w:rsidRDefault="007F20FA" w:rsidP="007F20FA">
      <w:pPr>
        <w:ind w:left="432" w:hanging="432"/>
      </w:pPr>
      <w:proofErr w:type="gramStart"/>
      <w:r w:rsidRPr="007F20FA">
        <w:t>ACCF/AHA Task Force on Practice Guidelines.</w:t>
      </w:r>
      <w:proofErr w:type="gramEnd"/>
      <w:r w:rsidRPr="007F20FA">
        <w:t xml:space="preserve"> Methodology Manual and Policies </w:t>
      </w:r>
      <w:proofErr w:type="gramStart"/>
      <w:r w:rsidRPr="007F20FA">
        <w:t>From</w:t>
      </w:r>
      <w:proofErr w:type="gramEnd"/>
      <w:r w:rsidRPr="007F20FA">
        <w:t xml:space="preserve"> the ACCF/AHA  </w:t>
      </w:r>
    </w:p>
    <w:p w:rsidR="007F20FA" w:rsidRPr="007F20FA" w:rsidRDefault="007F20FA" w:rsidP="007F20FA">
      <w:pPr>
        <w:ind w:left="432" w:hanging="432"/>
      </w:pPr>
      <w:proofErr w:type="gramStart"/>
      <w:r w:rsidRPr="007F20FA">
        <w:t>Task Force on Practice Guidelines.</w:t>
      </w:r>
      <w:proofErr w:type="gramEnd"/>
      <w:r w:rsidRPr="007F20FA">
        <w:t xml:space="preserve"> American College of Cardiology Foundation and American Heart </w:t>
      </w:r>
    </w:p>
    <w:p w:rsidR="007F20FA" w:rsidRPr="007F20FA" w:rsidRDefault="007F20FA" w:rsidP="007F20FA">
      <w:pPr>
        <w:ind w:left="432" w:hanging="432"/>
      </w:pPr>
      <w:r w:rsidRPr="007F20FA">
        <w:t xml:space="preserve">Association, Inc.  </w:t>
      </w:r>
      <w:proofErr w:type="gramStart"/>
      <w:r w:rsidRPr="007F20FA">
        <w:t>Cardiosource.com. 2010.</w:t>
      </w:r>
      <w:proofErr w:type="gramEnd"/>
      <w:r w:rsidRPr="007F20FA">
        <w:t xml:space="preserve"> Available at: </w:t>
      </w:r>
    </w:p>
    <w:p w:rsidR="007F20FA" w:rsidRPr="007F20FA" w:rsidRDefault="007F20FA" w:rsidP="007F20FA">
      <w:pPr>
        <w:ind w:left="432" w:hanging="432"/>
      </w:pPr>
      <w:hyperlink r:id="rId24" w:history="1">
        <w:r w:rsidRPr="007F20FA">
          <w:rPr>
            <w:color w:val="0000FF" w:themeColor="hyperlink"/>
            <w:u w:val="single"/>
          </w:rPr>
          <w:t>http://assets.cardiosource.com/Methodology_Manual_for_ACC_AHA_Writing_Committees.pdf</w:t>
        </w:r>
      </w:hyperlink>
      <w:r w:rsidRPr="007F20FA">
        <w:t xml:space="preserve"> and </w:t>
      </w:r>
    </w:p>
    <w:p w:rsidR="00736AEC" w:rsidRDefault="007F20FA" w:rsidP="007F20FA">
      <w:pPr>
        <w:ind w:left="432" w:hanging="432"/>
        <w:rPr>
          <w:color w:val="0000FF" w:themeColor="hyperlink"/>
          <w:u w:val="single"/>
        </w:rPr>
      </w:pPr>
      <w:hyperlink r:id="rId25" w:history="1">
        <w:r w:rsidRPr="007F20FA">
          <w:rPr>
            <w:color w:val="0000FF" w:themeColor="hyperlink"/>
            <w:u w:val="single"/>
          </w:rPr>
          <w:t>http://my.americanheart.org/idc/groups/ahamah-public/@wcm/@sop/documents/downloadable/ucm_319826.pdf</w:t>
        </w:r>
      </w:hyperlink>
    </w:p>
    <w:p w:rsidR="007F20FA" w:rsidRPr="003B1CC5" w:rsidRDefault="007F20FA" w:rsidP="007F20FA">
      <w:pPr>
        <w:ind w:left="432" w:hanging="432"/>
        <w:rPr>
          <w:color w:val="0000FF"/>
        </w:rPr>
      </w:pPr>
    </w:p>
    <w:p w:rsidR="00736AEC" w:rsidRPr="003B1CC5" w:rsidRDefault="00736AEC" w:rsidP="002E2177">
      <w:pPr>
        <w:ind w:left="432" w:hanging="432"/>
        <w:rPr>
          <w:b/>
        </w:rPr>
      </w:pPr>
      <w:r w:rsidRPr="003B1CC5">
        <w:rPr>
          <w:b/>
          <w:color w:val="0000FF"/>
        </w:rPr>
        <w:t>1</w:t>
      </w:r>
      <w:r w:rsidR="00773485" w:rsidRPr="003B1CC5">
        <w:rPr>
          <w:b/>
          <w:color w:val="0000FF"/>
        </w:rPr>
        <w:t>a</w:t>
      </w:r>
      <w:r w:rsidRPr="003B1CC5">
        <w:rPr>
          <w:b/>
          <w:color w:val="0000FF"/>
        </w:rPr>
        <w:t>.4.</w:t>
      </w:r>
      <w:r w:rsidR="00776F6D" w:rsidRPr="003B1CC5">
        <w:rPr>
          <w:b/>
          <w:color w:val="0000FF"/>
        </w:rPr>
        <w:t>6</w:t>
      </w:r>
      <w:r w:rsidR="00CB06C9" w:rsidRPr="003B1CC5">
        <w:rPr>
          <w:b/>
        </w:rPr>
        <w:t>.</w:t>
      </w:r>
      <w:r w:rsidRPr="003B1CC5">
        <w:rPr>
          <w:b/>
        </w:rPr>
        <w:t xml:space="preserve"> </w:t>
      </w:r>
      <w:r w:rsidR="00162036" w:rsidRPr="003B1CC5">
        <w:rPr>
          <w:b/>
        </w:rPr>
        <w:t>If guideline is evidence-based (rather than expert opinion), a</w:t>
      </w:r>
      <w:r w:rsidRPr="003B1CC5">
        <w:rPr>
          <w:b/>
        </w:rPr>
        <w:t xml:space="preserve">re the details of </w:t>
      </w:r>
      <w:r w:rsidR="00162036" w:rsidRPr="003B1CC5">
        <w:rPr>
          <w:b/>
        </w:rPr>
        <w:t xml:space="preserve">the </w:t>
      </w:r>
      <w:r w:rsidRPr="003B1CC5">
        <w:rPr>
          <w:b/>
        </w:rPr>
        <w:t>quantity, quality, and consistency of the body of evidence available</w:t>
      </w:r>
      <w:r w:rsidR="00162036" w:rsidRPr="003B1CC5">
        <w:rPr>
          <w:b/>
        </w:rPr>
        <w:t xml:space="preserve"> (e.g., evidence tables)</w:t>
      </w:r>
      <w:r w:rsidRPr="003B1CC5">
        <w:rPr>
          <w:b/>
        </w:rPr>
        <w:t>?</w:t>
      </w:r>
    </w:p>
    <w:p w:rsidR="00FC32D3" w:rsidRPr="003B1CC5" w:rsidRDefault="00526739" w:rsidP="00FC32D3">
      <w:pPr>
        <w:ind w:left="720" w:hanging="432"/>
        <w:rPr>
          <w:b/>
        </w:rPr>
      </w:pPr>
      <w:sdt>
        <w:sdtPr>
          <w:rPr>
            <w:bCs/>
            <w:color w:val="0000FF"/>
          </w:rPr>
          <w:id w:val="-1346319738"/>
          <w14:checkbox>
            <w14:checked w14:val="1"/>
            <w14:checkedState w14:val="2612" w14:font="MS Gothic"/>
            <w14:uncheckedState w14:val="2610" w14:font="MS Gothic"/>
          </w14:checkbox>
        </w:sdtPr>
        <w:sdtEndPr/>
        <w:sdtContent>
          <w:r w:rsidR="007F20FA">
            <w:rPr>
              <w:rFonts w:ascii="MS Gothic" w:eastAsia="MS Gothic" w:hAnsi="MS Gothic" w:hint="eastAsia"/>
              <w:bCs/>
              <w:color w:val="0000FF"/>
            </w:rPr>
            <w:t>☒</w:t>
          </w:r>
        </w:sdtContent>
      </w:sdt>
      <w:r w:rsidR="00FC32D3" w:rsidRPr="003B1CC5">
        <w:rPr>
          <w:b/>
        </w:rPr>
        <w:t xml:space="preserve"> </w:t>
      </w:r>
      <w:r w:rsidR="00FC32D3" w:rsidRPr="003B1CC5">
        <w:t>Yes</w:t>
      </w:r>
      <w:r w:rsidR="00FC32D3" w:rsidRPr="003B1CC5">
        <w:rPr>
          <w:b/>
        </w:rPr>
        <w:t xml:space="preserve"> </w:t>
      </w:r>
      <w:r w:rsidR="00FC32D3" w:rsidRPr="003B1CC5">
        <w:rPr>
          <w:rFonts w:cstheme="minorHAnsi"/>
          <w:b/>
          <w:highlight w:val="green"/>
        </w:rPr>
        <w:t>→</w:t>
      </w:r>
      <w:r w:rsidR="00FC32D3" w:rsidRPr="003B1CC5">
        <w:rPr>
          <w:b/>
          <w:highlight w:val="green"/>
        </w:rPr>
        <w:t xml:space="preserve"> </w:t>
      </w:r>
      <w:r w:rsidR="00FC32D3" w:rsidRPr="003B1CC5">
        <w:rPr>
          <w:b/>
          <w:i/>
          <w:highlight w:val="green"/>
        </w:rPr>
        <w:t xml:space="preserve">complete section </w:t>
      </w:r>
      <w:hyperlink w:anchor="Section1a7" w:history="1">
        <w:r w:rsidR="00FC32D3" w:rsidRPr="003B1CC5">
          <w:rPr>
            <w:rStyle w:val="Hyperlink"/>
            <w:b/>
            <w:i/>
            <w:highlight w:val="green"/>
          </w:rPr>
          <w:t>1a.7</w:t>
        </w:r>
      </w:hyperlink>
    </w:p>
    <w:p w:rsidR="00736AEC" w:rsidRPr="003B1CC5" w:rsidRDefault="00526739" w:rsidP="0098657F">
      <w:pPr>
        <w:ind w:left="1008" w:hanging="720"/>
      </w:pPr>
      <w:sdt>
        <w:sdtPr>
          <w:rPr>
            <w:bCs/>
            <w:color w:val="0000FF"/>
          </w:rPr>
          <w:id w:val="777454248"/>
          <w14:checkbox>
            <w14:checked w14:val="0"/>
            <w14:checkedState w14:val="2612" w14:font="MS Gothic"/>
            <w14:uncheckedState w14:val="2610" w14:font="MS Gothic"/>
          </w14:checkbox>
        </w:sdtPr>
        <w:sdtEndPr/>
        <w:sdtContent>
          <w:r w:rsidR="00FC32D3" w:rsidRPr="003B1CC5">
            <w:rPr>
              <w:rFonts w:ascii="MS Gothic" w:eastAsia="MS Gothic" w:hAnsi="MS Gothic" w:cs="MS Gothic" w:hint="eastAsia"/>
              <w:bCs/>
              <w:color w:val="0000FF"/>
            </w:rPr>
            <w:t>☐</w:t>
          </w:r>
        </w:sdtContent>
      </w:sdt>
      <w:r w:rsidR="00736AEC" w:rsidRPr="003B1CC5">
        <w:rPr>
          <w:b/>
        </w:rPr>
        <w:t xml:space="preserve"> </w:t>
      </w:r>
      <w:r w:rsidR="00736AEC" w:rsidRPr="003B1CC5">
        <w:t>No</w:t>
      </w:r>
      <w:r w:rsidR="00307FA5" w:rsidRPr="003B1CC5">
        <w:t xml:space="preserve">  </w:t>
      </w:r>
      <w:r w:rsidR="007C1887" w:rsidRPr="003B1CC5">
        <w:rPr>
          <w:rFonts w:cstheme="minorHAnsi"/>
          <w:b/>
          <w:highlight w:val="green"/>
        </w:rPr>
        <w:t>→</w:t>
      </w:r>
      <w:r w:rsidR="0087564A" w:rsidRPr="003B1CC5">
        <w:rPr>
          <w:rFonts w:cstheme="minorHAnsi"/>
          <w:b/>
          <w:highlight w:val="green"/>
        </w:rPr>
        <w:t xml:space="preserve"> </w:t>
      </w:r>
      <w:r w:rsidR="0087564A" w:rsidRPr="003B1CC5">
        <w:rPr>
          <w:rStyle w:val="Hyperlink"/>
          <w:b/>
          <w:i/>
          <w:color w:val="auto"/>
          <w:highlight w:val="green"/>
          <w:u w:val="none"/>
        </w:rPr>
        <w:t>report on another systematic review</w:t>
      </w:r>
      <w:r w:rsidR="00701CC3" w:rsidRPr="003B1CC5">
        <w:rPr>
          <w:rStyle w:val="Hyperlink"/>
          <w:b/>
          <w:i/>
          <w:color w:val="auto"/>
          <w:highlight w:val="green"/>
          <w:u w:val="none"/>
        </w:rPr>
        <w:t xml:space="preserve"> of the evidence</w:t>
      </w:r>
      <w:r w:rsidR="0087564A" w:rsidRPr="003B1CC5">
        <w:rPr>
          <w:rStyle w:val="Hyperlink"/>
          <w:b/>
          <w:i/>
          <w:color w:val="auto"/>
          <w:highlight w:val="green"/>
          <w:u w:val="none"/>
        </w:rPr>
        <w:t xml:space="preserve"> in</w:t>
      </w:r>
      <w:r w:rsidR="0098657F" w:rsidRPr="003B1CC5">
        <w:rPr>
          <w:rStyle w:val="Hyperlink"/>
          <w:b/>
          <w:i/>
          <w:color w:val="auto"/>
          <w:highlight w:val="green"/>
          <w:u w:val="none"/>
        </w:rPr>
        <w:t xml:space="preserve"> sections</w:t>
      </w:r>
      <w:r w:rsidR="0087564A" w:rsidRPr="003B1CC5">
        <w:rPr>
          <w:rStyle w:val="Hyperlink"/>
          <w:b/>
          <w:i/>
          <w:color w:val="auto"/>
          <w:highlight w:val="green"/>
          <w:u w:val="none"/>
        </w:rPr>
        <w:t xml:space="preserve"> </w:t>
      </w:r>
      <w:hyperlink w:anchor="Section1a6" w:history="1">
        <w:r w:rsidR="0087564A" w:rsidRPr="003B1CC5">
          <w:rPr>
            <w:rStyle w:val="Hyperlink"/>
            <w:b/>
            <w:i/>
            <w:highlight w:val="green"/>
          </w:rPr>
          <w:t>1a.6</w:t>
        </w:r>
      </w:hyperlink>
      <w:r w:rsidR="0087564A" w:rsidRPr="003B1CC5">
        <w:rPr>
          <w:rStyle w:val="Hyperlink"/>
          <w:b/>
          <w:i/>
          <w:color w:val="auto"/>
          <w:highlight w:val="green"/>
          <w:u w:val="none"/>
        </w:rPr>
        <w:t xml:space="preserve"> and </w:t>
      </w:r>
      <w:hyperlink w:anchor="Section1a7" w:history="1">
        <w:r w:rsidR="0087564A" w:rsidRPr="003B1CC5">
          <w:rPr>
            <w:rStyle w:val="Hyperlink"/>
            <w:b/>
            <w:i/>
            <w:highlight w:val="green"/>
          </w:rPr>
          <w:t>1a.7</w:t>
        </w:r>
      </w:hyperlink>
      <w:r w:rsidR="00701CC3" w:rsidRPr="003B1CC5">
        <w:rPr>
          <w:rStyle w:val="Hyperlink"/>
          <w:b/>
          <w:i/>
          <w:color w:val="auto"/>
          <w:highlight w:val="green"/>
          <w:u w:val="none"/>
        </w:rPr>
        <w:t>;</w:t>
      </w:r>
      <w:r w:rsidR="0087564A" w:rsidRPr="003B1CC5">
        <w:rPr>
          <w:rStyle w:val="Hyperlink"/>
          <w:b/>
          <w:i/>
          <w:color w:val="auto"/>
          <w:highlight w:val="green"/>
          <w:u w:val="none"/>
        </w:rPr>
        <w:t xml:space="preserve"> </w:t>
      </w:r>
      <w:r w:rsidR="00B74629" w:rsidRPr="003B1CC5">
        <w:rPr>
          <w:rStyle w:val="Hyperlink"/>
          <w:b/>
          <w:i/>
          <w:color w:val="auto"/>
          <w:highlight w:val="green"/>
          <w:u w:val="none"/>
        </w:rPr>
        <w:t xml:space="preserve">if </w:t>
      </w:r>
      <w:r w:rsidR="00063601" w:rsidRPr="003B1CC5">
        <w:rPr>
          <w:rStyle w:val="Hyperlink"/>
          <w:b/>
          <w:i/>
          <w:color w:val="auto"/>
          <w:highlight w:val="green"/>
          <w:u w:val="none"/>
        </w:rPr>
        <w:t xml:space="preserve">another review </w:t>
      </w:r>
      <w:r w:rsidR="00B74629" w:rsidRPr="003B1CC5">
        <w:rPr>
          <w:rStyle w:val="Hyperlink"/>
          <w:b/>
          <w:i/>
          <w:color w:val="auto"/>
          <w:highlight w:val="green"/>
          <w:u w:val="none"/>
        </w:rPr>
        <w:t xml:space="preserve">does not exist, </w:t>
      </w:r>
      <w:r w:rsidR="00923295" w:rsidRPr="003B1CC5">
        <w:rPr>
          <w:rFonts w:cstheme="minorHAnsi"/>
          <w:b/>
          <w:i/>
          <w:highlight w:val="green"/>
        </w:rPr>
        <w:t xml:space="preserve">provide what is known </w:t>
      </w:r>
      <w:r w:rsidR="00701CC3" w:rsidRPr="003B1CC5">
        <w:rPr>
          <w:rFonts w:cstheme="minorHAnsi"/>
          <w:b/>
          <w:i/>
          <w:highlight w:val="green"/>
        </w:rPr>
        <w:t xml:space="preserve">from the guideline review of evidence </w:t>
      </w:r>
      <w:r w:rsidR="00923295" w:rsidRPr="003B1CC5">
        <w:rPr>
          <w:rFonts w:cstheme="minorHAnsi"/>
          <w:b/>
          <w:i/>
          <w:highlight w:val="green"/>
        </w:rPr>
        <w:t xml:space="preserve">in </w:t>
      </w:r>
      <w:hyperlink w:anchor="Section1a7" w:history="1">
        <w:r w:rsidR="009477D6" w:rsidRPr="003B1CC5">
          <w:rPr>
            <w:rStyle w:val="Hyperlink"/>
            <w:b/>
            <w:i/>
            <w:highlight w:val="green"/>
          </w:rPr>
          <w:t>1a.7</w:t>
        </w:r>
      </w:hyperlink>
    </w:p>
    <w:p w:rsidR="00736AEC" w:rsidRPr="003B1CC5" w:rsidRDefault="00736AEC" w:rsidP="00736AEC">
      <w:pPr>
        <w:rPr>
          <w:b/>
        </w:rPr>
      </w:pPr>
    </w:p>
    <w:p w:rsidR="00EE5AF6" w:rsidRPr="003B1CC5" w:rsidRDefault="00925F11" w:rsidP="00307FA5">
      <w:pPr>
        <w:ind w:left="0" w:firstLine="0"/>
        <w:rPr>
          <w:color w:val="0000FF"/>
        </w:rPr>
      </w:pPr>
      <w:r w:rsidRPr="003B1CC5">
        <w:rPr>
          <w:b/>
          <w:iCs/>
          <w:caps/>
        </w:rPr>
        <w:t>_________________________</w:t>
      </w:r>
    </w:p>
    <w:p w:rsidR="00EE5AF6" w:rsidRPr="003B1CC5" w:rsidRDefault="00EE5AF6" w:rsidP="00307FA5">
      <w:pPr>
        <w:ind w:left="0" w:firstLine="0"/>
        <w:rPr>
          <w:color w:val="0000FF"/>
        </w:rPr>
      </w:pPr>
      <w:bookmarkStart w:id="8" w:name="Section1a5"/>
      <w:bookmarkEnd w:id="8"/>
      <w:r w:rsidRPr="003B1CC5">
        <w:rPr>
          <w:b/>
          <w:color w:val="0000FF"/>
        </w:rPr>
        <w:lastRenderedPageBreak/>
        <w:t>1</w:t>
      </w:r>
      <w:r w:rsidR="00773485" w:rsidRPr="003B1CC5">
        <w:rPr>
          <w:b/>
          <w:color w:val="0000FF"/>
        </w:rPr>
        <w:t>a</w:t>
      </w:r>
      <w:r w:rsidRPr="003B1CC5">
        <w:rPr>
          <w:b/>
          <w:color w:val="0000FF"/>
        </w:rPr>
        <w:t>.5</w:t>
      </w:r>
      <w:r w:rsidR="00201FF9" w:rsidRPr="003B1CC5">
        <w:rPr>
          <w:b/>
          <w:color w:val="0000FF"/>
        </w:rPr>
        <w:t>.</w:t>
      </w:r>
      <w:r w:rsidRPr="003B1CC5">
        <w:rPr>
          <w:color w:val="0000FF"/>
        </w:rPr>
        <w:t xml:space="preserve"> </w:t>
      </w:r>
      <w:r w:rsidRPr="003B1CC5">
        <w:rPr>
          <w:b/>
        </w:rPr>
        <w:t>U</w:t>
      </w:r>
      <w:r w:rsidR="0094689F" w:rsidRPr="003B1CC5">
        <w:rPr>
          <w:b/>
        </w:rPr>
        <w:t>NITED STATES</w:t>
      </w:r>
      <w:r w:rsidRPr="003B1CC5">
        <w:rPr>
          <w:b/>
        </w:rPr>
        <w:t xml:space="preserve"> PREVENTIVE SERVICES TASK FORCE RECOMMENDATION</w:t>
      </w:r>
    </w:p>
    <w:p w:rsidR="00307FA5" w:rsidRPr="003B1CC5" w:rsidRDefault="00307FA5" w:rsidP="00307FA5">
      <w:pPr>
        <w:ind w:left="0" w:firstLine="0"/>
      </w:pPr>
      <w:r w:rsidRPr="003B1CC5">
        <w:rPr>
          <w:b/>
          <w:color w:val="0000FF"/>
        </w:rPr>
        <w:t>1</w:t>
      </w:r>
      <w:r w:rsidR="009E37BD" w:rsidRPr="003B1CC5">
        <w:rPr>
          <w:b/>
          <w:color w:val="0000FF"/>
        </w:rPr>
        <w:t>a</w:t>
      </w:r>
      <w:r w:rsidRPr="003B1CC5">
        <w:rPr>
          <w:b/>
          <w:color w:val="0000FF"/>
        </w:rPr>
        <w:t>.5.1.</w:t>
      </w:r>
      <w:r w:rsidRPr="003B1CC5">
        <w:t xml:space="preserve"> </w:t>
      </w:r>
      <w:r w:rsidR="00E746A2" w:rsidRPr="003B1CC5">
        <w:rPr>
          <w:b/>
        </w:rPr>
        <w:t>Recommendation</w:t>
      </w:r>
      <w:r w:rsidRPr="003B1CC5">
        <w:rPr>
          <w:b/>
        </w:rPr>
        <w:t xml:space="preserve"> citation</w:t>
      </w:r>
      <w:r w:rsidRPr="003B1CC5">
        <w:t xml:space="preserve"> (</w:t>
      </w:r>
      <w:r w:rsidRPr="003B1CC5">
        <w:rPr>
          <w:i/>
        </w:rPr>
        <w:t>including date</w:t>
      </w:r>
      <w:r w:rsidRPr="003B1CC5">
        <w:t>)</w:t>
      </w:r>
      <w:r w:rsidR="00EA79C9" w:rsidRPr="003B1CC5">
        <w:t xml:space="preserve"> and </w:t>
      </w:r>
      <w:r w:rsidR="00EA79C9" w:rsidRPr="003B1CC5">
        <w:rPr>
          <w:b/>
        </w:rPr>
        <w:t>URL for recommendation</w:t>
      </w:r>
      <w:r w:rsidR="00EA79C9" w:rsidRPr="003B1CC5">
        <w:t xml:space="preserve"> (</w:t>
      </w:r>
      <w:r w:rsidR="00EA79C9" w:rsidRPr="003B1CC5">
        <w:rPr>
          <w:i/>
        </w:rPr>
        <w:t>if available online</w:t>
      </w:r>
      <w:r w:rsidR="00EA79C9" w:rsidRPr="003B1CC5">
        <w:t xml:space="preserve">): </w:t>
      </w:r>
      <w:r w:rsidRPr="003B1CC5">
        <w:t xml:space="preserve"> </w:t>
      </w:r>
    </w:p>
    <w:p w:rsidR="00307FA5" w:rsidRPr="003B1CC5" w:rsidRDefault="00307FA5" w:rsidP="00307FA5">
      <w:pPr>
        <w:ind w:left="0" w:firstLine="0"/>
        <w:rPr>
          <w:rFonts w:cs="Arial"/>
          <w:sz w:val="20"/>
          <w:szCs w:val="20"/>
        </w:rPr>
      </w:pPr>
    </w:p>
    <w:p w:rsidR="00307FA5" w:rsidRPr="003B1CC5" w:rsidRDefault="00307FA5" w:rsidP="00307FA5">
      <w:pPr>
        <w:ind w:left="0" w:firstLine="0"/>
      </w:pPr>
    </w:p>
    <w:p w:rsidR="00307FA5" w:rsidRPr="003B1CC5" w:rsidRDefault="00307FA5" w:rsidP="00307FA5">
      <w:pPr>
        <w:ind w:left="0" w:firstLine="0"/>
      </w:pPr>
      <w:r w:rsidRPr="003B1CC5">
        <w:rPr>
          <w:b/>
          <w:color w:val="0000FF"/>
        </w:rPr>
        <w:t>1</w:t>
      </w:r>
      <w:r w:rsidR="009E37BD" w:rsidRPr="003B1CC5">
        <w:rPr>
          <w:b/>
          <w:color w:val="0000FF"/>
        </w:rPr>
        <w:t>a</w:t>
      </w:r>
      <w:r w:rsidR="00EA79C9" w:rsidRPr="003B1CC5">
        <w:rPr>
          <w:b/>
          <w:color w:val="0000FF"/>
        </w:rPr>
        <w:t>.5.2</w:t>
      </w:r>
      <w:r w:rsidRPr="003B1CC5">
        <w:rPr>
          <w:b/>
          <w:color w:val="0000FF"/>
        </w:rPr>
        <w:t>.</w:t>
      </w:r>
      <w:r w:rsidRPr="003B1CC5">
        <w:t xml:space="preserve"> </w:t>
      </w:r>
      <w:r w:rsidRPr="003B1CC5">
        <w:rPr>
          <w:b/>
        </w:rPr>
        <w:t xml:space="preserve">Identify </w:t>
      </w:r>
      <w:r w:rsidR="00EE5AF6" w:rsidRPr="003B1CC5">
        <w:rPr>
          <w:b/>
        </w:rPr>
        <w:t>recommendation</w:t>
      </w:r>
      <w:r w:rsidRPr="003B1CC5">
        <w:rPr>
          <w:b/>
        </w:rPr>
        <w:t xml:space="preserve"> number and/or page number</w:t>
      </w:r>
      <w:r w:rsidRPr="003B1CC5">
        <w:t xml:space="preserve"> </w:t>
      </w:r>
      <w:r w:rsidR="00EA79C9" w:rsidRPr="003B1CC5">
        <w:t xml:space="preserve">and </w:t>
      </w:r>
      <w:r w:rsidR="00C54E40" w:rsidRPr="003B1CC5">
        <w:rPr>
          <w:b/>
        </w:rPr>
        <w:t>q</w:t>
      </w:r>
      <w:r w:rsidR="00EA79C9" w:rsidRPr="003B1CC5">
        <w:rPr>
          <w:b/>
        </w:rPr>
        <w:t>uote verbatim, the specific recommendation</w:t>
      </w:r>
      <w:r w:rsidR="00C54E40" w:rsidRPr="003B1CC5">
        <w:t>.</w:t>
      </w:r>
    </w:p>
    <w:p w:rsidR="00307FA5" w:rsidRPr="003B1CC5" w:rsidRDefault="00307FA5" w:rsidP="00307FA5">
      <w:pPr>
        <w:ind w:left="0" w:firstLine="0"/>
      </w:pPr>
    </w:p>
    <w:p w:rsidR="00307FA5" w:rsidRPr="003B1CC5" w:rsidRDefault="00307FA5" w:rsidP="00307FA5">
      <w:pPr>
        <w:ind w:left="0" w:firstLine="0"/>
      </w:pPr>
    </w:p>
    <w:p w:rsidR="008A45F3" w:rsidRPr="003B1CC5" w:rsidRDefault="00307FA5" w:rsidP="00307FA5">
      <w:pPr>
        <w:ind w:left="0" w:firstLine="0"/>
      </w:pPr>
      <w:r w:rsidRPr="003B1CC5">
        <w:rPr>
          <w:b/>
          <w:color w:val="0000FF"/>
        </w:rPr>
        <w:t>1</w:t>
      </w:r>
      <w:r w:rsidR="009E37BD" w:rsidRPr="003B1CC5">
        <w:rPr>
          <w:b/>
          <w:color w:val="0000FF"/>
        </w:rPr>
        <w:t>a</w:t>
      </w:r>
      <w:r w:rsidR="00EA79C9" w:rsidRPr="003B1CC5">
        <w:rPr>
          <w:b/>
          <w:color w:val="0000FF"/>
        </w:rPr>
        <w:t>.5.3</w:t>
      </w:r>
      <w:r w:rsidRPr="003B1CC5">
        <w:rPr>
          <w:b/>
          <w:color w:val="0000FF"/>
        </w:rPr>
        <w:t>.</w:t>
      </w:r>
      <w:r w:rsidRPr="003B1CC5">
        <w:rPr>
          <w:bCs/>
        </w:rPr>
        <w:t xml:space="preserve"> </w:t>
      </w:r>
      <w:r w:rsidRPr="003B1CC5">
        <w:rPr>
          <w:b/>
        </w:rPr>
        <w:t xml:space="preserve">Grade assigned to the quoted recommendation </w:t>
      </w:r>
      <w:r w:rsidRPr="003B1CC5">
        <w:rPr>
          <w:b/>
          <w:u w:val="single"/>
        </w:rPr>
        <w:t>with definition</w:t>
      </w:r>
      <w:r w:rsidRPr="003B1CC5">
        <w:rPr>
          <w:b/>
        </w:rPr>
        <w:t xml:space="preserve"> of the grade</w:t>
      </w:r>
      <w:r w:rsidR="00776F6D" w:rsidRPr="003B1CC5">
        <w:t>:</w:t>
      </w:r>
    </w:p>
    <w:p w:rsidR="008A45F3" w:rsidRPr="003B1CC5" w:rsidRDefault="008A45F3" w:rsidP="00307FA5">
      <w:pPr>
        <w:ind w:left="0" w:firstLine="0"/>
      </w:pPr>
    </w:p>
    <w:p w:rsidR="00307FA5" w:rsidRPr="003B1CC5" w:rsidRDefault="008A45F3" w:rsidP="00307FA5">
      <w:pPr>
        <w:ind w:left="0" w:firstLine="0"/>
      </w:pPr>
      <w:r w:rsidRPr="003B1CC5">
        <w:rPr>
          <w:b/>
          <w:color w:val="0000FF"/>
        </w:rPr>
        <w:t xml:space="preserve">1a.5.4. </w:t>
      </w:r>
      <w:r w:rsidR="00C54E40" w:rsidRPr="003B1CC5">
        <w:rPr>
          <w:b/>
        </w:rPr>
        <w:t>Provide all other grades and associated definitions for recommendation</w:t>
      </w:r>
      <w:r w:rsidR="00205857" w:rsidRPr="003B1CC5">
        <w:rPr>
          <w:b/>
        </w:rPr>
        <w:t>s</w:t>
      </w:r>
      <w:r w:rsidR="00C54E40" w:rsidRPr="003B1CC5">
        <w:rPr>
          <w:b/>
        </w:rPr>
        <w:t xml:space="preserve"> in the grading system.</w:t>
      </w:r>
      <w:r w:rsidRPr="003B1CC5">
        <w:rPr>
          <w:b/>
        </w:rPr>
        <w:t xml:space="preserve"> </w:t>
      </w:r>
      <w:r w:rsidRPr="003B1CC5">
        <w:t>(</w:t>
      </w:r>
      <w:r w:rsidRPr="003B1CC5">
        <w:rPr>
          <w:i/>
        </w:rPr>
        <w:t>Note: the</w:t>
      </w:r>
      <w:r w:rsidRPr="003B1CC5">
        <w:t xml:space="preserve"> </w:t>
      </w:r>
      <w:r w:rsidRPr="003B1CC5">
        <w:rPr>
          <w:i/>
        </w:rPr>
        <w:t>grading system for the evidence should be reported in section 1a.7.</w:t>
      </w:r>
      <w:r w:rsidR="00095EC9" w:rsidRPr="003B1CC5">
        <w:t>)</w:t>
      </w:r>
    </w:p>
    <w:p w:rsidR="00307FA5" w:rsidRPr="003B1CC5" w:rsidRDefault="00307FA5" w:rsidP="00307FA5">
      <w:pPr>
        <w:ind w:left="0" w:firstLine="0"/>
        <w:rPr>
          <w:b/>
          <w:color w:val="0000FF"/>
        </w:rPr>
      </w:pPr>
    </w:p>
    <w:p w:rsidR="00A12762" w:rsidRPr="003B1CC5" w:rsidRDefault="008A45F3" w:rsidP="00307FA5">
      <w:pPr>
        <w:ind w:left="432" w:hanging="432"/>
        <w:rPr>
          <w:b/>
        </w:rPr>
      </w:pPr>
      <w:r w:rsidRPr="003B1CC5">
        <w:rPr>
          <w:b/>
          <w:color w:val="0000FF"/>
        </w:rPr>
        <w:t>1a.5.5</w:t>
      </w:r>
      <w:r w:rsidR="00A12762" w:rsidRPr="003B1CC5">
        <w:rPr>
          <w:b/>
          <w:color w:val="0000FF"/>
        </w:rPr>
        <w:t>.</w:t>
      </w:r>
      <w:r w:rsidR="00A12762" w:rsidRPr="003B1CC5">
        <w:rPr>
          <w:b/>
        </w:rPr>
        <w:t xml:space="preserve"> </w:t>
      </w:r>
      <w:r w:rsidRPr="003B1CC5">
        <w:rPr>
          <w:b/>
        </w:rPr>
        <w:t xml:space="preserve">Citation and </w:t>
      </w:r>
      <w:r w:rsidR="00A12762" w:rsidRPr="003B1CC5">
        <w:rPr>
          <w:b/>
        </w:rPr>
        <w:t>URL for methodology for grading</w:t>
      </w:r>
      <w:r w:rsidRPr="003B1CC5">
        <w:rPr>
          <w:b/>
        </w:rPr>
        <w:t xml:space="preserve"> recommendations</w:t>
      </w:r>
      <w:r w:rsidR="00AD79C8" w:rsidRPr="003B1CC5">
        <w:rPr>
          <w:b/>
        </w:rPr>
        <w:t xml:space="preserve"> </w:t>
      </w:r>
      <w:r w:rsidR="00AD79C8" w:rsidRPr="003B1CC5">
        <w:t>(</w:t>
      </w:r>
      <w:r w:rsidR="00AD79C8" w:rsidRPr="003B1CC5">
        <w:rPr>
          <w:i/>
        </w:rPr>
        <w:t xml:space="preserve">if </w:t>
      </w:r>
      <w:r w:rsidRPr="003B1CC5">
        <w:rPr>
          <w:i/>
        </w:rPr>
        <w:t>different from 1a.5.1</w:t>
      </w:r>
      <w:r w:rsidR="00AD79C8" w:rsidRPr="003B1CC5">
        <w:t>)</w:t>
      </w:r>
      <w:r w:rsidR="00A12762" w:rsidRPr="003B1CC5">
        <w:rPr>
          <w:b/>
        </w:rPr>
        <w:t>:</w:t>
      </w:r>
    </w:p>
    <w:p w:rsidR="00736AEC" w:rsidRPr="003B1CC5" w:rsidRDefault="00736AEC" w:rsidP="002E2177">
      <w:pPr>
        <w:ind w:left="432" w:hanging="432"/>
        <w:rPr>
          <w:b/>
        </w:rPr>
      </w:pPr>
    </w:p>
    <w:p w:rsidR="00EE5AF6" w:rsidRPr="003B1CC5" w:rsidRDefault="00923295" w:rsidP="002E2177">
      <w:pPr>
        <w:ind w:left="432" w:hanging="432"/>
        <w:rPr>
          <w:i/>
        </w:rPr>
      </w:pPr>
      <w:r w:rsidRPr="003B1CC5">
        <w:rPr>
          <w:b/>
          <w:i/>
          <w:highlight w:val="green"/>
        </w:rPr>
        <w:t xml:space="preserve">Complete section </w:t>
      </w:r>
      <w:hyperlink w:anchor="Section1a7" w:history="1">
        <w:r w:rsidR="009477D6" w:rsidRPr="003B1CC5">
          <w:rPr>
            <w:rStyle w:val="Hyperlink"/>
            <w:b/>
            <w:i/>
            <w:highlight w:val="green"/>
          </w:rPr>
          <w:t>1a.7</w:t>
        </w:r>
      </w:hyperlink>
    </w:p>
    <w:p w:rsidR="00EE5AF6" w:rsidRPr="003B1CC5" w:rsidRDefault="00925F11" w:rsidP="002E2177">
      <w:pPr>
        <w:ind w:left="432" w:hanging="432"/>
        <w:rPr>
          <w:b/>
          <w:color w:val="0000FF"/>
        </w:rPr>
      </w:pPr>
      <w:r w:rsidRPr="003B1CC5">
        <w:rPr>
          <w:b/>
          <w:iCs/>
          <w:caps/>
        </w:rPr>
        <w:t>_________________________</w:t>
      </w:r>
    </w:p>
    <w:p w:rsidR="00EE5AF6" w:rsidRPr="003B1CC5" w:rsidRDefault="00EE5AF6" w:rsidP="002E2177">
      <w:pPr>
        <w:ind w:left="432" w:hanging="432"/>
      </w:pPr>
      <w:bookmarkStart w:id="9" w:name="Section1a6"/>
      <w:bookmarkEnd w:id="9"/>
      <w:r w:rsidRPr="003B1CC5">
        <w:rPr>
          <w:b/>
          <w:color w:val="0000FF"/>
        </w:rPr>
        <w:t>1</w:t>
      </w:r>
      <w:r w:rsidR="009E37BD" w:rsidRPr="003B1CC5">
        <w:rPr>
          <w:b/>
          <w:color w:val="0000FF"/>
        </w:rPr>
        <w:t>a</w:t>
      </w:r>
      <w:r w:rsidRPr="003B1CC5">
        <w:rPr>
          <w:b/>
          <w:color w:val="0000FF"/>
        </w:rPr>
        <w:t>.6</w:t>
      </w:r>
      <w:r w:rsidR="00CB06C9" w:rsidRPr="003B1CC5">
        <w:rPr>
          <w:b/>
          <w:color w:val="0000FF"/>
        </w:rPr>
        <w:t>.</w:t>
      </w:r>
      <w:r w:rsidRPr="003B1CC5">
        <w:rPr>
          <w:b/>
          <w:color w:val="0000FF"/>
        </w:rPr>
        <w:t xml:space="preserve"> </w:t>
      </w:r>
      <w:r w:rsidR="0039609A" w:rsidRPr="003B1CC5">
        <w:rPr>
          <w:b/>
        </w:rPr>
        <w:t xml:space="preserve">OTHER </w:t>
      </w:r>
      <w:r w:rsidRPr="003B1CC5">
        <w:rPr>
          <w:b/>
        </w:rPr>
        <w:t>SYSTEMATIC REVIEW OF THE BODY OF EVIDENCE</w:t>
      </w:r>
    </w:p>
    <w:p w:rsidR="00EA79C9" w:rsidRPr="003B1CC5" w:rsidRDefault="00EE5AF6" w:rsidP="00EA79C9">
      <w:pPr>
        <w:ind w:left="0" w:firstLine="0"/>
      </w:pPr>
      <w:r w:rsidRPr="003B1CC5">
        <w:rPr>
          <w:b/>
          <w:color w:val="0000FF"/>
        </w:rPr>
        <w:t>1</w:t>
      </w:r>
      <w:r w:rsidR="009E37BD" w:rsidRPr="003B1CC5">
        <w:rPr>
          <w:b/>
          <w:color w:val="0000FF"/>
        </w:rPr>
        <w:t>a</w:t>
      </w:r>
      <w:r w:rsidRPr="003B1CC5">
        <w:rPr>
          <w:b/>
          <w:color w:val="0000FF"/>
        </w:rPr>
        <w:t>.6.1.</w:t>
      </w:r>
      <w:r w:rsidRPr="003B1CC5">
        <w:t xml:space="preserve"> </w:t>
      </w:r>
      <w:r w:rsidRPr="003B1CC5">
        <w:rPr>
          <w:b/>
        </w:rPr>
        <w:t>Citation</w:t>
      </w:r>
      <w:r w:rsidRPr="003B1CC5">
        <w:t xml:space="preserve"> (</w:t>
      </w:r>
      <w:r w:rsidRPr="003B1CC5">
        <w:rPr>
          <w:i/>
        </w:rPr>
        <w:t>including date</w:t>
      </w:r>
      <w:r w:rsidRPr="003B1CC5">
        <w:t>)</w:t>
      </w:r>
      <w:r w:rsidR="00EA79C9" w:rsidRPr="003B1CC5">
        <w:t xml:space="preserve"> and </w:t>
      </w:r>
      <w:r w:rsidR="00EA79C9" w:rsidRPr="003B1CC5">
        <w:rPr>
          <w:b/>
        </w:rPr>
        <w:t>URL</w:t>
      </w:r>
      <w:r w:rsidR="00EA79C9" w:rsidRPr="003B1CC5">
        <w:t xml:space="preserve"> (</w:t>
      </w:r>
      <w:r w:rsidR="00EA79C9" w:rsidRPr="003B1CC5">
        <w:rPr>
          <w:i/>
        </w:rPr>
        <w:t>if available online</w:t>
      </w:r>
      <w:r w:rsidR="00EA79C9" w:rsidRPr="003B1CC5">
        <w:t xml:space="preserve">): </w:t>
      </w:r>
    </w:p>
    <w:p w:rsidR="00EE5AF6" w:rsidRPr="003B1CC5" w:rsidRDefault="00EE5AF6" w:rsidP="00EE5AF6">
      <w:pPr>
        <w:ind w:left="0" w:firstLine="0"/>
      </w:pPr>
      <w:r w:rsidRPr="003B1CC5">
        <w:t xml:space="preserve"> </w:t>
      </w:r>
    </w:p>
    <w:p w:rsidR="00EE5AF6" w:rsidRPr="003B1CC5" w:rsidRDefault="00EE5AF6" w:rsidP="00EE5AF6">
      <w:pPr>
        <w:ind w:left="0" w:firstLine="0"/>
        <w:rPr>
          <w:rFonts w:cs="Arial"/>
          <w:sz w:val="20"/>
          <w:szCs w:val="20"/>
        </w:rPr>
      </w:pPr>
    </w:p>
    <w:p w:rsidR="00EE5AF6" w:rsidRPr="003B1CC5" w:rsidRDefault="00EE5AF6" w:rsidP="00EE5AF6">
      <w:pPr>
        <w:ind w:left="0" w:firstLine="0"/>
      </w:pPr>
      <w:r w:rsidRPr="003B1CC5">
        <w:rPr>
          <w:b/>
          <w:color w:val="0000FF"/>
        </w:rPr>
        <w:t>1</w:t>
      </w:r>
      <w:r w:rsidR="009E37BD" w:rsidRPr="003B1CC5">
        <w:rPr>
          <w:b/>
          <w:color w:val="0000FF"/>
        </w:rPr>
        <w:t>a</w:t>
      </w:r>
      <w:r w:rsidR="00EA79C9" w:rsidRPr="003B1CC5">
        <w:rPr>
          <w:b/>
          <w:color w:val="0000FF"/>
        </w:rPr>
        <w:t>.6.2</w:t>
      </w:r>
      <w:r w:rsidRPr="003B1CC5">
        <w:rPr>
          <w:b/>
          <w:color w:val="0000FF"/>
        </w:rPr>
        <w:t>.</w:t>
      </w:r>
      <w:r w:rsidRPr="003B1CC5">
        <w:t xml:space="preserve"> </w:t>
      </w:r>
      <w:r w:rsidR="00030F43" w:rsidRPr="003B1CC5">
        <w:rPr>
          <w:b/>
        </w:rPr>
        <w:t>Citation and</w:t>
      </w:r>
      <w:r w:rsidR="00030F43" w:rsidRPr="003B1CC5">
        <w:t xml:space="preserve"> </w:t>
      </w:r>
      <w:r w:rsidR="00C84623" w:rsidRPr="003B1CC5">
        <w:rPr>
          <w:b/>
        </w:rPr>
        <w:t xml:space="preserve">URL for methodology for evidence review and grading </w:t>
      </w:r>
      <w:r w:rsidR="00C84623" w:rsidRPr="003B1CC5">
        <w:t>(</w:t>
      </w:r>
      <w:r w:rsidR="00C84623" w:rsidRPr="003B1CC5">
        <w:rPr>
          <w:i/>
        </w:rPr>
        <w:t xml:space="preserve">if </w:t>
      </w:r>
      <w:r w:rsidR="00030F43" w:rsidRPr="003B1CC5">
        <w:rPr>
          <w:i/>
        </w:rPr>
        <w:t>different from 1a.6.1</w:t>
      </w:r>
      <w:r w:rsidR="00C84623" w:rsidRPr="003B1CC5">
        <w:t>)</w:t>
      </w:r>
      <w:r w:rsidR="00C84623" w:rsidRPr="003B1CC5">
        <w:rPr>
          <w:b/>
        </w:rPr>
        <w:t>:</w:t>
      </w:r>
    </w:p>
    <w:p w:rsidR="005D0FDB" w:rsidRPr="003B1CC5" w:rsidRDefault="005D0FDB" w:rsidP="00EE5AF6">
      <w:pPr>
        <w:ind w:left="0" w:firstLine="0"/>
      </w:pPr>
    </w:p>
    <w:p w:rsidR="00C84623" w:rsidRPr="003B1CC5" w:rsidRDefault="00C84623" w:rsidP="00EE5AF6">
      <w:pPr>
        <w:ind w:left="0" w:firstLine="0"/>
      </w:pPr>
      <w:r w:rsidRPr="003B1CC5">
        <w:rPr>
          <w:b/>
          <w:i/>
          <w:highlight w:val="green"/>
        </w:rPr>
        <w:t xml:space="preserve">Complete section </w:t>
      </w:r>
      <w:hyperlink w:anchor="Section1a7" w:history="1">
        <w:r w:rsidRPr="003B1CC5">
          <w:rPr>
            <w:rStyle w:val="Hyperlink"/>
            <w:b/>
            <w:i/>
            <w:highlight w:val="green"/>
          </w:rPr>
          <w:t>1a.7</w:t>
        </w:r>
      </w:hyperlink>
    </w:p>
    <w:p w:rsidR="00C84623" w:rsidRPr="003B1CC5" w:rsidRDefault="00925F11" w:rsidP="00EE5AF6">
      <w:pPr>
        <w:ind w:left="0" w:firstLine="0"/>
        <w:rPr>
          <w:b/>
          <w:color w:val="0000FF"/>
        </w:rPr>
      </w:pPr>
      <w:r w:rsidRPr="003B1CC5">
        <w:rPr>
          <w:b/>
          <w:iCs/>
          <w:caps/>
        </w:rPr>
        <w:t>_________________________</w:t>
      </w:r>
    </w:p>
    <w:p w:rsidR="00C84623" w:rsidRPr="003B1CC5" w:rsidRDefault="00C84623" w:rsidP="00EE5AF6">
      <w:pPr>
        <w:ind w:left="0" w:firstLine="0"/>
      </w:pPr>
      <w:r w:rsidRPr="003B1CC5" w:rsidDel="005D0FDB">
        <w:rPr>
          <w:b/>
          <w:color w:val="0000FF"/>
        </w:rPr>
        <w:t xml:space="preserve">1a.7. </w:t>
      </w:r>
      <w:r w:rsidRPr="003B1CC5" w:rsidDel="005D0FDB">
        <w:rPr>
          <w:b/>
        </w:rPr>
        <w:t xml:space="preserve">FINDINGS FROM SYSTEMATIC REVIEW OF BODY OF THE EVIDENCE </w:t>
      </w:r>
      <w:r w:rsidRPr="003B1CC5" w:rsidDel="005D0FDB">
        <w:rPr>
          <w:b/>
          <w:caps/>
          <w:noProof/>
        </w:rPr>
        <w:t>supporting the measure</w:t>
      </w:r>
    </w:p>
    <w:p w:rsidR="00851466" w:rsidRPr="003B1CC5" w:rsidRDefault="00851466" w:rsidP="00EE5AF6">
      <w:pPr>
        <w:ind w:left="0" w:firstLine="0"/>
        <w:rPr>
          <w:b/>
          <w:i/>
          <w:color w:val="0000FF"/>
        </w:rPr>
      </w:pPr>
      <w:r w:rsidRPr="003B1CC5">
        <w:rPr>
          <w:i/>
        </w:rPr>
        <w:t>If more than one systematic review of the evidence is identified above, you may choose to summarize the one (or more) for which the best information is available to provide a summary of the quantity, quality, and consistency of the body of evidence. Be sure to identify which review is the basis of the responses in this section and if more than one, provide a separate response for each review.</w:t>
      </w:r>
    </w:p>
    <w:p w:rsidR="00CB1E41" w:rsidRPr="003B1CC5" w:rsidRDefault="00CB1E41" w:rsidP="00EE5AF6">
      <w:pPr>
        <w:ind w:left="0" w:firstLine="0"/>
        <w:rPr>
          <w:b/>
          <w:color w:val="0000FF"/>
        </w:rPr>
      </w:pPr>
    </w:p>
    <w:p w:rsidR="00EE5AF6" w:rsidRPr="003B1CC5" w:rsidRDefault="00EE5AF6" w:rsidP="00EE5AF6">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7.1</w:t>
      </w:r>
      <w:r w:rsidRPr="003B1CC5">
        <w:rPr>
          <w:b/>
          <w:color w:val="0000FF"/>
        </w:rPr>
        <w:t>.</w:t>
      </w:r>
      <w:r w:rsidRPr="003B1CC5">
        <w:rPr>
          <w:bCs/>
        </w:rPr>
        <w:t xml:space="preserve"> </w:t>
      </w:r>
      <w:r w:rsidRPr="003B1CC5">
        <w:rPr>
          <w:b/>
        </w:rPr>
        <w:t>What was the specific structure, treatment, intervention, service, or intermediate outcome addressed in the evidence review?</w:t>
      </w:r>
      <w:r w:rsidRPr="003B1CC5">
        <w:t xml:space="preserve"> </w:t>
      </w:r>
    </w:p>
    <w:p w:rsidR="007F20FA" w:rsidRPr="007F20FA" w:rsidRDefault="007F20FA" w:rsidP="007F20FA">
      <w:pPr>
        <w:ind w:left="0" w:firstLine="0"/>
      </w:pPr>
      <w:r w:rsidRPr="007F20FA">
        <w:t>This measure focuses on the documentation of clinical indications for PCI. As mentioned above, the documentation of clinical indications is an aspect of care that generally does not have a direct body of supporting evidence.  However, thorough documentation of clinical indications is critically important in the determination of appropriateness of PCI.</w:t>
      </w:r>
    </w:p>
    <w:p w:rsidR="007F20FA" w:rsidRPr="007F20FA" w:rsidRDefault="007F20FA" w:rsidP="007F20FA">
      <w:pPr>
        <w:ind w:left="0" w:firstLine="0"/>
      </w:pPr>
    </w:p>
    <w:p w:rsidR="007F20FA" w:rsidRPr="007F20FA" w:rsidRDefault="007F20FA" w:rsidP="007F20FA">
      <w:pPr>
        <w:ind w:left="0" w:firstLine="0"/>
      </w:pPr>
      <w:r w:rsidRPr="007F20FA">
        <w:t>The evidence review included in the clinical practice guideline, focused on the appropriate performance of coronary revascularization (CABG or PCI) as a measure of the likelihood of improved survival, symptoms or functional status versus the risks.</w:t>
      </w:r>
    </w:p>
    <w:p w:rsidR="00EE5AF6" w:rsidRPr="003B1CC5" w:rsidRDefault="00EE5AF6" w:rsidP="00EE5AF6">
      <w:pPr>
        <w:ind w:left="0" w:firstLine="0"/>
      </w:pPr>
    </w:p>
    <w:p w:rsidR="00095EC9" w:rsidRPr="003B1CC5" w:rsidRDefault="00EE5AF6" w:rsidP="00EA79C9">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7.2</w:t>
      </w:r>
      <w:r w:rsidRPr="003B1CC5">
        <w:rPr>
          <w:b/>
          <w:color w:val="0000FF"/>
        </w:rPr>
        <w:t>.</w:t>
      </w:r>
      <w:r w:rsidRPr="003B1CC5">
        <w:rPr>
          <w:bCs/>
        </w:rPr>
        <w:t xml:space="preserve"> </w:t>
      </w:r>
      <w:r w:rsidRPr="003B1CC5">
        <w:rPr>
          <w:b/>
        </w:rPr>
        <w:t xml:space="preserve">Grade assigned </w:t>
      </w:r>
      <w:r w:rsidR="00E746A2" w:rsidRPr="003B1CC5">
        <w:rPr>
          <w:b/>
        </w:rPr>
        <w:t xml:space="preserve">for the quality of </w:t>
      </w:r>
      <w:r w:rsidRPr="003B1CC5">
        <w:rPr>
          <w:b/>
        </w:rPr>
        <w:t xml:space="preserve">the quoted evidence </w:t>
      </w:r>
      <w:r w:rsidRPr="003B1CC5">
        <w:rPr>
          <w:b/>
          <w:u w:val="single"/>
        </w:rPr>
        <w:t>with definition</w:t>
      </w:r>
      <w:r w:rsidRPr="003B1CC5">
        <w:rPr>
          <w:b/>
        </w:rPr>
        <w:t xml:space="preserve"> of the grade</w:t>
      </w:r>
      <w:r w:rsidRPr="003B1CC5">
        <w:t xml:space="preserve">: </w:t>
      </w:r>
    </w:p>
    <w:p w:rsidR="007F20FA" w:rsidRPr="007F20FA" w:rsidRDefault="007F20FA" w:rsidP="007F20FA">
      <w:pPr>
        <w:ind w:left="0" w:firstLine="0"/>
      </w:pPr>
      <w:r w:rsidRPr="007F20FA">
        <w:t>An overall grade for the quality of evidence was not assigned. Rather, the quality of a study (or set of studies) supporting a recommendation was graded on an estimate of the certainty or precision of the treatment effect.</w:t>
      </w:r>
    </w:p>
    <w:p w:rsidR="007F20FA" w:rsidRPr="007F20FA" w:rsidRDefault="007F20FA" w:rsidP="007F20FA">
      <w:pPr>
        <w:ind w:left="0" w:firstLine="0"/>
      </w:pPr>
    </w:p>
    <w:p w:rsidR="007F20FA" w:rsidRPr="007F20FA" w:rsidRDefault="007F20FA" w:rsidP="007F20FA">
      <w:pPr>
        <w:rPr>
          <w:rFonts w:eastAsia="Times New Roman" w:cs="Times New Roman"/>
        </w:rPr>
      </w:pPr>
      <w:r w:rsidRPr="007F20FA">
        <w:rPr>
          <w:rFonts w:eastAsia="Times New Roman" w:cs="Times New Roman"/>
        </w:rPr>
        <w:t xml:space="preserve">From the 2011 ACCF/AHA/ SCAI guideline for percutaneous coronary intervention: </w:t>
      </w:r>
    </w:p>
    <w:p w:rsidR="007F20FA" w:rsidRPr="007F20FA" w:rsidRDefault="007F20FA" w:rsidP="007F20FA">
      <w:pPr>
        <w:rPr>
          <w:rFonts w:eastAsia="Times New Roman" w:cs="Times New Roman"/>
        </w:rPr>
      </w:pPr>
    </w:p>
    <w:p w:rsidR="007F20FA" w:rsidRPr="007F20FA" w:rsidRDefault="007F20FA" w:rsidP="007F20FA">
      <w:pPr>
        <w:numPr>
          <w:ilvl w:val="0"/>
          <w:numId w:val="11"/>
        </w:numPr>
        <w:contextualSpacing/>
        <w:rPr>
          <w:rFonts w:eastAsia="Times New Roman" w:cs="Times New Roman"/>
        </w:rPr>
      </w:pPr>
      <w:r w:rsidRPr="007F20FA">
        <w:rPr>
          <w:rFonts w:eastAsia="Times New Roman" w:cs="Times New Roman"/>
        </w:rPr>
        <w:t xml:space="preserve">PCI to improve survival is reasonable as an alternative to CABG in selected stable patients with significant (≥50% diameter stenosis) unprotected left main CAD with: 1) anatomic conditions associated with a low risk of PCI procedural complications and a high likelihood of good long-term outcome (e.g., a low SYNTAX score [≤22], </w:t>
      </w:r>
      <w:proofErr w:type="spellStart"/>
      <w:r w:rsidRPr="007F20FA">
        <w:rPr>
          <w:rFonts w:eastAsia="Times New Roman" w:cs="Times New Roman"/>
        </w:rPr>
        <w:t>ostial</w:t>
      </w:r>
      <w:proofErr w:type="spellEnd"/>
      <w:r w:rsidRPr="007F20FA">
        <w:rPr>
          <w:rFonts w:eastAsia="Times New Roman" w:cs="Times New Roman"/>
        </w:rPr>
        <w:t xml:space="preserve"> or trunk left main CAD); and 2) clinical characteristics that predict a significantly increased risk of adverse surgical outcomes (e.g., STS-predicted risk of operative mortality ≥5%). (Class </w:t>
      </w:r>
      <w:proofErr w:type="spellStart"/>
      <w:r w:rsidRPr="007F20FA">
        <w:rPr>
          <w:rFonts w:eastAsia="Times New Roman" w:cs="Times New Roman"/>
        </w:rPr>
        <w:t>IIa</w:t>
      </w:r>
      <w:proofErr w:type="spellEnd"/>
      <w:r w:rsidRPr="007F20FA">
        <w:rPr>
          <w:rFonts w:eastAsia="Times New Roman" w:cs="Times New Roman"/>
        </w:rPr>
        <w:t xml:space="preserve">, </w:t>
      </w:r>
      <w:r w:rsidRPr="007F20FA">
        <w:rPr>
          <w:rFonts w:eastAsia="Times New Roman" w:cs="Times New Roman"/>
          <w:b/>
        </w:rPr>
        <w:t>Level of Evidence: B</w:t>
      </w:r>
      <w:r w:rsidRPr="007F20FA">
        <w:rPr>
          <w:rFonts w:eastAsia="Times New Roman" w:cs="Times New Roman"/>
        </w:rPr>
        <w:t xml:space="preserve">) </w:t>
      </w:r>
    </w:p>
    <w:p w:rsidR="007F20FA" w:rsidRPr="007F20FA" w:rsidRDefault="007F20FA" w:rsidP="007F20FA">
      <w:pPr>
        <w:rPr>
          <w:rFonts w:eastAsia="Times New Roman" w:cs="Times New Roman"/>
        </w:rPr>
      </w:pPr>
    </w:p>
    <w:p w:rsidR="007F20FA" w:rsidRPr="007F20FA" w:rsidRDefault="007F20FA" w:rsidP="007F20FA">
      <w:pPr>
        <w:numPr>
          <w:ilvl w:val="0"/>
          <w:numId w:val="11"/>
        </w:numPr>
        <w:contextualSpacing/>
        <w:rPr>
          <w:rFonts w:eastAsia="Times New Roman" w:cs="Times New Roman"/>
        </w:rPr>
      </w:pPr>
      <w:r w:rsidRPr="007F20FA">
        <w:rPr>
          <w:rFonts w:eastAsia="Times New Roman" w:cs="Times New Roman"/>
        </w:rPr>
        <w:t xml:space="preserve">PCI to improve survival may be reasonable as an alternative to CABG in selected stable patients with significant (≥50% diameter stenosis) unprotected left main CAD with: 1) anatomic conditions associated with a low to intermediate risk of PCI procedural complications and an intermediate to high likelihood of good long-term outcome (e.g., low-intermediate SYNTAX score of &lt;33, bifurcation left main CAD); and 2) clinical characteristics that predict an increased risk of adverse surgical outcomes (e.g., moderate-severe chronic obstructive pulmonary disease, disability from previous stroke, or previous cardiac surgery; STS-predicted risk of operative mortality &gt;2%). (Class </w:t>
      </w:r>
      <w:proofErr w:type="spellStart"/>
      <w:r w:rsidRPr="007F20FA">
        <w:rPr>
          <w:rFonts w:eastAsia="Times New Roman" w:cs="Times New Roman"/>
        </w:rPr>
        <w:t>IIb</w:t>
      </w:r>
      <w:proofErr w:type="spellEnd"/>
      <w:r w:rsidRPr="007F20FA">
        <w:rPr>
          <w:rFonts w:eastAsia="Times New Roman" w:cs="Times New Roman"/>
          <w:b/>
        </w:rPr>
        <w:t>, Level of Evidence: B</w:t>
      </w:r>
      <w:r w:rsidRPr="007F20FA">
        <w:rPr>
          <w:rFonts w:eastAsia="Times New Roman" w:cs="Times New Roman"/>
        </w:rPr>
        <w:t xml:space="preserve">) </w:t>
      </w:r>
    </w:p>
    <w:p w:rsidR="007F20FA" w:rsidRPr="007F20FA" w:rsidRDefault="007F20FA" w:rsidP="007F20FA">
      <w:pPr>
        <w:ind w:firstLine="0"/>
        <w:rPr>
          <w:rFonts w:eastAsia="Times New Roman" w:cs="Times New Roman"/>
        </w:rPr>
      </w:pPr>
    </w:p>
    <w:p w:rsidR="007F20FA" w:rsidRPr="007F20FA" w:rsidRDefault="007F20FA" w:rsidP="007F20FA">
      <w:pPr>
        <w:numPr>
          <w:ilvl w:val="0"/>
          <w:numId w:val="11"/>
        </w:numPr>
        <w:contextualSpacing/>
        <w:rPr>
          <w:rFonts w:eastAsia="Times New Roman" w:cs="Times New Roman"/>
        </w:rPr>
      </w:pPr>
      <w:r w:rsidRPr="007F20FA">
        <w:rPr>
          <w:rFonts w:eastAsia="Times New Roman" w:cs="Times New Roman"/>
        </w:rPr>
        <w:t xml:space="preserve">PCI to improve survival should not be performed in stable patients with significant (≥50% diameter stenosis) unprotected left main CAD who have unfavorable anatomy for PCI and who are good candidates for CABG. (Class III, </w:t>
      </w:r>
      <w:r w:rsidRPr="007F20FA">
        <w:rPr>
          <w:rFonts w:eastAsia="Times New Roman" w:cs="Times New Roman"/>
          <w:b/>
        </w:rPr>
        <w:t>Level of Evidence: B</w:t>
      </w:r>
      <w:r w:rsidRPr="007F20FA">
        <w:rPr>
          <w:rFonts w:eastAsia="Times New Roman" w:cs="Times New Roman"/>
        </w:rPr>
        <w:t>)</w:t>
      </w:r>
    </w:p>
    <w:p w:rsidR="007F20FA" w:rsidRPr="007F20FA" w:rsidRDefault="007F20FA" w:rsidP="007F20FA">
      <w:pPr>
        <w:ind w:firstLine="0"/>
        <w:rPr>
          <w:rFonts w:eastAsia="Times New Roman" w:cs="Times New Roman"/>
        </w:rPr>
      </w:pPr>
    </w:p>
    <w:p w:rsidR="007F20FA" w:rsidRPr="007F20FA" w:rsidRDefault="007F20FA" w:rsidP="007F20FA">
      <w:pPr>
        <w:numPr>
          <w:ilvl w:val="0"/>
          <w:numId w:val="11"/>
        </w:numPr>
        <w:contextualSpacing/>
        <w:rPr>
          <w:rFonts w:eastAsia="Times New Roman" w:cs="Times New Roman"/>
        </w:rPr>
      </w:pPr>
      <w:r w:rsidRPr="007F20FA">
        <w:rPr>
          <w:rFonts w:eastAsia="Times New Roman" w:cs="Times New Roman"/>
        </w:rPr>
        <w:t xml:space="preserve">CABG or PCI to improve survival is beneficial in survivors of sudden cardiac death with presumed ischemia-mediated ventricular tachycardia caused by significant (≥70% diameter) stenosis in a major coronary artery. (Class I, </w:t>
      </w:r>
      <w:r w:rsidRPr="007F20FA">
        <w:rPr>
          <w:rFonts w:eastAsia="Times New Roman" w:cs="Times New Roman"/>
          <w:b/>
        </w:rPr>
        <w:t>Level of Evidence: C</w:t>
      </w:r>
      <w:r w:rsidRPr="007F20FA">
        <w:rPr>
          <w:rFonts w:eastAsia="Times New Roman" w:cs="Times New Roman"/>
        </w:rPr>
        <w:t>)</w:t>
      </w:r>
    </w:p>
    <w:p w:rsidR="007F20FA" w:rsidRPr="007F20FA" w:rsidRDefault="007F20FA" w:rsidP="007F20FA">
      <w:pPr>
        <w:rPr>
          <w:rFonts w:eastAsia="Times New Roman" w:cs="Times New Roman"/>
        </w:rPr>
      </w:pPr>
    </w:p>
    <w:p w:rsidR="007F20FA" w:rsidRPr="007F20FA" w:rsidRDefault="007F20FA" w:rsidP="007F20FA">
      <w:pPr>
        <w:numPr>
          <w:ilvl w:val="0"/>
          <w:numId w:val="11"/>
        </w:numPr>
        <w:contextualSpacing/>
        <w:rPr>
          <w:rFonts w:eastAsia="Times New Roman" w:cs="Times New Roman"/>
        </w:rPr>
      </w:pPr>
      <w:r w:rsidRPr="007F20FA">
        <w:rPr>
          <w:rFonts w:eastAsia="Times New Roman" w:cs="Times New Roman"/>
        </w:rPr>
        <w:t xml:space="preserve">The usefulness of PCI to improve survival is uncertain in patients with 2- or 3-vessel CAD (with or without involvement of the proximal LAD artery) or 1-vessel proximal LAD disease. (Class </w:t>
      </w:r>
      <w:proofErr w:type="spellStart"/>
      <w:r w:rsidRPr="007F20FA">
        <w:rPr>
          <w:rFonts w:eastAsia="Times New Roman" w:cs="Times New Roman"/>
        </w:rPr>
        <w:t>IIb</w:t>
      </w:r>
      <w:proofErr w:type="spellEnd"/>
      <w:r w:rsidRPr="007F20FA">
        <w:rPr>
          <w:rFonts w:eastAsia="Times New Roman" w:cs="Times New Roman"/>
        </w:rPr>
        <w:t xml:space="preserve">, </w:t>
      </w:r>
      <w:r w:rsidRPr="007F20FA">
        <w:rPr>
          <w:rFonts w:eastAsia="Times New Roman" w:cs="Times New Roman"/>
          <w:b/>
        </w:rPr>
        <w:t>Level of Evidence: B</w:t>
      </w:r>
      <w:r w:rsidRPr="007F20FA">
        <w:rPr>
          <w:rFonts w:eastAsia="Times New Roman" w:cs="Times New Roman"/>
        </w:rPr>
        <w:t>)</w:t>
      </w:r>
    </w:p>
    <w:p w:rsidR="007F20FA" w:rsidRPr="007F20FA" w:rsidRDefault="007F20FA" w:rsidP="007F20FA">
      <w:pPr>
        <w:rPr>
          <w:rFonts w:eastAsia="Times New Roman" w:cs="Times New Roman"/>
        </w:rPr>
      </w:pPr>
    </w:p>
    <w:p w:rsidR="007F20FA" w:rsidRPr="007F20FA" w:rsidRDefault="007F20FA" w:rsidP="007F20FA">
      <w:pPr>
        <w:numPr>
          <w:ilvl w:val="0"/>
          <w:numId w:val="11"/>
        </w:numPr>
        <w:contextualSpacing/>
        <w:rPr>
          <w:rFonts w:eastAsia="Times New Roman" w:cs="Times New Roman"/>
        </w:rPr>
      </w:pPr>
      <w:r w:rsidRPr="007F20FA">
        <w:rPr>
          <w:rFonts w:eastAsia="Times New Roman" w:cs="Times New Roman"/>
        </w:rPr>
        <w:t xml:space="preserve">CABG or PCI should not be performed with the primary or sole intent to improve survival in patients with SIHD with 1 or more coronary </w:t>
      </w:r>
      <w:proofErr w:type="spellStart"/>
      <w:r w:rsidRPr="007F20FA">
        <w:rPr>
          <w:rFonts w:eastAsia="Times New Roman" w:cs="Times New Roman"/>
        </w:rPr>
        <w:t>stenoses</w:t>
      </w:r>
      <w:proofErr w:type="spellEnd"/>
      <w:r w:rsidRPr="007F20FA">
        <w:rPr>
          <w:rFonts w:eastAsia="Times New Roman" w:cs="Times New Roman"/>
        </w:rPr>
        <w:t xml:space="preserve"> that are not anatomically or functionally significant (e.g., &lt;70% diameter non–left main coronary artery stenosis, FFR&gt;0.80, no or only mild ischemia on noninvasive testing), involve only the left circumflex or right coronary artery, or subtend only a small area of viable myocardium. (Class III, </w:t>
      </w:r>
      <w:r w:rsidRPr="007F20FA">
        <w:rPr>
          <w:rFonts w:eastAsia="Times New Roman" w:cs="Times New Roman"/>
          <w:b/>
        </w:rPr>
        <w:t>Level of Evidence: B</w:t>
      </w:r>
      <w:r w:rsidRPr="007F20FA">
        <w:rPr>
          <w:rFonts w:eastAsia="Times New Roman" w:cs="Times New Roman"/>
        </w:rPr>
        <w:t xml:space="preserve">) </w:t>
      </w:r>
    </w:p>
    <w:p w:rsidR="007F20FA" w:rsidRPr="007F20FA" w:rsidRDefault="007F20FA" w:rsidP="007F20FA">
      <w:pPr>
        <w:rPr>
          <w:rFonts w:eastAsia="Times New Roman" w:cs="Times New Roman"/>
        </w:rPr>
      </w:pPr>
    </w:p>
    <w:p w:rsidR="007F20FA" w:rsidRPr="007F20FA" w:rsidRDefault="007F20FA" w:rsidP="007F20FA">
      <w:pPr>
        <w:numPr>
          <w:ilvl w:val="0"/>
          <w:numId w:val="11"/>
        </w:numPr>
        <w:contextualSpacing/>
        <w:rPr>
          <w:rFonts w:eastAsia="Times New Roman" w:cs="Times New Roman"/>
        </w:rPr>
      </w:pPr>
      <w:r w:rsidRPr="007F20FA">
        <w:rPr>
          <w:rFonts w:eastAsia="Times New Roman" w:cs="Times New Roman"/>
        </w:rPr>
        <w:t xml:space="preserve">CABG or PCI to improve symptoms is beneficial in patients with 1 or more significant (≥70% diameter) coronary artery </w:t>
      </w:r>
      <w:proofErr w:type="spellStart"/>
      <w:r w:rsidRPr="007F20FA">
        <w:rPr>
          <w:rFonts w:eastAsia="Times New Roman" w:cs="Times New Roman"/>
        </w:rPr>
        <w:t>stenoses</w:t>
      </w:r>
      <w:proofErr w:type="spellEnd"/>
      <w:r w:rsidRPr="007F20FA">
        <w:rPr>
          <w:rFonts w:eastAsia="Times New Roman" w:cs="Times New Roman"/>
        </w:rPr>
        <w:t xml:space="preserve"> amenable to revascularization and unacceptable angina despite [guideline-directed medical therapy (GDMT)]. (Class I, </w:t>
      </w:r>
      <w:r w:rsidRPr="007F20FA">
        <w:rPr>
          <w:rFonts w:eastAsia="Times New Roman" w:cs="Times New Roman"/>
          <w:b/>
        </w:rPr>
        <w:t>Level of Evidence: A</w:t>
      </w:r>
      <w:r w:rsidRPr="007F20FA">
        <w:rPr>
          <w:rFonts w:eastAsia="Times New Roman" w:cs="Times New Roman"/>
        </w:rPr>
        <w:t xml:space="preserve">) </w:t>
      </w:r>
    </w:p>
    <w:p w:rsidR="007F20FA" w:rsidRPr="007F20FA" w:rsidRDefault="007F20FA" w:rsidP="007F20FA">
      <w:pPr>
        <w:rPr>
          <w:rFonts w:eastAsia="Times New Roman" w:cs="Times New Roman"/>
        </w:rPr>
      </w:pPr>
    </w:p>
    <w:p w:rsidR="007F20FA" w:rsidRPr="007F20FA" w:rsidRDefault="007F20FA" w:rsidP="007F20FA">
      <w:pPr>
        <w:numPr>
          <w:ilvl w:val="0"/>
          <w:numId w:val="11"/>
        </w:numPr>
        <w:contextualSpacing/>
        <w:rPr>
          <w:rFonts w:eastAsia="Times New Roman" w:cs="Times New Roman"/>
        </w:rPr>
      </w:pPr>
      <w:r w:rsidRPr="007F20FA">
        <w:rPr>
          <w:rFonts w:eastAsia="Times New Roman" w:cs="Times New Roman"/>
        </w:rPr>
        <w:t xml:space="preserve">CABG or PCI to improve symptoms is reasonable in patients with 1 or more significant (≥70% diameter) coronary artery </w:t>
      </w:r>
      <w:proofErr w:type="spellStart"/>
      <w:r w:rsidRPr="007F20FA">
        <w:rPr>
          <w:rFonts w:eastAsia="Times New Roman" w:cs="Times New Roman"/>
        </w:rPr>
        <w:t>stenoses</w:t>
      </w:r>
      <w:proofErr w:type="spellEnd"/>
      <w:r w:rsidRPr="007F20FA">
        <w:rPr>
          <w:rFonts w:eastAsia="Times New Roman" w:cs="Times New Roman"/>
        </w:rPr>
        <w:t xml:space="preserve"> and unacceptable angina for whom GDMT cannot be implemented because of medication contraindications, adverse effects, or patient preferences. (Class </w:t>
      </w:r>
      <w:proofErr w:type="spellStart"/>
      <w:r w:rsidRPr="007F20FA">
        <w:rPr>
          <w:rFonts w:eastAsia="Times New Roman" w:cs="Times New Roman"/>
        </w:rPr>
        <w:t>IIa</w:t>
      </w:r>
      <w:proofErr w:type="spellEnd"/>
      <w:r w:rsidRPr="007F20FA">
        <w:rPr>
          <w:rFonts w:eastAsia="Times New Roman" w:cs="Times New Roman"/>
        </w:rPr>
        <w:t xml:space="preserve">, </w:t>
      </w:r>
      <w:r w:rsidRPr="007F20FA">
        <w:rPr>
          <w:rFonts w:eastAsia="Times New Roman" w:cs="Times New Roman"/>
          <w:b/>
        </w:rPr>
        <w:t>Level of Evidence: C</w:t>
      </w:r>
      <w:r w:rsidRPr="007F20FA">
        <w:rPr>
          <w:rFonts w:eastAsia="Times New Roman" w:cs="Times New Roman"/>
        </w:rPr>
        <w:t xml:space="preserve">)  </w:t>
      </w:r>
    </w:p>
    <w:p w:rsidR="007F20FA" w:rsidRPr="007F20FA" w:rsidRDefault="007F20FA" w:rsidP="007F20FA">
      <w:pPr>
        <w:rPr>
          <w:rFonts w:eastAsia="Times New Roman" w:cs="Times New Roman"/>
        </w:rPr>
      </w:pPr>
    </w:p>
    <w:p w:rsidR="007F20FA" w:rsidRPr="007F20FA" w:rsidRDefault="007F20FA" w:rsidP="007F20FA">
      <w:pPr>
        <w:numPr>
          <w:ilvl w:val="0"/>
          <w:numId w:val="11"/>
        </w:numPr>
        <w:spacing w:after="200" w:line="276" w:lineRule="auto"/>
        <w:contextualSpacing/>
        <w:rPr>
          <w:rFonts w:eastAsia="Times New Roman" w:cs="Times New Roman"/>
        </w:rPr>
      </w:pPr>
      <w:r w:rsidRPr="007F20FA">
        <w:rPr>
          <w:rFonts w:eastAsia="Times New Roman" w:cs="Times New Roman"/>
        </w:rPr>
        <w:t xml:space="preserve">CABG or PCI to improve symptoms should not be performed in patients who do not meet anatomic (≥50% diameter left main or ≥70% non–left main stenosis diameter) or physiological (e.g., abnormal FFR) criteria for revascularization. (Class III, </w:t>
      </w:r>
      <w:r w:rsidRPr="007F20FA">
        <w:rPr>
          <w:rFonts w:eastAsia="Times New Roman" w:cs="Times New Roman"/>
          <w:b/>
        </w:rPr>
        <w:t>Level of Evidence: C</w:t>
      </w:r>
      <w:r w:rsidRPr="007F20FA">
        <w:rPr>
          <w:rFonts w:eastAsia="Times New Roman" w:cs="Times New Roman"/>
        </w:rPr>
        <w:t>)</w:t>
      </w:r>
    </w:p>
    <w:p w:rsidR="00EA79C9" w:rsidRPr="003B1CC5" w:rsidRDefault="00095EC9" w:rsidP="00EA79C9">
      <w:pPr>
        <w:ind w:left="0" w:firstLine="0"/>
        <w:rPr>
          <w:color w:val="0000FF"/>
        </w:rPr>
      </w:pPr>
      <w:r w:rsidRPr="003B1CC5">
        <w:rPr>
          <w:b/>
          <w:noProof/>
          <w:color w:val="0000FF"/>
        </w:rPr>
        <w:lastRenderedPageBreak/>
        <w:t xml:space="preserve">1a.7.3. </w:t>
      </w:r>
      <w:proofErr w:type="gramStart"/>
      <w:r w:rsidR="00EA79C9" w:rsidRPr="003B1CC5">
        <w:rPr>
          <w:b/>
        </w:rPr>
        <w:t>Provide</w:t>
      </w:r>
      <w:proofErr w:type="gramEnd"/>
      <w:r w:rsidR="00EA79C9" w:rsidRPr="003B1CC5">
        <w:rPr>
          <w:b/>
        </w:rPr>
        <w:t xml:space="preserve"> all </w:t>
      </w:r>
      <w:r w:rsidR="00205857" w:rsidRPr="003B1CC5">
        <w:rPr>
          <w:b/>
        </w:rPr>
        <w:t xml:space="preserve">other </w:t>
      </w:r>
      <w:r w:rsidR="00EA79C9" w:rsidRPr="003B1CC5">
        <w:rPr>
          <w:b/>
        </w:rPr>
        <w:t xml:space="preserve">grades and associated definitions for strength of the evidence in the </w:t>
      </w:r>
      <w:r w:rsidR="00C54E40" w:rsidRPr="003B1CC5">
        <w:rPr>
          <w:b/>
        </w:rPr>
        <w:t xml:space="preserve">grading system. </w:t>
      </w:r>
    </w:p>
    <w:p w:rsidR="007F20FA" w:rsidRDefault="007F20FA" w:rsidP="007F20FA">
      <w:pPr>
        <w:ind w:left="0" w:firstLine="0"/>
        <w:rPr>
          <w:noProof/>
        </w:rPr>
      </w:pPr>
      <w:r>
        <w:rPr>
          <w:noProof/>
        </w:rPr>
        <w:t>The Level of Evidence (LOE) is an estimate of the certainty or precision of the treatment effect.</w:t>
      </w:r>
    </w:p>
    <w:p w:rsidR="007F20FA" w:rsidRDefault="007F20FA" w:rsidP="007F20FA">
      <w:pPr>
        <w:ind w:left="0" w:firstLine="0"/>
        <w:rPr>
          <w:noProof/>
        </w:rPr>
      </w:pPr>
    </w:p>
    <w:p w:rsidR="007F20FA" w:rsidRDefault="007F20FA" w:rsidP="007F20FA">
      <w:pPr>
        <w:ind w:left="0" w:firstLine="0"/>
        <w:rPr>
          <w:noProof/>
        </w:rPr>
      </w:pPr>
      <w:r>
        <w:rPr>
          <w:noProof/>
        </w:rPr>
        <w:t>Level A: Multiple populations evaluated; Data derived from multiple randomized clinical trials or meta-analysis</w:t>
      </w:r>
    </w:p>
    <w:p w:rsidR="007F20FA" w:rsidRDefault="007F20FA" w:rsidP="007F20FA">
      <w:pPr>
        <w:ind w:left="0" w:firstLine="0"/>
        <w:rPr>
          <w:noProof/>
        </w:rPr>
      </w:pPr>
      <w:r>
        <w:rPr>
          <w:noProof/>
        </w:rPr>
        <w:t>Level B: Limited populations evaluated; Data derived from a single randomized trial or nonrandomized studies</w:t>
      </w:r>
    </w:p>
    <w:p w:rsidR="007F20FA" w:rsidRDefault="007F20FA" w:rsidP="007F20FA">
      <w:pPr>
        <w:ind w:left="0" w:firstLine="0"/>
        <w:rPr>
          <w:noProof/>
        </w:rPr>
      </w:pPr>
      <w:r>
        <w:rPr>
          <w:noProof/>
        </w:rPr>
        <w:t>Level C: Very limited populations evaluated; only consensus opinion of experts, case studies or standard of care</w:t>
      </w:r>
    </w:p>
    <w:p w:rsidR="007F20FA" w:rsidRDefault="007F20FA" w:rsidP="007F20FA">
      <w:pPr>
        <w:ind w:left="0" w:firstLine="0"/>
        <w:rPr>
          <w:noProof/>
        </w:rPr>
      </w:pPr>
    </w:p>
    <w:p w:rsidR="00A12762" w:rsidRDefault="007F20FA" w:rsidP="007F20FA">
      <w:pPr>
        <w:ind w:left="0" w:firstLine="0"/>
        <w:rPr>
          <w:noProof/>
        </w:rPr>
      </w:pPr>
      <w:r>
        <w:rPr>
          <w:noProof/>
        </w:rPr>
        <w:t>Specific LOE definitions are included in Table 1 found in Section 1a.4.4. above.</w:t>
      </w:r>
    </w:p>
    <w:p w:rsidR="007F20FA" w:rsidRPr="003B1CC5" w:rsidRDefault="007F20FA" w:rsidP="007F20FA">
      <w:pPr>
        <w:ind w:left="0" w:firstLine="0"/>
        <w:rPr>
          <w:noProof/>
        </w:rPr>
      </w:pPr>
    </w:p>
    <w:p w:rsidR="00496AF8" w:rsidRPr="003B1CC5" w:rsidRDefault="00496AF8" w:rsidP="002E2177">
      <w:pPr>
        <w:ind w:left="432" w:hanging="432"/>
      </w:pPr>
      <w:bookmarkStart w:id="10" w:name="Section1a7"/>
      <w:bookmarkEnd w:id="10"/>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4</w:t>
      </w:r>
      <w:r w:rsidR="00DA7FA2" w:rsidRPr="003B1CC5">
        <w:rPr>
          <w:b/>
          <w:noProof/>
          <w:color w:val="0000FF"/>
        </w:rPr>
        <w:t>.</w:t>
      </w:r>
      <w:r w:rsidRPr="003B1CC5">
        <w:rPr>
          <w:noProof/>
        </w:rPr>
        <w:t xml:space="preserve"> </w:t>
      </w:r>
      <w:r w:rsidRPr="003B1CC5">
        <w:rPr>
          <w:b/>
          <w:noProof/>
        </w:rPr>
        <w:t>What is the time period covered by the body of evidence? (</w:t>
      </w:r>
      <w:r w:rsidRPr="003B1CC5">
        <w:rPr>
          <w:b/>
          <w:i/>
          <w:noProof/>
        </w:rPr>
        <w:t>provide the date range, e.g., 1990-2010</w:t>
      </w:r>
      <w:r w:rsidRPr="003B1CC5">
        <w:rPr>
          <w:b/>
          <w:noProof/>
        </w:rPr>
        <w:t xml:space="preserve">).  </w:t>
      </w:r>
      <w:r w:rsidRPr="003B1CC5">
        <w:rPr>
          <w:b/>
        </w:rPr>
        <w:t>Date range</w:t>
      </w:r>
      <w:r w:rsidRPr="003B1CC5">
        <w:t xml:space="preserve">:  </w:t>
      </w:r>
      <w:sdt>
        <w:sdtPr>
          <w:rPr>
            <w:rStyle w:val="Style2"/>
          </w:rPr>
          <w:id w:val="-1666395719"/>
        </w:sdtPr>
        <w:sdtEndPr>
          <w:rPr>
            <w:rStyle w:val="DefaultParagraphFont"/>
            <w:color w:val="auto"/>
            <w:u w:val="none"/>
          </w:rPr>
        </w:sdtEndPr>
        <w:sdtContent>
          <w:r w:rsidR="007F20FA">
            <w:rPr>
              <w:rStyle w:val="Style2"/>
            </w:rPr>
            <w:t>1975-2011</w:t>
          </w:r>
        </w:sdtContent>
      </w:sdt>
    </w:p>
    <w:p w:rsidR="00496AF8" w:rsidRPr="003B1CC5" w:rsidRDefault="00496AF8" w:rsidP="002E2177">
      <w:pPr>
        <w:ind w:left="0" w:firstLine="0"/>
        <w:rPr>
          <w:noProof/>
        </w:rPr>
      </w:pPr>
    </w:p>
    <w:p w:rsidR="0039020B" w:rsidRPr="003B1CC5" w:rsidRDefault="0039020B" w:rsidP="002E2177">
      <w:pPr>
        <w:ind w:left="0" w:firstLine="0"/>
        <w:rPr>
          <w:b/>
          <w:noProof/>
        </w:rPr>
      </w:pPr>
    </w:p>
    <w:p w:rsidR="00496AF8" w:rsidRPr="003B1CC5" w:rsidRDefault="00C5180E" w:rsidP="002E2177">
      <w:pPr>
        <w:ind w:left="0" w:firstLine="0"/>
        <w:rPr>
          <w:b/>
        </w:rPr>
      </w:pPr>
      <w:r w:rsidRPr="003B1CC5">
        <w:rPr>
          <w:b/>
          <w:noProof/>
        </w:rPr>
        <w:t>QUANTITY AND QUALITY OF BODY OF EVIDENCE</w:t>
      </w:r>
    </w:p>
    <w:p w:rsidR="009B5BEA" w:rsidRPr="003B1CC5" w:rsidRDefault="001B772D" w:rsidP="002E2177">
      <w:pPr>
        <w:ind w:left="432" w:hanging="432"/>
      </w:pPr>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5</w:t>
      </w:r>
      <w:r w:rsidRPr="003B1CC5">
        <w:rPr>
          <w:b/>
          <w:noProof/>
          <w:color w:val="0000FF"/>
        </w:rPr>
        <w:t>.</w:t>
      </w:r>
      <w:r w:rsidRPr="003B1CC5">
        <w:rPr>
          <w:i/>
          <w:noProof/>
          <w:color w:val="0000FF"/>
        </w:rPr>
        <w:t xml:space="preserve"> </w:t>
      </w:r>
      <w:r w:rsidR="00496AF8" w:rsidRPr="003B1CC5">
        <w:rPr>
          <w:b/>
          <w:noProof/>
        </w:rPr>
        <w:t>How many and what type of study designs are in</w:t>
      </w:r>
      <w:r w:rsidR="006F760B" w:rsidRPr="003B1CC5">
        <w:rPr>
          <w:b/>
          <w:noProof/>
        </w:rPr>
        <w:t>c</w:t>
      </w:r>
      <w:r w:rsidR="00496AF8" w:rsidRPr="003B1CC5">
        <w:rPr>
          <w:b/>
          <w:noProof/>
        </w:rPr>
        <w:t>luded in the body of evidence</w:t>
      </w:r>
      <w:r w:rsidR="00496AF8" w:rsidRPr="003B1CC5">
        <w:rPr>
          <w:noProof/>
        </w:rPr>
        <w:t>? (</w:t>
      </w:r>
      <w:r w:rsidR="00496AF8" w:rsidRPr="003B1CC5">
        <w:rPr>
          <w:i/>
          <w:noProof/>
        </w:rPr>
        <w:t>e.g., 3 randomized controlled trials and 1 observational study</w:t>
      </w:r>
      <w:r w:rsidR="00496AF8" w:rsidRPr="003B1CC5">
        <w:rPr>
          <w:noProof/>
        </w:rPr>
        <w:t>)</w:t>
      </w:r>
      <w:r w:rsidR="009E37BD" w:rsidRPr="003B1CC5">
        <w:rPr>
          <w:noProof/>
        </w:rPr>
        <w:t xml:space="preserve"> </w:t>
      </w:r>
    </w:p>
    <w:p w:rsidR="007F20FA" w:rsidRPr="007F20FA" w:rsidRDefault="007F20FA" w:rsidP="007F20FA">
      <w:pPr>
        <w:ind w:left="432" w:hanging="432"/>
      </w:pPr>
      <w:r w:rsidRPr="007F20FA">
        <w:t>This measure focuses on the documentation of clinical indications for PCI. As mentioned above, the documentation of clinical indications is an aspect of care that generally does not have a direct body of supporting evidence.  However, thorough documentation of clinical indications is critically important in the determination of appropriateness of PCI and evidence suggests this is not always done.</w:t>
      </w:r>
    </w:p>
    <w:p w:rsidR="007F20FA" w:rsidRPr="007F20FA" w:rsidRDefault="007F20FA" w:rsidP="007F20FA">
      <w:pPr>
        <w:ind w:left="432" w:hanging="432"/>
      </w:pPr>
    </w:p>
    <w:p w:rsidR="007F20FA" w:rsidRPr="007F20FA" w:rsidRDefault="007F20FA" w:rsidP="007F20FA">
      <w:pPr>
        <w:ind w:left="432" w:hanging="432"/>
      </w:pPr>
      <w:r w:rsidRPr="007F20FA">
        <w:t xml:space="preserve">The body of evidence supporting the recommendations on the indications for performing a PCI to improve survival and provide symptom relief includes: </w:t>
      </w:r>
    </w:p>
    <w:p w:rsidR="007F20FA" w:rsidRPr="007F20FA" w:rsidRDefault="007F20FA" w:rsidP="007F20FA">
      <w:pPr>
        <w:ind w:left="432" w:hanging="432"/>
      </w:pPr>
      <w:r w:rsidRPr="007F20FA">
        <w:tab/>
        <w:t>13 randomized controlled trials</w:t>
      </w:r>
    </w:p>
    <w:p w:rsidR="007F20FA" w:rsidRPr="007F20FA" w:rsidRDefault="007F20FA" w:rsidP="007F20FA">
      <w:pPr>
        <w:ind w:left="432" w:hanging="432"/>
      </w:pPr>
      <w:r w:rsidRPr="007F20FA">
        <w:tab/>
        <w:t>19 cohort studies</w:t>
      </w:r>
    </w:p>
    <w:p w:rsidR="007F20FA" w:rsidRPr="007F20FA" w:rsidRDefault="007F20FA" w:rsidP="007F20FA">
      <w:pPr>
        <w:ind w:left="432" w:hanging="432"/>
      </w:pPr>
      <w:r w:rsidRPr="007F20FA">
        <w:t xml:space="preserve"> </w:t>
      </w:r>
      <w:r w:rsidRPr="007F20FA">
        <w:tab/>
        <w:t xml:space="preserve"> 3 observational studies</w:t>
      </w:r>
    </w:p>
    <w:p w:rsidR="007F20FA" w:rsidRPr="007F20FA" w:rsidRDefault="007F20FA" w:rsidP="007F20FA">
      <w:pPr>
        <w:ind w:left="432" w:hanging="432"/>
      </w:pPr>
      <w:r w:rsidRPr="007F20FA">
        <w:tab/>
        <w:t xml:space="preserve"> 2 systematic reviews</w:t>
      </w:r>
    </w:p>
    <w:p w:rsidR="007F20FA" w:rsidRDefault="007F20FA" w:rsidP="007F20FA">
      <w:pPr>
        <w:ind w:left="432" w:hanging="432"/>
      </w:pPr>
      <w:r w:rsidRPr="007F20FA">
        <w:tab/>
        <w:t xml:space="preserve"> 3 meta-analyses</w:t>
      </w:r>
    </w:p>
    <w:p w:rsidR="00496AF8" w:rsidRDefault="007F20FA" w:rsidP="007F20FA">
      <w:pPr>
        <w:ind w:left="432" w:hanging="432"/>
      </w:pPr>
      <w:r>
        <w:t xml:space="preserve">          </w:t>
      </w:r>
      <w:r w:rsidRPr="007F20FA">
        <w:t>2 multicenter registry analyses</w:t>
      </w:r>
    </w:p>
    <w:p w:rsidR="007F20FA" w:rsidRPr="003B1CC5" w:rsidRDefault="007F20FA" w:rsidP="007F20FA">
      <w:pPr>
        <w:ind w:left="432" w:hanging="432"/>
      </w:pPr>
    </w:p>
    <w:p w:rsidR="00496AF8" w:rsidRPr="003B1CC5" w:rsidRDefault="001B772D" w:rsidP="002E2177">
      <w:pPr>
        <w:ind w:left="432" w:hanging="432"/>
        <w:rPr>
          <w:iCs/>
        </w:rPr>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6</w:t>
      </w:r>
      <w:r w:rsidRPr="003B1CC5">
        <w:rPr>
          <w:b/>
          <w:color w:val="0000FF"/>
        </w:rPr>
        <w:t>.</w:t>
      </w:r>
      <w:r w:rsidRPr="003B1CC5">
        <w:t xml:space="preserve"> </w:t>
      </w:r>
      <w:proofErr w:type="gramStart"/>
      <w:r w:rsidR="00496AF8" w:rsidRPr="003B1CC5">
        <w:rPr>
          <w:b/>
        </w:rPr>
        <w:t>What</w:t>
      </w:r>
      <w:proofErr w:type="gramEnd"/>
      <w:r w:rsidR="00496AF8" w:rsidRPr="003B1CC5">
        <w:rPr>
          <w:b/>
        </w:rPr>
        <w:t xml:space="preserve"> is the overall quality of evidence </w:t>
      </w:r>
      <w:r w:rsidR="00496AF8" w:rsidRPr="003B1CC5">
        <w:rPr>
          <w:b/>
          <w:u w:val="single"/>
        </w:rPr>
        <w:t>across studies</w:t>
      </w:r>
      <w:r w:rsidR="00496AF8" w:rsidRPr="003B1CC5">
        <w:rPr>
          <w:b/>
        </w:rPr>
        <w:t xml:space="preserve"> in the body of evidence</w:t>
      </w:r>
      <w:r w:rsidR="00496AF8" w:rsidRPr="003B1CC5">
        <w:t>? (</w:t>
      </w:r>
      <w:r w:rsidR="006709EB" w:rsidRPr="003B1CC5">
        <w:rPr>
          <w:i/>
        </w:rPr>
        <w:t xml:space="preserve">discuss the </w:t>
      </w:r>
      <w:r w:rsidR="00496AF8" w:rsidRPr="003B1CC5">
        <w:rPr>
          <w:i/>
        </w:rPr>
        <w:t xml:space="preserve">certainty or confidence in the estimates of effect </w:t>
      </w:r>
      <w:r w:rsidR="0039609A" w:rsidRPr="003B1CC5">
        <w:rPr>
          <w:i/>
        </w:rPr>
        <w:t xml:space="preserve">particularly in relation </w:t>
      </w:r>
      <w:r w:rsidR="00496AF8" w:rsidRPr="003B1CC5">
        <w:rPr>
          <w:i/>
        </w:rPr>
        <w:t>to study factor</w:t>
      </w:r>
      <w:r w:rsidR="000160E6" w:rsidRPr="003B1CC5">
        <w:rPr>
          <w:i/>
        </w:rPr>
        <w:t xml:space="preserve">s such as design flaws, </w:t>
      </w:r>
      <w:r w:rsidR="00E57BE2" w:rsidRPr="003B1CC5">
        <w:rPr>
          <w:i/>
        </w:rPr>
        <w:t xml:space="preserve">imprecision due to </w:t>
      </w:r>
      <w:r w:rsidR="000160E6" w:rsidRPr="003B1CC5">
        <w:rPr>
          <w:i/>
        </w:rPr>
        <w:t xml:space="preserve">small numbers, indirectness </w:t>
      </w:r>
      <w:r w:rsidR="00E57BE2" w:rsidRPr="003B1CC5">
        <w:rPr>
          <w:i/>
        </w:rPr>
        <w:t xml:space="preserve">of studies </w:t>
      </w:r>
      <w:r w:rsidR="000160E6" w:rsidRPr="003B1CC5">
        <w:rPr>
          <w:i/>
        </w:rPr>
        <w:t>to the measure focus or target population</w:t>
      </w:r>
      <w:r w:rsidR="00496AF8" w:rsidRPr="003B1CC5">
        <w:rPr>
          <w:iCs/>
        </w:rPr>
        <w:t>)</w:t>
      </w:r>
      <w:r w:rsidR="000D649E" w:rsidRPr="003B1CC5">
        <w:rPr>
          <w:iCs/>
        </w:rPr>
        <w:t xml:space="preserve">  </w:t>
      </w:r>
    </w:p>
    <w:p w:rsidR="007F20FA" w:rsidRPr="007F20FA" w:rsidRDefault="007F20FA" w:rsidP="007F20FA">
      <w:pPr>
        <w:ind w:left="0" w:firstLine="0"/>
      </w:pPr>
      <w:r w:rsidRPr="007F20FA">
        <w:t xml:space="preserve">The documentation component is directly based on the AUC and the indications included therein that are required in decision-making regarding the appropriateness of PCI. </w:t>
      </w:r>
    </w:p>
    <w:p w:rsidR="007F20FA" w:rsidRPr="007F20FA" w:rsidRDefault="007F20FA" w:rsidP="007F20FA">
      <w:pPr>
        <w:ind w:left="0" w:firstLine="0"/>
      </w:pPr>
    </w:p>
    <w:p w:rsidR="007F20FA" w:rsidRPr="007F20FA" w:rsidRDefault="007F20FA" w:rsidP="007F20FA">
      <w:pPr>
        <w:ind w:left="0" w:firstLine="0"/>
      </w:pPr>
      <w:r w:rsidRPr="007F20FA">
        <w:t>The Clinical Practice Guideline used as the source of the systematic review of the body of evidence used to delineate the clinical indications for PCI does not make any qualifying statements about the overall quality of studies.</w:t>
      </w:r>
    </w:p>
    <w:p w:rsidR="00D14F0B" w:rsidRPr="003B1CC5" w:rsidRDefault="00D14F0B" w:rsidP="002E2177">
      <w:pPr>
        <w:ind w:left="0" w:firstLine="0"/>
      </w:pPr>
    </w:p>
    <w:p w:rsidR="00496AF8" w:rsidRPr="003B1CC5" w:rsidRDefault="00C5180E" w:rsidP="002E2177">
      <w:pPr>
        <w:ind w:left="0" w:firstLine="0"/>
        <w:rPr>
          <w:b/>
        </w:rPr>
      </w:pPr>
      <w:r w:rsidRPr="003B1CC5">
        <w:rPr>
          <w:b/>
        </w:rPr>
        <w:t>ESTIMATES OF BENEFIT AND CONSISTENCY ACROSS STUDIES IN BODY OF EVIDENCE</w:t>
      </w:r>
    </w:p>
    <w:p w:rsidR="00496AF8" w:rsidRPr="003B1CC5" w:rsidRDefault="001B772D" w:rsidP="002E2177">
      <w:pPr>
        <w:ind w:left="432" w:hanging="432"/>
      </w:pPr>
      <w:r w:rsidRPr="003B1CC5">
        <w:rPr>
          <w:b/>
          <w:color w:val="0000FF"/>
        </w:rPr>
        <w:lastRenderedPageBreak/>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7</w:t>
      </w:r>
      <w:r w:rsidRPr="003B1CC5">
        <w:rPr>
          <w:b/>
          <w:color w:val="0000FF"/>
        </w:rPr>
        <w:t>.</w:t>
      </w:r>
      <w:r w:rsidRPr="003B1CC5">
        <w:t xml:space="preserve"> </w:t>
      </w:r>
      <w:r w:rsidR="00496AF8" w:rsidRPr="003B1CC5">
        <w:rPr>
          <w:b/>
        </w:rPr>
        <w:t xml:space="preserve">What are </w:t>
      </w:r>
      <w:r w:rsidR="007D5DC6" w:rsidRPr="003B1CC5">
        <w:rPr>
          <w:b/>
        </w:rPr>
        <w:t>the estimates</w:t>
      </w:r>
      <w:r w:rsidR="00496AF8" w:rsidRPr="003B1CC5">
        <w:rPr>
          <w:b/>
        </w:rPr>
        <w:t xml:space="preserve"> of benefit—magnitude and direction of effect on outcome</w:t>
      </w:r>
      <w:r w:rsidR="00734949" w:rsidRPr="003B1CC5">
        <w:rPr>
          <w:b/>
        </w:rPr>
        <w:t>(s)</w:t>
      </w:r>
      <w:r w:rsidR="00496AF8" w:rsidRPr="003B1CC5">
        <w:rPr>
          <w:b/>
        </w:rPr>
        <w:t xml:space="preserve"> </w:t>
      </w:r>
      <w:r w:rsidR="00496AF8" w:rsidRPr="003B1CC5">
        <w:rPr>
          <w:b/>
          <w:u w:val="single"/>
        </w:rPr>
        <w:t>across studies</w:t>
      </w:r>
      <w:r w:rsidR="00496AF8" w:rsidRPr="003B1CC5">
        <w:rPr>
          <w:b/>
        </w:rPr>
        <w:t xml:space="preserve"> in the body of evidence</w:t>
      </w:r>
      <w:r w:rsidR="00496AF8" w:rsidRPr="003B1CC5">
        <w:t>?</w:t>
      </w:r>
      <w:r w:rsidR="002A6777" w:rsidRPr="003B1CC5">
        <w:t xml:space="preserve"> (</w:t>
      </w:r>
      <w:r w:rsidR="002A6777" w:rsidRPr="003B1CC5">
        <w:rPr>
          <w:i/>
        </w:rPr>
        <w:t xml:space="preserve">e.g., </w:t>
      </w:r>
      <w:r w:rsidR="000160E6" w:rsidRPr="003B1CC5">
        <w:rPr>
          <w:i/>
        </w:rPr>
        <w:t xml:space="preserve">ranges of percentages or odds ratios for </w:t>
      </w:r>
      <w:r w:rsidR="0068184A" w:rsidRPr="003B1CC5">
        <w:rPr>
          <w:i/>
        </w:rPr>
        <w:t xml:space="preserve">improvement/ </w:t>
      </w:r>
      <w:r w:rsidR="007D5DC6" w:rsidRPr="003B1CC5">
        <w:rPr>
          <w:i/>
        </w:rPr>
        <w:t>decline across</w:t>
      </w:r>
      <w:r w:rsidR="005B0D18" w:rsidRPr="003B1CC5">
        <w:rPr>
          <w:i/>
        </w:rPr>
        <w:t xml:space="preserve"> studies, </w:t>
      </w:r>
      <w:r w:rsidR="0068184A" w:rsidRPr="003B1CC5">
        <w:rPr>
          <w:i/>
        </w:rPr>
        <w:t>results of meta-analysis, and statistical significance</w:t>
      </w:r>
      <w:r w:rsidR="005B0D18" w:rsidRPr="003B1CC5">
        <w:t>)</w:t>
      </w:r>
      <w:r w:rsidR="000D649E" w:rsidRPr="003B1CC5">
        <w:t xml:space="preserve">  </w:t>
      </w:r>
    </w:p>
    <w:p w:rsidR="007F20FA" w:rsidRDefault="007F20FA" w:rsidP="007F20FA">
      <w:pPr>
        <w:ind w:left="0" w:firstLine="0"/>
      </w:pPr>
      <w:r>
        <w:t xml:space="preserve">There is no expectation that documenting clinical indications for PCI would pose a risk of harm. The reasonable expectation is that having the information necessary for decision making related to the appropriateness of PCI – based on patient characteristics and clinical presentation – would benefit a patient in terms of improved survival and symptom relief.  </w:t>
      </w:r>
    </w:p>
    <w:p w:rsidR="007F20FA" w:rsidRDefault="007F20FA" w:rsidP="007F20FA">
      <w:pPr>
        <w:ind w:left="0" w:firstLine="0"/>
      </w:pPr>
    </w:p>
    <w:p w:rsidR="00496AF8" w:rsidRPr="003B1CC5" w:rsidRDefault="007F20FA" w:rsidP="007F20FA">
      <w:pPr>
        <w:ind w:left="0" w:firstLine="0"/>
      </w:pPr>
      <w:r>
        <w:t>The clinical guideline writing committee formulated the recommendations, used as the foundation for this measure, based on a body of evidence on the survival and symptom benefits after coronary revascularization with CABG or PCI. The evidence provides indications supporting CABG, supporting PCI, supporting either CABG or PCI, and evidence supporting the equivalence of CABG and PCI for survival and symptom relief. The clinical guideline does not, however, provide a quantitative estimate of benefit across the entire body of evidence cited.</w:t>
      </w:r>
    </w:p>
    <w:p w:rsidR="009B5BEA" w:rsidRPr="003B1CC5" w:rsidRDefault="009B5BEA" w:rsidP="002E2177">
      <w:pPr>
        <w:ind w:left="0" w:firstLine="0"/>
      </w:pPr>
    </w:p>
    <w:p w:rsidR="00496AF8" w:rsidRPr="003B1CC5" w:rsidRDefault="001B772D" w:rsidP="002E2177">
      <w:pPr>
        <w:ind w:left="0" w:firstLine="0"/>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8</w:t>
      </w:r>
      <w:r w:rsidRPr="003B1CC5">
        <w:rPr>
          <w:b/>
          <w:color w:val="0000FF"/>
        </w:rPr>
        <w:t>.</w:t>
      </w:r>
      <w:r w:rsidRPr="003B1CC5">
        <w:t xml:space="preserve"> </w:t>
      </w:r>
      <w:r w:rsidR="00496AF8" w:rsidRPr="003B1CC5">
        <w:rPr>
          <w:b/>
        </w:rPr>
        <w:t>What harms were studied and how do they affect the net benefit</w:t>
      </w:r>
      <w:r w:rsidR="00EE1F87" w:rsidRPr="003B1CC5" w:rsidDel="00EE1F87">
        <w:rPr>
          <w:b/>
        </w:rPr>
        <w:t xml:space="preserve"> </w:t>
      </w:r>
      <w:r w:rsidR="00EE1F87" w:rsidRPr="003B1CC5">
        <w:rPr>
          <w:b/>
        </w:rPr>
        <w:t>(</w:t>
      </w:r>
      <w:r w:rsidR="00496AF8" w:rsidRPr="003B1CC5">
        <w:rPr>
          <w:b/>
        </w:rPr>
        <w:t>benefits over harms</w:t>
      </w:r>
      <w:r w:rsidR="00EE1F87" w:rsidRPr="003B1CC5">
        <w:rPr>
          <w:b/>
        </w:rPr>
        <w:t>)</w:t>
      </w:r>
      <w:r w:rsidR="00496AF8" w:rsidRPr="003B1CC5">
        <w:rPr>
          <w:b/>
        </w:rPr>
        <w:t>?</w:t>
      </w:r>
      <w:r w:rsidR="00D14F0B" w:rsidRPr="003B1CC5">
        <w:t xml:space="preserve"> </w:t>
      </w:r>
    </w:p>
    <w:p w:rsidR="007F20FA" w:rsidRPr="007F20FA" w:rsidRDefault="007F20FA" w:rsidP="007F20FA">
      <w:pPr>
        <w:ind w:left="0" w:firstLine="0"/>
      </w:pPr>
      <w:r w:rsidRPr="007F20FA">
        <w:t>Coronary revascularization is appropriate when the expected benefits, in terms of survival or health outcomes (symptoms, functional status, and/or quality of life) exceed the expected negative consequences of the procedure.</w:t>
      </w:r>
    </w:p>
    <w:p w:rsidR="007F20FA" w:rsidRPr="007F20FA" w:rsidRDefault="007F20FA" w:rsidP="007F20FA">
      <w:pPr>
        <w:ind w:left="0" w:firstLine="0"/>
      </w:pPr>
    </w:p>
    <w:p w:rsidR="007F20FA" w:rsidRPr="007F20FA" w:rsidRDefault="007F20FA" w:rsidP="007F20FA">
      <w:pPr>
        <w:ind w:left="0" w:firstLine="0"/>
      </w:pPr>
      <w:r w:rsidRPr="007F20FA">
        <w:t xml:space="preserve">There is no expectation that documenting clinical indications for PCI would pose a risk of harm. The reasonable expectation is that having the information necessary for decision making related to the performance of PCI based on patient characteristics and clinical presentation would benefit a patient in terms of improved survival and symptom relief.  The clinical guideline does not include a focused attention to net benefit and harm as a result of coronary revascularization. </w:t>
      </w:r>
    </w:p>
    <w:p w:rsidR="00496AF8" w:rsidRPr="003B1CC5" w:rsidRDefault="00496AF8" w:rsidP="002E2177">
      <w:pPr>
        <w:ind w:left="0" w:firstLine="0"/>
      </w:pPr>
    </w:p>
    <w:p w:rsidR="00496AF8" w:rsidRPr="003B1CC5" w:rsidRDefault="00C5180E" w:rsidP="002E2177">
      <w:pPr>
        <w:ind w:left="0" w:firstLine="0"/>
        <w:rPr>
          <w:b/>
          <w:noProof/>
        </w:rPr>
      </w:pPr>
      <w:r w:rsidRPr="003B1CC5">
        <w:rPr>
          <w:b/>
          <w:noProof/>
        </w:rPr>
        <w:t>UPDATE TO THE SYSTEMATIC REVIEW(S) OF THE BODY OF EVIDENCE</w:t>
      </w:r>
    </w:p>
    <w:p w:rsidR="00496AF8" w:rsidRPr="003B1CC5" w:rsidRDefault="001B772D" w:rsidP="002E2177">
      <w:pPr>
        <w:ind w:left="432" w:hanging="432"/>
      </w:pPr>
      <w:r w:rsidRPr="003B1CC5">
        <w:rPr>
          <w:b/>
          <w:noProof/>
          <w:color w:val="0000FF"/>
        </w:rPr>
        <w:t>1</w:t>
      </w:r>
      <w:r w:rsidR="00837121" w:rsidRPr="003B1CC5">
        <w:rPr>
          <w:b/>
          <w:noProof/>
          <w:color w:val="0000FF"/>
        </w:rPr>
        <w:t>a</w:t>
      </w:r>
      <w:r w:rsidRPr="003B1CC5">
        <w:rPr>
          <w:b/>
          <w:noProof/>
          <w:color w:val="0000FF"/>
        </w:rPr>
        <w:t>.</w:t>
      </w:r>
      <w:r w:rsidR="00773485" w:rsidRPr="003B1CC5">
        <w:rPr>
          <w:b/>
          <w:noProof/>
          <w:color w:val="0000FF"/>
        </w:rPr>
        <w:t>7.</w:t>
      </w:r>
      <w:r w:rsidR="00C84623" w:rsidRPr="003B1CC5">
        <w:rPr>
          <w:b/>
          <w:noProof/>
          <w:color w:val="0000FF"/>
        </w:rPr>
        <w:t>9</w:t>
      </w:r>
      <w:r w:rsidRPr="003B1CC5">
        <w:rPr>
          <w:b/>
          <w:noProof/>
          <w:color w:val="0000FF"/>
        </w:rPr>
        <w:t>.</w:t>
      </w:r>
      <w:r w:rsidRPr="003B1CC5">
        <w:rPr>
          <w:noProof/>
        </w:rPr>
        <w:t xml:space="preserve"> </w:t>
      </w:r>
      <w:r w:rsidR="00837121" w:rsidRPr="003B1CC5">
        <w:rPr>
          <w:b/>
          <w:noProof/>
        </w:rPr>
        <w:t xml:space="preserve">If </w:t>
      </w:r>
      <w:r w:rsidR="00496AF8" w:rsidRPr="003B1CC5">
        <w:rPr>
          <w:b/>
          <w:noProof/>
        </w:rPr>
        <w:t>new studies have been conducted</w:t>
      </w:r>
      <w:r w:rsidR="00837121" w:rsidRPr="003B1CC5">
        <w:rPr>
          <w:b/>
          <w:noProof/>
        </w:rPr>
        <w:t xml:space="preserve"> since the systematic review </w:t>
      </w:r>
      <w:r w:rsidR="00496AF8" w:rsidRPr="003B1CC5">
        <w:rPr>
          <w:b/>
          <w:noProof/>
        </w:rPr>
        <w:t>of the body of evidence</w:t>
      </w:r>
      <w:r w:rsidR="0094689F" w:rsidRPr="003B1CC5">
        <w:rPr>
          <w:b/>
          <w:noProof/>
        </w:rPr>
        <w:t xml:space="preserve">, provide for </w:t>
      </w:r>
      <w:r w:rsidR="00496AF8" w:rsidRPr="003B1CC5">
        <w:rPr>
          <w:b/>
          <w:noProof/>
          <w:u w:val="single"/>
        </w:rPr>
        <w:t>each</w:t>
      </w:r>
      <w:r w:rsidR="00496AF8" w:rsidRPr="003B1CC5">
        <w:rPr>
          <w:b/>
          <w:noProof/>
        </w:rPr>
        <w:t xml:space="preserve"> </w:t>
      </w:r>
      <w:r w:rsidR="002875E9" w:rsidRPr="003B1CC5">
        <w:rPr>
          <w:b/>
          <w:noProof/>
        </w:rPr>
        <w:t xml:space="preserve">new </w:t>
      </w:r>
      <w:r w:rsidR="0094689F" w:rsidRPr="003B1CC5">
        <w:rPr>
          <w:b/>
          <w:noProof/>
        </w:rPr>
        <w:t>study</w:t>
      </w:r>
      <w:r w:rsidR="00496AF8" w:rsidRPr="003B1CC5">
        <w:rPr>
          <w:b/>
          <w:noProof/>
        </w:rPr>
        <w:t xml:space="preserve">: </w:t>
      </w:r>
      <w:r w:rsidR="006709EB" w:rsidRPr="003B1CC5">
        <w:rPr>
          <w:b/>
          <w:noProof/>
        </w:rPr>
        <w:t>1</w:t>
      </w:r>
      <w:r w:rsidR="00496AF8" w:rsidRPr="003B1CC5">
        <w:rPr>
          <w:b/>
          <w:noProof/>
        </w:rPr>
        <w:t>) citation, 2) description, 3) results, 4) impact on conclusions of systematic review</w:t>
      </w:r>
      <w:r w:rsidR="00496AF8" w:rsidRPr="003B1CC5">
        <w:rPr>
          <w:noProof/>
        </w:rPr>
        <w:t>.</w:t>
      </w:r>
      <w:r w:rsidR="000D649E" w:rsidRPr="003B1CC5">
        <w:rPr>
          <w:noProof/>
        </w:rPr>
        <w:t xml:space="preserve">  </w:t>
      </w:r>
    </w:p>
    <w:p w:rsidR="00837121" w:rsidRPr="007F20FA" w:rsidRDefault="007F20FA" w:rsidP="002E2177">
      <w:pPr>
        <w:ind w:left="0" w:firstLine="0"/>
      </w:pPr>
      <w:r w:rsidRPr="007F20FA">
        <w:t>Recently completed studies that relate to coronary revascularization do not focus on the documentation of clinical indications and are mostly focused on the clinical efficacy and safety of various pharmacologic agents (</w:t>
      </w:r>
      <w:proofErr w:type="spellStart"/>
      <w:r w:rsidRPr="007F20FA">
        <w:t>eg</w:t>
      </w:r>
      <w:proofErr w:type="spellEnd"/>
      <w:r w:rsidRPr="007F20FA">
        <w:t xml:space="preserve">, </w:t>
      </w:r>
      <w:proofErr w:type="spellStart"/>
      <w:r w:rsidRPr="007F20FA">
        <w:t>clopidogrel</w:t>
      </w:r>
      <w:proofErr w:type="spellEnd"/>
      <w:r w:rsidRPr="007F20FA">
        <w:t xml:space="preserve">, </w:t>
      </w:r>
      <w:proofErr w:type="spellStart"/>
      <w:r w:rsidRPr="007F20FA">
        <w:t>rivaroxaban</w:t>
      </w:r>
      <w:proofErr w:type="spellEnd"/>
      <w:r w:rsidRPr="007F20FA">
        <w:t xml:space="preserve">, </w:t>
      </w:r>
      <w:proofErr w:type="spellStart"/>
      <w:r w:rsidRPr="007F20FA">
        <w:t>cangrelor</w:t>
      </w:r>
      <w:proofErr w:type="spellEnd"/>
      <w:r w:rsidRPr="007F20FA">
        <w:t xml:space="preserve">, atorvastatin, among others) in patients who undergo PCI. </w:t>
      </w:r>
    </w:p>
    <w:p w:rsidR="0094689F" w:rsidRPr="003B1CC5" w:rsidRDefault="00925F11" w:rsidP="002E2177">
      <w:pPr>
        <w:ind w:left="0" w:firstLine="0"/>
        <w:rPr>
          <w:b/>
          <w:color w:val="0070C0"/>
        </w:rPr>
      </w:pPr>
      <w:r w:rsidRPr="003B1CC5">
        <w:rPr>
          <w:b/>
          <w:iCs/>
          <w:caps/>
        </w:rPr>
        <w:t>_________________________</w:t>
      </w:r>
    </w:p>
    <w:p w:rsidR="00837121" w:rsidRPr="003B1CC5" w:rsidRDefault="00837121" w:rsidP="002E2177">
      <w:pPr>
        <w:ind w:left="0" w:firstLine="0"/>
        <w:rPr>
          <w:b/>
        </w:rPr>
      </w:pPr>
      <w:bookmarkStart w:id="11" w:name="Section1a8"/>
      <w:bookmarkEnd w:id="11"/>
      <w:r w:rsidRPr="003B1CC5">
        <w:rPr>
          <w:b/>
          <w:color w:val="0000FF"/>
        </w:rPr>
        <w:t xml:space="preserve">1a.8 </w:t>
      </w:r>
      <w:r w:rsidRPr="003B1CC5">
        <w:rPr>
          <w:b/>
        </w:rPr>
        <w:t>OTHER SOURCE OF EVIDENCE</w:t>
      </w:r>
    </w:p>
    <w:p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rsidR="007F20FA" w:rsidRPr="007F20FA" w:rsidRDefault="007F20FA" w:rsidP="007F20FA">
      <w:pPr>
        <w:ind w:left="0" w:firstLine="0"/>
      </w:pPr>
      <w:r w:rsidRPr="007F20FA">
        <w:t xml:space="preserve">The AUC classifies the clinical indications used to determine the appropriateness of PCI. The documentation of these indications is the focus of this measure. </w:t>
      </w:r>
    </w:p>
    <w:p w:rsidR="007F20FA" w:rsidRPr="007F20FA" w:rsidRDefault="007F20FA" w:rsidP="007F20FA">
      <w:pPr>
        <w:ind w:left="0" w:firstLine="0"/>
      </w:pPr>
      <w:r w:rsidRPr="007F20FA">
        <w:t xml:space="preserve">In turn, the ACCF/AHA/SCAI guidelines provide the evidence on the benefits and risks of PCI to assist physicians in selecting the optimal strategy for an individual patient. </w:t>
      </w:r>
    </w:p>
    <w:p w:rsidR="007F20FA" w:rsidRPr="007F20FA" w:rsidRDefault="007F20FA" w:rsidP="007F20FA">
      <w:pPr>
        <w:ind w:left="0" w:firstLine="0"/>
      </w:pPr>
      <w:r w:rsidRPr="007F20FA">
        <w:t xml:space="preserve">In conjunction, the AUC and the clinical guideline provide the foundation for this measure.  </w:t>
      </w:r>
    </w:p>
    <w:p w:rsidR="00837121" w:rsidRPr="003B1CC5" w:rsidRDefault="00837121" w:rsidP="002E2177">
      <w:pPr>
        <w:ind w:left="0" w:firstLine="0"/>
      </w:pPr>
    </w:p>
    <w:p w:rsidR="00837121" w:rsidRPr="003B1CC5" w:rsidRDefault="00837121" w:rsidP="002E2177">
      <w:pPr>
        <w:ind w:left="0" w:firstLine="0"/>
      </w:pPr>
      <w:r w:rsidRPr="003B1CC5">
        <w:rPr>
          <w:b/>
          <w:color w:val="0000FF"/>
        </w:rPr>
        <w:t>1a.8.1</w:t>
      </w:r>
      <w:r w:rsidRPr="003B1CC5">
        <w:rPr>
          <w:color w:val="0070C0"/>
        </w:rPr>
        <w:t xml:space="preserve"> </w:t>
      </w:r>
      <w:r w:rsidRPr="003B1CC5">
        <w:rPr>
          <w:b/>
        </w:rPr>
        <w:t>What process was used to identify the evidence?</w:t>
      </w:r>
    </w:p>
    <w:p w:rsidR="00837121" w:rsidRPr="003B1CC5" w:rsidRDefault="00837121" w:rsidP="002E2177">
      <w:pPr>
        <w:ind w:left="0" w:firstLine="0"/>
      </w:pPr>
    </w:p>
    <w:p w:rsidR="00837121" w:rsidRPr="001B772D" w:rsidRDefault="00837121" w:rsidP="002E2177">
      <w:pPr>
        <w:ind w:left="0" w:firstLine="0"/>
      </w:pPr>
      <w:r w:rsidRPr="003B1CC5">
        <w:rPr>
          <w:b/>
          <w:color w:val="0000FF"/>
        </w:rPr>
        <w:t>1a.8.2.</w:t>
      </w:r>
      <w:r w:rsidRPr="003B1CC5">
        <w:rPr>
          <w:color w:val="0070C0"/>
        </w:rPr>
        <w:t xml:space="preserve"> </w:t>
      </w:r>
      <w:r w:rsidR="006C7F30" w:rsidRPr="003B1CC5">
        <w:rPr>
          <w:b/>
        </w:rPr>
        <w:t>Provide the citation</w:t>
      </w:r>
      <w:r w:rsidR="009E6B86" w:rsidRPr="003B1CC5">
        <w:rPr>
          <w:b/>
        </w:rPr>
        <w:t xml:space="preserve"> </w:t>
      </w:r>
      <w:r w:rsidR="006C7F30" w:rsidRPr="003B1CC5">
        <w:rPr>
          <w:b/>
        </w:rPr>
        <w:t>and summary for each piece of evidence.</w:t>
      </w:r>
    </w:p>
    <w:sectPr w:rsidR="00837121" w:rsidRPr="001B772D">
      <w:headerReference w:type="default" r:id="rId26"/>
      <w:footerReference w:type="default" r:id="rId2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0687" w:rsidRDefault="00440687" w:rsidP="007E37A5">
      <w:r>
        <w:separator/>
      </w:r>
    </w:p>
  </w:endnote>
  <w:endnote w:type="continuationSeparator" w:id="0">
    <w:p w:rsidR="00440687" w:rsidRDefault="00440687"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687" w:rsidRDefault="00440687">
    <w:pPr>
      <w:pStyle w:val="Footer"/>
    </w:pPr>
    <w:r w:rsidRPr="00395263">
      <w:t xml:space="preserve">Version 6.5 </w:t>
    </w:r>
    <w:r w:rsidR="00B52E0F">
      <w:t xml:space="preserve"> </w:t>
    </w:r>
    <w:r w:rsidR="00DE1F5D">
      <w:t>08/20/13</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526739">
      <w:rPr>
        <w:noProof/>
      </w:rPr>
      <w:t>1</w:t>
    </w:r>
    <w:r w:rsidRPr="00395263">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0687" w:rsidRDefault="00440687" w:rsidP="007E37A5">
      <w:r>
        <w:separator/>
      </w:r>
    </w:p>
  </w:footnote>
  <w:footnote w:type="continuationSeparator" w:id="0">
    <w:p w:rsidR="00440687" w:rsidRDefault="00440687" w:rsidP="007E37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687" w:rsidRDefault="00440687" w:rsidP="007E37A5">
    <w:pPr>
      <w:pStyle w:val="Header"/>
      <w:ind w:left="0"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B6CFF"/>
    <w:multiLevelType w:val="hybridMultilevel"/>
    <w:tmpl w:val="6DC8EA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97840E9"/>
    <w:multiLevelType w:val="hybridMultilevel"/>
    <w:tmpl w:val="ABDA6FBA"/>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B073D29"/>
    <w:multiLevelType w:val="multilevel"/>
    <w:tmpl w:val="1804CE9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7"/>
  </w:num>
  <w:num w:numId="3">
    <w:abstractNumId w:val="2"/>
  </w:num>
  <w:num w:numId="4">
    <w:abstractNumId w:val="3"/>
  </w:num>
  <w:num w:numId="5">
    <w:abstractNumId w:val="5"/>
  </w:num>
  <w:num w:numId="6">
    <w:abstractNumId w:val="4"/>
  </w:num>
  <w:num w:numId="7">
    <w:abstractNumId w:val="10"/>
  </w:num>
  <w:num w:numId="8">
    <w:abstractNumId w:val="8"/>
  </w:num>
  <w:num w:numId="9">
    <w:abstractNumId w:val="9"/>
  </w:num>
  <w:num w:numId="10">
    <w:abstractNumId w:val="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defaultTabStop w:val="720"/>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AF8"/>
    <w:rsid w:val="00015986"/>
    <w:rsid w:val="000160E6"/>
    <w:rsid w:val="00024526"/>
    <w:rsid w:val="00030F43"/>
    <w:rsid w:val="00040DCF"/>
    <w:rsid w:val="00052C0B"/>
    <w:rsid w:val="00061CF3"/>
    <w:rsid w:val="00063601"/>
    <w:rsid w:val="00073079"/>
    <w:rsid w:val="0007593F"/>
    <w:rsid w:val="00095EC9"/>
    <w:rsid w:val="00096A37"/>
    <w:rsid w:val="000A0810"/>
    <w:rsid w:val="000B627F"/>
    <w:rsid w:val="000D24EF"/>
    <w:rsid w:val="000D649E"/>
    <w:rsid w:val="000D6D06"/>
    <w:rsid w:val="00114848"/>
    <w:rsid w:val="00120934"/>
    <w:rsid w:val="00132070"/>
    <w:rsid w:val="00141875"/>
    <w:rsid w:val="0014347E"/>
    <w:rsid w:val="00154438"/>
    <w:rsid w:val="001551F6"/>
    <w:rsid w:val="0015535B"/>
    <w:rsid w:val="00162036"/>
    <w:rsid w:val="001632DD"/>
    <w:rsid w:val="00176E60"/>
    <w:rsid w:val="00194D9A"/>
    <w:rsid w:val="001A196B"/>
    <w:rsid w:val="001A6D05"/>
    <w:rsid w:val="001B38BF"/>
    <w:rsid w:val="001B772D"/>
    <w:rsid w:val="001D5B5D"/>
    <w:rsid w:val="001E6153"/>
    <w:rsid w:val="00201FF9"/>
    <w:rsid w:val="00205857"/>
    <w:rsid w:val="00235ADC"/>
    <w:rsid w:val="00236F87"/>
    <w:rsid w:val="00265702"/>
    <w:rsid w:val="002662B2"/>
    <w:rsid w:val="002717C7"/>
    <w:rsid w:val="002875E9"/>
    <w:rsid w:val="00287EB3"/>
    <w:rsid w:val="002A47BA"/>
    <w:rsid w:val="002A6777"/>
    <w:rsid w:val="002B06BD"/>
    <w:rsid w:val="002C0E48"/>
    <w:rsid w:val="002C6F04"/>
    <w:rsid w:val="002E2177"/>
    <w:rsid w:val="002E2E41"/>
    <w:rsid w:val="002E78CD"/>
    <w:rsid w:val="002F20A7"/>
    <w:rsid w:val="003008F4"/>
    <w:rsid w:val="00302B1D"/>
    <w:rsid w:val="00307FA5"/>
    <w:rsid w:val="00324D64"/>
    <w:rsid w:val="00352B52"/>
    <w:rsid w:val="0035760D"/>
    <w:rsid w:val="00363ECC"/>
    <w:rsid w:val="0039020B"/>
    <w:rsid w:val="00395263"/>
    <w:rsid w:val="003956E0"/>
    <w:rsid w:val="0039609A"/>
    <w:rsid w:val="00397500"/>
    <w:rsid w:val="003B1CC5"/>
    <w:rsid w:val="003B65CE"/>
    <w:rsid w:val="003E039E"/>
    <w:rsid w:val="00422917"/>
    <w:rsid w:val="00440687"/>
    <w:rsid w:val="0044131D"/>
    <w:rsid w:val="00441ADA"/>
    <w:rsid w:val="00457E46"/>
    <w:rsid w:val="00496AF8"/>
    <w:rsid w:val="004A575D"/>
    <w:rsid w:val="004B65C6"/>
    <w:rsid w:val="004D1DC7"/>
    <w:rsid w:val="004F7D7E"/>
    <w:rsid w:val="00500B0C"/>
    <w:rsid w:val="00526739"/>
    <w:rsid w:val="00537150"/>
    <w:rsid w:val="00540984"/>
    <w:rsid w:val="00543851"/>
    <w:rsid w:val="0055559D"/>
    <w:rsid w:val="005569AE"/>
    <w:rsid w:val="005857F8"/>
    <w:rsid w:val="005B0D18"/>
    <w:rsid w:val="005B12C3"/>
    <w:rsid w:val="005B409D"/>
    <w:rsid w:val="005D0FDB"/>
    <w:rsid w:val="005D25E9"/>
    <w:rsid w:val="005D6D59"/>
    <w:rsid w:val="00617390"/>
    <w:rsid w:val="00623420"/>
    <w:rsid w:val="00634768"/>
    <w:rsid w:val="0063596F"/>
    <w:rsid w:val="006709EB"/>
    <w:rsid w:val="00672824"/>
    <w:rsid w:val="0068184A"/>
    <w:rsid w:val="006B5C51"/>
    <w:rsid w:val="006C7F30"/>
    <w:rsid w:val="006E6FDD"/>
    <w:rsid w:val="006F4B7F"/>
    <w:rsid w:val="006F760B"/>
    <w:rsid w:val="00701CC3"/>
    <w:rsid w:val="00724801"/>
    <w:rsid w:val="00734949"/>
    <w:rsid w:val="00736AEC"/>
    <w:rsid w:val="00736E0F"/>
    <w:rsid w:val="007434FA"/>
    <w:rsid w:val="007573F0"/>
    <w:rsid w:val="00765156"/>
    <w:rsid w:val="00767669"/>
    <w:rsid w:val="00773485"/>
    <w:rsid w:val="00776E8F"/>
    <w:rsid w:val="00776F6D"/>
    <w:rsid w:val="007C0297"/>
    <w:rsid w:val="007C1887"/>
    <w:rsid w:val="007D4775"/>
    <w:rsid w:val="007D5DC6"/>
    <w:rsid w:val="007E37A5"/>
    <w:rsid w:val="007F20FA"/>
    <w:rsid w:val="007F49D8"/>
    <w:rsid w:val="00805940"/>
    <w:rsid w:val="00837121"/>
    <w:rsid w:val="008471E5"/>
    <w:rsid w:val="00850C35"/>
    <w:rsid w:val="00851466"/>
    <w:rsid w:val="00863E43"/>
    <w:rsid w:val="008647C3"/>
    <w:rsid w:val="008659ED"/>
    <w:rsid w:val="00870987"/>
    <w:rsid w:val="0087564A"/>
    <w:rsid w:val="00881160"/>
    <w:rsid w:val="0088371C"/>
    <w:rsid w:val="008A45F3"/>
    <w:rsid w:val="008B51D9"/>
    <w:rsid w:val="008B652E"/>
    <w:rsid w:val="008F1DC6"/>
    <w:rsid w:val="00905C5B"/>
    <w:rsid w:val="00923295"/>
    <w:rsid w:val="00925F11"/>
    <w:rsid w:val="00935265"/>
    <w:rsid w:val="0094689F"/>
    <w:rsid w:val="009477D6"/>
    <w:rsid w:val="00953ED3"/>
    <w:rsid w:val="00965FF6"/>
    <w:rsid w:val="009846D6"/>
    <w:rsid w:val="0098657F"/>
    <w:rsid w:val="009A3236"/>
    <w:rsid w:val="009B5A93"/>
    <w:rsid w:val="009B5BEA"/>
    <w:rsid w:val="009C291F"/>
    <w:rsid w:val="009E37BD"/>
    <w:rsid w:val="009E6B86"/>
    <w:rsid w:val="00A03301"/>
    <w:rsid w:val="00A12762"/>
    <w:rsid w:val="00A13867"/>
    <w:rsid w:val="00A26FED"/>
    <w:rsid w:val="00A421D4"/>
    <w:rsid w:val="00A44FF0"/>
    <w:rsid w:val="00A50E55"/>
    <w:rsid w:val="00A67EB1"/>
    <w:rsid w:val="00A91A47"/>
    <w:rsid w:val="00A94B4A"/>
    <w:rsid w:val="00A95D2B"/>
    <w:rsid w:val="00AA5587"/>
    <w:rsid w:val="00AC1E53"/>
    <w:rsid w:val="00AD79C8"/>
    <w:rsid w:val="00AE6CE0"/>
    <w:rsid w:val="00B058A6"/>
    <w:rsid w:val="00B117D0"/>
    <w:rsid w:val="00B13998"/>
    <w:rsid w:val="00B439DD"/>
    <w:rsid w:val="00B52E0F"/>
    <w:rsid w:val="00B74629"/>
    <w:rsid w:val="00B91F58"/>
    <w:rsid w:val="00BA579E"/>
    <w:rsid w:val="00BE2295"/>
    <w:rsid w:val="00BE6373"/>
    <w:rsid w:val="00BF533A"/>
    <w:rsid w:val="00C46677"/>
    <w:rsid w:val="00C5180E"/>
    <w:rsid w:val="00C54E40"/>
    <w:rsid w:val="00C55F56"/>
    <w:rsid w:val="00C57BA4"/>
    <w:rsid w:val="00C613EB"/>
    <w:rsid w:val="00C84623"/>
    <w:rsid w:val="00CB06C9"/>
    <w:rsid w:val="00CB1E41"/>
    <w:rsid w:val="00CB271C"/>
    <w:rsid w:val="00CE4F96"/>
    <w:rsid w:val="00CF0AB1"/>
    <w:rsid w:val="00CF4B9B"/>
    <w:rsid w:val="00CF55E6"/>
    <w:rsid w:val="00CF772F"/>
    <w:rsid w:val="00D048DB"/>
    <w:rsid w:val="00D14F0B"/>
    <w:rsid w:val="00D178CA"/>
    <w:rsid w:val="00D3311C"/>
    <w:rsid w:val="00D53405"/>
    <w:rsid w:val="00D5457B"/>
    <w:rsid w:val="00D72995"/>
    <w:rsid w:val="00DA7FA2"/>
    <w:rsid w:val="00DC2D8D"/>
    <w:rsid w:val="00DE1F5D"/>
    <w:rsid w:val="00DE50D8"/>
    <w:rsid w:val="00DF278A"/>
    <w:rsid w:val="00E1664B"/>
    <w:rsid w:val="00E30D12"/>
    <w:rsid w:val="00E3394E"/>
    <w:rsid w:val="00E35241"/>
    <w:rsid w:val="00E41417"/>
    <w:rsid w:val="00E536D3"/>
    <w:rsid w:val="00E57BE2"/>
    <w:rsid w:val="00E62A95"/>
    <w:rsid w:val="00E746A2"/>
    <w:rsid w:val="00E90D06"/>
    <w:rsid w:val="00E97E59"/>
    <w:rsid w:val="00EA79C9"/>
    <w:rsid w:val="00EB66AC"/>
    <w:rsid w:val="00EC2247"/>
    <w:rsid w:val="00EE1F87"/>
    <w:rsid w:val="00EE3931"/>
    <w:rsid w:val="00EE5AF6"/>
    <w:rsid w:val="00EF2CEF"/>
    <w:rsid w:val="00F1092D"/>
    <w:rsid w:val="00F42C20"/>
    <w:rsid w:val="00F431D8"/>
    <w:rsid w:val="00F67706"/>
    <w:rsid w:val="00F92D75"/>
    <w:rsid w:val="00F97327"/>
    <w:rsid w:val="00FA296F"/>
    <w:rsid w:val="00FA7323"/>
    <w:rsid w:val="00FC32D3"/>
    <w:rsid w:val="00FD4D82"/>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table" w:customStyle="1" w:styleId="TableGrid1">
    <w:name w:val="Table Grid1"/>
    <w:basedOn w:val="TableNormal"/>
    <w:next w:val="TableGrid"/>
    <w:uiPriority w:val="59"/>
    <w:rsid w:val="007F20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table" w:customStyle="1" w:styleId="TableGrid1">
    <w:name w:val="Table Grid1"/>
    <w:basedOn w:val="TableNormal"/>
    <w:next w:val="TableGrid"/>
    <w:uiPriority w:val="59"/>
    <w:rsid w:val="007F20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239565">
      <w:bodyDiv w:val="1"/>
      <w:marLeft w:val="0"/>
      <w:marRight w:val="0"/>
      <w:marTop w:val="0"/>
      <w:marBottom w:val="0"/>
      <w:divBdr>
        <w:top w:val="none" w:sz="0" w:space="0" w:color="auto"/>
        <w:left w:val="none" w:sz="0" w:space="0" w:color="auto"/>
        <w:bottom w:val="none" w:sz="0" w:space="0" w:color="auto"/>
        <w:right w:val="none" w:sz="0" w:space="0" w:color="auto"/>
      </w:divBdr>
      <w:divsChild>
        <w:div w:id="273904255">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qualityforum.org/Publications/2010/01/Measurement_Framework__Evaluating_Efficiency_Across_Patient-Focused_Episodes_of_Care.aspx" TargetMode="External"/><Relationship Id="rId18" Type="http://schemas.openxmlformats.org/officeDocument/2006/relationships/diagramColors" Target="diagrams/colors1.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my.americanheart.org/professional/General/2011-ACCFAHASCAI-Guideline-for-Percutaneous-Coronary-Intervention_UCM_433333_Article.jsp" TargetMode="External"/><Relationship Id="rId7" Type="http://schemas.openxmlformats.org/officeDocument/2006/relationships/footnotes" Target="footnotes.xml"/><Relationship Id="rId12" Type="http://schemas.openxmlformats.org/officeDocument/2006/relationships/hyperlink" Target="http://www.gradeworkinggroup.org/publications/index.htm" TargetMode="External"/><Relationship Id="rId17" Type="http://schemas.openxmlformats.org/officeDocument/2006/relationships/diagramQuickStyle" Target="diagrams/quickStyle1.xml"/><Relationship Id="rId25" Type="http://schemas.openxmlformats.org/officeDocument/2006/relationships/hyperlink" Target="http://my.americanheart.org/idc/groups/ahamah-public/@wcm/@sop/documents/downloadable/ucm_319826.pdf" TargetMode="External"/><Relationship Id="rId2" Type="http://schemas.openxmlformats.org/officeDocument/2006/relationships/numbering" Target="numbering.xml"/><Relationship Id="rId16" Type="http://schemas.openxmlformats.org/officeDocument/2006/relationships/diagramLayout" Target="diagrams/layout1.xml"/><Relationship Id="rId20" Type="http://schemas.openxmlformats.org/officeDocument/2006/relationships/hyperlink" Target="http://content.onlinejacc.org/article.aspx?articleid=1201161"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spreventiveservicestaskforce.org/methods.htm" TargetMode="External"/><Relationship Id="rId24" Type="http://schemas.openxmlformats.org/officeDocument/2006/relationships/hyperlink" Target="http://assets.cardiosource.com/Methodology_Manual_for_ACC_AHA_Writing_Committees.pdf" TargetMode="External"/><Relationship Id="rId5" Type="http://schemas.openxmlformats.org/officeDocument/2006/relationships/settings" Target="settings.xml"/><Relationship Id="rId15" Type="http://schemas.openxmlformats.org/officeDocument/2006/relationships/diagramData" Target="diagrams/data1.xml"/><Relationship Id="rId23" Type="http://schemas.openxmlformats.org/officeDocument/2006/relationships/image" Target="media/image1.emf"/><Relationship Id="rId28" Type="http://schemas.openxmlformats.org/officeDocument/2006/relationships/fontTable" Target="fontTable.xml"/><Relationship Id="rId10" Type="http://schemas.openxmlformats.org/officeDocument/2006/relationships/hyperlink" Target="http://www.uspreventiveservicestaskforce.org/uspstf/grades.htm" TargetMode="External"/><Relationship Id="rId19" Type="http://schemas.microsoft.com/office/2007/relationships/diagramDrawing" Target="diagrams/drawing1.xml"/><Relationship Id="rId4" Type="http://schemas.microsoft.com/office/2007/relationships/stylesWithEffects" Target="stylesWithEffects.xml"/><Relationship Id="rId9" Type="http://schemas.openxmlformats.org/officeDocument/2006/relationships/hyperlink" Target="http://www.qualityforum.org/Measuring_Performance/Submitting_Standards.aspx" TargetMode="External"/><Relationship Id="rId14" Type="http://schemas.openxmlformats.org/officeDocument/2006/relationships/hyperlink" Target="http://www.aqaalliance.org/files/PrinciplesofEfficiencyMeasurementApril2006.doc" TargetMode="External"/><Relationship Id="rId22" Type="http://schemas.openxmlformats.org/officeDocument/2006/relationships/hyperlink" Target="http://www.syntaxscore.com/" TargetMode="External"/><Relationship Id="rId27" Type="http://schemas.openxmlformats.org/officeDocument/2006/relationships/footer" Target="footer1.xml"/><Relationship Id="rId30"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082A147-37E9-44D4-A83B-4AE0811AEAED}" type="doc">
      <dgm:prSet loTypeId="urn:microsoft.com/office/officeart/2005/8/layout/process1" loCatId="process" qsTypeId="urn:microsoft.com/office/officeart/2005/8/quickstyle/simple1" qsCatId="simple" csTypeId="urn:microsoft.com/office/officeart/2005/8/colors/accent1_2" csCatId="accent1" phldr="1"/>
      <dgm:spPr/>
    </dgm:pt>
    <dgm:pt modelId="{E4B67F1D-0886-4ACF-9632-C7BF012E602B}">
      <dgm:prSet phldrT="[Text]" custT="1"/>
      <dgm:spPr>
        <a:xfrm>
          <a:off x="4822" y="391537"/>
          <a:ext cx="1441251" cy="86475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US" sz="1000" b="1">
              <a:solidFill>
                <a:sysClr val="window" lastClr="FFFFFF"/>
              </a:solidFill>
              <a:latin typeface="Arial" panose="020B0604020202020204" pitchFamily="34" charset="0"/>
              <a:ea typeface="+mn-ea"/>
              <a:cs typeface="Arial" panose="020B0604020202020204" pitchFamily="34" charset="0"/>
            </a:rPr>
            <a:t>Clinical indications  for PCI identified and </a:t>
          </a:r>
          <a:r>
            <a:rPr lang="en-US" sz="1000" b="1" u="dbl" baseline="0">
              <a:solidFill>
                <a:sysClr val="window" lastClr="FFFFFF"/>
              </a:solidFill>
              <a:latin typeface="Arial" panose="020B0604020202020204" pitchFamily="34" charset="0"/>
              <a:ea typeface="+mn-ea"/>
              <a:cs typeface="Arial" panose="020B0604020202020204" pitchFamily="34" charset="0"/>
            </a:rPr>
            <a:t>documented</a:t>
          </a:r>
        </a:p>
      </dgm:t>
    </dgm:pt>
    <dgm:pt modelId="{45A8A169-4B6D-472D-9DFB-249D20775535}" type="parTrans" cxnId="{09232556-5116-4240-90F4-396050536D9E}">
      <dgm:prSet/>
      <dgm:spPr/>
      <dgm:t>
        <a:bodyPr/>
        <a:lstStyle/>
        <a:p>
          <a:endParaRPr lang="en-US"/>
        </a:p>
      </dgm:t>
    </dgm:pt>
    <dgm:pt modelId="{2C0F3A24-46DA-48CF-8A69-B91B44C8C231}" type="sibTrans" cxnId="{09232556-5116-4240-90F4-396050536D9E}">
      <dgm:prSet/>
      <dgm:spPr>
        <a:xfrm>
          <a:off x="1590198" y="645197"/>
          <a:ext cx="305545" cy="357430"/>
        </a:xfrm>
        <a:prstGeom prst="rightArrow">
          <a:avLst>
            <a:gd name="adj1" fmla="val 60000"/>
            <a:gd name="adj2" fmla="val 50000"/>
          </a:avLst>
        </a:prstGeom>
        <a:solidFill>
          <a:srgbClr val="4F81BD">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D9B6D52D-03CD-4EA1-9719-59F11AD57150}">
      <dgm:prSet phldrT="[Text]" custT="1"/>
      <dgm:spPr>
        <a:xfrm>
          <a:off x="2022574" y="391537"/>
          <a:ext cx="1441251" cy="86475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US" sz="1000" b="1">
              <a:solidFill>
                <a:sysClr val="window" lastClr="FFFFFF"/>
              </a:solidFill>
              <a:latin typeface="Arial" panose="020B0604020202020204" pitchFamily="34" charset="0"/>
              <a:ea typeface="+mn-ea"/>
              <a:cs typeface="Arial" panose="020B0604020202020204" pitchFamily="34" charset="0"/>
            </a:rPr>
            <a:t>Appropriate use of PCI</a:t>
          </a:r>
        </a:p>
      </dgm:t>
    </dgm:pt>
    <dgm:pt modelId="{8A2A1FE8-2FBF-453C-A96A-7CAD2CBE0639}" type="parTrans" cxnId="{BACF2314-AAB7-4278-87CA-B0C9E8795D3C}">
      <dgm:prSet/>
      <dgm:spPr/>
      <dgm:t>
        <a:bodyPr/>
        <a:lstStyle/>
        <a:p>
          <a:endParaRPr lang="en-US"/>
        </a:p>
      </dgm:t>
    </dgm:pt>
    <dgm:pt modelId="{4CC8A525-6CCF-4409-878E-02420D417827}" type="sibTrans" cxnId="{BACF2314-AAB7-4278-87CA-B0C9E8795D3C}">
      <dgm:prSet/>
      <dgm:spPr>
        <a:xfrm>
          <a:off x="3607950" y="645197"/>
          <a:ext cx="305545" cy="357430"/>
        </a:xfrm>
        <a:prstGeom prst="rightArrow">
          <a:avLst>
            <a:gd name="adj1" fmla="val 60000"/>
            <a:gd name="adj2" fmla="val 50000"/>
          </a:avLst>
        </a:prstGeom>
        <a:solidFill>
          <a:srgbClr val="4F81BD">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64DCB0D5-8943-462C-9198-CD2CCC8E490E}">
      <dgm:prSet phldrT="[Text]" custT="1"/>
      <dgm:spPr>
        <a:xfrm>
          <a:off x="4040326" y="391537"/>
          <a:ext cx="1441251" cy="86475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US" sz="1000" b="1">
              <a:solidFill>
                <a:sysClr val="window" lastClr="FFFFFF"/>
              </a:solidFill>
              <a:latin typeface="Arial" panose="020B0604020202020204" pitchFamily="34" charset="0"/>
              <a:ea typeface="+mn-ea"/>
              <a:cs typeface="Arial" panose="020B0604020202020204" pitchFamily="34" charset="0"/>
            </a:rPr>
            <a:t>Improved patient outcomes</a:t>
          </a:r>
        </a:p>
        <a:p>
          <a:r>
            <a:rPr lang="en-US" sz="1000" b="1">
              <a:solidFill>
                <a:sysClr val="window" lastClr="FFFFFF"/>
              </a:solidFill>
              <a:latin typeface="Arial" panose="020B0604020202020204" pitchFamily="34" charset="0"/>
              <a:ea typeface="+mn-ea"/>
              <a:cs typeface="Arial" panose="020B0604020202020204" pitchFamily="34" charset="0"/>
            </a:rPr>
            <a:t>(Improved survival </a:t>
          </a:r>
        </a:p>
        <a:p>
          <a:r>
            <a:rPr lang="en-US" sz="1000" b="1">
              <a:solidFill>
                <a:sysClr val="window" lastClr="FFFFFF"/>
              </a:solidFill>
              <a:latin typeface="Arial" panose="020B0604020202020204" pitchFamily="34" charset="0"/>
              <a:ea typeface="+mn-ea"/>
              <a:cs typeface="Arial" panose="020B0604020202020204" pitchFamily="34" charset="0"/>
            </a:rPr>
            <a:t>Symptom relief)</a:t>
          </a:r>
        </a:p>
      </dgm:t>
    </dgm:pt>
    <dgm:pt modelId="{8D4FC971-663C-4B65-9D87-3E6031A720D8}" type="parTrans" cxnId="{9FC07778-9076-4D83-BB5A-04D4C4A2FE8C}">
      <dgm:prSet/>
      <dgm:spPr/>
      <dgm:t>
        <a:bodyPr/>
        <a:lstStyle/>
        <a:p>
          <a:endParaRPr lang="en-US"/>
        </a:p>
      </dgm:t>
    </dgm:pt>
    <dgm:pt modelId="{33EFFD78-C3BA-43BA-B30A-C3329D0D2684}" type="sibTrans" cxnId="{9FC07778-9076-4D83-BB5A-04D4C4A2FE8C}">
      <dgm:prSet/>
      <dgm:spPr/>
      <dgm:t>
        <a:bodyPr/>
        <a:lstStyle/>
        <a:p>
          <a:endParaRPr lang="en-US"/>
        </a:p>
      </dgm:t>
    </dgm:pt>
    <dgm:pt modelId="{F8E8E18B-425C-4799-9BF9-DE282D175E29}" type="pres">
      <dgm:prSet presAssocID="{C082A147-37E9-44D4-A83B-4AE0811AEAED}" presName="Name0" presStyleCnt="0">
        <dgm:presLayoutVars>
          <dgm:dir/>
          <dgm:resizeHandles val="exact"/>
        </dgm:presLayoutVars>
      </dgm:prSet>
      <dgm:spPr/>
    </dgm:pt>
    <dgm:pt modelId="{45F8F168-2259-4C60-AA33-97419FB14E6D}" type="pres">
      <dgm:prSet presAssocID="{E4B67F1D-0886-4ACF-9632-C7BF012E602B}" presName="node" presStyleLbl="node1" presStyleIdx="0" presStyleCnt="3">
        <dgm:presLayoutVars>
          <dgm:bulletEnabled val="1"/>
        </dgm:presLayoutVars>
      </dgm:prSet>
      <dgm:spPr/>
      <dgm:t>
        <a:bodyPr/>
        <a:lstStyle/>
        <a:p>
          <a:endParaRPr lang="en-US"/>
        </a:p>
      </dgm:t>
    </dgm:pt>
    <dgm:pt modelId="{B9227B2A-F999-4EB1-8863-F732C6F14803}" type="pres">
      <dgm:prSet presAssocID="{2C0F3A24-46DA-48CF-8A69-B91B44C8C231}" presName="sibTrans" presStyleLbl="sibTrans2D1" presStyleIdx="0" presStyleCnt="2"/>
      <dgm:spPr/>
      <dgm:t>
        <a:bodyPr/>
        <a:lstStyle/>
        <a:p>
          <a:endParaRPr lang="en-US"/>
        </a:p>
      </dgm:t>
    </dgm:pt>
    <dgm:pt modelId="{BFCD9EA8-1EC1-4B35-8CEB-02E5DD08098C}" type="pres">
      <dgm:prSet presAssocID="{2C0F3A24-46DA-48CF-8A69-B91B44C8C231}" presName="connectorText" presStyleLbl="sibTrans2D1" presStyleIdx="0" presStyleCnt="2"/>
      <dgm:spPr/>
      <dgm:t>
        <a:bodyPr/>
        <a:lstStyle/>
        <a:p>
          <a:endParaRPr lang="en-US"/>
        </a:p>
      </dgm:t>
    </dgm:pt>
    <dgm:pt modelId="{73F90F77-AA77-49B1-B3F1-F39601654A6C}" type="pres">
      <dgm:prSet presAssocID="{D9B6D52D-03CD-4EA1-9719-59F11AD57150}" presName="node" presStyleLbl="node1" presStyleIdx="1" presStyleCnt="3">
        <dgm:presLayoutVars>
          <dgm:bulletEnabled val="1"/>
        </dgm:presLayoutVars>
      </dgm:prSet>
      <dgm:spPr/>
      <dgm:t>
        <a:bodyPr/>
        <a:lstStyle/>
        <a:p>
          <a:endParaRPr lang="en-US"/>
        </a:p>
      </dgm:t>
    </dgm:pt>
    <dgm:pt modelId="{A751413F-9408-4555-BC34-F21E9647C8F1}" type="pres">
      <dgm:prSet presAssocID="{4CC8A525-6CCF-4409-878E-02420D417827}" presName="sibTrans" presStyleLbl="sibTrans2D1" presStyleIdx="1" presStyleCnt="2"/>
      <dgm:spPr/>
      <dgm:t>
        <a:bodyPr/>
        <a:lstStyle/>
        <a:p>
          <a:endParaRPr lang="en-US"/>
        </a:p>
      </dgm:t>
    </dgm:pt>
    <dgm:pt modelId="{86908254-533B-4293-B236-196E387DAE2F}" type="pres">
      <dgm:prSet presAssocID="{4CC8A525-6CCF-4409-878E-02420D417827}" presName="connectorText" presStyleLbl="sibTrans2D1" presStyleIdx="1" presStyleCnt="2"/>
      <dgm:spPr/>
      <dgm:t>
        <a:bodyPr/>
        <a:lstStyle/>
        <a:p>
          <a:endParaRPr lang="en-US"/>
        </a:p>
      </dgm:t>
    </dgm:pt>
    <dgm:pt modelId="{B2A51E6C-D724-4884-9A1A-E9EA34B8F2B9}" type="pres">
      <dgm:prSet presAssocID="{64DCB0D5-8943-462C-9198-CD2CCC8E490E}" presName="node" presStyleLbl="node1" presStyleIdx="2" presStyleCnt="3">
        <dgm:presLayoutVars>
          <dgm:bulletEnabled val="1"/>
        </dgm:presLayoutVars>
      </dgm:prSet>
      <dgm:spPr/>
      <dgm:t>
        <a:bodyPr/>
        <a:lstStyle/>
        <a:p>
          <a:endParaRPr lang="en-US"/>
        </a:p>
      </dgm:t>
    </dgm:pt>
  </dgm:ptLst>
  <dgm:cxnLst>
    <dgm:cxn modelId="{B0AFAB1D-1346-4226-9E16-63715E99A166}" type="presOf" srcId="{C082A147-37E9-44D4-A83B-4AE0811AEAED}" destId="{F8E8E18B-425C-4799-9BF9-DE282D175E29}" srcOrd="0" destOrd="0" presId="urn:microsoft.com/office/officeart/2005/8/layout/process1"/>
    <dgm:cxn modelId="{7D835A99-63E1-4D4E-9882-8C83A2C227E1}" type="presOf" srcId="{2C0F3A24-46DA-48CF-8A69-B91B44C8C231}" destId="{BFCD9EA8-1EC1-4B35-8CEB-02E5DD08098C}" srcOrd="1" destOrd="0" presId="urn:microsoft.com/office/officeart/2005/8/layout/process1"/>
    <dgm:cxn modelId="{34E6ABF3-1C3C-41C9-A19B-56FD9A9C0685}" type="presOf" srcId="{4CC8A525-6CCF-4409-878E-02420D417827}" destId="{A751413F-9408-4555-BC34-F21E9647C8F1}" srcOrd="0" destOrd="0" presId="urn:microsoft.com/office/officeart/2005/8/layout/process1"/>
    <dgm:cxn modelId="{3675A562-5D58-4780-9315-AE3B5A9582E2}" type="presOf" srcId="{64DCB0D5-8943-462C-9198-CD2CCC8E490E}" destId="{B2A51E6C-D724-4884-9A1A-E9EA34B8F2B9}" srcOrd="0" destOrd="0" presId="urn:microsoft.com/office/officeart/2005/8/layout/process1"/>
    <dgm:cxn modelId="{BACF2314-AAB7-4278-87CA-B0C9E8795D3C}" srcId="{C082A147-37E9-44D4-A83B-4AE0811AEAED}" destId="{D9B6D52D-03CD-4EA1-9719-59F11AD57150}" srcOrd="1" destOrd="0" parTransId="{8A2A1FE8-2FBF-453C-A96A-7CAD2CBE0639}" sibTransId="{4CC8A525-6CCF-4409-878E-02420D417827}"/>
    <dgm:cxn modelId="{9FC07778-9076-4D83-BB5A-04D4C4A2FE8C}" srcId="{C082A147-37E9-44D4-A83B-4AE0811AEAED}" destId="{64DCB0D5-8943-462C-9198-CD2CCC8E490E}" srcOrd="2" destOrd="0" parTransId="{8D4FC971-663C-4B65-9D87-3E6031A720D8}" sibTransId="{33EFFD78-C3BA-43BA-B30A-C3329D0D2684}"/>
    <dgm:cxn modelId="{F6B91E71-68AD-4E88-B26E-F58BC7BFE3C9}" type="presOf" srcId="{E4B67F1D-0886-4ACF-9632-C7BF012E602B}" destId="{45F8F168-2259-4C60-AA33-97419FB14E6D}" srcOrd="0" destOrd="0" presId="urn:microsoft.com/office/officeart/2005/8/layout/process1"/>
    <dgm:cxn modelId="{09232556-5116-4240-90F4-396050536D9E}" srcId="{C082A147-37E9-44D4-A83B-4AE0811AEAED}" destId="{E4B67F1D-0886-4ACF-9632-C7BF012E602B}" srcOrd="0" destOrd="0" parTransId="{45A8A169-4B6D-472D-9DFB-249D20775535}" sibTransId="{2C0F3A24-46DA-48CF-8A69-B91B44C8C231}"/>
    <dgm:cxn modelId="{056B53CC-C93E-44DD-A640-5EE236811A27}" type="presOf" srcId="{D9B6D52D-03CD-4EA1-9719-59F11AD57150}" destId="{73F90F77-AA77-49B1-B3F1-F39601654A6C}" srcOrd="0" destOrd="0" presId="urn:microsoft.com/office/officeart/2005/8/layout/process1"/>
    <dgm:cxn modelId="{3D552126-ED42-4319-9519-23961F6331D4}" type="presOf" srcId="{2C0F3A24-46DA-48CF-8A69-B91B44C8C231}" destId="{B9227B2A-F999-4EB1-8863-F732C6F14803}" srcOrd="0" destOrd="0" presId="urn:microsoft.com/office/officeart/2005/8/layout/process1"/>
    <dgm:cxn modelId="{380122FD-FD37-4EF1-AB34-0F226FD1171F}" type="presOf" srcId="{4CC8A525-6CCF-4409-878E-02420D417827}" destId="{86908254-533B-4293-B236-196E387DAE2F}" srcOrd="1" destOrd="0" presId="urn:microsoft.com/office/officeart/2005/8/layout/process1"/>
    <dgm:cxn modelId="{7D5D5554-50BB-4248-8A29-387BF569811C}" type="presParOf" srcId="{F8E8E18B-425C-4799-9BF9-DE282D175E29}" destId="{45F8F168-2259-4C60-AA33-97419FB14E6D}" srcOrd="0" destOrd="0" presId="urn:microsoft.com/office/officeart/2005/8/layout/process1"/>
    <dgm:cxn modelId="{B2A1EAD9-9232-4A8F-9AD7-5119D1749718}" type="presParOf" srcId="{F8E8E18B-425C-4799-9BF9-DE282D175E29}" destId="{B9227B2A-F999-4EB1-8863-F732C6F14803}" srcOrd="1" destOrd="0" presId="urn:microsoft.com/office/officeart/2005/8/layout/process1"/>
    <dgm:cxn modelId="{77D0D536-5F55-4244-B399-B512A04EA68E}" type="presParOf" srcId="{B9227B2A-F999-4EB1-8863-F732C6F14803}" destId="{BFCD9EA8-1EC1-4B35-8CEB-02E5DD08098C}" srcOrd="0" destOrd="0" presId="urn:microsoft.com/office/officeart/2005/8/layout/process1"/>
    <dgm:cxn modelId="{183E53B0-E122-4BAE-8B65-51D7B5FDE0DD}" type="presParOf" srcId="{F8E8E18B-425C-4799-9BF9-DE282D175E29}" destId="{73F90F77-AA77-49B1-B3F1-F39601654A6C}" srcOrd="2" destOrd="0" presId="urn:microsoft.com/office/officeart/2005/8/layout/process1"/>
    <dgm:cxn modelId="{2185E4F1-BAAF-460A-AE6E-3BC9F9BA783D}" type="presParOf" srcId="{F8E8E18B-425C-4799-9BF9-DE282D175E29}" destId="{A751413F-9408-4555-BC34-F21E9647C8F1}" srcOrd="3" destOrd="0" presId="urn:microsoft.com/office/officeart/2005/8/layout/process1"/>
    <dgm:cxn modelId="{01CF1561-89F0-49AE-B39A-0D8AB98EC733}" type="presParOf" srcId="{A751413F-9408-4555-BC34-F21E9647C8F1}" destId="{86908254-533B-4293-B236-196E387DAE2F}" srcOrd="0" destOrd="0" presId="urn:microsoft.com/office/officeart/2005/8/layout/process1"/>
    <dgm:cxn modelId="{C6835ACD-4FA7-42B0-B858-992E6F4432B0}" type="presParOf" srcId="{F8E8E18B-425C-4799-9BF9-DE282D175E29}" destId="{B2A51E6C-D724-4884-9A1A-E9EA34B8F2B9}" srcOrd="4" destOrd="0" presId="urn:microsoft.com/office/officeart/2005/8/layout/process1"/>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5F8F168-2259-4C60-AA33-97419FB14E6D}">
      <dsp:nvSpPr>
        <dsp:cNvPr id="0" name=""/>
        <dsp:cNvSpPr/>
      </dsp:nvSpPr>
      <dsp:spPr>
        <a:xfrm>
          <a:off x="4822" y="303605"/>
          <a:ext cx="1441251" cy="86475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US" sz="1000" b="1" kern="1200">
              <a:solidFill>
                <a:sysClr val="window" lastClr="FFFFFF"/>
              </a:solidFill>
              <a:latin typeface="Arial" panose="020B0604020202020204" pitchFamily="34" charset="0"/>
              <a:ea typeface="+mn-ea"/>
              <a:cs typeface="Arial" panose="020B0604020202020204" pitchFamily="34" charset="0"/>
            </a:rPr>
            <a:t>Clinical indications  for PCI identified and </a:t>
          </a:r>
          <a:r>
            <a:rPr lang="en-US" sz="1000" b="1" u="dbl" kern="1200" baseline="0">
              <a:solidFill>
                <a:sysClr val="window" lastClr="FFFFFF"/>
              </a:solidFill>
              <a:latin typeface="Arial" panose="020B0604020202020204" pitchFamily="34" charset="0"/>
              <a:ea typeface="+mn-ea"/>
              <a:cs typeface="Arial" panose="020B0604020202020204" pitchFamily="34" charset="0"/>
            </a:rPr>
            <a:t>documented</a:t>
          </a:r>
        </a:p>
      </dsp:txBody>
      <dsp:txXfrm>
        <a:off x="30150" y="328933"/>
        <a:ext cx="1390595" cy="814094"/>
      </dsp:txXfrm>
    </dsp:sp>
    <dsp:sp modelId="{B9227B2A-F999-4EB1-8863-F732C6F14803}">
      <dsp:nvSpPr>
        <dsp:cNvPr id="0" name=""/>
        <dsp:cNvSpPr/>
      </dsp:nvSpPr>
      <dsp:spPr>
        <a:xfrm>
          <a:off x="1590198" y="557265"/>
          <a:ext cx="305545" cy="357430"/>
        </a:xfrm>
        <a:prstGeom prst="rightArrow">
          <a:avLst>
            <a:gd name="adj1" fmla="val 600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666750">
            <a:lnSpc>
              <a:spcPct val="90000"/>
            </a:lnSpc>
            <a:spcBef>
              <a:spcPct val="0"/>
            </a:spcBef>
            <a:spcAft>
              <a:spcPct val="35000"/>
            </a:spcAft>
          </a:pPr>
          <a:endParaRPr lang="en-US" sz="1500" kern="1200">
            <a:solidFill>
              <a:sysClr val="window" lastClr="FFFFFF"/>
            </a:solidFill>
            <a:latin typeface="Calibri"/>
            <a:ea typeface="+mn-ea"/>
            <a:cs typeface="+mn-cs"/>
          </a:endParaRPr>
        </a:p>
      </dsp:txBody>
      <dsp:txXfrm>
        <a:off x="1590198" y="628751"/>
        <a:ext cx="213882" cy="214458"/>
      </dsp:txXfrm>
    </dsp:sp>
    <dsp:sp modelId="{73F90F77-AA77-49B1-B3F1-F39601654A6C}">
      <dsp:nvSpPr>
        <dsp:cNvPr id="0" name=""/>
        <dsp:cNvSpPr/>
      </dsp:nvSpPr>
      <dsp:spPr>
        <a:xfrm>
          <a:off x="2022574" y="303605"/>
          <a:ext cx="1441251" cy="86475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US" sz="1000" b="1" kern="1200">
              <a:solidFill>
                <a:sysClr val="window" lastClr="FFFFFF"/>
              </a:solidFill>
              <a:latin typeface="Arial" panose="020B0604020202020204" pitchFamily="34" charset="0"/>
              <a:ea typeface="+mn-ea"/>
              <a:cs typeface="Arial" panose="020B0604020202020204" pitchFamily="34" charset="0"/>
            </a:rPr>
            <a:t>Appropriate use of PCI</a:t>
          </a:r>
        </a:p>
      </dsp:txBody>
      <dsp:txXfrm>
        <a:off x="2047902" y="328933"/>
        <a:ext cx="1390595" cy="814094"/>
      </dsp:txXfrm>
    </dsp:sp>
    <dsp:sp modelId="{A751413F-9408-4555-BC34-F21E9647C8F1}">
      <dsp:nvSpPr>
        <dsp:cNvPr id="0" name=""/>
        <dsp:cNvSpPr/>
      </dsp:nvSpPr>
      <dsp:spPr>
        <a:xfrm>
          <a:off x="3607950" y="557265"/>
          <a:ext cx="305545" cy="357430"/>
        </a:xfrm>
        <a:prstGeom prst="rightArrow">
          <a:avLst>
            <a:gd name="adj1" fmla="val 600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666750">
            <a:lnSpc>
              <a:spcPct val="90000"/>
            </a:lnSpc>
            <a:spcBef>
              <a:spcPct val="0"/>
            </a:spcBef>
            <a:spcAft>
              <a:spcPct val="35000"/>
            </a:spcAft>
          </a:pPr>
          <a:endParaRPr lang="en-US" sz="1500" kern="1200">
            <a:solidFill>
              <a:sysClr val="window" lastClr="FFFFFF"/>
            </a:solidFill>
            <a:latin typeface="Calibri"/>
            <a:ea typeface="+mn-ea"/>
            <a:cs typeface="+mn-cs"/>
          </a:endParaRPr>
        </a:p>
      </dsp:txBody>
      <dsp:txXfrm>
        <a:off x="3607950" y="628751"/>
        <a:ext cx="213882" cy="214458"/>
      </dsp:txXfrm>
    </dsp:sp>
    <dsp:sp modelId="{B2A51E6C-D724-4884-9A1A-E9EA34B8F2B9}">
      <dsp:nvSpPr>
        <dsp:cNvPr id="0" name=""/>
        <dsp:cNvSpPr/>
      </dsp:nvSpPr>
      <dsp:spPr>
        <a:xfrm>
          <a:off x="4040326" y="303605"/>
          <a:ext cx="1441251" cy="86475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US" sz="1000" b="1" kern="1200">
              <a:solidFill>
                <a:sysClr val="window" lastClr="FFFFFF"/>
              </a:solidFill>
              <a:latin typeface="Arial" panose="020B0604020202020204" pitchFamily="34" charset="0"/>
              <a:ea typeface="+mn-ea"/>
              <a:cs typeface="Arial" panose="020B0604020202020204" pitchFamily="34" charset="0"/>
            </a:rPr>
            <a:t>Improved patient outcomes</a:t>
          </a:r>
        </a:p>
        <a:p>
          <a:pPr lvl="0" algn="ctr" defTabSz="444500">
            <a:lnSpc>
              <a:spcPct val="90000"/>
            </a:lnSpc>
            <a:spcBef>
              <a:spcPct val="0"/>
            </a:spcBef>
            <a:spcAft>
              <a:spcPct val="35000"/>
            </a:spcAft>
          </a:pPr>
          <a:r>
            <a:rPr lang="en-US" sz="1000" b="1" kern="1200">
              <a:solidFill>
                <a:sysClr val="window" lastClr="FFFFFF"/>
              </a:solidFill>
              <a:latin typeface="Arial" panose="020B0604020202020204" pitchFamily="34" charset="0"/>
              <a:ea typeface="+mn-ea"/>
              <a:cs typeface="Arial" panose="020B0604020202020204" pitchFamily="34" charset="0"/>
            </a:rPr>
            <a:t>(Improved survival </a:t>
          </a:r>
        </a:p>
        <a:p>
          <a:pPr lvl="0" algn="ctr" defTabSz="444500">
            <a:lnSpc>
              <a:spcPct val="90000"/>
            </a:lnSpc>
            <a:spcBef>
              <a:spcPct val="0"/>
            </a:spcBef>
            <a:spcAft>
              <a:spcPct val="35000"/>
            </a:spcAft>
          </a:pPr>
          <a:r>
            <a:rPr lang="en-US" sz="1000" b="1" kern="1200">
              <a:solidFill>
                <a:sysClr val="window" lastClr="FFFFFF"/>
              </a:solidFill>
              <a:latin typeface="Arial" panose="020B0604020202020204" pitchFamily="34" charset="0"/>
              <a:ea typeface="+mn-ea"/>
              <a:cs typeface="Arial" panose="020B0604020202020204" pitchFamily="34" charset="0"/>
            </a:rPr>
            <a:t>Symptom relief)</a:t>
          </a:r>
        </a:p>
      </dsp:txBody>
      <dsp:txXfrm>
        <a:off x="4065654" y="328933"/>
        <a:ext cx="1390595" cy="814094"/>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
      <w:docPartPr>
        <w:name w:val="8A37B22604104FD58FD9B5969045D3F1"/>
        <w:category>
          <w:name w:val="General"/>
          <w:gallery w:val="placeholder"/>
        </w:category>
        <w:types>
          <w:type w:val="bbPlcHdr"/>
        </w:types>
        <w:behaviors>
          <w:behavior w:val="content"/>
        </w:behaviors>
        <w:guid w:val="{B15B74BE-C7F1-4B43-A497-9CBBD12B9E10}"/>
      </w:docPartPr>
      <w:docPartBody>
        <w:p w:rsidR="000D43BF" w:rsidRDefault="005F21F3" w:rsidP="005F21F3">
          <w:pPr>
            <w:pStyle w:val="8A37B22604104FD58FD9B5969045D3F1"/>
          </w:pPr>
          <w:r w:rsidRPr="003B1CC5">
            <w:rPr>
              <w:color w:val="A6A6A6" w:themeColor="background1" w:themeShade="A6"/>
            </w:rPr>
            <w:t>Click here to n</w:t>
          </w:r>
          <w:r w:rsidRPr="003B1CC5">
            <w:rPr>
              <w:rStyle w:val="PlaceholderText"/>
              <w:rFonts w:cstheme="minorHAnsi"/>
              <w:color w:val="A6A6A6" w:themeColor="background1" w:themeShade="A6"/>
            </w:rPr>
            <w:t>ame the health outcome</w:t>
          </w:r>
        </w:p>
      </w:docPartBody>
    </w:docPart>
    <w:docPart>
      <w:docPartPr>
        <w:name w:val="962214A8263E430591B9ED4CADA7154B"/>
        <w:category>
          <w:name w:val="General"/>
          <w:gallery w:val="placeholder"/>
        </w:category>
        <w:types>
          <w:type w:val="bbPlcHdr"/>
        </w:types>
        <w:behaviors>
          <w:behavior w:val="content"/>
        </w:behaviors>
        <w:guid w:val="{6E3CE5A7-29EC-4E89-8AC1-E9F841A8DE65}"/>
      </w:docPartPr>
      <w:docPartBody>
        <w:p w:rsidR="000D43BF" w:rsidRDefault="005F21F3" w:rsidP="005F21F3">
          <w:pPr>
            <w:pStyle w:val="962214A8263E430591B9ED4CADA7154B"/>
          </w:pPr>
          <w:r w:rsidRPr="003B1CC5">
            <w:rPr>
              <w:color w:val="A6A6A6" w:themeColor="background1" w:themeShade="A6"/>
            </w:rPr>
            <w:t>Click here to n</w:t>
          </w:r>
          <w:r w:rsidRPr="003B1CC5">
            <w:rPr>
              <w:rStyle w:val="PlaceholderText"/>
              <w:rFonts w:cstheme="minorHAnsi"/>
              <w:color w:val="A6A6A6" w:themeColor="background1" w:themeShade="A6"/>
            </w:rPr>
            <w:t xml:space="preserve">ame the </w:t>
          </w:r>
          <w:r>
            <w:rPr>
              <w:rStyle w:val="PlaceholderText"/>
              <w:rFonts w:cstheme="minorHAnsi"/>
              <w:color w:val="A6A6A6" w:themeColor="background1" w:themeShade="A6"/>
            </w:rPr>
            <w:t>PRO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0D43BF"/>
    <w:rsid w:val="00160241"/>
    <w:rsid w:val="002B5F47"/>
    <w:rsid w:val="003A1E4B"/>
    <w:rsid w:val="00455EB5"/>
    <w:rsid w:val="00461C1C"/>
    <w:rsid w:val="004E2027"/>
    <w:rsid w:val="005F21F3"/>
    <w:rsid w:val="008F6A9B"/>
    <w:rsid w:val="00BE0F2D"/>
    <w:rsid w:val="00C03643"/>
    <w:rsid w:val="00C2797F"/>
    <w:rsid w:val="00C80225"/>
    <w:rsid w:val="00D228C9"/>
    <w:rsid w:val="00DB5324"/>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1A88F2-FA57-4C74-B432-A9614E4DC8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10</Pages>
  <Words>4338</Words>
  <Characters>24731</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29011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Pace</dc:creator>
  <cp:lastModifiedBy>Chavarria</cp:lastModifiedBy>
  <cp:revision>3</cp:revision>
  <dcterms:created xsi:type="dcterms:W3CDTF">2013-12-19T22:53:00Z</dcterms:created>
  <dcterms:modified xsi:type="dcterms:W3CDTF">2013-12-19T22:55:00Z</dcterms:modified>
</cp:coreProperties>
</file>