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1AB007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74374">
            <w:rPr>
              <w:rStyle w:val="Style1"/>
            </w:rPr>
            <w:t>2473</w:t>
          </w:r>
        </w:sdtContent>
      </w:sdt>
    </w:p>
    <w:p w14:paraId="55B8DA2F" w14:textId="3D392181"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A069F">
            <w:rPr>
              <w:rStyle w:val="Style1"/>
            </w:rPr>
            <w:t xml:space="preserve">Hybrid </w:t>
          </w:r>
          <w:r w:rsidR="00B343AA">
            <w:rPr>
              <w:rStyle w:val="Style1"/>
            </w:rPr>
            <w:t>Hospital 30-Day, All-Cause, Risk-Standardized Mortality Rate (RSMR) following Acute Myocardial Infarction (AMI)</w:t>
          </w:r>
        </w:sdtContent>
      </w:sdt>
    </w:p>
    <w:p w14:paraId="55B8DA30" w14:textId="3592E23F"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9247E7">
            <w:rPr>
              <w:rStyle w:val="Style1"/>
            </w:rPr>
            <w:t>n/a</w:t>
          </w:r>
        </w:sdtContent>
      </w:sdt>
    </w:p>
    <w:p w14:paraId="55B8DA31" w14:textId="0E0B80FF"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color w:val="auto"/>
            <w:u w:val="none"/>
          </w:rPr>
        </w:sdtEndPr>
        <w:sdtContent>
          <w:r w:rsidR="00EE0780">
            <w:rPr>
              <w:rStyle w:val="Style2"/>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2E3F21D6" w:rsidR="00496AF8" w:rsidRPr="003B1CC5" w:rsidRDefault="00F54BCB"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573A3A">
            <w:rPr>
              <w:rFonts w:ascii="MS Gothic" w:eastAsia="MS Gothic" w:hAnsi="MS Gothic" w:hint="eastAsia"/>
              <w:bCs/>
              <w:color w:val="0000FF"/>
              <w:u w:val="single"/>
            </w:rPr>
            <w:t>☒</w:t>
          </w:r>
        </w:sdtContent>
      </w:sdt>
      <w:r w:rsidR="0015535B" w:rsidRPr="003B1CC5">
        <w:rPr>
          <w:bCs/>
          <w:color w:val="0000FF"/>
        </w:rPr>
        <w:t xml:space="preserve"> </w:t>
      </w:r>
      <w:r w:rsidR="00CC0F87" w:rsidRPr="00295995">
        <w:rPr>
          <w:bCs/>
          <w:color w:val="0000FF"/>
          <w:highlight w:val="green"/>
        </w:rPr>
        <w:t>O</w:t>
      </w:r>
      <w:r w:rsidR="00BE6373" w:rsidRPr="00295995">
        <w:rPr>
          <w:bCs/>
          <w:highlight w:val="green"/>
        </w:rPr>
        <w:t>utc</w:t>
      </w:r>
      <w:r w:rsidR="00496AF8" w:rsidRPr="00295995">
        <w:rPr>
          <w:bCs/>
          <w:highlight w:val="green"/>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374374">
            <w:rPr>
              <w:rStyle w:val="Style2"/>
              <w:rFonts w:cstheme="minorHAnsi"/>
            </w:rPr>
            <w:t>Hospital 30-day</w:t>
          </w:r>
          <w:r w:rsidR="009247E7">
            <w:rPr>
              <w:rStyle w:val="Style2"/>
              <w:rFonts w:cstheme="minorHAnsi"/>
            </w:rPr>
            <w:t xml:space="preserve"> mortality</w:t>
          </w:r>
        </w:sdtContent>
      </w:sdt>
    </w:p>
    <w:p w14:paraId="55B8DA52" w14:textId="77777777" w:rsidR="00236F87" w:rsidRPr="003B1CC5" w:rsidRDefault="00F54BCB"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54BCB"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F54BCB"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54BC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54BC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3F0344">
        <w:rPr>
          <w:b/>
          <w:bCs/>
        </w:rPr>
        <w:t>LOGIC MODEL</w:t>
      </w:r>
      <w:r w:rsidRPr="003F0344">
        <w:rPr>
          <w:bCs/>
        </w:rPr>
        <w:t xml:space="preserve"> </w:t>
      </w:r>
      <w:r w:rsidRPr="003F0344">
        <w:rPr>
          <w:iCs/>
        </w:rPr>
        <w:t>Diagram or briefly describe</w:t>
      </w:r>
      <w:r w:rsidR="002B06BD" w:rsidRPr="003F0344">
        <w:rPr>
          <w:iCs/>
        </w:rPr>
        <w:t xml:space="preserve"> the </w:t>
      </w:r>
      <w:r w:rsidRPr="003F0344">
        <w:rPr>
          <w:iCs/>
        </w:rPr>
        <w:t>steps</w:t>
      </w:r>
      <w:r w:rsidR="00236F87" w:rsidRPr="003F0344">
        <w:rPr>
          <w:iCs/>
        </w:rPr>
        <w:t xml:space="preserve"> </w:t>
      </w:r>
      <w:r w:rsidR="002B06BD" w:rsidRPr="003F0344">
        <w:rPr>
          <w:iCs/>
        </w:rPr>
        <w:t xml:space="preserve">between </w:t>
      </w:r>
      <w:r w:rsidR="00CB06C9" w:rsidRPr="003F0344">
        <w:rPr>
          <w:iCs/>
        </w:rPr>
        <w:t>the</w:t>
      </w:r>
      <w:r w:rsidR="002B06BD" w:rsidRPr="003F0344">
        <w:rPr>
          <w:iCs/>
        </w:rPr>
        <w:t xml:space="preserve"> healthcare structure</w:t>
      </w:r>
      <w:r w:rsidR="00CB06C9" w:rsidRPr="003F0344">
        <w:rPr>
          <w:iCs/>
        </w:rPr>
        <w:t>s</w:t>
      </w:r>
      <w:r w:rsidR="00F90F82" w:rsidRPr="003F0344">
        <w:rPr>
          <w:iCs/>
        </w:rPr>
        <w:t xml:space="preserve"> and</w:t>
      </w:r>
      <w:r w:rsidR="002B06BD" w:rsidRPr="003F0344">
        <w:rPr>
          <w:iCs/>
        </w:rPr>
        <w:t xml:space="preserve"> process</w:t>
      </w:r>
      <w:r w:rsidR="00CB06C9" w:rsidRPr="003F0344">
        <w:rPr>
          <w:iCs/>
        </w:rPr>
        <w:t>es</w:t>
      </w:r>
      <w:r w:rsidRPr="003F0344">
        <w:rPr>
          <w:iCs/>
        </w:rPr>
        <w:t xml:space="preserve"> (e.g.,</w:t>
      </w:r>
      <w:r w:rsidR="002B06BD" w:rsidRPr="003F0344">
        <w:rPr>
          <w:iCs/>
        </w:rPr>
        <w:t xml:space="preserve"> intervention</w:t>
      </w:r>
      <w:r w:rsidR="00CB06C9" w:rsidRPr="003F0344">
        <w:rPr>
          <w:iCs/>
        </w:rPr>
        <w:t>s</w:t>
      </w:r>
      <w:r w:rsidR="002B06BD" w:rsidRPr="003F0344">
        <w:rPr>
          <w:iCs/>
        </w:rPr>
        <w:t>, or service</w:t>
      </w:r>
      <w:r w:rsidR="00CB06C9" w:rsidRPr="003F0344">
        <w:rPr>
          <w:iCs/>
        </w:rPr>
        <w:t>s</w:t>
      </w:r>
      <w:r w:rsidRPr="003F0344">
        <w:rPr>
          <w:iCs/>
        </w:rPr>
        <w:t>)</w:t>
      </w:r>
      <w:r w:rsidR="00CB06C9" w:rsidRPr="003F0344">
        <w:rPr>
          <w:iCs/>
        </w:rPr>
        <w:t xml:space="preserve"> </w:t>
      </w:r>
      <w:r w:rsidRPr="003F0344">
        <w:rPr>
          <w:iCs/>
        </w:rPr>
        <w:t>and the patient’s health outcome</w:t>
      </w:r>
      <w:r w:rsidR="00F90F82" w:rsidRPr="003F0344">
        <w:rPr>
          <w:iCs/>
        </w:rPr>
        <w:t>(s)</w:t>
      </w:r>
      <w:r w:rsidRPr="003F0344">
        <w:rPr>
          <w:iCs/>
        </w:rPr>
        <w:t xml:space="preserve">. The relationships in the diagram should be easily understood by general, non-technical audiences. Indicate the </w:t>
      </w:r>
      <w:r w:rsidR="00F90F82" w:rsidRPr="003F0344">
        <w:rPr>
          <w:iCs/>
        </w:rPr>
        <w:t xml:space="preserve">structure, </w:t>
      </w:r>
      <w:r w:rsidRPr="003F0344">
        <w:rPr>
          <w:iCs/>
        </w:rPr>
        <w:t>process or outcome being measured.</w:t>
      </w:r>
    </w:p>
    <w:p w14:paraId="22961653" w14:textId="414114DF" w:rsidR="003D0E85" w:rsidRDefault="003D0E85" w:rsidP="003D0E85">
      <w:pPr>
        <w:pBdr>
          <w:top w:val="single" w:sz="4" w:space="1" w:color="auto"/>
          <w:left w:val="single" w:sz="4" w:space="4" w:color="auto"/>
          <w:bottom w:val="single" w:sz="4" w:space="1" w:color="auto"/>
          <w:right w:val="single" w:sz="4" w:space="4" w:color="auto"/>
        </w:pBdr>
        <w:ind w:left="0" w:firstLine="0"/>
      </w:pPr>
      <w:r>
        <w:object w:dxaOrig="10935" w:dyaOrig="5085" w14:anchorId="2A01D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3in" o:ole="">
            <v:imagedata r:id="rId16" o:title=""/>
          </v:shape>
          <o:OLEObject Type="Embed" ProgID="Visio.Drawing.11" ShapeID="_x0000_i1025" DrawAspect="Content" ObjectID="_1583577544" r:id="rId17"/>
        </w:object>
      </w:r>
    </w:p>
    <w:p w14:paraId="72E34511" w14:textId="0F1D1C23" w:rsidR="003D0E85" w:rsidRDefault="003D0E85" w:rsidP="003D0E85">
      <w:pPr>
        <w:pBdr>
          <w:top w:val="single" w:sz="4" w:space="1" w:color="auto"/>
          <w:left w:val="single" w:sz="4" w:space="4" w:color="auto"/>
          <w:bottom w:val="single" w:sz="4" w:space="1" w:color="auto"/>
          <w:right w:val="single" w:sz="4" w:space="4" w:color="auto"/>
        </w:pBdr>
        <w:ind w:left="0" w:firstLine="0"/>
      </w:pPr>
      <w:r w:rsidRPr="005D7067">
        <w:rPr>
          <w:color w:val="000000"/>
        </w:rPr>
        <w:t xml:space="preserve">The goal of this measure is to improve patient outcomes by providing patients, physicians, and hospitals with information about hospital-level, risk-standardized mortality rates following hospitalization for </w:t>
      </w:r>
      <w:r w:rsidR="00374374">
        <w:rPr>
          <w:color w:val="000000"/>
        </w:rPr>
        <w:t>acute myocardial infarction (AMI)</w:t>
      </w:r>
      <w:r>
        <w:rPr>
          <w:color w:val="000000"/>
        </w:rPr>
        <w:t>.</w:t>
      </w:r>
      <w:r w:rsidRPr="005D7067">
        <w:rPr>
          <w:color w:val="000000"/>
        </w:rPr>
        <w:t xml:space="preserve">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risk-adjust for patients’ conditions at the time of hospital admission and then evaluate patient outcomes. This mortality measure was developed to identify institutions, whose </w:t>
      </w:r>
      <w:r w:rsidRPr="005D7067">
        <w:rPr>
          <w:color w:val="000000"/>
        </w:rPr>
        <w:lastRenderedPageBreak/>
        <w:t>performance is better or worse than would be expected based on their patient case-mix, and therefore promote hospital quality improvement and better inform consumers about care quality</w:t>
      </w:r>
      <w:r w:rsidRPr="005D7067">
        <w:t>.</w:t>
      </w:r>
    </w:p>
    <w:p w14:paraId="6ACD3185" w14:textId="03B1173F" w:rsidR="00295995" w:rsidRDefault="00295995" w:rsidP="003D0E85">
      <w:pPr>
        <w:pBdr>
          <w:top w:val="single" w:sz="4" w:space="1" w:color="auto"/>
          <w:left w:val="single" w:sz="4" w:space="4" w:color="auto"/>
          <w:bottom w:val="single" w:sz="4" w:space="1" w:color="auto"/>
          <w:right w:val="single" w:sz="4" w:space="4" w:color="auto"/>
        </w:pBdr>
        <w:ind w:left="0" w:firstLine="0"/>
      </w:pPr>
    </w:p>
    <w:p w14:paraId="3BD57B77" w14:textId="6FF5946C" w:rsidR="00295995" w:rsidRDefault="00295995" w:rsidP="003D0E85">
      <w:pPr>
        <w:pBdr>
          <w:top w:val="single" w:sz="4" w:space="1" w:color="auto"/>
          <w:left w:val="single" w:sz="4" w:space="4" w:color="auto"/>
          <w:bottom w:val="single" w:sz="4" w:space="1" w:color="auto"/>
          <w:right w:val="single" w:sz="4" w:space="4" w:color="auto"/>
        </w:pBdr>
        <w:ind w:left="0" w:firstLine="0"/>
      </w:pPr>
      <w:r w:rsidRPr="00864657">
        <w:t xml:space="preserve">Because it is developed for use in EHRs, this measure can utilize detailed clinical data without requiring the investment of resources currently needed to collect registry or medical record-abstracted data. This </w:t>
      </w:r>
      <w:r>
        <w:t>Hybrid</w:t>
      </w:r>
      <w:r w:rsidRPr="00864657">
        <w:t xml:space="preserve"> measure of AMI mortality responds to stakeholders’ interest in using clinical data from medical records for risk adjustment in outcome measures.  This measure will provide critical insight into AMI outcomes across hospitals, using clinical data for risk adjustment without undue burden on hospitals</w:t>
      </w:r>
    </w:p>
    <w:p w14:paraId="55B8DA5B" w14:textId="77777777" w:rsidR="002B06BD" w:rsidRPr="003B1CC5" w:rsidRDefault="002B06BD" w:rsidP="003F0344">
      <w:pPr>
        <w:pBdr>
          <w:top w:val="single" w:sz="4" w:space="1" w:color="auto"/>
          <w:left w:val="single" w:sz="4" w:space="4" w:color="auto"/>
          <w:bottom w:val="single" w:sz="4" w:space="1" w:color="auto"/>
          <w:right w:val="single" w:sz="4" w:space="4" w:color="auto"/>
        </w:pBdr>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sidRPr="007B6FED">
        <w:rPr>
          <w:b/>
          <w:bCs/>
          <w:color w:val="0000FF"/>
        </w:rPr>
        <w:t>1a.3</w:t>
      </w:r>
      <w:r w:rsidRPr="007B6FED">
        <w:rPr>
          <w:bCs/>
        </w:rPr>
        <w:t xml:space="preserve"> </w:t>
      </w:r>
      <w:r w:rsidRPr="003F0344">
        <w:rPr>
          <w:b/>
          <w:bCs/>
        </w:rPr>
        <w:t xml:space="preserve">Value and Meaningfulness:  </w:t>
      </w:r>
      <w:r w:rsidRPr="003F0344">
        <w:rPr>
          <w:bCs/>
        </w:rPr>
        <w:t xml:space="preserve"> </w:t>
      </w:r>
      <w:r w:rsidRPr="003F0344">
        <w:rPr>
          <w:b/>
          <w:iCs/>
        </w:rPr>
        <w:t xml:space="preserve">IF </w:t>
      </w:r>
      <w:r w:rsidRPr="003F0344">
        <w:rPr>
          <w:iCs/>
        </w:rPr>
        <w:t xml:space="preserve">this measure is derived from patient report, provide evidence that the target population values the measured </w:t>
      </w:r>
      <w:r w:rsidRPr="003F0344">
        <w:rPr>
          <w:b/>
          <w:i/>
          <w:iCs/>
        </w:rPr>
        <w:t>outcome, process, or structure</w:t>
      </w:r>
      <w:r w:rsidRPr="003F0344">
        <w:rPr>
          <w:iCs/>
        </w:rPr>
        <w:t xml:space="preserve"> and finds it meaningful. (Describe how and from whom their input was obtained.)</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515FDB">
        <w:rPr>
          <w:b/>
          <w:color w:val="0000FF"/>
          <w:highlight w:val="cyan"/>
        </w:rPr>
        <w:t>1</w:t>
      </w:r>
      <w:r w:rsidR="00773485" w:rsidRPr="00515FDB">
        <w:rPr>
          <w:b/>
          <w:color w:val="0000FF"/>
          <w:highlight w:val="cyan"/>
        </w:rPr>
        <w:t>a</w:t>
      </w:r>
      <w:r w:rsidRPr="00515FDB">
        <w:rPr>
          <w:b/>
          <w:color w:val="0000FF"/>
          <w:highlight w:val="cyan"/>
        </w:rPr>
        <w:t>.2</w:t>
      </w:r>
      <w:r w:rsidR="00E41417" w:rsidRPr="00515FDB">
        <w:rPr>
          <w:iCs/>
          <w:highlight w:val="cyan"/>
        </w:rPr>
        <w:t xml:space="preserve"> </w:t>
      </w:r>
      <w:r w:rsidR="00C41794" w:rsidRPr="00515FDB">
        <w:rPr>
          <w:b/>
          <w:highlight w:val="cyan"/>
        </w:rPr>
        <w:t>FOR OUTCOME MEASURES including PATIENT REPORTED OUTCOMES</w:t>
      </w:r>
      <w:r w:rsidR="003D6721" w:rsidRPr="00515FDB">
        <w:rPr>
          <w:b/>
          <w:highlight w:val="cyan"/>
        </w:rPr>
        <w:t xml:space="preserve"> </w:t>
      </w:r>
      <w:r w:rsidR="00C41794" w:rsidRPr="00515FDB">
        <w:rPr>
          <w:b/>
          <w:highlight w:val="cyan"/>
        </w:rPr>
        <w:t>-</w:t>
      </w:r>
      <w:r w:rsidR="00C41794" w:rsidRPr="00515FDB">
        <w:rPr>
          <w:b/>
          <w:iCs/>
          <w:highlight w:val="cyan"/>
        </w:rPr>
        <w:t xml:space="preserve"> </w:t>
      </w:r>
      <w:r w:rsidR="003D6721" w:rsidRPr="00515FDB">
        <w:rPr>
          <w:b/>
          <w:iCs/>
          <w:highlight w:val="cyan"/>
        </w:rPr>
        <w:t xml:space="preserve">Provide empirical data demonstrating </w:t>
      </w:r>
      <w:r w:rsidR="008B51D9" w:rsidRPr="00515FDB">
        <w:rPr>
          <w:b/>
          <w:iCs/>
          <w:highlight w:val="cyan"/>
        </w:rPr>
        <w:t xml:space="preserve">the </w:t>
      </w:r>
      <w:r w:rsidR="005D25E9" w:rsidRPr="00515FDB">
        <w:rPr>
          <w:b/>
          <w:iCs/>
          <w:highlight w:val="cyan"/>
        </w:rPr>
        <w:t xml:space="preserve">relationship </w:t>
      </w:r>
      <w:r w:rsidR="00AC1E53" w:rsidRPr="00515FDB">
        <w:rPr>
          <w:b/>
          <w:iCs/>
          <w:highlight w:val="cyan"/>
        </w:rPr>
        <w:t>between</w:t>
      </w:r>
      <w:r w:rsidR="005D25E9" w:rsidRPr="00515FDB">
        <w:rPr>
          <w:b/>
          <w:iCs/>
          <w:highlight w:val="cyan"/>
        </w:rPr>
        <w:t xml:space="preserve"> the </w:t>
      </w:r>
      <w:r w:rsidR="008B51D9" w:rsidRPr="00515FDB">
        <w:rPr>
          <w:b/>
          <w:iCs/>
          <w:highlight w:val="cyan"/>
        </w:rPr>
        <w:t>outcome</w:t>
      </w:r>
      <w:r w:rsidR="005857F8" w:rsidRPr="00515FDB">
        <w:rPr>
          <w:b/>
          <w:iCs/>
          <w:highlight w:val="cyan"/>
        </w:rPr>
        <w:t xml:space="preserve"> </w:t>
      </w:r>
      <w:r w:rsidR="00AA5587" w:rsidRPr="00515FDB">
        <w:rPr>
          <w:b/>
          <w:iCs/>
          <w:highlight w:val="cyan"/>
        </w:rPr>
        <w:t>(</w:t>
      </w:r>
      <w:r w:rsidR="005857F8" w:rsidRPr="00515FDB">
        <w:rPr>
          <w:b/>
          <w:iCs/>
          <w:highlight w:val="cyan"/>
        </w:rPr>
        <w:t>or PRO</w:t>
      </w:r>
      <w:r w:rsidR="00AA5587" w:rsidRPr="00515FDB">
        <w:rPr>
          <w:b/>
          <w:iCs/>
          <w:highlight w:val="cyan"/>
        </w:rPr>
        <w:t>)</w:t>
      </w:r>
      <w:r w:rsidR="008B51D9" w:rsidRPr="00515FDB">
        <w:rPr>
          <w:b/>
          <w:iCs/>
          <w:highlight w:val="cyan"/>
        </w:rPr>
        <w:t xml:space="preserve"> </w:t>
      </w:r>
      <w:r w:rsidR="005D25E9" w:rsidRPr="00515FDB">
        <w:rPr>
          <w:b/>
          <w:iCs/>
          <w:highlight w:val="cyan"/>
        </w:rPr>
        <w:t>to</w:t>
      </w:r>
      <w:r w:rsidR="00236F87" w:rsidRPr="00515FDB">
        <w:rPr>
          <w:b/>
          <w:iCs/>
          <w:highlight w:val="cyan"/>
        </w:rPr>
        <w:t xml:space="preserve"> </w:t>
      </w:r>
      <w:r w:rsidR="00496AF8" w:rsidRPr="00515FDB">
        <w:rPr>
          <w:b/>
          <w:iCs/>
          <w:highlight w:val="cyan"/>
        </w:rPr>
        <w:t>at least one</w:t>
      </w:r>
      <w:r w:rsidR="009B5BEA" w:rsidRPr="00515FDB">
        <w:rPr>
          <w:b/>
          <w:iCs/>
          <w:highlight w:val="cyan"/>
        </w:rPr>
        <w:t xml:space="preserve"> </w:t>
      </w:r>
      <w:r w:rsidR="003D6721" w:rsidRPr="00515FDB">
        <w:rPr>
          <w:b/>
          <w:iCs/>
          <w:highlight w:val="cyan"/>
        </w:rPr>
        <w:t xml:space="preserve">healthcare structure, process, </w:t>
      </w:r>
      <w:r w:rsidR="00496AF8" w:rsidRPr="00515FDB">
        <w:rPr>
          <w:b/>
          <w:iCs/>
          <w:highlight w:val="cyan"/>
        </w:rPr>
        <w:t>intervention, or service</w:t>
      </w:r>
      <w:r w:rsidR="00676BD4" w:rsidRPr="00515FDB">
        <w:rPr>
          <w:b/>
          <w:iCs/>
          <w:highlight w:val="cyan"/>
        </w:rPr>
        <w:t>.</w:t>
      </w:r>
      <w:r w:rsidR="00AC1E53">
        <w:rPr>
          <w:b/>
          <w:iCs/>
        </w:rPr>
        <w:t xml:space="preserve"> </w:t>
      </w:r>
    </w:p>
    <w:p w14:paraId="79E56B4B" w14:textId="4A46FFE4" w:rsidR="00F03892" w:rsidRDefault="00F03892" w:rsidP="003F0344">
      <w:pPr>
        <w:pBdr>
          <w:top w:val="single" w:sz="4" w:space="1" w:color="auto"/>
          <w:left w:val="single" w:sz="4" w:space="4" w:color="auto"/>
          <w:bottom w:val="single" w:sz="4" w:space="1" w:color="auto"/>
          <w:right w:val="single" w:sz="4" w:space="4" w:color="auto"/>
        </w:pBdr>
        <w:ind w:left="0" w:firstLine="0"/>
        <w:rPr>
          <w:rFonts w:cstheme="minorHAnsi"/>
          <w:bCs/>
        </w:rPr>
      </w:pPr>
      <w:r w:rsidRPr="00F03892">
        <w:rPr>
          <w:rFonts w:cstheme="minorHAnsi"/>
          <w:bCs/>
        </w:rPr>
        <w:t>The measures assess mortality within a 30-day period from the date of the index admission. From a patient perspective, death is a critical outcome regardless of cause.</w:t>
      </w:r>
      <w:r>
        <w:rPr>
          <w:rFonts w:cstheme="minorHAnsi"/>
          <w:bCs/>
        </w:rPr>
        <w:t xml:space="preserve"> </w:t>
      </w:r>
      <w:r w:rsidRPr="00F03892">
        <w:rPr>
          <w:rFonts w:cstheme="minorHAnsi"/>
          <w:bCs/>
        </w:rPr>
        <w:t>The measures use a 30-day time frame because older adult patients are more vulnerable to adverse health outcome</w:t>
      </w:r>
      <w:r>
        <w:rPr>
          <w:rFonts w:cstheme="minorHAnsi"/>
          <w:bCs/>
        </w:rPr>
        <w:t xml:space="preserve">s occurring during this time. </w:t>
      </w:r>
      <w:r w:rsidRPr="00F03892">
        <w:rPr>
          <w:rFonts w:cstheme="minorHAnsi"/>
          <w:bCs/>
        </w:rPr>
        <w:t xml:space="preserve">Death within 30 days of the start of the admission can be influenced by hospital care and the early transition to the non-acute care setting. The 30-day time frame is a clinically meaningful period for hospitals to collaborate with their communities in </w:t>
      </w:r>
      <w:r>
        <w:rPr>
          <w:rFonts w:cstheme="minorHAnsi"/>
          <w:bCs/>
        </w:rPr>
        <w:t>an effort to reduce mortality.</w:t>
      </w:r>
    </w:p>
    <w:p w14:paraId="45FA7C02" w14:textId="6600CFDE" w:rsidR="00295995" w:rsidRDefault="00295995" w:rsidP="00B271CD">
      <w:pPr>
        <w:pBdr>
          <w:top w:val="single" w:sz="4" w:space="1" w:color="auto"/>
          <w:left w:val="single" w:sz="4" w:space="4" w:color="auto"/>
          <w:bottom w:val="single" w:sz="4" w:space="1" w:color="auto"/>
          <w:right w:val="single" w:sz="4" w:space="4" w:color="auto"/>
        </w:pBdr>
        <w:rPr>
          <w:rFonts w:cstheme="minorHAnsi"/>
          <w:bCs/>
        </w:rPr>
      </w:pPr>
    </w:p>
    <w:p w14:paraId="483376CD" w14:textId="3A6E1FDB" w:rsidR="00295995" w:rsidRDefault="00295995" w:rsidP="007B6FED">
      <w:pPr>
        <w:pBdr>
          <w:top w:val="single" w:sz="4" w:space="1" w:color="auto"/>
          <w:left w:val="single" w:sz="4" w:space="4" w:color="auto"/>
          <w:bottom w:val="single" w:sz="4" w:space="1" w:color="auto"/>
          <w:right w:val="single" w:sz="4" w:space="4" w:color="auto"/>
        </w:pBdr>
        <w:ind w:left="0" w:firstLine="0"/>
        <w:rPr>
          <w:rFonts w:cstheme="minorHAnsi"/>
          <w:bCs/>
        </w:rPr>
      </w:pPr>
      <w:r w:rsidRPr="00295995">
        <w:rPr>
          <w:rFonts w:cstheme="minorHAnsi"/>
          <w:bCs/>
        </w:rPr>
        <w:t>Complex and critical aspects of care – such as communication between providers, prevention of and response to complications, patient safety, and coordinated transitions to the outpatient environment – all contribute to patient outcomes but are difficult to measure by individual process measures. Furthermore, recent work has identified specific strategies utilized by hospitals that achieve low AMI mortality rates (Bradley et al., 2012; Curry et al., 2011). These strategies include having cardiologists on site, the presence of physician and nurse champions, and promoting strong communication and coordination across disciplines and departments. This work demonstrates the relationship between hospital organizational factors and performance on the AMI mortality measures and supports the ability of hospitals to impact these rates.</w:t>
      </w:r>
    </w:p>
    <w:p w14:paraId="7A39EFD3" w14:textId="77777777" w:rsidR="00295995" w:rsidRDefault="00295995" w:rsidP="00B271CD">
      <w:pPr>
        <w:pBdr>
          <w:top w:val="single" w:sz="4" w:space="1" w:color="auto"/>
          <w:left w:val="single" w:sz="4" w:space="4" w:color="auto"/>
          <w:bottom w:val="single" w:sz="4" w:space="1" w:color="auto"/>
          <w:right w:val="single" w:sz="4" w:space="4" w:color="auto"/>
        </w:pBdr>
        <w:rPr>
          <w:rFonts w:cstheme="minorHAnsi"/>
          <w:bCs/>
        </w:rPr>
      </w:pPr>
    </w:p>
    <w:p w14:paraId="20139685" w14:textId="7253BA6C" w:rsidR="00F03892" w:rsidRDefault="00F03892" w:rsidP="00B271CD">
      <w:pPr>
        <w:pBdr>
          <w:top w:val="single" w:sz="4" w:space="1" w:color="auto"/>
          <w:left w:val="single" w:sz="4" w:space="4" w:color="auto"/>
          <w:bottom w:val="single" w:sz="4" w:space="1" w:color="auto"/>
          <w:right w:val="single" w:sz="4" w:space="4" w:color="auto"/>
        </w:pBdr>
        <w:rPr>
          <w:rFonts w:cstheme="minorHAnsi"/>
          <w:bCs/>
        </w:rPr>
      </w:pPr>
      <w:r>
        <w:rPr>
          <w:rFonts w:cstheme="minorHAnsi"/>
          <w:bCs/>
        </w:rPr>
        <w:t>Reference:</w:t>
      </w:r>
    </w:p>
    <w:p w14:paraId="5729C64B" w14:textId="0B23E7BB" w:rsidR="00295995" w:rsidRDefault="00F03892" w:rsidP="003F0344">
      <w:pPr>
        <w:pBdr>
          <w:top w:val="single" w:sz="4" w:space="1" w:color="auto"/>
          <w:left w:val="single" w:sz="4" w:space="4" w:color="auto"/>
          <w:bottom w:val="single" w:sz="4" w:space="1" w:color="auto"/>
          <w:right w:val="single" w:sz="4" w:space="4" w:color="auto"/>
        </w:pBdr>
        <w:ind w:left="0" w:firstLine="0"/>
        <w:rPr>
          <w:iCs/>
        </w:rPr>
      </w:pPr>
      <w:r>
        <w:rPr>
          <w:rFonts w:cstheme="minorHAnsi"/>
          <w:bCs/>
        </w:rPr>
        <w:t xml:space="preserve">1. </w:t>
      </w:r>
      <w:r w:rsidR="00295995" w:rsidRPr="00295995">
        <w:rPr>
          <w:iCs/>
        </w:rPr>
        <w:t>Bradley EH, Curry LA, Spatz ES, Herrin J, Cherlin EJ, Curtis JP, Thompson JW, Ting HH, Wang Y, Krumholz HM. Hospital strategies for reducing risk-standardized mortality rates in acute myocardial infarction. Ann Intern Med. 2012 May 1;156(9):618-26.</w:t>
      </w:r>
    </w:p>
    <w:p w14:paraId="31245CE8" w14:textId="7D322E20" w:rsidR="00F03892" w:rsidRPr="00295995" w:rsidRDefault="00295995" w:rsidP="003F0344">
      <w:pPr>
        <w:pBdr>
          <w:top w:val="single" w:sz="4" w:space="1" w:color="auto"/>
          <w:left w:val="single" w:sz="4" w:space="4" w:color="auto"/>
          <w:bottom w:val="single" w:sz="4" w:space="1" w:color="auto"/>
          <w:right w:val="single" w:sz="4" w:space="4" w:color="auto"/>
        </w:pBdr>
        <w:ind w:left="0" w:firstLine="0"/>
        <w:rPr>
          <w:iCs/>
        </w:rPr>
      </w:pPr>
      <w:r>
        <w:rPr>
          <w:iCs/>
        </w:rPr>
        <w:t xml:space="preserve">2. </w:t>
      </w:r>
      <w:r w:rsidR="00F03892" w:rsidRPr="00F03892">
        <w:rPr>
          <w:rFonts w:cstheme="minorHAnsi"/>
          <w:bCs/>
        </w:rPr>
        <w:t>Dharmarajan K, Hsieh AF, Kulkarni VT, et al. Trajectories of risk after hospitalization for heart failure, acute myocardial infarction, or pneumonia: retrospective cohort study. BMJ (Clinical research ed). 2015;350:h411.</w:t>
      </w:r>
    </w:p>
    <w:p w14:paraId="46BAD1AA" w14:textId="757A7E45" w:rsidR="00295995" w:rsidRDefault="00295995" w:rsidP="00302D01">
      <w:pPr>
        <w:pBdr>
          <w:top w:val="single" w:sz="4" w:space="1" w:color="auto"/>
          <w:left w:val="single" w:sz="4" w:space="4" w:color="auto"/>
          <w:bottom w:val="single" w:sz="4" w:space="1" w:color="auto"/>
          <w:right w:val="single" w:sz="4" w:space="4" w:color="auto"/>
        </w:pBdr>
        <w:ind w:left="0" w:firstLine="0"/>
        <w:rPr>
          <w:iCs/>
        </w:rPr>
      </w:pPr>
      <w:r>
        <w:rPr>
          <w:rFonts w:cstheme="minorHAnsi"/>
          <w:bCs/>
        </w:rPr>
        <w:t>3</w:t>
      </w:r>
      <w:r w:rsidR="00F03892">
        <w:rPr>
          <w:rFonts w:cstheme="minorHAnsi"/>
          <w:bCs/>
        </w:rPr>
        <w:t xml:space="preserve">. </w:t>
      </w:r>
      <w:r w:rsidRPr="00295995">
        <w:rPr>
          <w:iCs/>
        </w:rPr>
        <w:t>Curry LA, Spatz E, Cherlin E, Thompson JW, Berg D, Ting HH, Decker C, Krumholz HM, Bradley EH.</w:t>
      </w:r>
      <w:r w:rsidR="00302D01">
        <w:rPr>
          <w:iCs/>
        </w:rPr>
        <w:t xml:space="preserve"> </w:t>
      </w:r>
      <w:r w:rsidRPr="00295995">
        <w:rPr>
          <w:iCs/>
        </w:rPr>
        <w:t>What distinguishes top-performing hospitals in acute myocardial infarction mortality rates? A qualitative study. Ann Intern Med. 2011 Mar 15;154(6):384-90.</w:t>
      </w:r>
    </w:p>
    <w:p w14:paraId="1012449B" w14:textId="04BF6956" w:rsidR="00295995" w:rsidRPr="003B1CC5" w:rsidRDefault="00295995" w:rsidP="00515FDB">
      <w:pPr>
        <w:pBdr>
          <w:top w:val="single" w:sz="4" w:space="1" w:color="auto"/>
          <w:left w:val="single" w:sz="4" w:space="4" w:color="auto"/>
          <w:bottom w:val="single" w:sz="4" w:space="1" w:color="auto"/>
          <w:right w:val="single" w:sz="4" w:space="4" w:color="auto"/>
        </w:pBdr>
        <w:ind w:left="0" w:firstLine="0"/>
        <w:rPr>
          <w:iCs/>
        </w:rPr>
      </w:pPr>
      <w:r>
        <w:rPr>
          <w:rFonts w:cstheme="minorHAnsi"/>
          <w:bCs/>
        </w:rPr>
        <w:lastRenderedPageBreak/>
        <w:t xml:space="preserve">4. </w:t>
      </w:r>
      <w:r w:rsidR="00F03892" w:rsidRPr="00F03892">
        <w:rPr>
          <w:rFonts w:cstheme="minorHAnsi"/>
          <w:bCs/>
        </w:rPr>
        <w:t>Drye E, Normand S, Wang Y, et al. Comparison of hospital risk-standardized mortality rates calculated by using in-hospital and 30-day models: an observational study with implications for hospital profiling. Annals of internal medicine. 2012;156(1 Pt 1):19-26.</w:t>
      </w:r>
    </w:p>
    <w:p w14:paraId="55B8DA65" w14:textId="77777777" w:rsidR="00676BD4" w:rsidRDefault="00676BD4" w:rsidP="002E2177">
      <w:pPr>
        <w:ind w:left="0" w:firstLine="0"/>
        <w:rPr>
          <w:i/>
          <w:iCs/>
          <w:highlight w:val="green"/>
          <w:u w:val="single"/>
        </w:rPr>
      </w:pPr>
    </w:p>
    <w:p w14:paraId="55B8DA66" w14:textId="3265D188"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bookmarkStart w:id="6" w:name="_GoBack"/>
      <w:bookmarkEnd w:id="6"/>
      <w:r w:rsidR="00C41794">
        <w:rPr>
          <w:b/>
          <w:iCs/>
          <w:color w:val="0000FF"/>
        </w:rPr>
        <w:t>(</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lastRenderedPageBreak/>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3164B">
      <w:pPr>
        <w:pBdr>
          <w:top w:val="single" w:sz="4" w:space="1" w:color="auto"/>
          <w:left w:val="single" w:sz="4" w:space="4" w:color="auto"/>
          <w:bottom w:val="single" w:sz="4" w:space="1" w:color="auto"/>
          <w:right w:val="single" w:sz="4" w:space="4" w:color="auto"/>
        </w:pBdr>
        <w:ind w:left="0" w:firstLine="0"/>
      </w:pPr>
    </w:p>
    <w:p w14:paraId="55B8DA99" w14:textId="179B58E5"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3DAE05F5" w14:textId="77777777" w:rsidR="0023164B" w:rsidRPr="000E5C93" w:rsidRDefault="0023164B" w:rsidP="0023164B">
      <w:pPr>
        <w:pBdr>
          <w:top w:val="single" w:sz="4" w:space="1" w:color="auto"/>
          <w:left w:val="single" w:sz="4" w:space="4" w:color="auto"/>
          <w:bottom w:val="single" w:sz="4" w:space="1" w:color="auto"/>
          <w:right w:val="single" w:sz="4" w:space="4" w:color="auto"/>
        </w:pBdr>
        <w:ind w:left="0" w:firstLine="0"/>
        <w:rPr>
          <w:color w:val="0070C0"/>
        </w:rPr>
      </w:pP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3164B">
      <w:pPr>
        <w:pBdr>
          <w:top w:val="single" w:sz="4" w:space="1" w:color="auto"/>
          <w:left w:val="single" w:sz="4" w:space="4" w:color="auto"/>
          <w:bottom w:val="single" w:sz="4" w:space="1" w:color="auto"/>
          <w:right w:val="single" w:sz="4" w:space="4" w:color="auto"/>
        </w:pBdr>
        <w:ind w:left="0" w:firstLine="0"/>
      </w:pPr>
    </w:p>
    <w:p w14:paraId="458A5710" w14:textId="77777777" w:rsidR="0023164B" w:rsidRDefault="0023164B" w:rsidP="002E2177">
      <w:pPr>
        <w:ind w:left="0" w:firstLine="0"/>
        <w:rPr>
          <w:b/>
          <w:color w:val="0000FF"/>
        </w:rPr>
      </w:pPr>
    </w:p>
    <w:p w14:paraId="55B8DA9D" w14:textId="15C51A30"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401DA035" w14:textId="77777777" w:rsidR="0023164B" w:rsidRPr="001B772D" w:rsidRDefault="0023164B" w:rsidP="0023164B">
      <w:pPr>
        <w:pBdr>
          <w:top w:val="single" w:sz="4" w:space="1" w:color="auto"/>
          <w:left w:val="single" w:sz="4" w:space="4" w:color="auto"/>
          <w:bottom w:val="single" w:sz="4" w:space="1" w:color="auto"/>
          <w:right w:val="single" w:sz="4" w:space="4" w:color="auto"/>
        </w:pBdr>
        <w:ind w:left="0" w:firstLine="0"/>
      </w:pPr>
    </w:p>
    <w:sectPr w:rsidR="0023164B" w:rsidRPr="001B772D">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FC3FC" w14:textId="77777777" w:rsidR="00F54BCB" w:rsidRDefault="00F54BCB" w:rsidP="007E37A5">
      <w:r>
        <w:separator/>
      </w:r>
    </w:p>
  </w:endnote>
  <w:endnote w:type="continuationSeparator" w:id="0">
    <w:p w14:paraId="0EA7C560" w14:textId="77777777" w:rsidR="00F54BCB" w:rsidRDefault="00F54BC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0B4D9689"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F4C23">
      <w:rPr>
        <w:noProof/>
      </w:rPr>
      <w:t>5</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174C0" w14:textId="77777777" w:rsidR="00F54BCB" w:rsidRDefault="00F54BCB" w:rsidP="007E37A5">
      <w:r>
        <w:separator/>
      </w:r>
    </w:p>
  </w:footnote>
  <w:footnote w:type="continuationSeparator" w:id="0">
    <w:p w14:paraId="41468BE9" w14:textId="77777777" w:rsidR="00F54BCB" w:rsidRDefault="00F54BCB"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40EED"/>
    <w:rsid w:val="00052C0B"/>
    <w:rsid w:val="00061CF3"/>
    <w:rsid w:val="00063601"/>
    <w:rsid w:val="00073079"/>
    <w:rsid w:val="0007593F"/>
    <w:rsid w:val="00093539"/>
    <w:rsid w:val="00095EC9"/>
    <w:rsid w:val="00096A37"/>
    <w:rsid w:val="000A0810"/>
    <w:rsid w:val="000B627F"/>
    <w:rsid w:val="000B764E"/>
    <w:rsid w:val="000C2830"/>
    <w:rsid w:val="000D649E"/>
    <w:rsid w:val="000D6D06"/>
    <w:rsid w:val="000E5B2B"/>
    <w:rsid w:val="000E5C93"/>
    <w:rsid w:val="000F4A7F"/>
    <w:rsid w:val="00114848"/>
    <w:rsid w:val="00120934"/>
    <w:rsid w:val="00124501"/>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C60D7"/>
    <w:rsid w:val="001D5B5D"/>
    <w:rsid w:val="001E6153"/>
    <w:rsid w:val="00201FF9"/>
    <w:rsid w:val="00205857"/>
    <w:rsid w:val="0023164B"/>
    <w:rsid w:val="00235ADC"/>
    <w:rsid w:val="00236F87"/>
    <w:rsid w:val="002510D1"/>
    <w:rsid w:val="00265702"/>
    <w:rsid w:val="002662B2"/>
    <w:rsid w:val="00267E51"/>
    <w:rsid w:val="002717C7"/>
    <w:rsid w:val="002875E9"/>
    <w:rsid w:val="00287EB3"/>
    <w:rsid w:val="00295995"/>
    <w:rsid w:val="002A47BA"/>
    <w:rsid w:val="002A6777"/>
    <w:rsid w:val="002B06BD"/>
    <w:rsid w:val="002C0E48"/>
    <w:rsid w:val="002C6F04"/>
    <w:rsid w:val="002E2177"/>
    <w:rsid w:val="002E2E41"/>
    <w:rsid w:val="002E78CD"/>
    <w:rsid w:val="002F20A7"/>
    <w:rsid w:val="003008F4"/>
    <w:rsid w:val="00302B1D"/>
    <w:rsid w:val="00302D01"/>
    <w:rsid w:val="00307FA5"/>
    <w:rsid w:val="00324D64"/>
    <w:rsid w:val="00331F23"/>
    <w:rsid w:val="00350C3A"/>
    <w:rsid w:val="00352B52"/>
    <w:rsid w:val="0035760D"/>
    <w:rsid w:val="00363ECC"/>
    <w:rsid w:val="00374374"/>
    <w:rsid w:val="0039020B"/>
    <w:rsid w:val="00395263"/>
    <w:rsid w:val="003956E0"/>
    <w:rsid w:val="0039609A"/>
    <w:rsid w:val="00397500"/>
    <w:rsid w:val="003B1CC5"/>
    <w:rsid w:val="003B65CE"/>
    <w:rsid w:val="003D0E85"/>
    <w:rsid w:val="003D6721"/>
    <w:rsid w:val="003E039E"/>
    <w:rsid w:val="003E47A4"/>
    <w:rsid w:val="003F0344"/>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15FDB"/>
    <w:rsid w:val="00537150"/>
    <w:rsid w:val="00540984"/>
    <w:rsid w:val="00543851"/>
    <w:rsid w:val="0055559D"/>
    <w:rsid w:val="005569AE"/>
    <w:rsid w:val="00573A3A"/>
    <w:rsid w:val="005857F8"/>
    <w:rsid w:val="005B0D18"/>
    <w:rsid w:val="005B12C3"/>
    <w:rsid w:val="005B409D"/>
    <w:rsid w:val="005D0FDB"/>
    <w:rsid w:val="005D25E9"/>
    <w:rsid w:val="005D6D59"/>
    <w:rsid w:val="005E2BBC"/>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12F6A"/>
    <w:rsid w:val="00724801"/>
    <w:rsid w:val="00734949"/>
    <w:rsid w:val="00736AEC"/>
    <w:rsid w:val="00736E0F"/>
    <w:rsid w:val="007434FA"/>
    <w:rsid w:val="00747548"/>
    <w:rsid w:val="007573F0"/>
    <w:rsid w:val="00765156"/>
    <w:rsid w:val="00767669"/>
    <w:rsid w:val="00773485"/>
    <w:rsid w:val="00776E8F"/>
    <w:rsid w:val="00776F6D"/>
    <w:rsid w:val="0078027B"/>
    <w:rsid w:val="00781629"/>
    <w:rsid w:val="007B6FED"/>
    <w:rsid w:val="007C0297"/>
    <w:rsid w:val="007C1887"/>
    <w:rsid w:val="007D4775"/>
    <w:rsid w:val="007D5DC6"/>
    <w:rsid w:val="007E37A5"/>
    <w:rsid w:val="007F49D8"/>
    <w:rsid w:val="00805940"/>
    <w:rsid w:val="0081599C"/>
    <w:rsid w:val="00837121"/>
    <w:rsid w:val="008471E5"/>
    <w:rsid w:val="00850C35"/>
    <w:rsid w:val="00851466"/>
    <w:rsid w:val="00853DDB"/>
    <w:rsid w:val="00863E43"/>
    <w:rsid w:val="00864657"/>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47E7"/>
    <w:rsid w:val="00925F11"/>
    <w:rsid w:val="009330EA"/>
    <w:rsid w:val="00935265"/>
    <w:rsid w:val="0094689F"/>
    <w:rsid w:val="009477D6"/>
    <w:rsid w:val="00951233"/>
    <w:rsid w:val="00953ED3"/>
    <w:rsid w:val="00965FF6"/>
    <w:rsid w:val="009846D6"/>
    <w:rsid w:val="0098657F"/>
    <w:rsid w:val="009A3236"/>
    <w:rsid w:val="009B5A93"/>
    <w:rsid w:val="009B5BEA"/>
    <w:rsid w:val="009C291F"/>
    <w:rsid w:val="009E37BD"/>
    <w:rsid w:val="009E6B86"/>
    <w:rsid w:val="009F4C23"/>
    <w:rsid w:val="00A03301"/>
    <w:rsid w:val="00A12762"/>
    <w:rsid w:val="00A13867"/>
    <w:rsid w:val="00A26FED"/>
    <w:rsid w:val="00A421D4"/>
    <w:rsid w:val="00A44FF0"/>
    <w:rsid w:val="00A45E07"/>
    <w:rsid w:val="00A50E55"/>
    <w:rsid w:val="00A6102B"/>
    <w:rsid w:val="00A67EB1"/>
    <w:rsid w:val="00A9011D"/>
    <w:rsid w:val="00A91A47"/>
    <w:rsid w:val="00A95D2B"/>
    <w:rsid w:val="00AA5587"/>
    <w:rsid w:val="00AB4ECE"/>
    <w:rsid w:val="00AB74AD"/>
    <w:rsid w:val="00AC1E53"/>
    <w:rsid w:val="00AD79C8"/>
    <w:rsid w:val="00AE6CE0"/>
    <w:rsid w:val="00B058A6"/>
    <w:rsid w:val="00B117D0"/>
    <w:rsid w:val="00B13998"/>
    <w:rsid w:val="00B271CD"/>
    <w:rsid w:val="00B343AA"/>
    <w:rsid w:val="00B35C5F"/>
    <w:rsid w:val="00B439DD"/>
    <w:rsid w:val="00B52E0F"/>
    <w:rsid w:val="00B74629"/>
    <w:rsid w:val="00B91F58"/>
    <w:rsid w:val="00BA069F"/>
    <w:rsid w:val="00BA579E"/>
    <w:rsid w:val="00BB422C"/>
    <w:rsid w:val="00BD6D99"/>
    <w:rsid w:val="00BE2295"/>
    <w:rsid w:val="00BE6373"/>
    <w:rsid w:val="00BF533A"/>
    <w:rsid w:val="00C04BE3"/>
    <w:rsid w:val="00C05685"/>
    <w:rsid w:val="00C41794"/>
    <w:rsid w:val="00C46677"/>
    <w:rsid w:val="00C5180E"/>
    <w:rsid w:val="00C54E40"/>
    <w:rsid w:val="00C55F56"/>
    <w:rsid w:val="00C57BA4"/>
    <w:rsid w:val="00C613EB"/>
    <w:rsid w:val="00C6585F"/>
    <w:rsid w:val="00C71C1A"/>
    <w:rsid w:val="00C7456C"/>
    <w:rsid w:val="00C819BB"/>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2153"/>
    <w:rsid w:val="00E1664B"/>
    <w:rsid w:val="00E22A37"/>
    <w:rsid w:val="00E30D12"/>
    <w:rsid w:val="00E3394E"/>
    <w:rsid w:val="00E35241"/>
    <w:rsid w:val="00E37E45"/>
    <w:rsid w:val="00E41417"/>
    <w:rsid w:val="00E42FAA"/>
    <w:rsid w:val="00E536D3"/>
    <w:rsid w:val="00E57BE2"/>
    <w:rsid w:val="00E62A95"/>
    <w:rsid w:val="00E746A2"/>
    <w:rsid w:val="00E90D06"/>
    <w:rsid w:val="00E922F0"/>
    <w:rsid w:val="00E97E59"/>
    <w:rsid w:val="00EA79C9"/>
    <w:rsid w:val="00EB66AC"/>
    <w:rsid w:val="00EC1225"/>
    <w:rsid w:val="00EC2247"/>
    <w:rsid w:val="00EE0780"/>
    <w:rsid w:val="00EE1F87"/>
    <w:rsid w:val="00EE3931"/>
    <w:rsid w:val="00EE5AF6"/>
    <w:rsid w:val="00EF2CEF"/>
    <w:rsid w:val="00F03892"/>
    <w:rsid w:val="00F1092D"/>
    <w:rsid w:val="00F207D0"/>
    <w:rsid w:val="00F42C20"/>
    <w:rsid w:val="00F431D8"/>
    <w:rsid w:val="00F54BCB"/>
    <w:rsid w:val="00F62465"/>
    <w:rsid w:val="00F63E8D"/>
    <w:rsid w:val="00F67706"/>
    <w:rsid w:val="00F81FE3"/>
    <w:rsid w:val="00F90F82"/>
    <w:rsid w:val="00F92D75"/>
    <w:rsid w:val="00F97327"/>
    <w:rsid w:val="00FA296F"/>
    <w:rsid w:val="00FA4E05"/>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457FF195-75A3-4D94-A59C-B5079DC3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oleObject" Target="embeddings/Microsoft_Visio_2003-2010_Drawing.vsd"/><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D24D2"/>
    <w:rsid w:val="00160241"/>
    <w:rsid w:val="00164AB4"/>
    <w:rsid w:val="001F47A0"/>
    <w:rsid w:val="002B5F47"/>
    <w:rsid w:val="003A1E4B"/>
    <w:rsid w:val="00455EB5"/>
    <w:rsid w:val="00461C1C"/>
    <w:rsid w:val="004B5478"/>
    <w:rsid w:val="004E2027"/>
    <w:rsid w:val="005F21F3"/>
    <w:rsid w:val="006776D6"/>
    <w:rsid w:val="006C20E0"/>
    <w:rsid w:val="008E0CB8"/>
    <w:rsid w:val="008F6A9B"/>
    <w:rsid w:val="00933094"/>
    <w:rsid w:val="00A77B15"/>
    <w:rsid w:val="00BE0F2D"/>
    <w:rsid w:val="00C03643"/>
    <w:rsid w:val="00C2797F"/>
    <w:rsid w:val="00C80225"/>
    <w:rsid w:val="00D228C9"/>
    <w:rsid w:val="00D2552B"/>
    <w:rsid w:val="00D31FF8"/>
    <w:rsid w:val="00D75B64"/>
    <w:rsid w:val="00DB5324"/>
    <w:rsid w:val="00E97654"/>
    <w:rsid w:val="00EA555A"/>
    <w:rsid w:val="00F87EB9"/>
    <w:rsid w:val="00FA557A"/>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51E2F-99DB-4BDE-A02B-FF18EF5D0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1885</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Farietta, Thalia</cp:lastModifiedBy>
  <cp:revision>3</cp:revision>
  <dcterms:created xsi:type="dcterms:W3CDTF">2018-03-26T12:55:00Z</dcterms:created>
  <dcterms:modified xsi:type="dcterms:W3CDTF">2018-03-26T17:52:00Z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