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044DFB49"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332AB6" w:rsidRPr="00487246">
            <w:rPr>
              <w:rStyle w:val="Style1"/>
              <w:color w:val="0070C0"/>
            </w:rPr>
            <w:t>0536</w:t>
          </w:r>
        </w:sdtContent>
      </w:sdt>
    </w:p>
    <w:p w14:paraId="0CABCF56" w14:textId="55CA5E91"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Pr>
              <w:id w:val="598992028"/>
              <w:placeholder>
                <w:docPart w:val="17ABB107820F42588C88B43439AE71B8"/>
              </w:placeholder>
            </w:sdtPr>
            <w:sdtEndPr>
              <w:rPr>
                <w:rStyle w:val="DefaultParagraphFont"/>
                <w:noProof/>
                <w:color w:val="0070C0"/>
              </w:rPr>
            </w:sdtEndPr>
            <w:sdtContent>
              <w:r w:rsidR="00332AB6" w:rsidRPr="00487246">
                <w:rPr>
                  <w:rFonts w:cs="Times New Roman"/>
                  <w:color w:val="0070C0"/>
                </w:rPr>
                <w:t>30-day all-cause risk-standardized mortality rate following Percutaneous Coronary Intervention (PCI) for patients with ST segment elevation myocardial infarction (STEMI) or cardiogenic shock</w:t>
              </w:r>
            </w:sdtContent>
          </w:sdt>
        </w:sdtContent>
      </w:sdt>
    </w:p>
    <w:p w14:paraId="0CABCF57" w14:textId="09210F6E"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7-11-08T00:00:00Z">
            <w:dateFormat w:val="M/d/yyyy"/>
            <w:lid w:val="en-US"/>
            <w:storeMappedDataAs w:val="dateTime"/>
            <w:calendar w:val="gregorian"/>
          </w:date>
        </w:sdtPr>
        <w:sdtEndPr>
          <w:rPr>
            <w:rStyle w:val="DefaultParagraphFont"/>
            <w:noProof/>
            <w:color w:val="auto"/>
            <w:u w:val="none"/>
          </w:rPr>
        </w:sdtEndPr>
        <w:sdtContent>
          <w:r w:rsidR="00332AB6">
            <w:rPr>
              <w:rStyle w:val="Style2"/>
              <w:rFonts w:cstheme="minorHAnsi"/>
            </w:rPr>
            <w:t>11/8/2017</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55C419E7" w:rsidR="000B7D57" w:rsidRPr="00C775CE" w:rsidRDefault="00FD6EC4"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332AB6">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866E7C">
              <w:rPr>
                <w:rFonts w:cstheme="minorHAnsi"/>
                <w:bCs/>
              </w:rPr>
              <w:t>Outcome (</w:t>
            </w:r>
            <w:r w:rsidR="000B7D57" w:rsidRPr="00866E7C">
              <w:rPr>
                <w:rFonts w:cstheme="minorHAnsi"/>
                <w:bCs/>
                <w:i/>
              </w:rPr>
              <w:t>including PRO-PM</w:t>
            </w:r>
            <w:r w:rsidR="000B7D57" w:rsidRPr="00866E7C">
              <w:rPr>
                <w:rFonts w:cstheme="minorHAnsi"/>
                <w:bCs/>
              </w:rPr>
              <w:t>)</w:t>
            </w:r>
          </w:p>
        </w:tc>
        <w:tc>
          <w:tcPr>
            <w:tcW w:w="2487" w:type="pct"/>
          </w:tcPr>
          <w:p w14:paraId="0CABCF5A" w14:textId="77777777" w:rsidR="000B7D57" w:rsidRPr="00C775CE" w:rsidRDefault="00FD6EC4"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FD6EC4"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FD6EC4"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FD6EC4"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FD6EC4"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FD6EC4"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w:t>
            </w:r>
            <w:proofErr w:type="gramStart"/>
            <w:r w:rsidRPr="000F034A">
              <w:rPr>
                <w:rFonts w:cstheme="minorHAnsi"/>
                <w:bCs/>
                <w:iCs/>
              </w:rPr>
              <w:t>time period</w:t>
            </w:r>
            <w:proofErr w:type="gramEnd"/>
            <w:r w:rsidRPr="000F034A">
              <w:rPr>
                <w:rFonts w:cstheme="minorHAnsi"/>
                <w:bCs/>
                <w:iCs/>
              </w:rPr>
              <w:t xml:space="preserve">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lastRenderedPageBreak/>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w:t>
            </w:r>
            <w:proofErr w:type="gramStart"/>
            <w:r w:rsidR="00145149" w:rsidRPr="00A831B4">
              <w:rPr>
                <w:rFonts w:cstheme="minorHAnsi"/>
                <w:sz w:val="20"/>
                <w:szCs w:val="20"/>
              </w:rPr>
              <w:t>received  smoking</w:t>
            </w:r>
            <w:proofErr w:type="gramEnd"/>
            <w:r w:rsidR="00145149" w:rsidRPr="00A831B4">
              <w:rPr>
                <w:rFonts w:cstheme="minorHAnsi"/>
                <w:sz w:val="20"/>
                <w:szCs w:val="20"/>
              </w:rPr>
              <w:t xml:space="preserve"> cessation counseling (e.g., 74 percent v. 75 percent) is clinically meaningful; or whether a statistically significant difference of $25 in cost for an episode of care (e.g., $5,000 v. </w:t>
            </w:r>
            <w:r w:rsidR="00145149" w:rsidRPr="00A831B4">
              <w:rPr>
                <w:rFonts w:cstheme="minorHAnsi"/>
                <w:sz w:val="20"/>
                <w:szCs w:val="20"/>
              </w:rPr>
              <w:lastRenderedPageBreak/>
              <w:t>$5,025)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FD6EC4"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FD6EC4"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273397E8" w:rsidR="00A01494" w:rsidRPr="00866E7C" w:rsidRDefault="00FD6EC4"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332AB6" w:rsidRPr="00866E7C">
                  <w:rPr>
                    <w:rFonts w:ascii="MS Gothic" w:eastAsia="MS Gothic" w:hAnsi="MS Gothic" w:cstheme="minorHAnsi" w:hint="eastAsia"/>
                    <w:bCs/>
                    <w:color w:val="0000FF"/>
                  </w:rPr>
                  <w:t>☒</w:t>
                </w:r>
              </w:sdtContent>
            </w:sdt>
            <w:r w:rsidR="00B82A57" w:rsidRPr="00866E7C">
              <w:rPr>
                <w:rFonts w:cstheme="minorHAnsi"/>
                <w:bCs/>
              </w:rPr>
              <w:t xml:space="preserve"> </w:t>
            </w:r>
            <w:r w:rsidR="00A01494" w:rsidRPr="00866E7C">
              <w:rPr>
                <w:rFonts w:cstheme="minorHAnsi"/>
                <w:bCs/>
              </w:rPr>
              <w:t>claims</w:t>
            </w:r>
          </w:p>
        </w:tc>
        <w:tc>
          <w:tcPr>
            <w:tcW w:w="4847" w:type="dxa"/>
          </w:tcPr>
          <w:p w14:paraId="0CABCF9F" w14:textId="5FD8A3F3" w:rsidR="00A01494" w:rsidRPr="00866E7C" w:rsidRDefault="00FD6EC4"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332AB6" w:rsidRPr="00866E7C">
                  <w:rPr>
                    <w:rFonts w:ascii="MS Gothic" w:eastAsia="MS Gothic" w:hAnsi="MS Gothic" w:cstheme="minorHAnsi" w:hint="eastAsia"/>
                    <w:bCs/>
                    <w:color w:val="0000FF"/>
                  </w:rPr>
                  <w:t>☒</w:t>
                </w:r>
              </w:sdtContent>
            </w:sdt>
            <w:r w:rsidR="00B82A57" w:rsidRPr="00866E7C">
              <w:rPr>
                <w:rFonts w:cstheme="minorHAnsi"/>
                <w:bCs/>
              </w:rPr>
              <w:t xml:space="preserve"> </w:t>
            </w:r>
            <w:r w:rsidR="000F1B7A" w:rsidRPr="00866E7C">
              <w:rPr>
                <w:rFonts w:cstheme="minorHAnsi"/>
                <w:bCs/>
              </w:rPr>
              <w:t>c</w:t>
            </w:r>
            <w:r w:rsidR="00A01494" w:rsidRPr="00866E7C">
              <w:rPr>
                <w:rFonts w:cstheme="minorHAnsi"/>
                <w:bCs/>
              </w:rPr>
              <w:t>laims</w:t>
            </w:r>
          </w:p>
        </w:tc>
      </w:tr>
      <w:tr w:rsidR="00A01494" w:rsidRPr="00A01494" w14:paraId="0CABCFA3" w14:textId="77777777" w:rsidTr="0014773C">
        <w:trPr>
          <w:jc w:val="center"/>
        </w:trPr>
        <w:tc>
          <w:tcPr>
            <w:tcW w:w="5208" w:type="dxa"/>
          </w:tcPr>
          <w:p w14:paraId="0CABCFA1" w14:textId="1901484C" w:rsidR="00A01494" w:rsidRPr="00866E7C" w:rsidRDefault="00FD6EC4"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332AB6" w:rsidRPr="00866E7C">
                  <w:rPr>
                    <w:rFonts w:ascii="MS Gothic" w:eastAsia="MS Gothic" w:hAnsi="MS Gothic" w:cstheme="minorHAnsi" w:hint="eastAsia"/>
                    <w:bCs/>
                    <w:color w:val="0000FF"/>
                  </w:rPr>
                  <w:t>☒</w:t>
                </w:r>
              </w:sdtContent>
            </w:sdt>
            <w:r w:rsidR="00B82A57" w:rsidRPr="00866E7C">
              <w:rPr>
                <w:rFonts w:cstheme="minorHAnsi"/>
                <w:bCs/>
              </w:rPr>
              <w:t xml:space="preserve"> </w:t>
            </w:r>
            <w:r w:rsidR="00A01494" w:rsidRPr="00866E7C">
              <w:rPr>
                <w:rFonts w:eastAsia="MS Gothic" w:cstheme="minorHAnsi"/>
                <w:bCs/>
              </w:rPr>
              <w:t>registry</w:t>
            </w:r>
          </w:p>
        </w:tc>
        <w:tc>
          <w:tcPr>
            <w:tcW w:w="4847" w:type="dxa"/>
          </w:tcPr>
          <w:p w14:paraId="0CABCFA2" w14:textId="449D11CA" w:rsidR="00A01494" w:rsidRPr="00866E7C" w:rsidRDefault="00FD6EC4"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332AB6" w:rsidRPr="00866E7C">
                  <w:rPr>
                    <w:rFonts w:ascii="MS Gothic" w:eastAsia="MS Gothic" w:hAnsi="MS Gothic" w:cstheme="minorHAnsi" w:hint="eastAsia"/>
                    <w:bCs/>
                    <w:color w:val="0000FF"/>
                  </w:rPr>
                  <w:t>☒</w:t>
                </w:r>
              </w:sdtContent>
            </w:sdt>
            <w:r w:rsidR="006574D2" w:rsidRPr="00866E7C">
              <w:rPr>
                <w:rFonts w:cstheme="minorHAnsi"/>
                <w:bCs/>
                <w:color w:val="0000FF"/>
              </w:rPr>
              <w:t xml:space="preserve"> </w:t>
            </w:r>
            <w:r w:rsidR="00A01494" w:rsidRPr="00866E7C">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866E7C" w:rsidRDefault="00FD6EC4"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866E7C">
                  <w:rPr>
                    <w:rFonts w:ascii="MS Gothic" w:eastAsia="MS Gothic" w:cstheme="minorHAnsi" w:hint="eastAsia"/>
                    <w:bCs/>
                    <w:color w:val="0000FF"/>
                  </w:rPr>
                  <w:t>☐</w:t>
                </w:r>
              </w:sdtContent>
            </w:sdt>
            <w:r w:rsidR="00B82A57" w:rsidRPr="00866E7C">
              <w:rPr>
                <w:rFonts w:cstheme="minorHAnsi"/>
                <w:bCs/>
              </w:rPr>
              <w:t xml:space="preserve"> </w:t>
            </w:r>
            <w:r w:rsidR="00A01494" w:rsidRPr="00866E7C">
              <w:rPr>
                <w:rFonts w:cstheme="minorHAnsi"/>
                <w:bCs/>
              </w:rPr>
              <w:t>abstracted from electronic health record</w:t>
            </w:r>
          </w:p>
        </w:tc>
        <w:tc>
          <w:tcPr>
            <w:tcW w:w="4847" w:type="dxa"/>
          </w:tcPr>
          <w:p w14:paraId="0CABCFA5" w14:textId="77777777" w:rsidR="00A01494" w:rsidRPr="00866E7C" w:rsidRDefault="00FD6EC4"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866E7C">
                  <w:rPr>
                    <w:rFonts w:ascii="MS Gothic" w:eastAsia="MS Gothic" w:cstheme="minorHAnsi" w:hint="eastAsia"/>
                    <w:bCs/>
                    <w:color w:val="0000FF"/>
                  </w:rPr>
                  <w:t>☐</w:t>
                </w:r>
              </w:sdtContent>
            </w:sdt>
            <w:r w:rsidR="00B82A57" w:rsidRPr="00866E7C">
              <w:rPr>
                <w:rFonts w:cstheme="minorHAnsi"/>
                <w:bCs/>
              </w:rPr>
              <w:t xml:space="preserve"> </w:t>
            </w:r>
            <w:r w:rsidR="00A01494" w:rsidRPr="00866E7C">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866E7C" w:rsidRDefault="00FD6EC4"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866E7C">
                  <w:rPr>
                    <w:rFonts w:ascii="MS Gothic" w:eastAsia="MS Gothic" w:cstheme="minorHAnsi" w:hint="eastAsia"/>
                    <w:bCs/>
                    <w:color w:val="0000FF"/>
                  </w:rPr>
                  <w:t>☐</w:t>
                </w:r>
              </w:sdtContent>
            </w:sdt>
            <w:r w:rsidR="00B82A57" w:rsidRPr="00866E7C">
              <w:rPr>
                <w:rFonts w:cstheme="minorHAnsi"/>
                <w:bCs/>
              </w:rPr>
              <w:t xml:space="preserve"> </w:t>
            </w:r>
            <w:proofErr w:type="spellStart"/>
            <w:r w:rsidR="00A01494" w:rsidRPr="00866E7C">
              <w:rPr>
                <w:rFonts w:cstheme="minorHAnsi"/>
                <w:bCs/>
              </w:rPr>
              <w:t>eMeasure</w:t>
            </w:r>
            <w:proofErr w:type="spellEnd"/>
            <w:r w:rsidR="00A01494" w:rsidRPr="00866E7C">
              <w:rPr>
                <w:rFonts w:cstheme="minorHAnsi"/>
                <w:bCs/>
              </w:rPr>
              <w:t xml:space="preserve"> </w:t>
            </w:r>
            <w:r w:rsidR="004756E1" w:rsidRPr="00866E7C">
              <w:rPr>
                <w:rFonts w:cstheme="minorHAnsi"/>
                <w:bCs/>
              </w:rPr>
              <w:t xml:space="preserve">(HQMF) </w:t>
            </w:r>
            <w:r w:rsidR="00A01494" w:rsidRPr="00866E7C">
              <w:rPr>
                <w:rFonts w:cstheme="minorHAnsi"/>
                <w:bCs/>
              </w:rPr>
              <w:t xml:space="preserve">implemented in </w:t>
            </w:r>
            <w:r w:rsidR="00B82A57" w:rsidRPr="00866E7C">
              <w:rPr>
                <w:rFonts w:cstheme="minorHAnsi"/>
                <w:bCs/>
              </w:rPr>
              <w:t>EHRs</w:t>
            </w:r>
          </w:p>
        </w:tc>
        <w:tc>
          <w:tcPr>
            <w:tcW w:w="4847" w:type="dxa"/>
          </w:tcPr>
          <w:p w14:paraId="0CABCFA8" w14:textId="77777777" w:rsidR="00A01494" w:rsidRPr="00866E7C" w:rsidRDefault="00FD6EC4"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866E7C">
                  <w:rPr>
                    <w:rFonts w:ascii="MS Gothic" w:eastAsia="MS Gothic" w:cstheme="minorHAnsi" w:hint="eastAsia"/>
                    <w:bCs/>
                    <w:color w:val="0000FF"/>
                  </w:rPr>
                  <w:t>☐</w:t>
                </w:r>
              </w:sdtContent>
            </w:sdt>
            <w:r w:rsidR="00B82A57" w:rsidRPr="00866E7C">
              <w:rPr>
                <w:rFonts w:cstheme="minorHAnsi"/>
                <w:bCs/>
              </w:rPr>
              <w:t xml:space="preserve"> </w:t>
            </w:r>
            <w:proofErr w:type="spellStart"/>
            <w:r w:rsidR="00A01494" w:rsidRPr="00866E7C">
              <w:rPr>
                <w:rFonts w:cstheme="minorHAnsi"/>
                <w:bCs/>
              </w:rPr>
              <w:t>eMeasure</w:t>
            </w:r>
            <w:proofErr w:type="spellEnd"/>
            <w:r w:rsidR="00A01494" w:rsidRPr="00866E7C">
              <w:rPr>
                <w:rFonts w:cstheme="minorHAnsi"/>
                <w:bCs/>
              </w:rPr>
              <w:t xml:space="preserve"> </w:t>
            </w:r>
            <w:r w:rsidR="004756E1" w:rsidRPr="00866E7C">
              <w:rPr>
                <w:rFonts w:cstheme="minorHAnsi"/>
                <w:bCs/>
              </w:rPr>
              <w:t xml:space="preserve">(HQMF) </w:t>
            </w:r>
            <w:r w:rsidR="00A01494" w:rsidRPr="00866E7C">
              <w:rPr>
                <w:rFonts w:cstheme="minorHAnsi"/>
                <w:bCs/>
              </w:rPr>
              <w:t>impleme</w:t>
            </w:r>
            <w:r w:rsidR="00B82A57" w:rsidRPr="00866E7C">
              <w:rPr>
                <w:rFonts w:cstheme="minorHAnsi"/>
                <w:bCs/>
              </w:rPr>
              <w:t>nted in EHRs</w:t>
            </w:r>
          </w:p>
        </w:tc>
      </w:tr>
      <w:tr w:rsidR="00A01494" w:rsidRPr="00A01494" w14:paraId="0CABCFAC" w14:textId="77777777" w:rsidTr="00866E7C">
        <w:trPr>
          <w:trHeight w:val="620"/>
          <w:jc w:val="center"/>
        </w:trPr>
        <w:tc>
          <w:tcPr>
            <w:tcW w:w="5208" w:type="dxa"/>
          </w:tcPr>
          <w:p w14:paraId="0CABCFAA" w14:textId="71C593D9" w:rsidR="00A01494" w:rsidRPr="00866E7C" w:rsidRDefault="00FD6EC4" w:rsidP="00DB3627">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332AB6" w:rsidRPr="00866E7C">
                  <w:rPr>
                    <w:rFonts w:ascii="MS Gothic" w:eastAsia="MS Gothic" w:hAnsi="MS Gothic" w:cstheme="minorHAnsi" w:hint="eastAsia"/>
                    <w:bCs/>
                    <w:color w:val="0000FF"/>
                  </w:rPr>
                  <w:t>☒</w:t>
                </w:r>
              </w:sdtContent>
            </w:sdt>
            <w:r w:rsidR="00B82A57" w:rsidRPr="00866E7C">
              <w:rPr>
                <w:rFonts w:cstheme="minorHAnsi"/>
                <w:bCs/>
              </w:rPr>
              <w:t xml:space="preserve"> </w:t>
            </w:r>
            <w:r w:rsidR="00A01494" w:rsidRPr="00866E7C">
              <w:rPr>
                <w:rFonts w:cstheme="minorHAnsi"/>
                <w:bCs/>
              </w:rPr>
              <w:t xml:space="preserve">other:  </w:t>
            </w:r>
            <w:sdt>
              <w:sdtPr>
                <w:rPr>
                  <w:rStyle w:val="Style1"/>
                </w:rPr>
                <w:id w:val="1834251992"/>
                <w:text/>
              </w:sdtPr>
              <w:sdtEndPr>
                <w:rPr>
                  <w:rStyle w:val="DefaultParagraphFont"/>
                  <w:rFonts w:cstheme="minorHAnsi"/>
                  <w:bCs/>
                  <w:color w:val="auto"/>
                </w:rPr>
              </w:sdtEndPr>
              <w:sdtContent>
                <w:r w:rsidR="00332AB6" w:rsidRPr="00866E7C">
                  <w:rPr>
                    <w:rStyle w:val="Style1"/>
                  </w:rPr>
                  <w:t>Source of vital status (e.g. National death index)</w:t>
                </w:r>
              </w:sdtContent>
            </w:sdt>
          </w:p>
        </w:tc>
        <w:tc>
          <w:tcPr>
            <w:tcW w:w="4847" w:type="dxa"/>
          </w:tcPr>
          <w:p w14:paraId="0CABCFAB" w14:textId="0B071BD4" w:rsidR="00A01494" w:rsidRPr="00866E7C" w:rsidRDefault="00FD6EC4" w:rsidP="00DB3627">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EndPr/>
              <w:sdtContent>
                <w:r w:rsidR="00332AB6" w:rsidRPr="00866E7C">
                  <w:rPr>
                    <w:rFonts w:ascii="MS Gothic" w:eastAsia="MS Gothic" w:hAnsi="MS Gothic" w:cstheme="minorHAnsi" w:hint="eastAsia"/>
                    <w:bCs/>
                    <w:color w:val="0000FF"/>
                  </w:rPr>
                  <w:t>☒</w:t>
                </w:r>
              </w:sdtContent>
            </w:sdt>
            <w:r w:rsidR="00B82A57" w:rsidRPr="00866E7C">
              <w:rPr>
                <w:rFonts w:cstheme="minorHAnsi"/>
                <w:bCs/>
              </w:rPr>
              <w:t xml:space="preserve"> </w:t>
            </w:r>
            <w:r w:rsidR="00A01494" w:rsidRPr="00866E7C">
              <w:rPr>
                <w:rFonts w:cstheme="minorHAnsi"/>
                <w:bCs/>
              </w:rPr>
              <w:t xml:space="preserve">other:  </w:t>
            </w:r>
            <w:sdt>
              <w:sdtPr>
                <w:rPr>
                  <w:rFonts w:cstheme="minorHAnsi"/>
                  <w:bCs/>
                  <w:color w:val="0000FF"/>
                </w:rPr>
                <w:id w:val="1976178076"/>
                <w:text/>
              </w:sdtPr>
              <w:sdtEndPr/>
              <w:sdtContent>
                <w:r w:rsidR="00332AB6" w:rsidRPr="00866E7C">
                  <w:rPr>
                    <w:rFonts w:cstheme="minorHAnsi"/>
                    <w:bCs/>
                    <w:color w:val="0000FF"/>
                  </w:rPr>
                  <w:t>Source of vital status (e.g. National death index)</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1C746EE" w14:textId="77777777" w:rsidR="00332AB6" w:rsidRPr="00487246" w:rsidRDefault="00332AB6" w:rsidP="00332AB6">
      <w:pPr>
        <w:pStyle w:val="Default"/>
        <w:pBdr>
          <w:top w:val="single" w:sz="12" w:space="1" w:color="000000"/>
          <w:left w:val="single" w:sz="12" w:space="4" w:color="000000"/>
          <w:bottom w:val="single" w:sz="12" w:space="1" w:color="000000"/>
          <w:right w:val="single" w:sz="12" w:space="4" w:color="000000"/>
        </w:pBdr>
        <w:rPr>
          <w:rFonts w:asciiTheme="minorHAnsi" w:hAnsiTheme="minorHAnsi" w:cs="Arial"/>
          <w:color w:val="0070C0"/>
          <w:sz w:val="22"/>
          <w:szCs w:val="22"/>
        </w:rPr>
      </w:pPr>
      <w:r w:rsidRPr="00487246">
        <w:rPr>
          <w:rFonts w:asciiTheme="minorHAnsi" w:hAnsiTheme="minorHAnsi" w:cstheme="minorHAnsi"/>
          <w:bCs/>
          <w:color w:val="0070C0"/>
          <w:sz w:val="22"/>
          <w:szCs w:val="22"/>
        </w:rPr>
        <w:t xml:space="preserve">Medicare Part A claims, </w:t>
      </w:r>
      <w:r w:rsidRPr="00487246">
        <w:rPr>
          <w:rFonts w:asciiTheme="minorHAnsi" w:hAnsiTheme="minorHAnsi"/>
          <w:color w:val="0070C0"/>
          <w:sz w:val="22"/>
          <w:szCs w:val="22"/>
        </w:rPr>
        <w:t xml:space="preserve">National Cardiovascular Data Registry (NCDR) </w:t>
      </w:r>
      <w:proofErr w:type="spellStart"/>
      <w:r w:rsidRPr="00487246">
        <w:rPr>
          <w:rFonts w:asciiTheme="minorHAnsi" w:hAnsiTheme="minorHAnsi"/>
          <w:color w:val="0070C0"/>
          <w:sz w:val="22"/>
          <w:szCs w:val="22"/>
        </w:rPr>
        <w:t>CathPCI</w:t>
      </w:r>
      <w:proofErr w:type="spellEnd"/>
      <w:r w:rsidRPr="00487246">
        <w:rPr>
          <w:rFonts w:asciiTheme="minorHAnsi" w:hAnsiTheme="minorHAnsi"/>
          <w:color w:val="0070C0"/>
          <w:sz w:val="22"/>
          <w:szCs w:val="22"/>
        </w:rPr>
        <w:t xml:space="preserve"> Registry, </w:t>
      </w:r>
    </w:p>
    <w:p w14:paraId="54F8D2AE" w14:textId="77777777" w:rsidR="00332AB6" w:rsidRPr="00487246" w:rsidRDefault="00332AB6" w:rsidP="00332AB6">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Arial"/>
          <w:color w:val="0070C0"/>
        </w:rPr>
      </w:pPr>
      <w:r w:rsidRPr="00487246">
        <w:rPr>
          <w:rFonts w:cs="Arial"/>
          <w:color w:val="0070C0"/>
        </w:rPr>
        <w:t xml:space="preserve">Medicare Enrollment Database </w:t>
      </w:r>
    </w:p>
    <w:p w14:paraId="68B73C38" w14:textId="77777777" w:rsidR="00332AB6" w:rsidRPr="00487246" w:rsidRDefault="00332AB6" w:rsidP="00332AB6">
      <w:pPr>
        <w:pStyle w:val="Default"/>
        <w:pBdr>
          <w:top w:val="single" w:sz="12" w:space="1" w:color="000000"/>
          <w:left w:val="single" w:sz="12" w:space="4" w:color="000000"/>
          <w:bottom w:val="single" w:sz="12" w:space="1" w:color="000000"/>
          <w:right w:val="single" w:sz="12" w:space="4" w:color="000000"/>
        </w:pBdr>
        <w:rPr>
          <w:rFonts w:asciiTheme="minorHAnsi" w:hAnsiTheme="minorHAnsi"/>
          <w:color w:val="0070C0"/>
          <w:sz w:val="22"/>
          <w:szCs w:val="22"/>
        </w:rPr>
      </w:pPr>
    </w:p>
    <w:p w14:paraId="588E2D79" w14:textId="77777777" w:rsidR="00332AB6" w:rsidRPr="00487246" w:rsidRDefault="00332AB6" w:rsidP="00332AB6">
      <w:pPr>
        <w:pStyle w:val="Default"/>
        <w:pBdr>
          <w:top w:val="single" w:sz="12" w:space="1" w:color="000000"/>
          <w:left w:val="single" w:sz="12" w:space="4" w:color="000000"/>
          <w:bottom w:val="single" w:sz="12" w:space="1" w:color="000000"/>
          <w:right w:val="single" w:sz="12" w:space="4" w:color="000000"/>
        </w:pBdr>
        <w:rPr>
          <w:rFonts w:asciiTheme="minorHAnsi" w:hAnsiTheme="minorHAnsi" w:cstheme="minorHAnsi"/>
          <w:bCs/>
          <w:color w:val="0070C0"/>
          <w:sz w:val="22"/>
          <w:szCs w:val="22"/>
        </w:rPr>
      </w:pPr>
      <w:r w:rsidRPr="00487246">
        <w:rPr>
          <w:rFonts w:asciiTheme="minorHAnsi" w:hAnsiTheme="minorHAnsi"/>
          <w:color w:val="0070C0"/>
          <w:sz w:val="22"/>
          <w:szCs w:val="22"/>
        </w:rPr>
        <w:t xml:space="preserve">We linked </w:t>
      </w:r>
      <w:proofErr w:type="spellStart"/>
      <w:r w:rsidRPr="00487246">
        <w:rPr>
          <w:rFonts w:asciiTheme="minorHAnsi" w:hAnsiTheme="minorHAnsi"/>
          <w:color w:val="0070C0"/>
          <w:sz w:val="22"/>
          <w:szCs w:val="22"/>
        </w:rPr>
        <w:t>CathPCI</w:t>
      </w:r>
      <w:proofErr w:type="spellEnd"/>
      <w:r w:rsidRPr="00487246">
        <w:rPr>
          <w:rFonts w:asciiTheme="minorHAnsi" w:hAnsiTheme="minorHAnsi"/>
          <w:color w:val="0070C0"/>
          <w:sz w:val="22"/>
          <w:szCs w:val="22"/>
        </w:rPr>
        <w:t xml:space="preserve"> Registry and Medicare data and identified in-hospital deaths using the discharge disposition indicator in the Standard Analytic File (SAF) and identified post-discharge deaths using the Enrollment Database (EDB)</w:t>
      </w:r>
    </w:p>
    <w:p w14:paraId="0CABCFAF" w14:textId="77777777" w:rsidR="009E1846" w:rsidRDefault="009E1846" w:rsidP="00DB3627">
      <w:pPr>
        <w:autoSpaceDE w:val="0"/>
        <w:autoSpaceDN w:val="0"/>
        <w:adjustRightInd w:val="0"/>
        <w:spacing w:after="0" w:line="240" w:lineRule="auto"/>
        <w:rPr>
          <w:rFonts w:cstheme="minorHAnsi"/>
          <w:b/>
        </w:rPr>
      </w:pPr>
    </w:p>
    <w:p w14:paraId="0CABCFB0" w14:textId="1D32F6F6"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487246">
        <w:rPr>
          <w:rFonts w:cstheme="minorHAnsi"/>
          <w:color w:val="0070C0"/>
        </w:rPr>
        <w:t xml:space="preserve"> </w:t>
      </w:r>
      <w:sdt>
        <w:sdtPr>
          <w:rPr>
            <w:rFonts w:cstheme="minorHAnsi"/>
            <w:color w:val="0070C0"/>
          </w:rPr>
          <w:id w:val="950514773"/>
          <w:text/>
        </w:sdtPr>
        <w:sdtEndPr/>
        <w:sdtContent>
          <w:r w:rsidR="00332AB6" w:rsidRPr="00487246">
            <w:rPr>
              <w:rFonts w:cstheme="minorHAnsi"/>
              <w:color w:val="0070C0"/>
            </w:rPr>
            <w:t>The dates used vary by testing type; see Section 1.7 for details.</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FD6EC4"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FD6EC4"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FD6EC4"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FD6EC4"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609294D9" w:rsidR="000414E8" w:rsidRPr="00866E7C" w:rsidRDefault="00FD6EC4"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332AB6" w:rsidRPr="00866E7C">
                  <w:rPr>
                    <w:rFonts w:ascii="MS Gothic" w:eastAsia="MS Gothic" w:hAnsi="MS Gothic" w:cstheme="minorHAnsi" w:hint="eastAsia"/>
                    <w:bCs/>
                    <w:color w:val="0000FF"/>
                  </w:rPr>
                  <w:t>☒</w:t>
                </w:r>
              </w:sdtContent>
            </w:sdt>
            <w:r w:rsidR="000414E8" w:rsidRPr="00866E7C">
              <w:rPr>
                <w:rFonts w:cstheme="minorHAnsi"/>
                <w:bCs/>
              </w:rPr>
              <w:t xml:space="preserve"> </w:t>
            </w:r>
            <w:r w:rsidR="000414E8" w:rsidRPr="00866E7C">
              <w:rPr>
                <w:rFonts w:eastAsia="MS Gothic" w:cstheme="minorHAnsi"/>
                <w:bCs/>
              </w:rPr>
              <w:t>hospital/facility/agency</w:t>
            </w:r>
          </w:p>
        </w:tc>
        <w:tc>
          <w:tcPr>
            <w:tcW w:w="5028" w:type="dxa"/>
          </w:tcPr>
          <w:p w14:paraId="0CABCFBE" w14:textId="7151C4C9" w:rsidR="000414E8" w:rsidRPr="00866E7C" w:rsidRDefault="00FD6EC4"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332AB6" w:rsidRPr="00866E7C">
                  <w:rPr>
                    <w:rFonts w:ascii="MS Gothic" w:eastAsia="MS Gothic" w:hAnsi="MS Gothic" w:cstheme="minorHAnsi" w:hint="eastAsia"/>
                    <w:bCs/>
                    <w:color w:val="0000FF"/>
                  </w:rPr>
                  <w:t>☒</w:t>
                </w:r>
              </w:sdtContent>
            </w:sdt>
            <w:r w:rsidR="000414E8" w:rsidRPr="00866E7C">
              <w:rPr>
                <w:rFonts w:cstheme="minorHAnsi"/>
                <w:bCs/>
              </w:rPr>
              <w:t xml:space="preserve"> </w:t>
            </w:r>
            <w:r w:rsidR="000414E8" w:rsidRPr="00866E7C">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FD6EC4"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FD6EC4"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FD6EC4"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FD6EC4"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313F4504"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487246">
        <w:rPr>
          <w:rFonts w:cstheme="minorHAnsi"/>
          <w:bCs/>
          <w:color w:val="0070C0"/>
        </w:rPr>
        <w:t xml:space="preserve">The number of measured entities (hospitals) varies by testing type; see Section 1.7 for details. </w:t>
      </w:r>
    </w:p>
    <w:p w14:paraId="0CABCFC8" w14:textId="77777777" w:rsidR="002B5016" w:rsidRPr="00A25024" w:rsidRDefault="002B5016" w:rsidP="00DB3627">
      <w:pPr>
        <w:autoSpaceDE w:val="0"/>
        <w:autoSpaceDN w:val="0"/>
        <w:adjustRightInd w:val="0"/>
        <w:spacing w:after="0" w:line="240" w:lineRule="auto"/>
        <w:rPr>
          <w:rFonts w:cstheme="minorHAnsi"/>
          <w:bCs/>
        </w:rPr>
      </w:pPr>
    </w:p>
    <w:p w14:paraId="0CABCFC9" w14:textId="4B5A7A82"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1D890A20" w14:textId="77777777" w:rsidR="005A4DF6" w:rsidRPr="00487246" w:rsidRDefault="005A4DF6" w:rsidP="005A4DF6">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cstheme="minorHAnsi"/>
          <w:bCs/>
          <w:color w:val="0070C0"/>
        </w:rPr>
      </w:pPr>
      <w:r w:rsidRPr="00487246">
        <w:rPr>
          <w:rFonts w:cstheme="minorHAnsi"/>
          <w:bCs/>
          <w:color w:val="0070C0"/>
        </w:rPr>
        <w:t xml:space="preserve">The number of admissions varies by testing type; see Section 1.7 for details. </w:t>
      </w:r>
    </w:p>
    <w:p w14:paraId="691A98E7" w14:textId="77777777" w:rsidR="005A4DF6" w:rsidRDefault="005A4DF6"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6B74047A"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487246">
        <w:rPr>
          <w:rFonts w:cstheme="minorHAnsi"/>
          <w:bCs/>
          <w:color w:val="0070C0"/>
        </w:rPr>
        <w:t>The datasets, dates, number of measured entities, and number of admissions used in each type of testing are as follows:</w:t>
      </w:r>
    </w:p>
    <w:p w14:paraId="5CDCAA17"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p>
    <w:p w14:paraId="1876123E"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487246">
        <w:rPr>
          <w:rFonts w:cstheme="minorHAnsi"/>
          <w:bCs/>
          <w:color w:val="0070C0"/>
          <w:u w:val="single"/>
        </w:rPr>
        <w:t xml:space="preserve">Measure reliability and validity dataset </w:t>
      </w:r>
    </w:p>
    <w:p w14:paraId="04A69EDB"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487246">
        <w:rPr>
          <w:rFonts w:cstheme="minorHAnsi"/>
          <w:bCs/>
          <w:color w:val="0070C0"/>
        </w:rPr>
        <w:t xml:space="preserve">The measure reliability and validity dataset linked the </w:t>
      </w:r>
      <w:proofErr w:type="spellStart"/>
      <w:r w:rsidRPr="00487246">
        <w:rPr>
          <w:rFonts w:cstheme="minorHAnsi"/>
          <w:bCs/>
          <w:color w:val="0070C0"/>
        </w:rPr>
        <w:t>CathPCI</w:t>
      </w:r>
      <w:proofErr w:type="spellEnd"/>
      <w:r w:rsidRPr="00487246">
        <w:rPr>
          <w:rFonts w:cstheme="minorHAnsi"/>
          <w:bCs/>
          <w:color w:val="0070C0"/>
        </w:rPr>
        <w:t xml:space="preserve"> and Medicare Part A claims data from 2010-2011. It included 48,339 admissions to 1,182 hospitals </w:t>
      </w:r>
      <w:r w:rsidRPr="00487246">
        <w:rPr>
          <w:rFonts w:cs="Calibri"/>
          <w:color w:val="0070C0"/>
        </w:rPr>
        <w:t xml:space="preserve">with 24,170 admissions to 1,167 hospitals in one randomly selected sample and 24,169 admissions to 1,160 hospitals in the remaining sample </w:t>
      </w:r>
      <w:r w:rsidRPr="00487246">
        <w:rPr>
          <w:rFonts w:cstheme="minorHAnsi"/>
          <w:bCs/>
          <w:color w:val="0070C0"/>
        </w:rPr>
        <w:t xml:space="preserve">for patients aged 65 years and older. After excluding hospitals with fewer than 25 cases in each sample, the first sample contained 360 hospitals and the second hospital contained 360 hospitals. The linked dataset was used for: </w:t>
      </w:r>
    </w:p>
    <w:p w14:paraId="0728F23B"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rPr>
          <w:rFonts w:cstheme="minorHAnsi"/>
          <w:bCs/>
          <w:color w:val="0070C0"/>
        </w:rPr>
      </w:pPr>
      <w:r w:rsidRPr="00487246">
        <w:rPr>
          <w:rFonts w:cstheme="minorHAnsi"/>
          <w:bCs/>
          <w:color w:val="0070C0"/>
        </w:rPr>
        <w:t>- Data element reliability testing (Section 2a2)</w:t>
      </w:r>
    </w:p>
    <w:p w14:paraId="48E17D87"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rPr>
          <w:rFonts w:cstheme="minorHAnsi"/>
          <w:bCs/>
          <w:color w:val="0070C0"/>
        </w:rPr>
      </w:pPr>
      <w:r w:rsidRPr="00487246">
        <w:rPr>
          <w:rFonts w:cstheme="minorHAnsi"/>
          <w:bCs/>
          <w:color w:val="0070C0"/>
        </w:rPr>
        <w:t>- Measure score validity testing (Section 2b2)</w:t>
      </w:r>
    </w:p>
    <w:p w14:paraId="0D997173"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rPr>
          <w:rFonts w:cstheme="minorHAnsi"/>
          <w:bCs/>
          <w:color w:val="0070C0"/>
        </w:rPr>
      </w:pPr>
      <w:r w:rsidRPr="00487246">
        <w:rPr>
          <w:rFonts w:cstheme="minorHAnsi"/>
          <w:bCs/>
          <w:color w:val="0070C0"/>
        </w:rPr>
        <w:t>- Measure exclusions testing (Section 2b3)</w:t>
      </w:r>
    </w:p>
    <w:p w14:paraId="52A1EE3E"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rPr>
          <w:rFonts w:cstheme="minorHAnsi"/>
          <w:bCs/>
          <w:color w:val="0070C0"/>
        </w:rPr>
      </w:pPr>
    </w:p>
    <w:p w14:paraId="293D9379"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487246">
        <w:rPr>
          <w:rFonts w:cstheme="minorHAnsi"/>
          <w:bCs/>
          <w:color w:val="0070C0"/>
          <w:u w:val="single"/>
        </w:rPr>
        <w:t>Data validity (Section 2b2)</w:t>
      </w:r>
    </w:p>
    <w:p w14:paraId="3A4F3F5B"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color w:val="0070C0"/>
        </w:rPr>
      </w:pPr>
      <w:r w:rsidRPr="00487246">
        <w:rPr>
          <w:rFonts w:cstheme="minorHAnsi"/>
          <w:bCs/>
          <w:color w:val="0070C0"/>
        </w:rPr>
        <w:t>We used admissions of patients discharged from January through December 2005.</w:t>
      </w:r>
    </w:p>
    <w:p w14:paraId="0D3E5AF5"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p>
    <w:p w14:paraId="2C3414C3"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487246">
        <w:rPr>
          <w:rFonts w:cstheme="minorHAnsi"/>
          <w:bCs/>
          <w:color w:val="0070C0"/>
          <w:u w:val="single"/>
        </w:rPr>
        <w:t>Risk adjustment dataset (Section 2b4)</w:t>
      </w:r>
    </w:p>
    <w:p w14:paraId="650D59AD"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0070C0"/>
        </w:rPr>
      </w:pPr>
      <w:r w:rsidRPr="00487246">
        <w:rPr>
          <w:color w:val="0070C0"/>
        </w:rPr>
        <w:t xml:space="preserve">We use admissions with PCI in the merged data from 2006. The development sample consisted of 15,123 admissions at 602 hospitals in the STEMI or shock cohort. </w:t>
      </w: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7824D2B1" w:rsidR="0021054A" w:rsidRPr="00866E7C" w:rsidRDefault="0021054A" w:rsidP="00E37E1B">
      <w:pPr>
        <w:autoSpaceDE w:val="0"/>
        <w:autoSpaceDN w:val="0"/>
        <w:adjustRightInd w:val="0"/>
        <w:spacing w:after="0" w:line="240" w:lineRule="auto"/>
        <w:rPr>
          <w:rFonts w:cstheme="minorHAnsi"/>
          <w:bCs/>
        </w:rPr>
      </w:pPr>
      <w:r w:rsidRPr="00866E7C">
        <w:rPr>
          <w:rFonts w:cstheme="minorHAnsi"/>
          <w:b/>
          <w:bCs/>
        </w:rPr>
        <w:t>1.8</w:t>
      </w:r>
      <w:r w:rsidRPr="00866E7C">
        <w:rPr>
          <w:rFonts w:cstheme="minorHAnsi"/>
          <w:bCs/>
        </w:rPr>
        <w:t xml:space="preserve"> </w:t>
      </w:r>
      <w:r w:rsidRPr="00866E7C">
        <w:rPr>
          <w:rFonts w:cstheme="minorHAnsi"/>
          <w:b/>
          <w:bCs/>
        </w:rPr>
        <w:t xml:space="preserve">What were the </w:t>
      </w:r>
      <w:r w:rsidR="009C7513" w:rsidRPr="00866E7C">
        <w:rPr>
          <w:rFonts w:cstheme="minorHAnsi"/>
          <w:b/>
          <w:bCs/>
        </w:rPr>
        <w:t>social risk factors</w:t>
      </w:r>
      <w:r w:rsidRPr="00866E7C">
        <w:rPr>
          <w:rFonts w:cstheme="minorHAnsi"/>
          <w:b/>
          <w:bCs/>
        </w:rPr>
        <w:t xml:space="preserve"> that were available and analyzed</w:t>
      </w:r>
      <w:r w:rsidRPr="00866E7C">
        <w:rPr>
          <w:rFonts w:cstheme="minorHAnsi"/>
          <w:bCs/>
        </w:rPr>
        <w:t xml:space="preserve">? For example, patient-reported data (e.g., income, education, language), proxy variables when </w:t>
      </w:r>
      <w:r w:rsidR="009C7513" w:rsidRPr="00866E7C">
        <w:rPr>
          <w:rFonts w:cstheme="minorHAnsi"/>
          <w:bCs/>
        </w:rPr>
        <w:t>social risk</w:t>
      </w:r>
      <w:r w:rsidRPr="00866E7C">
        <w:rPr>
          <w:rFonts w:cstheme="minorHAnsi"/>
          <w:bCs/>
        </w:rPr>
        <w:t xml:space="preserve"> data are not collected from each patient (e.g. census tract), or patient community characteristics (e.g. percent vacant housing, crime rate)</w:t>
      </w:r>
      <w:r w:rsidR="009C7513" w:rsidRPr="00866E7C">
        <w:rPr>
          <w:rFonts w:cstheme="minorHAnsi"/>
          <w:bCs/>
        </w:rPr>
        <w:t xml:space="preserve"> which do not have to be a proxy for patient-level data</w:t>
      </w:r>
      <w:r w:rsidRPr="00866E7C">
        <w:rPr>
          <w:rFonts w:cstheme="minorHAnsi"/>
          <w:bCs/>
        </w:rPr>
        <w:t xml:space="preserve">. </w:t>
      </w:r>
    </w:p>
    <w:p w14:paraId="5FF8BE94" w14:textId="77777777" w:rsidR="00FD6EC4" w:rsidRPr="00FD6EC4" w:rsidRDefault="00FD6EC4" w:rsidP="00FD6EC4">
      <w:pPr>
        <w:pStyle w:val="NormalWeb"/>
        <w:rPr>
          <w:rFonts w:asciiTheme="minorHAnsi" w:hAnsiTheme="minorHAnsi"/>
          <w:color w:val="000000"/>
          <w:sz w:val="22"/>
          <w:szCs w:val="22"/>
        </w:rPr>
      </w:pPr>
      <w:r w:rsidRPr="00FD6EC4">
        <w:rPr>
          <w:rFonts w:asciiTheme="minorHAnsi" w:hAnsiTheme="minorHAnsi" w:cs="Segoe UI"/>
          <w:iCs/>
          <w:color w:val="FF0000"/>
          <w:sz w:val="22"/>
          <w:szCs w:val="22"/>
        </w:rPr>
        <w:t>Social risk factors were not used in this risk model for the following reasons. First, as a detailed clinical registry used for quality assessment and improvement, there are not prospective interviews with patients to obtain patient-reported data. Second, the effect of social risk factors may be at either the patient- or the hospital-lev</w:t>
      </w:r>
      <w:bookmarkStart w:id="11" w:name="_GoBack"/>
      <w:bookmarkEnd w:id="11"/>
      <w:r w:rsidRPr="00FD6EC4">
        <w:rPr>
          <w:rFonts w:asciiTheme="minorHAnsi" w:hAnsiTheme="minorHAnsi" w:cs="Segoe UI"/>
          <w:iCs/>
          <w:color w:val="FF0000"/>
          <w:sz w:val="22"/>
          <w:szCs w:val="22"/>
        </w:rPr>
        <w:t xml:space="preserve">el. For example, patients with social risk factors (i.e., low income, lack of education, etc.) may have an increased risk of mortality because these patients may have an individual higher risk (patient-level effect) or because patients with social risk factors are more often admitted to hospitals with higher overall mortality rates (hospital-level effect). It is important to note, however, that even in the presence of a significant patient-level effect and absence of a significant hospital-level effect, the increased risk could be partly or entirely due to the quality of care patients receive in the hospital. For example, biased or differential care provided within a hospital to low-income patients as compared to high-income patients would exert its impact at the level of individual patients, and therefore be a patient-level effect. Third, while it may be true that worse social risk factors might be associated with more severe illness at the time of presentation, we had direct access to detailed clinical variables describing the severity of illness and feel that incorporating such factors (e.g. cardiogenic shock, ejection fraction, PCI status, cardiac arrest, highest risk legion, etc.) is a much more accurate means of stratifying risk. Accordingly, we feel that in this model of 30-day AMI mortality for STEMI/Shock patients, given the rich clinical data available through the NCDR </w:t>
      </w:r>
      <w:proofErr w:type="spellStart"/>
      <w:r w:rsidRPr="00FD6EC4">
        <w:rPr>
          <w:rFonts w:asciiTheme="minorHAnsi" w:hAnsiTheme="minorHAnsi" w:cs="Segoe UI"/>
          <w:iCs/>
          <w:color w:val="FF0000"/>
          <w:sz w:val="22"/>
          <w:szCs w:val="22"/>
        </w:rPr>
        <w:t>CathPCI</w:t>
      </w:r>
      <w:proofErr w:type="spellEnd"/>
      <w:r w:rsidRPr="00FD6EC4">
        <w:rPr>
          <w:rFonts w:asciiTheme="minorHAnsi" w:hAnsiTheme="minorHAnsi" w:cs="Segoe UI"/>
          <w:iCs/>
          <w:color w:val="FF0000"/>
          <w:sz w:val="22"/>
          <w:szCs w:val="22"/>
        </w:rPr>
        <w:t xml:space="preserve"> Registry and linkage to National Death Index data, that social risk factors, which are not readily available, would not likely contribute much improvement to this </w:t>
      </w:r>
      <w:proofErr w:type="gramStart"/>
      <w:r w:rsidRPr="00FD6EC4">
        <w:rPr>
          <w:rFonts w:asciiTheme="minorHAnsi" w:hAnsiTheme="minorHAnsi" w:cs="Segoe UI"/>
          <w:iCs/>
          <w:color w:val="FF0000"/>
          <w:sz w:val="22"/>
          <w:szCs w:val="22"/>
        </w:rPr>
        <w:t>particular risk</w:t>
      </w:r>
      <w:proofErr w:type="gramEnd"/>
      <w:r w:rsidRPr="00FD6EC4">
        <w:rPr>
          <w:rFonts w:asciiTheme="minorHAnsi" w:hAnsiTheme="minorHAnsi" w:cs="Segoe UI"/>
          <w:iCs/>
          <w:color w:val="FF0000"/>
          <w:sz w:val="22"/>
          <w:szCs w:val="22"/>
        </w:rPr>
        <w:t xml:space="preserve"> model.</w:t>
      </w:r>
    </w:p>
    <w:p w14:paraId="0CABCFCD" w14:textId="61008A22" w:rsidR="004348CC" w:rsidRPr="00866E7C" w:rsidRDefault="00483E94" w:rsidP="00E37E1B">
      <w:pPr>
        <w:autoSpaceDE w:val="0"/>
        <w:autoSpaceDN w:val="0"/>
        <w:adjustRightInd w:val="0"/>
        <w:spacing w:after="0" w:line="240" w:lineRule="auto"/>
        <w:rPr>
          <w:rFonts w:cstheme="minorHAnsi"/>
          <w:bCs/>
        </w:rPr>
      </w:pPr>
      <w:r w:rsidRPr="00866E7C">
        <w:rPr>
          <w:rFonts w:cstheme="minorHAnsi"/>
          <w:noProof/>
        </w:rPr>
        <w:t>________</w:t>
      </w:r>
      <w:r w:rsidR="00E37E1B" w:rsidRPr="00866E7C">
        <w:rPr>
          <w:rFonts w:cstheme="minorHAnsi"/>
          <w:noProof/>
        </w:rPr>
        <w:t>_______________</w:t>
      </w:r>
      <w:r w:rsidR="003755CB" w:rsidRPr="00866E7C">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866E7C">
        <w:rPr>
          <w:rFonts w:cstheme="minorHAnsi"/>
          <w:b/>
          <w:noProof/>
        </w:rPr>
        <w:t>2</w:t>
      </w:r>
      <w:r w:rsidR="00EA5F47" w:rsidRPr="00866E7C">
        <w:rPr>
          <w:rFonts w:cstheme="minorHAnsi"/>
          <w:b/>
          <w:noProof/>
        </w:rPr>
        <w:t>a</w:t>
      </w:r>
      <w:r w:rsidRPr="00866E7C">
        <w:rPr>
          <w:rFonts w:cstheme="minorHAnsi"/>
          <w:b/>
          <w:noProof/>
        </w:rPr>
        <w:t xml:space="preserve">2. </w:t>
      </w:r>
      <w:r w:rsidRPr="00866E7C">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45DB6451"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5A4DF6">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5A4DF6">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7B5BE29E"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487246">
        <w:rPr>
          <w:rFonts w:cstheme="minorHAnsi"/>
          <w:bCs/>
          <w:color w:val="0070C0"/>
          <w:u w:val="single"/>
        </w:rPr>
        <w:t>Data Element Reliability</w:t>
      </w:r>
    </w:p>
    <w:p w14:paraId="0F11CCD9"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487246">
        <w:rPr>
          <w:rFonts w:cstheme="minorHAnsi"/>
          <w:bCs/>
          <w:color w:val="0070C0"/>
        </w:rPr>
        <w:t>See Section 2b2 for validity testing of data elements</w:t>
      </w:r>
    </w:p>
    <w:p w14:paraId="38EC67A4"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p>
    <w:p w14:paraId="6050CB01"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487246">
        <w:rPr>
          <w:rFonts w:cstheme="minorHAnsi"/>
          <w:bCs/>
          <w:color w:val="0070C0"/>
          <w:u w:val="single"/>
        </w:rPr>
        <w:t>Measure Score Reliability</w:t>
      </w:r>
    </w:p>
    <w:p w14:paraId="1688C9B2"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color w:val="0070C0"/>
        </w:rPr>
      </w:pPr>
      <w:r w:rsidRPr="00487246">
        <w:rPr>
          <w:rFonts w:cs="Calibri"/>
          <w:color w:val="0070C0"/>
        </w:rPr>
        <w:t xml:space="preserve">To assess reliability of the measure, we examined the extent to which assessments of a hospital using different but randomly selected subsets of patients in the same </w:t>
      </w:r>
      <w:proofErr w:type="gramStart"/>
      <w:r w:rsidRPr="00487246">
        <w:rPr>
          <w:rFonts w:cs="Calibri"/>
          <w:color w:val="0070C0"/>
        </w:rPr>
        <w:t>time period</w:t>
      </w:r>
      <w:proofErr w:type="gramEnd"/>
      <w:r w:rsidRPr="00487246">
        <w:rPr>
          <w:rFonts w:cs="Calibri"/>
          <w:color w:val="0070C0"/>
        </w:rPr>
        <w:t xml:space="preserve"> produced similar measures of hospital performance. That is, we took a "test-retest" approach in which hospital performance is measured once using a random subset of patients, then measured again using a second random subset exclusive of the first, and calculated the agreement of the two resulting performance measures across hospitals.  </w:t>
      </w:r>
    </w:p>
    <w:p w14:paraId="18AE6D76"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color w:val="0070C0"/>
        </w:rPr>
      </w:pPr>
    </w:p>
    <w:p w14:paraId="76A9F964"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color w:val="0070C0"/>
        </w:rPr>
      </w:pPr>
      <w:r w:rsidRPr="00487246">
        <w:rPr>
          <w:rFonts w:cs="Calibri"/>
          <w:color w:val="0070C0"/>
        </w:rPr>
        <w:t xml:space="preserve">For test-retest reliability of the measure in Medicare FFS patients aged 65 and older, we combined index admissions from two years (2010 and 2011) into a single dataset, randomly sampled half of patients within each hospital, calculated the measure for each hospital, and repeated the calculation using the second half. Thus, we measured each hospital twice, but each measurement is made using an entirely distinct set of patients. To the extent that the calculated measures of these two subsets agree, we have evidence that the measure is reliable. As a metric of </w:t>
      </w:r>
      <w:proofErr w:type="gramStart"/>
      <w:r w:rsidRPr="00487246">
        <w:rPr>
          <w:rFonts w:cs="Calibri"/>
          <w:color w:val="0070C0"/>
        </w:rPr>
        <w:t>agreement</w:t>
      </w:r>
      <w:proofErr w:type="gramEnd"/>
      <w:r w:rsidRPr="00487246">
        <w:rPr>
          <w:rFonts w:cs="Calibri"/>
          <w:color w:val="0070C0"/>
        </w:rPr>
        <w:t xml:space="preserve"> we calculated the intra-class correlation coefficient and assessed the values according to conventional standards.</w:t>
      </w:r>
    </w:p>
    <w:p w14:paraId="71D17400"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color w:val="0070C0"/>
        </w:rPr>
      </w:pPr>
    </w:p>
    <w:p w14:paraId="0B5C1BD0" w14:textId="77777777" w:rsidR="005A4DF6" w:rsidRPr="00487246" w:rsidRDefault="005A4DF6" w:rsidP="005A4DF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487246">
        <w:rPr>
          <w:rFonts w:cs="Calibri"/>
          <w:color w:val="0070C0"/>
        </w:rPr>
        <w:t>Specifically, we used a combined 2010-2011 sample that had been linked with Medicare FFS claims data, and randomly split it into two approximately equal subsets of patients. We then calculated the RSMR for each hospital for each sample. The agreement of the two RSMRs was quantified for hospitals in each sample using the intra-class correlation. Using two independent samples provides an honest estimate of the measure’s reliability, compared with using two random but potentially overlapping samples, which would exaggerate the agreement. Of note, because our final measure is derived using hierarchical logistic regression, a known property of hierarchical logistic regression models is that smaller volume hospitals contribute less ´signal´. As such a split sample using a single measurement period likely introduces extra noise; potentially underestimating the actual test-retest reliability that would be achieved if the measures were reported using additional years of data. Furthermore, the measure is specified for the entire PCI population, but we tested it only in the subset of Medicare FFS patients for whom information about vital status was available. This reduced the cohort available for testing by approximately 40%.</w:t>
      </w: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0CABCFD3" w14:textId="11E67CD9"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7D0D4671" w14:textId="77777777" w:rsidR="00F628B6" w:rsidRPr="00487246" w:rsidRDefault="00F628B6" w:rsidP="00F628B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487246">
        <w:rPr>
          <w:rFonts w:cstheme="minorHAnsi"/>
          <w:bCs/>
          <w:color w:val="0070C0"/>
          <w:u w:val="single"/>
        </w:rPr>
        <w:t>Measure Score Reliability</w:t>
      </w:r>
    </w:p>
    <w:p w14:paraId="01546846" w14:textId="77777777" w:rsidR="00F628B6" w:rsidRPr="00487246" w:rsidRDefault="00F628B6" w:rsidP="00F628B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487246">
        <w:rPr>
          <w:rFonts w:cstheme="minorHAnsi"/>
          <w:bCs/>
          <w:color w:val="0070C0"/>
        </w:rPr>
        <w:t>We calculated the correlation of the RSMR from our final model in two different samples.</w:t>
      </w:r>
    </w:p>
    <w:p w14:paraId="52504A00" w14:textId="4DB06352" w:rsidR="00F628B6" w:rsidRPr="00487246" w:rsidRDefault="00F628B6" w:rsidP="008C54A9">
      <w:pPr>
        <w:autoSpaceDE w:val="0"/>
        <w:autoSpaceDN w:val="0"/>
        <w:adjustRightInd w:val="0"/>
        <w:spacing w:after="0" w:line="240" w:lineRule="auto"/>
        <w:rPr>
          <w:rFonts w:cstheme="minorHAnsi"/>
          <w:bCs/>
          <w:color w:val="0070C0"/>
        </w:rPr>
      </w:pPr>
    </w:p>
    <w:tbl>
      <w:tblPr>
        <w:tblW w:w="951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45"/>
        <w:gridCol w:w="1260"/>
        <w:gridCol w:w="1421"/>
        <w:gridCol w:w="1421"/>
        <w:gridCol w:w="1028"/>
        <w:gridCol w:w="1421"/>
        <w:gridCol w:w="1421"/>
      </w:tblGrid>
      <w:tr w:rsidR="00487246" w:rsidRPr="00487246" w14:paraId="57DCA161" w14:textId="77777777" w:rsidTr="00487246">
        <w:trPr>
          <w:trHeight w:val="255"/>
        </w:trPr>
        <w:tc>
          <w:tcPr>
            <w:tcW w:w="9517" w:type="dxa"/>
            <w:gridSpan w:val="7"/>
            <w:tcBorders>
              <w:bottom w:val="single" w:sz="4" w:space="0" w:color="auto"/>
            </w:tcBorders>
            <w:shd w:val="clear" w:color="auto" w:fill="auto"/>
            <w:noWrap/>
            <w:vAlign w:val="bottom"/>
            <w:hideMark/>
          </w:tcPr>
          <w:p w14:paraId="51C04324" w14:textId="77777777" w:rsidR="00F628B6" w:rsidRPr="00487246" w:rsidRDefault="00F628B6" w:rsidP="00487246">
            <w:pPr>
              <w:spacing w:after="0" w:line="240" w:lineRule="auto"/>
              <w:rPr>
                <w:rFonts w:ascii="Calibri" w:eastAsia="Times New Roman" w:hAnsi="Calibri" w:cs="Arial"/>
                <w:b/>
                <w:bCs/>
                <w:color w:val="0070C0"/>
                <w:sz w:val="20"/>
                <w:szCs w:val="20"/>
              </w:rPr>
            </w:pPr>
            <w:r w:rsidRPr="00487246">
              <w:rPr>
                <w:rFonts w:ascii="Calibri" w:eastAsia="Times New Roman" w:hAnsi="Calibri" w:cs="Arial"/>
                <w:b/>
                <w:bCs/>
                <w:color w:val="0070C0"/>
                <w:sz w:val="20"/>
                <w:szCs w:val="20"/>
              </w:rPr>
              <w:t>Table 1.  Overall mortality rate (OMR) and risk-standardized mortality rate (RSMR) in the split samples; 2010-2011.</w:t>
            </w:r>
          </w:p>
        </w:tc>
      </w:tr>
      <w:tr w:rsidR="00487246" w:rsidRPr="00487246" w14:paraId="4CBCF802" w14:textId="77777777" w:rsidTr="00487246">
        <w:trPr>
          <w:trHeight w:val="255"/>
        </w:trPr>
        <w:tc>
          <w:tcPr>
            <w:tcW w:w="1545" w:type="dxa"/>
            <w:vMerge w:val="restart"/>
            <w:tcBorders>
              <w:top w:val="single" w:sz="4" w:space="0" w:color="auto"/>
              <w:bottom w:val="nil"/>
              <w:right w:val="single" w:sz="4" w:space="0" w:color="auto"/>
            </w:tcBorders>
            <w:shd w:val="clear" w:color="auto" w:fill="D9D9D9" w:themeFill="background1" w:themeFillShade="D9"/>
            <w:noWrap/>
            <w:vAlign w:val="center"/>
            <w:hideMark/>
          </w:tcPr>
          <w:p w14:paraId="4627F642" w14:textId="77777777" w:rsidR="00F628B6" w:rsidRPr="00487246" w:rsidRDefault="00F628B6" w:rsidP="00487246">
            <w:pPr>
              <w:spacing w:after="0" w:line="240" w:lineRule="auto"/>
              <w:rPr>
                <w:rFonts w:ascii="Calibri" w:eastAsia="Times New Roman" w:hAnsi="Calibri" w:cs="Arial"/>
                <w:b/>
                <w:bCs/>
                <w:color w:val="0070C0"/>
                <w:sz w:val="20"/>
                <w:szCs w:val="20"/>
              </w:rPr>
            </w:pPr>
            <w:r w:rsidRPr="00487246">
              <w:rPr>
                <w:rFonts w:ascii="Calibri" w:eastAsia="Times New Roman" w:hAnsi="Calibri" w:cs="Arial"/>
                <w:b/>
                <w:bCs/>
                <w:color w:val="0070C0"/>
                <w:sz w:val="20"/>
                <w:szCs w:val="20"/>
              </w:rPr>
              <w:t>Description</w:t>
            </w:r>
          </w:p>
        </w:tc>
        <w:tc>
          <w:tcPr>
            <w:tcW w:w="410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61F0AA9" w14:textId="77777777" w:rsidR="00F628B6" w:rsidRPr="00487246" w:rsidRDefault="00F628B6" w:rsidP="00487246">
            <w:pPr>
              <w:spacing w:after="0" w:line="240" w:lineRule="auto"/>
              <w:jc w:val="center"/>
              <w:rPr>
                <w:rFonts w:ascii="Calibri" w:eastAsia="Times New Roman" w:hAnsi="Calibri" w:cs="Arial"/>
                <w:b/>
                <w:bCs/>
                <w:color w:val="0070C0"/>
                <w:sz w:val="20"/>
                <w:szCs w:val="20"/>
              </w:rPr>
            </w:pPr>
            <w:r w:rsidRPr="00487246">
              <w:rPr>
                <w:rFonts w:ascii="Calibri" w:eastAsia="Times New Roman" w:hAnsi="Calibri" w:cs="Arial"/>
                <w:b/>
                <w:bCs/>
                <w:color w:val="0070C0"/>
                <w:sz w:val="20"/>
                <w:szCs w:val="20"/>
              </w:rPr>
              <w:t>First Half of the Data</w:t>
            </w:r>
          </w:p>
        </w:tc>
        <w:tc>
          <w:tcPr>
            <w:tcW w:w="3870" w:type="dxa"/>
            <w:gridSpan w:val="3"/>
            <w:tcBorders>
              <w:top w:val="single" w:sz="4" w:space="0" w:color="auto"/>
              <w:left w:val="single" w:sz="4" w:space="0" w:color="auto"/>
              <w:bottom w:val="single" w:sz="4" w:space="0" w:color="auto"/>
            </w:tcBorders>
            <w:shd w:val="clear" w:color="auto" w:fill="D9D9D9" w:themeFill="background1" w:themeFillShade="D9"/>
            <w:noWrap/>
            <w:vAlign w:val="bottom"/>
            <w:hideMark/>
          </w:tcPr>
          <w:p w14:paraId="6FE8B036" w14:textId="77777777" w:rsidR="00F628B6" w:rsidRPr="00487246" w:rsidRDefault="00F628B6" w:rsidP="00487246">
            <w:pPr>
              <w:spacing w:after="0" w:line="240" w:lineRule="auto"/>
              <w:jc w:val="center"/>
              <w:rPr>
                <w:rFonts w:ascii="Calibri" w:eastAsia="Times New Roman" w:hAnsi="Calibri" w:cs="Arial"/>
                <w:b/>
                <w:bCs/>
                <w:color w:val="0070C0"/>
                <w:sz w:val="20"/>
                <w:szCs w:val="20"/>
              </w:rPr>
            </w:pPr>
            <w:r w:rsidRPr="00487246">
              <w:rPr>
                <w:rFonts w:ascii="Calibri" w:eastAsia="Times New Roman" w:hAnsi="Calibri" w:cs="Arial"/>
                <w:b/>
                <w:bCs/>
                <w:color w:val="0070C0"/>
                <w:sz w:val="20"/>
                <w:szCs w:val="20"/>
              </w:rPr>
              <w:t>Second Half of the Data</w:t>
            </w:r>
          </w:p>
        </w:tc>
      </w:tr>
      <w:tr w:rsidR="00487246" w:rsidRPr="00487246" w14:paraId="27F2F8BB" w14:textId="77777777" w:rsidTr="00487246">
        <w:trPr>
          <w:trHeight w:val="255"/>
        </w:trPr>
        <w:tc>
          <w:tcPr>
            <w:tcW w:w="1545" w:type="dxa"/>
            <w:vMerge/>
            <w:tcBorders>
              <w:top w:val="nil"/>
              <w:bottom w:val="nil"/>
              <w:right w:val="single" w:sz="4" w:space="0" w:color="auto"/>
            </w:tcBorders>
            <w:shd w:val="clear" w:color="auto" w:fill="D9D9D9" w:themeFill="background1" w:themeFillShade="D9"/>
            <w:vAlign w:val="center"/>
            <w:hideMark/>
          </w:tcPr>
          <w:p w14:paraId="08835041" w14:textId="77777777" w:rsidR="00F628B6" w:rsidRPr="00487246" w:rsidRDefault="00F628B6" w:rsidP="00487246">
            <w:pPr>
              <w:spacing w:after="0" w:line="240" w:lineRule="auto"/>
              <w:rPr>
                <w:rFonts w:ascii="Calibri" w:eastAsia="Times New Roman" w:hAnsi="Calibri" w:cs="Arial"/>
                <w:b/>
                <w:bCs/>
                <w:color w:val="0070C0"/>
                <w:sz w:val="20"/>
                <w:szCs w:val="20"/>
              </w:rPr>
            </w:pPr>
          </w:p>
        </w:tc>
        <w:tc>
          <w:tcPr>
            <w:tcW w:w="1260" w:type="dxa"/>
            <w:vMerge w:val="restart"/>
            <w:tcBorders>
              <w:top w:val="nil"/>
              <w:left w:val="single" w:sz="4" w:space="0" w:color="auto"/>
              <w:bottom w:val="nil"/>
            </w:tcBorders>
            <w:shd w:val="clear" w:color="auto" w:fill="D9D9D9" w:themeFill="background1" w:themeFillShade="D9"/>
            <w:noWrap/>
            <w:vAlign w:val="bottom"/>
            <w:hideMark/>
          </w:tcPr>
          <w:p w14:paraId="30AA73D4" w14:textId="77777777" w:rsidR="00F628B6" w:rsidRPr="00487246" w:rsidRDefault="00F628B6" w:rsidP="00487246">
            <w:pPr>
              <w:spacing w:after="0" w:line="240" w:lineRule="auto"/>
              <w:jc w:val="center"/>
              <w:rPr>
                <w:rFonts w:ascii="Calibri" w:eastAsia="Times New Roman" w:hAnsi="Calibri" w:cs="Arial"/>
                <w:b/>
                <w:bCs/>
                <w:color w:val="0070C0"/>
                <w:sz w:val="20"/>
                <w:szCs w:val="20"/>
              </w:rPr>
            </w:pPr>
            <w:r w:rsidRPr="00487246">
              <w:rPr>
                <w:rFonts w:ascii="Calibri" w:eastAsia="Times New Roman" w:hAnsi="Calibri" w:cs="Arial"/>
                <w:b/>
                <w:bCs/>
                <w:color w:val="0070C0"/>
                <w:sz w:val="20"/>
                <w:szCs w:val="20"/>
              </w:rPr>
              <w:t>Volume</w:t>
            </w:r>
          </w:p>
        </w:tc>
        <w:tc>
          <w:tcPr>
            <w:tcW w:w="2842" w:type="dxa"/>
            <w:gridSpan w:val="2"/>
            <w:tcBorders>
              <w:top w:val="nil"/>
              <w:bottom w:val="nil"/>
              <w:right w:val="single" w:sz="4" w:space="0" w:color="auto"/>
            </w:tcBorders>
            <w:shd w:val="clear" w:color="auto" w:fill="D9D9D9" w:themeFill="background1" w:themeFillShade="D9"/>
            <w:noWrap/>
            <w:vAlign w:val="bottom"/>
            <w:hideMark/>
          </w:tcPr>
          <w:p w14:paraId="162A57EC" w14:textId="77777777" w:rsidR="00F628B6" w:rsidRPr="00487246" w:rsidRDefault="00F628B6" w:rsidP="00487246">
            <w:pPr>
              <w:spacing w:after="0" w:line="240" w:lineRule="auto"/>
              <w:jc w:val="center"/>
              <w:rPr>
                <w:rFonts w:ascii="Calibri" w:eastAsia="Times New Roman" w:hAnsi="Calibri" w:cs="Arial"/>
                <w:b/>
                <w:bCs/>
                <w:color w:val="0070C0"/>
                <w:sz w:val="20"/>
                <w:szCs w:val="20"/>
              </w:rPr>
            </w:pPr>
            <w:r w:rsidRPr="00487246">
              <w:rPr>
                <w:rFonts w:ascii="Calibri" w:eastAsia="Times New Roman" w:hAnsi="Calibri" w:cs="Arial"/>
                <w:b/>
                <w:bCs/>
                <w:color w:val="0070C0"/>
                <w:sz w:val="20"/>
                <w:szCs w:val="20"/>
              </w:rPr>
              <w:t>Weighted by Hospital Volume</w:t>
            </w:r>
          </w:p>
        </w:tc>
        <w:tc>
          <w:tcPr>
            <w:tcW w:w="1028" w:type="dxa"/>
            <w:vMerge w:val="restart"/>
            <w:tcBorders>
              <w:top w:val="nil"/>
              <w:left w:val="single" w:sz="4" w:space="0" w:color="auto"/>
              <w:bottom w:val="nil"/>
            </w:tcBorders>
            <w:shd w:val="clear" w:color="auto" w:fill="D9D9D9" w:themeFill="background1" w:themeFillShade="D9"/>
            <w:noWrap/>
            <w:vAlign w:val="bottom"/>
            <w:hideMark/>
          </w:tcPr>
          <w:p w14:paraId="717BAC48" w14:textId="77777777" w:rsidR="00F628B6" w:rsidRPr="00487246" w:rsidRDefault="00F628B6" w:rsidP="00487246">
            <w:pPr>
              <w:spacing w:after="0" w:line="240" w:lineRule="auto"/>
              <w:jc w:val="center"/>
              <w:rPr>
                <w:rFonts w:ascii="Calibri" w:eastAsia="Times New Roman" w:hAnsi="Calibri" w:cs="Arial"/>
                <w:b/>
                <w:bCs/>
                <w:color w:val="0070C0"/>
                <w:sz w:val="20"/>
                <w:szCs w:val="20"/>
              </w:rPr>
            </w:pPr>
          </w:p>
          <w:p w14:paraId="308D4529" w14:textId="77777777" w:rsidR="00F628B6" w:rsidRPr="00487246" w:rsidRDefault="00F628B6" w:rsidP="00487246">
            <w:pPr>
              <w:spacing w:after="0" w:line="240" w:lineRule="auto"/>
              <w:jc w:val="center"/>
              <w:rPr>
                <w:rFonts w:ascii="Calibri" w:eastAsia="Times New Roman" w:hAnsi="Calibri" w:cs="Arial"/>
                <w:b/>
                <w:bCs/>
                <w:color w:val="0070C0"/>
                <w:sz w:val="20"/>
                <w:szCs w:val="20"/>
              </w:rPr>
            </w:pPr>
            <w:r w:rsidRPr="00487246">
              <w:rPr>
                <w:rFonts w:ascii="Calibri" w:eastAsia="Times New Roman" w:hAnsi="Calibri" w:cs="Arial"/>
                <w:b/>
                <w:bCs/>
                <w:color w:val="0070C0"/>
                <w:sz w:val="20"/>
                <w:szCs w:val="20"/>
              </w:rPr>
              <w:t>Volume</w:t>
            </w:r>
          </w:p>
        </w:tc>
        <w:tc>
          <w:tcPr>
            <w:tcW w:w="2842" w:type="dxa"/>
            <w:gridSpan w:val="2"/>
            <w:tcBorders>
              <w:top w:val="nil"/>
              <w:bottom w:val="nil"/>
            </w:tcBorders>
            <w:shd w:val="clear" w:color="auto" w:fill="D9D9D9" w:themeFill="background1" w:themeFillShade="D9"/>
            <w:noWrap/>
            <w:vAlign w:val="bottom"/>
            <w:hideMark/>
          </w:tcPr>
          <w:p w14:paraId="36A30B3D" w14:textId="77777777" w:rsidR="00F628B6" w:rsidRPr="00487246" w:rsidRDefault="00F628B6" w:rsidP="00487246">
            <w:pPr>
              <w:spacing w:after="0" w:line="240" w:lineRule="auto"/>
              <w:jc w:val="center"/>
              <w:rPr>
                <w:rFonts w:ascii="Calibri" w:eastAsia="Times New Roman" w:hAnsi="Calibri" w:cs="Arial"/>
                <w:b/>
                <w:bCs/>
                <w:color w:val="0070C0"/>
                <w:sz w:val="20"/>
                <w:szCs w:val="20"/>
              </w:rPr>
            </w:pPr>
            <w:r w:rsidRPr="00487246">
              <w:rPr>
                <w:rFonts w:ascii="Calibri" w:eastAsia="Times New Roman" w:hAnsi="Calibri" w:cs="Arial"/>
                <w:b/>
                <w:bCs/>
                <w:color w:val="0070C0"/>
                <w:sz w:val="20"/>
                <w:szCs w:val="20"/>
              </w:rPr>
              <w:t>Weighted by Hospital Volume</w:t>
            </w:r>
          </w:p>
        </w:tc>
      </w:tr>
      <w:tr w:rsidR="00487246" w:rsidRPr="00487246" w14:paraId="1BA4B6F3" w14:textId="77777777" w:rsidTr="00487246">
        <w:trPr>
          <w:trHeight w:val="255"/>
        </w:trPr>
        <w:tc>
          <w:tcPr>
            <w:tcW w:w="1545" w:type="dxa"/>
            <w:vMerge/>
            <w:tcBorders>
              <w:top w:val="nil"/>
              <w:bottom w:val="nil"/>
              <w:right w:val="single" w:sz="4" w:space="0" w:color="auto"/>
            </w:tcBorders>
            <w:shd w:val="clear" w:color="auto" w:fill="D9D9D9" w:themeFill="background1" w:themeFillShade="D9"/>
            <w:vAlign w:val="center"/>
            <w:hideMark/>
          </w:tcPr>
          <w:p w14:paraId="2F3CE20B" w14:textId="77777777" w:rsidR="00F628B6" w:rsidRPr="00487246" w:rsidRDefault="00F628B6" w:rsidP="00487246">
            <w:pPr>
              <w:spacing w:after="0" w:line="240" w:lineRule="auto"/>
              <w:rPr>
                <w:rFonts w:ascii="Calibri" w:eastAsia="Times New Roman" w:hAnsi="Calibri" w:cs="Arial"/>
                <w:b/>
                <w:bCs/>
                <w:color w:val="0070C0"/>
                <w:sz w:val="20"/>
                <w:szCs w:val="20"/>
              </w:rPr>
            </w:pPr>
          </w:p>
        </w:tc>
        <w:tc>
          <w:tcPr>
            <w:tcW w:w="1260" w:type="dxa"/>
            <w:vMerge/>
            <w:tcBorders>
              <w:top w:val="nil"/>
              <w:left w:val="single" w:sz="4" w:space="0" w:color="auto"/>
              <w:bottom w:val="nil"/>
            </w:tcBorders>
            <w:shd w:val="clear" w:color="auto" w:fill="D9D9D9" w:themeFill="background1" w:themeFillShade="D9"/>
            <w:vAlign w:val="center"/>
            <w:hideMark/>
          </w:tcPr>
          <w:p w14:paraId="4DB89E1B" w14:textId="77777777" w:rsidR="00F628B6" w:rsidRPr="00487246" w:rsidRDefault="00F628B6" w:rsidP="00487246">
            <w:pPr>
              <w:spacing w:after="0" w:line="240" w:lineRule="auto"/>
              <w:rPr>
                <w:rFonts w:ascii="Calibri" w:eastAsia="Times New Roman" w:hAnsi="Calibri" w:cs="Arial"/>
                <w:b/>
                <w:bCs/>
                <w:color w:val="0070C0"/>
                <w:sz w:val="20"/>
                <w:szCs w:val="20"/>
              </w:rPr>
            </w:pPr>
          </w:p>
        </w:tc>
        <w:tc>
          <w:tcPr>
            <w:tcW w:w="1421" w:type="dxa"/>
            <w:tcBorders>
              <w:top w:val="nil"/>
              <w:bottom w:val="nil"/>
            </w:tcBorders>
            <w:shd w:val="clear" w:color="auto" w:fill="D9D9D9" w:themeFill="background1" w:themeFillShade="D9"/>
            <w:noWrap/>
            <w:vAlign w:val="center"/>
            <w:hideMark/>
          </w:tcPr>
          <w:p w14:paraId="3E96510B" w14:textId="77777777" w:rsidR="00F628B6" w:rsidRPr="00487246" w:rsidRDefault="00F628B6" w:rsidP="00487246">
            <w:pPr>
              <w:spacing w:after="0" w:line="240" w:lineRule="auto"/>
              <w:jc w:val="center"/>
              <w:rPr>
                <w:rFonts w:ascii="Calibri" w:eastAsia="Times New Roman" w:hAnsi="Calibri" w:cs="Arial"/>
                <w:b/>
                <w:bCs/>
                <w:color w:val="0070C0"/>
                <w:sz w:val="20"/>
                <w:szCs w:val="20"/>
              </w:rPr>
            </w:pPr>
            <w:r w:rsidRPr="00487246">
              <w:rPr>
                <w:rFonts w:ascii="Calibri" w:eastAsia="Times New Roman" w:hAnsi="Calibri" w:cs="Arial"/>
                <w:b/>
                <w:bCs/>
                <w:color w:val="0070C0"/>
                <w:sz w:val="20"/>
                <w:szCs w:val="20"/>
              </w:rPr>
              <w:t>OMR</w:t>
            </w:r>
          </w:p>
        </w:tc>
        <w:tc>
          <w:tcPr>
            <w:tcW w:w="1421" w:type="dxa"/>
            <w:tcBorders>
              <w:top w:val="nil"/>
              <w:bottom w:val="nil"/>
              <w:right w:val="single" w:sz="4" w:space="0" w:color="auto"/>
            </w:tcBorders>
            <w:shd w:val="clear" w:color="auto" w:fill="D9D9D9" w:themeFill="background1" w:themeFillShade="D9"/>
            <w:noWrap/>
            <w:vAlign w:val="center"/>
            <w:hideMark/>
          </w:tcPr>
          <w:p w14:paraId="27AFE7AB" w14:textId="77777777" w:rsidR="00F628B6" w:rsidRPr="00487246" w:rsidRDefault="00F628B6" w:rsidP="00487246">
            <w:pPr>
              <w:spacing w:after="0" w:line="240" w:lineRule="auto"/>
              <w:jc w:val="center"/>
              <w:rPr>
                <w:rFonts w:ascii="Calibri" w:eastAsia="Times New Roman" w:hAnsi="Calibri" w:cs="Arial"/>
                <w:b/>
                <w:bCs/>
                <w:color w:val="0070C0"/>
                <w:sz w:val="20"/>
                <w:szCs w:val="20"/>
              </w:rPr>
            </w:pPr>
            <w:r w:rsidRPr="00487246">
              <w:rPr>
                <w:rFonts w:ascii="Calibri" w:eastAsia="Times New Roman" w:hAnsi="Calibri" w:cs="Arial"/>
                <w:b/>
                <w:bCs/>
                <w:color w:val="0070C0"/>
                <w:sz w:val="20"/>
                <w:szCs w:val="20"/>
              </w:rPr>
              <w:t>RSMR</w:t>
            </w:r>
          </w:p>
        </w:tc>
        <w:tc>
          <w:tcPr>
            <w:tcW w:w="1028" w:type="dxa"/>
            <w:vMerge/>
            <w:tcBorders>
              <w:top w:val="nil"/>
              <w:left w:val="single" w:sz="4" w:space="0" w:color="auto"/>
              <w:bottom w:val="nil"/>
            </w:tcBorders>
            <w:shd w:val="clear" w:color="auto" w:fill="D9D9D9" w:themeFill="background1" w:themeFillShade="D9"/>
            <w:vAlign w:val="center"/>
            <w:hideMark/>
          </w:tcPr>
          <w:p w14:paraId="22574857" w14:textId="77777777" w:rsidR="00F628B6" w:rsidRPr="00487246" w:rsidRDefault="00F628B6" w:rsidP="00487246">
            <w:pPr>
              <w:spacing w:after="0" w:line="240" w:lineRule="auto"/>
              <w:rPr>
                <w:rFonts w:ascii="Calibri" w:eastAsia="Times New Roman" w:hAnsi="Calibri" w:cs="Arial"/>
                <w:b/>
                <w:bCs/>
                <w:color w:val="0070C0"/>
                <w:sz w:val="20"/>
                <w:szCs w:val="20"/>
              </w:rPr>
            </w:pPr>
          </w:p>
        </w:tc>
        <w:tc>
          <w:tcPr>
            <w:tcW w:w="1421" w:type="dxa"/>
            <w:tcBorders>
              <w:top w:val="nil"/>
              <w:bottom w:val="nil"/>
            </w:tcBorders>
            <w:shd w:val="clear" w:color="auto" w:fill="D9D9D9" w:themeFill="background1" w:themeFillShade="D9"/>
            <w:noWrap/>
            <w:vAlign w:val="center"/>
            <w:hideMark/>
          </w:tcPr>
          <w:p w14:paraId="097EF472" w14:textId="77777777" w:rsidR="00F628B6" w:rsidRPr="00487246" w:rsidRDefault="00F628B6" w:rsidP="00487246">
            <w:pPr>
              <w:spacing w:after="0" w:line="240" w:lineRule="auto"/>
              <w:jc w:val="center"/>
              <w:rPr>
                <w:rFonts w:ascii="Calibri" w:eastAsia="Times New Roman" w:hAnsi="Calibri" w:cs="Arial"/>
                <w:b/>
                <w:bCs/>
                <w:color w:val="0070C0"/>
                <w:sz w:val="20"/>
                <w:szCs w:val="20"/>
              </w:rPr>
            </w:pPr>
            <w:r w:rsidRPr="00487246">
              <w:rPr>
                <w:rFonts w:ascii="Calibri" w:eastAsia="Times New Roman" w:hAnsi="Calibri" w:cs="Arial"/>
                <w:b/>
                <w:bCs/>
                <w:color w:val="0070C0"/>
                <w:sz w:val="20"/>
                <w:szCs w:val="20"/>
              </w:rPr>
              <w:t>OMR</w:t>
            </w:r>
          </w:p>
        </w:tc>
        <w:tc>
          <w:tcPr>
            <w:tcW w:w="1421" w:type="dxa"/>
            <w:tcBorders>
              <w:top w:val="nil"/>
              <w:bottom w:val="nil"/>
            </w:tcBorders>
            <w:shd w:val="clear" w:color="auto" w:fill="D9D9D9" w:themeFill="background1" w:themeFillShade="D9"/>
            <w:noWrap/>
            <w:vAlign w:val="center"/>
            <w:hideMark/>
          </w:tcPr>
          <w:p w14:paraId="66746DC9" w14:textId="77777777" w:rsidR="00F628B6" w:rsidRPr="00487246" w:rsidRDefault="00F628B6" w:rsidP="00487246">
            <w:pPr>
              <w:spacing w:after="0" w:line="240" w:lineRule="auto"/>
              <w:jc w:val="center"/>
              <w:rPr>
                <w:rFonts w:ascii="Calibri" w:eastAsia="Times New Roman" w:hAnsi="Calibri" w:cs="Arial"/>
                <w:b/>
                <w:bCs/>
                <w:color w:val="0070C0"/>
                <w:sz w:val="20"/>
                <w:szCs w:val="20"/>
              </w:rPr>
            </w:pPr>
            <w:r w:rsidRPr="00487246">
              <w:rPr>
                <w:rFonts w:ascii="Calibri" w:eastAsia="Times New Roman" w:hAnsi="Calibri" w:cs="Arial"/>
                <w:b/>
                <w:bCs/>
                <w:color w:val="0070C0"/>
                <w:sz w:val="20"/>
                <w:szCs w:val="20"/>
              </w:rPr>
              <w:t>RSMR</w:t>
            </w:r>
          </w:p>
        </w:tc>
      </w:tr>
      <w:tr w:rsidR="00487246" w:rsidRPr="00487246" w14:paraId="242AEE02" w14:textId="77777777" w:rsidTr="00487246">
        <w:trPr>
          <w:trHeight w:val="255"/>
        </w:trPr>
        <w:tc>
          <w:tcPr>
            <w:tcW w:w="1545" w:type="dxa"/>
            <w:tcBorders>
              <w:top w:val="nil"/>
              <w:right w:val="single" w:sz="4" w:space="0" w:color="auto"/>
            </w:tcBorders>
            <w:shd w:val="clear" w:color="auto" w:fill="auto"/>
            <w:noWrap/>
            <w:vAlign w:val="bottom"/>
            <w:hideMark/>
          </w:tcPr>
          <w:p w14:paraId="190B5695" w14:textId="77777777" w:rsidR="00F628B6" w:rsidRPr="00487246" w:rsidRDefault="00F628B6" w:rsidP="00487246">
            <w:pPr>
              <w:spacing w:after="0" w:line="240" w:lineRule="auto"/>
              <w:rPr>
                <w:rFonts w:ascii="Calibri" w:eastAsia="Times New Roman" w:hAnsi="Calibri" w:cs="Arial"/>
                <w:color w:val="0070C0"/>
                <w:sz w:val="20"/>
                <w:szCs w:val="20"/>
              </w:rPr>
            </w:pPr>
          </w:p>
        </w:tc>
        <w:tc>
          <w:tcPr>
            <w:tcW w:w="1260" w:type="dxa"/>
            <w:tcBorders>
              <w:top w:val="nil"/>
              <w:left w:val="single" w:sz="4" w:space="0" w:color="auto"/>
              <w:bottom w:val="nil"/>
            </w:tcBorders>
            <w:shd w:val="clear" w:color="auto" w:fill="auto"/>
            <w:noWrap/>
            <w:vAlign w:val="bottom"/>
            <w:hideMark/>
          </w:tcPr>
          <w:p w14:paraId="63053E7C" w14:textId="77777777" w:rsidR="00F628B6" w:rsidRPr="00487246" w:rsidRDefault="00F628B6" w:rsidP="00487246">
            <w:pPr>
              <w:spacing w:after="0" w:line="240" w:lineRule="auto"/>
              <w:jc w:val="center"/>
              <w:rPr>
                <w:rFonts w:ascii="Calibri" w:eastAsia="Times New Roman" w:hAnsi="Calibri" w:cs="Arial"/>
                <w:color w:val="0070C0"/>
                <w:sz w:val="20"/>
                <w:szCs w:val="20"/>
              </w:rPr>
            </w:pPr>
          </w:p>
        </w:tc>
        <w:tc>
          <w:tcPr>
            <w:tcW w:w="1421" w:type="dxa"/>
            <w:tcBorders>
              <w:top w:val="nil"/>
              <w:bottom w:val="nil"/>
            </w:tcBorders>
            <w:shd w:val="clear" w:color="auto" w:fill="auto"/>
            <w:noWrap/>
            <w:vAlign w:val="bottom"/>
            <w:hideMark/>
          </w:tcPr>
          <w:p w14:paraId="5B3B0944" w14:textId="77777777" w:rsidR="00F628B6" w:rsidRPr="00487246" w:rsidRDefault="00F628B6" w:rsidP="00487246">
            <w:pPr>
              <w:spacing w:after="0" w:line="240" w:lineRule="auto"/>
              <w:jc w:val="center"/>
              <w:rPr>
                <w:rFonts w:ascii="Calibri" w:eastAsia="Times New Roman" w:hAnsi="Calibri" w:cs="Arial"/>
                <w:color w:val="0070C0"/>
                <w:sz w:val="20"/>
                <w:szCs w:val="20"/>
              </w:rPr>
            </w:pPr>
          </w:p>
        </w:tc>
        <w:tc>
          <w:tcPr>
            <w:tcW w:w="1421" w:type="dxa"/>
            <w:tcBorders>
              <w:top w:val="nil"/>
              <w:bottom w:val="nil"/>
              <w:right w:val="single" w:sz="4" w:space="0" w:color="auto"/>
            </w:tcBorders>
            <w:shd w:val="clear" w:color="auto" w:fill="auto"/>
            <w:noWrap/>
            <w:vAlign w:val="bottom"/>
            <w:hideMark/>
          </w:tcPr>
          <w:p w14:paraId="02DF56F7" w14:textId="77777777" w:rsidR="00F628B6" w:rsidRPr="00487246" w:rsidRDefault="00F628B6" w:rsidP="00487246">
            <w:pPr>
              <w:spacing w:after="0" w:line="240" w:lineRule="auto"/>
              <w:rPr>
                <w:rFonts w:ascii="Calibri" w:eastAsia="Times New Roman" w:hAnsi="Calibri" w:cs="Arial"/>
                <w:color w:val="0070C0"/>
                <w:sz w:val="20"/>
                <w:szCs w:val="20"/>
              </w:rPr>
            </w:pPr>
          </w:p>
        </w:tc>
        <w:tc>
          <w:tcPr>
            <w:tcW w:w="1028" w:type="dxa"/>
            <w:tcBorders>
              <w:top w:val="nil"/>
              <w:left w:val="single" w:sz="4" w:space="0" w:color="auto"/>
            </w:tcBorders>
            <w:shd w:val="clear" w:color="auto" w:fill="auto"/>
            <w:noWrap/>
            <w:vAlign w:val="bottom"/>
            <w:hideMark/>
          </w:tcPr>
          <w:p w14:paraId="4D17EC5D" w14:textId="77777777" w:rsidR="00F628B6" w:rsidRPr="00487246" w:rsidRDefault="00F628B6" w:rsidP="00487246">
            <w:pPr>
              <w:spacing w:after="0" w:line="240" w:lineRule="auto"/>
              <w:rPr>
                <w:rFonts w:ascii="Calibri" w:eastAsia="Times New Roman" w:hAnsi="Calibri" w:cs="Arial"/>
                <w:color w:val="0070C0"/>
                <w:sz w:val="20"/>
                <w:szCs w:val="20"/>
              </w:rPr>
            </w:pPr>
          </w:p>
        </w:tc>
        <w:tc>
          <w:tcPr>
            <w:tcW w:w="1421" w:type="dxa"/>
            <w:tcBorders>
              <w:top w:val="nil"/>
            </w:tcBorders>
            <w:shd w:val="clear" w:color="auto" w:fill="auto"/>
            <w:noWrap/>
            <w:vAlign w:val="bottom"/>
            <w:hideMark/>
          </w:tcPr>
          <w:p w14:paraId="29D39331" w14:textId="77777777" w:rsidR="00F628B6" w:rsidRPr="00487246" w:rsidRDefault="00F628B6" w:rsidP="00487246">
            <w:pPr>
              <w:spacing w:after="0" w:line="240" w:lineRule="auto"/>
              <w:rPr>
                <w:rFonts w:ascii="Calibri" w:eastAsia="Times New Roman" w:hAnsi="Calibri" w:cs="Arial"/>
                <w:color w:val="0070C0"/>
                <w:sz w:val="20"/>
                <w:szCs w:val="20"/>
              </w:rPr>
            </w:pPr>
          </w:p>
        </w:tc>
        <w:tc>
          <w:tcPr>
            <w:tcW w:w="1421" w:type="dxa"/>
            <w:tcBorders>
              <w:top w:val="nil"/>
            </w:tcBorders>
            <w:shd w:val="clear" w:color="auto" w:fill="auto"/>
            <w:noWrap/>
            <w:vAlign w:val="bottom"/>
            <w:hideMark/>
          </w:tcPr>
          <w:p w14:paraId="34C27C65" w14:textId="77777777" w:rsidR="00F628B6" w:rsidRPr="00487246" w:rsidRDefault="00F628B6" w:rsidP="00487246">
            <w:pPr>
              <w:spacing w:after="0" w:line="240" w:lineRule="auto"/>
              <w:rPr>
                <w:rFonts w:ascii="Calibri" w:eastAsia="Times New Roman" w:hAnsi="Calibri" w:cs="Arial"/>
                <w:color w:val="0070C0"/>
                <w:sz w:val="20"/>
                <w:szCs w:val="20"/>
              </w:rPr>
            </w:pPr>
          </w:p>
        </w:tc>
      </w:tr>
      <w:tr w:rsidR="00487246" w:rsidRPr="00487246" w14:paraId="799119F4" w14:textId="77777777" w:rsidTr="00487246">
        <w:trPr>
          <w:trHeight w:val="255"/>
        </w:trPr>
        <w:tc>
          <w:tcPr>
            <w:tcW w:w="1545" w:type="dxa"/>
            <w:tcBorders>
              <w:right w:val="single" w:sz="4" w:space="0" w:color="auto"/>
            </w:tcBorders>
            <w:shd w:val="clear" w:color="auto" w:fill="auto"/>
            <w:noWrap/>
            <w:vAlign w:val="bottom"/>
            <w:hideMark/>
          </w:tcPr>
          <w:p w14:paraId="1DF988DD" w14:textId="77777777" w:rsidR="00F628B6" w:rsidRPr="00487246" w:rsidRDefault="00F628B6" w:rsidP="00487246">
            <w:pPr>
              <w:spacing w:after="0" w:line="240" w:lineRule="auto"/>
              <w:rPr>
                <w:rFonts w:ascii="Calibri" w:eastAsia="Times New Roman" w:hAnsi="Calibri" w:cs="Arial"/>
                <w:color w:val="0070C0"/>
                <w:sz w:val="20"/>
                <w:szCs w:val="20"/>
              </w:rPr>
            </w:pPr>
            <w:r w:rsidRPr="00487246">
              <w:rPr>
                <w:rFonts w:ascii="Calibri" w:eastAsia="Times New Roman" w:hAnsi="Calibri" w:cs="Arial"/>
                <w:color w:val="0070C0"/>
                <w:sz w:val="20"/>
                <w:szCs w:val="20"/>
              </w:rPr>
              <w:t>N</w:t>
            </w:r>
          </w:p>
        </w:tc>
        <w:tc>
          <w:tcPr>
            <w:tcW w:w="1260" w:type="dxa"/>
            <w:tcBorders>
              <w:top w:val="nil"/>
              <w:left w:val="single" w:sz="4" w:space="0" w:color="auto"/>
              <w:bottom w:val="nil"/>
            </w:tcBorders>
            <w:shd w:val="clear" w:color="auto" w:fill="auto"/>
            <w:noWrap/>
            <w:vAlign w:val="bottom"/>
            <w:hideMark/>
          </w:tcPr>
          <w:p w14:paraId="09043A5D"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1,167</w:t>
            </w:r>
          </w:p>
        </w:tc>
        <w:tc>
          <w:tcPr>
            <w:tcW w:w="1421" w:type="dxa"/>
            <w:tcBorders>
              <w:top w:val="nil"/>
              <w:bottom w:val="nil"/>
            </w:tcBorders>
            <w:shd w:val="clear" w:color="auto" w:fill="auto"/>
            <w:noWrap/>
            <w:vAlign w:val="bottom"/>
            <w:hideMark/>
          </w:tcPr>
          <w:p w14:paraId="023FBE7B"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24,170</w:t>
            </w:r>
          </w:p>
        </w:tc>
        <w:tc>
          <w:tcPr>
            <w:tcW w:w="1421" w:type="dxa"/>
            <w:tcBorders>
              <w:top w:val="nil"/>
              <w:bottom w:val="nil"/>
              <w:right w:val="single" w:sz="4" w:space="0" w:color="auto"/>
            </w:tcBorders>
            <w:shd w:val="clear" w:color="auto" w:fill="auto"/>
            <w:noWrap/>
            <w:vAlign w:val="bottom"/>
            <w:hideMark/>
          </w:tcPr>
          <w:p w14:paraId="627B2D1A"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24,170</w:t>
            </w:r>
          </w:p>
        </w:tc>
        <w:tc>
          <w:tcPr>
            <w:tcW w:w="1028" w:type="dxa"/>
            <w:tcBorders>
              <w:left w:val="single" w:sz="4" w:space="0" w:color="auto"/>
            </w:tcBorders>
            <w:shd w:val="clear" w:color="auto" w:fill="auto"/>
            <w:noWrap/>
            <w:vAlign w:val="bottom"/>
            <w:hideMark/>
          </w:tcPr>
          <w:p w14:paraId="2A7E3609"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1,160</w:t>
            </w:r>
          </w:p>
        </w:tc>
        <w:tc>
          <w:tcPr>
            <w:tcW w:w="1421" w:type="dxa"/>
            <w:shd w:val="clear" w:color="auto" w:fill="auto"/>
            <w:noWrap/>
            <w:vAlign w:val="bottom"/>
            <w:hideMark/>
          </w:tcPr>
          <w:p w14:paraId="46EBBDDA"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24,169</w:t>
            </w:r>
          </w:p>
        </w:tc>
        <w:tc>
          <w:tcPr>
            <w:tcW w:w="1421" w:type="dxa"/>
            <w:shd w:val="clear" w:color="auto" w:fill="auto"/>
            <w:noWrap/>
            <w:vAlign w:val="bottom"/>
            <w:hideMark/>
          </w:tcPr>
          <w:p w14:paraId="5CDF3214"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24,169</w:t>
            </w:r>
          </w:p>
        </w:tc>
      </w:tr>
      <w:tr w:rsidR="00487246" w:rsidRPr="00487246" w14:paraId="180208E6" w14:textId="77777777" w:rsidTr="00487246">
        <w:trPr>
          <w:trHeight w:val="80"/>
        </w:trPr>
        <w:tc>
          <w:tcPr>
            <w:tcW w:w="1545" w:type="dxa"/>
            <w:tcBorders>
              <w:right w:val="single" w:sz="4" w:space="0" w:color="auto"/>
            </w:tcBorders>
            <w:shd w:val="clear" w:color="auto" w:fill="auto"/>
            <w:noWrap/>
            <w:vAlign w:val="bottom"/>
            <w:hideMark/>
          </w:tcPr>
          <w:p w14:paraId="4E9DAD09" w14:textId="77777777" w:rsidR="00F628B6" w:rsidRPr="00487246" w:rsidRDefault="00F628B6" w:rsidP="00487246">
            <w:pPr>
              <w:spacing w:after="0" w:line="240" w:lineRule="auto"/>
              <w:rPr>
                <w:rFonts w:ascii="Calibri" w:eastAsia="Times New Roman" w:hAnsi="Calibri" w:cs="Arial"/>
                <w:color w:val="0070C0"/>
                <w:sz w:val="20"/>
                <w:szCs w:val="20"/>
              </w:rPr>
            </w:pPr>
            <w:r w:rsidRPr="00487246">
              <w:rPr>
                <w:rFonts w:ascii="Calibri" w:eastAsia="Times New Roman" w:hAnsi="Calibri" w:cs="Arial"/>
                <w:color w:val="0070C0"/>
                <w:sz w:val="20"/>
                <w:szCs w:val="20"/>
              </w:rPr>
              <w:t>Mean</w:t>
            </w:r>
          </w:p>
        </w:tc>
        <w:tc>
          <w:tcPr>
            <w:tcW w:w="1260" w:type="dxa"/>
            <w:tcBorders>
              <w:top w:val="nil"/>
              <w:left w:val="single" w:sz="4" w:space="0" w:color="auto"/>
              <w:bottom w:val="nil"/>
            </w:tcBorders>
            <w:shd w:val="clear" w:color="auto" w:fill="auto"/>
            <w:noWrap/>
            <w:vAlign w:val="bottom"/>
            <w:hideMark/>
          </w:tcPr>
          <w:p w14:paraId="120414CE"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20.71</w:t>
            </w:r>
          </w:p>
        </w:tc>
        <w:tc>
          <w:tcPr>
            <w:tcW w:w="1421" w:type="dxa"/>
            <w:tcBorders>
              <w:top w:val="nil"/>
              <w:bottom w:val="nil"/>
            </w:tcBorders>
            <w:shd w:val="clear" w:color="auto" w:fill="auto"/>
            <w:noWrap/>
            <w:vAlign w:val="bottom"/>
            <w:hideMark/>
          </w:tcPr>
          <w:p w14:paraId="419ED0D8"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0.1230</w:t>
            </w:r>
          </w:p>
        </w:tc>
        <w:tc>
          <w:tcPr>
            <w:tcW w:w="1421" w:type="dxa"/>
            <w:tcBorders>
              <w:top w:val="nil"/>
              <w:bottom w:val="nil"/>
              <w:right w:val="single" w:sz="4" w:space="0" w:color="auto"/>
            </w:tcBorders>
            <w:shd w:val="clear" w:color="auto" w:fill="auto"/>
            <w:noWrap/>
            <w:vAlign w:val="bottom"/>
            <w:hideMark/>
          </w:tcPr>
          <w:p w14:paraId="04BEB62E"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0.1245</w:t>
            </w:r>
          </w:p>
        </w:tc>
        <w:tc>
          <w:tcPr>
            <w:tcW w:w="1028" w:type="dxa"/>
            <w:tcBorders>
              <w:left w:val="single" w:sz="4" w:space="0" w:color="auto"/>
            </w:tcBorders>
            <w:shd w:val="clear" w:color="auto" w:fill="auto"/>
            <w:noWrap/>
            <w:vAlign w:val="bottom"/>
            <w:hideMark/>
          </w:tcPr>
          <w:p w14:paraId="235FAFAC"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20.84</w:t>
            </w:r>
          </w:p>
        </w:tc>
        <w:tc>
          <w:tcPr>
            <w:tcW w:w="1421" w:type="dxa"/>
            <w:shd w:val="clear" w:color="auto" w:fill="auto"/>
            <w:noWrap/>
            <w:vAlign w:val="bottom"/>
            <w:hideMark/>
          </w:tcPr>
          <w:p w14:paraId="28E30C5D"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0.1209</w:t>
            </w:r>
          </w:p>
        </w:tc>
        <w:tc>
          <w:tcPr>
            <w:tcW w:w="1421" w:type="dxa"/>
            <w:shd w:val="clear" w:color="auto" w:fill="auto"/>
            <w:noWrap/>
            <w:vAlign w:val="bottom"/>
            <w:hideMark/>
          </w:tcPr>
          <w:p w14:paraId="295E0C13"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0.1211</w:t>
            </w:r>
          </w:p>
        </w:tc>
      </w:tr>
      <w:tr w:rsidR="00487246" w:rsidRPr="00487246" w14:paraId="7CD2A5E3" w14:textId="77777777" w:rsidTr="00487246">
        <w:trPr>
          <w:trHeight w:val="255"/>
        </w:trPr>
        <w:tc>
          <w:tcPr>
            <w:tcW w:w="1545" w:type="dxa"/>
            <w:tcBorders>
              <w:right w:val="single" w:sz="4" w:space="0" w:color="auto"/>
            </w:tcBorders>
            <w:shd w:val="clear" w:color="auto" w:fill="auto"/>
            <w:noWrap/>
            <w:vAlign w:val="bottom"/>
            <w:hideMark/>
          </w:tcPr>
          <w:p w14:paraId="211C2AC9" w14:textId="77777777" w:rsidR="00F628B6" w:rsidRPr="00487246" w:rsidRDefault="00F628B6" w:rsidP="00487246">
            <w:pPr>
              <w:spacing w:after="0" w:line="240" w:lineRule="auto"/>
              <w:rPr>
                <w:rFonts w:ascii="Calibri" w:eastAsia="Times New Roman" w:hAnsi="Calibri" w:cs="Arial"/>
                <w:color w:val="0070C0"/>
                <w:sz w:val="20"/>
                <w:szCs w:val="20"/>
              </w:rPr>
            </w:pPr>
            <w:proofErr w:type="spellStart"/>
            <w:r w:rsidRPr="00487246">
              <w:rPr>
                <w:rFonts w:ascii="Calibri" w:eastAsia="Times New Roman" w:hAnsi="Calibri" w:cs="Arial"/>
                <w:color w:val="0070C0"/>
                <w:sz w:val="20"/>
                <w:szCs w:val="20"/>
              </w:rPr>
              <w:t>Std</w:t>
            </w:r>
            <w:proofErr w:type="spellEnd"/>
            <w:r w:rsidRPr="00487246">
              <w:rPr>
                <w:rFonts w:ascii="Calibri" w:eastAsia="Times New Roman" w:hAnsi="Calibri" w:cs="Arial"/>
                <w:color w:val="0070C0"/>
                <w:sz w:val="20"/>
                <w:szCs w:val="20"/>
              </w:rPr>
              <w:t xml:space="preserve"> Deviation</w:t>
            </w:r>
          </w:p>
        </w:tc>
        <w:tc>
          <w:tcPr>
            <w:tcW w:w="1260" w:type="dxa"/>
            <w:tcBorders>
              <w:top w:val="nil"/>
              <w:left w:val="single" w:sz="4" w:space="0" w:color="auto"/>
              <w:bottom w:val="nil"/>
            </w:tcBorders>
            <w:shd w:val="clear" w:color="auto" w:fill="auto"/>
            <w:noWrap/>
            <w:vAlign w:val="bottom"/>
            <w:hideMark/>
          </w:tcPr>
          <w:p w14:paraId="50A22295"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17.48</w:t>
            </w:r>
          </w:p>
        </w:tc>
        <w:tc>
          <w:tcPr>
            <w:tcW w:w="1421" w:type="dxa"/>
            <w:tcBorders>
              <w:top w:val="nil"/>
              <w:bottom w:val="nil"/>
            </w:tcBorders>
            <w:shd w:val="clear" w:color="auto" w:fill="auto"/>
            <w:noWrap/>
            <w:vAlign w:val="bottom"/>
            <w:hideMark/>
          </w:tcPr>
          <w:p w14:paraId="7715857E"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0.0799</w:t>
            </w:r>
          </w:p>
        </w:tc>
        <w:tc>
          <w:tcPr>
            <w:tcW w:w="1421" w:type="dxa"/>
            <w:tcBorders>
              <w:top w:val="nil"/>
              <w:bottom w:val="nil"/>
              <w:right w:val="single" w:sz="4" w:space="0" w:color="auto"/>
            </w:tcBorders>
            <w:shd w:val="clear" w:color="auto" w:fill="auto"/>
            <w:noWrap/>
            <w:vAlign w:val="bottom"/>
            <w:hideMark/>
          </w:tcPr>
          <w:p w14:paraId="0FAF2B09"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0.0249</w:t>
            </w:r>
          </w:p>
        </w:tc>
        <w:tc>
          <w:tcPr>
            <w:tcW w:w="1028" w:type="dxa"/>
            <w:tcBorders>
              <w:left w:val="single" w:sz="4" w:space="0" w:color="auto"/>
            </w:tcBorders>
            <w:shd w:val="clear" w:color="auto" w:fill="auto"/>
            <w:noWrap/>
            <w:vAlign w:val="bottom"/>
            <w:hideMark/>
          </w:tcPr>
          <w:p w14:paraId="4E12C046"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17.19</w:t>
            </w:r>
          </w:p>
        </w:tc>
        <w:tc>
          <w:tcPr>
            <w:tcW w:w="1421" w:type="dxa"/>
            <w:shd w:val="clear" w:color="auto" w:fill="auto"/>
            <w:noWrap/>
            <w:vAlign w:val="bottom"/>
            <w:hideMark/>
          </w:tcPr>
          <w:p w14:paraId="40672CA0"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0.0775</w:t>
            </w:r>
          </w:p>
        </w:tc>
        <w:tc>
          <w:tcPr>
            <w:tcW w:w="1421" w:type="dxa"/>
            <w:shd w:val="clear" w:color="auto" w:fill="auto"/>
            <w:noWrap/>
            <w:vAlign w:val="bottom"/>
            <w:hideMark/>
          </w:tcPr>
          <w:p w14:paraId="5127BEE1"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0.0152</w:t>
            </w:r>
          </w:p>
        </w:tc>
      </w:tr>
      <w:tr w:rsidR="00487246" w:rsidRPr="00487246" w14:paraId="65392C0B" w14:textId="77777777" w:rsidTr="00487246">
        <w:trPr>
          <w:trHeight w:val="255"/>
        </w:trPr>
        <w:tc>
          <w:tcPr>
            <w:tcW w:w="1545" w:type="dxa"/>
            <w:tcBorders>
              <w:right w:val="single" w:sz="4" w:space="0" w:color="auto"/>
            </w:tcBorders>
            <w:shd w:val="clear" w:color="auto" w:fill="auto"/>
            <w:noWrap/>
            <w:vAlign w:val="bottom"/>
            <w:hideMark/>
          </w:tcPr>
          <w:p w14:paraId="3832E1BD" w14:textId="77777777" w:rsidR="00F628B6" w:rsidRPr="00487246" w:rsidRDefault="00F628B6" w:rsidP="00487246">
            <w:pPr>
              <w:spacing w:after="0" w:line="240" w:lineRule="auto"/>
              <w:rPr>
                <w:rFonts w:ascii="Calibri" w:eastAsia="Times New Roman" w:hAnsi="Calibri" w:cs="Arial"/>
                <w:color w:val="0070C0"/>
                <w:sz w:val="20"/>
                <w:szCs w:val="20"/>
              </w:rPr>
            </w:pPr>
          </w:p>
        </w:tc>
        <w:tc>
          <w:tcPr>
            <w:tcW w:w="1260" w:type="dxa"/>
            <w:tcBorders>
              <w:top w:val="nil"/>
              <w:left w:val="single" w:sz="4" w:space="0" w:color="auto"/>
              <w:bottom w:val="nil"/>
            </w:tcBorders>
            <w:shd w:val="clear" w:color="auto" w:fill="auto"/>
            <w:noWrap/>
            <w:vAlign w:val="bottom"/>
            <w:hideMark/>
          </w:tcPr>
          <w:p w14:paraId="130AD546" w14:textId="77777777" w:rsidR="00F628B6" w:rsidRPr="00487246" w:rsidRDefault="00F628B6" w:rsidP="00487246">
            <w:pPr>
              <w:spacing w:after="0" w:line="240" w:lineRule="auto"/>
              <w:jc w:val="center"/>
              <w:rPr>
                <w:rFonts w:ascii="Calibri" w:hAnsi="Calibri" w:cs="Arial"/>
                <w:color w:val="0070C0"/>
                <w:sz w:val="20"/>
                <w:szCs w:val="20"/>
              </w:rPr>
            </w:pPr>
          </w:p>
        </w:tc>
        <w:tc>
          <w:tcPr>
            <w:tcW w:w="1421" w:type="dxa"/>
            <w:tcBorders>
              <w:top w:val="nil"/>
              <w:bottom w:val="nil"/>
            </w:tcBorders>
            <w:shd w:val="clear" w:color="auto" w:fill="auto"/>
            <w:noWrap/>
            <w:vAlign w:val="bottom"/>
            <w:hideMark/>
          </w:tcPr>
          <w:p w14:paraId="21A48818" w14:textId="77777777" w:rsidR="00F628B6" w:rsidRPr="00487246" w:rsidRDefault="00F628B6" w:rsidP="00487246">
            <w:pPr>
              <w:spacing w:after="0" w:line="240" w:lineRule="auto"/>
              <w:jc w:val="center"/>
              <w:rPr>
                <w:rFonts w:ascii="Calibri" w:hAnsi="Calibri" w:cs="Arial"/>
                <w:color w:val="0070C0"/>
                <w:sz w:val="20"/>
                <w:szCs w:val="20"/>
              </w:rPr>
            </w:pPr>
          </w:p>
        </w:tc>
        <w:tc>
          <w:tcPr>
            <w:tcW w:w="1421" w:type="dxa"/>
            <w:tcBorders>
              <w:top w:val="nil"/>
              <w:bottom w:val="nil"/>
              <w:right w:val="single" w:sz="4" w:space="0" w:color="auto"/>
            </w:tcBorders>
            <w:shd w:val="clear" w:color="auto" w:fill="auto"/>
            <w:noWrap/>
            <w:vAlign w:val="bottom"/>
            <w:hideMark/>
          </w:tcPr>
          <w:p w14:paraId="4005B3E5" w14:textId="77777777" w:rsidR="00F628B6" w:rsidRPr="00487246" w:rsidRDefault="00F628B6" w:rsidP="00487246">
            <w:pPr>
              <w:spacing w:after="0" w:line="240" w:lineRule="auto"/>
              <w:jc w:val="center"/>
              <w:rPr>
                <w:rFonts w:ascii="Calibri" w:hAnsi="Calibri" w:cs="Arial"/>
                <w:color w:val="0070C0"/>
                <w:sz w:val="20"/>
                <w:szCs w:val="20"/>
              </w:rPr>
            </w:pPr>
          </w:p>
        </w:tc>
        <w:tc>
          <w:tcPr>
            <w:tcW w:w="1028" w:type="dxa"/>
            <w:tcBorders>
              <w:left w:val="single" w:sz="4" w:space="0" w:color="auto"/>
            </w:tcBorders>
            <w:shd w:val="clear" w:color="auto" w:fill="auto"/>
            <w:noWrap/>
            <w:vAlign w:val="bottom"/>
            <w:hideMark/>
          </w:tcPr>
          <w:p w14:paraId="35D3345B" w14:textId="77777777" w:rsidR="00F628B6" w:rsidRPr="00487246" w:rsidRDefault="00F628B6" w:rsidP="00487246">
            <w:pPr>
              <w:spacing w:after="0" w:line="240" w:lineRule="auto"/>
              <w:jc w:val="center"/>
              <w:rPr>
                <w:rFonts w:ascii="Calibri" w:hAnsi="Calibri" w:cs="Arial"/>
                <w:color w:val="0070C0"/>
                <w:sz w:val="20"/>
                <w:szCs w:val="20"/>
              </w:rPr>
            </w:pPr>
          </w:p>
        </w:tc>
        <w:tc>
          <w:tcPr>
            <w:tcW w:w="1421" w:type="dxa"/>
            <w:shd w:val="clear" w:color="auto" w:fill="auto"/>
            <w:noWrap/>
            <w:vAlign w:val="bottom"/>
            <w:hideMark/>
          </w:tcPr>
          <w:p w14:paraId="028C4A93" w14:textId="77777777" w:rsidR="00F628B6" w:rsidRPr="00487246" w:rsidRDefault="00F628B6" w:rsidP="00487246">
            <w:pPr>
              <w:spacing w:after="0" w:line="240" w:lineRule="auto"/>
              <w:jc w:val="center"/>
              <w:rPr>
                <w:rFonts w:ascii="Calibri" w:hAnsi="Calibri" w:cs="Arial"/>
                <w:color w:val="0070C0"/>
                <w:sz w:val="20"/>
                <w:szCs w:val="20"/>
              </w:rPr>
            </w:pPr>
          </w:p>
        </w:tc>
        <w:tc>
          <w:tcPr>
            <w:tcW w:w="1421" w:type="dxa"/>
            <w:shd w:val="clear" w:color="auto" w:fill="auto"/>
            <w:noWrap/>
            <w:vAlign w:val="bottom"/>
            <w:hideMark/>
          </w:tcPr>
          <w:p w14:paraId="5B158FC4" w14:textId="77777777" w:rsidR="00F628B6" w:rsidRPr="00487246" w:rsidRDefault="00F628B6" w:rsidP="00487246">
            <w:pPr>
              <w:spacing w:after="0" w:line="240" w:lineRule="auto"/>
              <w:jc w:val="center"/>
              <w:rPr>
                <w:rFonts w:ascii="Calibri" w:hAnsi="Calibri" w:cs="Arial"/>
                <w:color w:val="0070C0"/>
                <w:sz w:val="20"/>
                <w:szCs w:val="20"/>
              </w:rPr>
            </w:pPr>
          </w:p>
        </w:tc>
      </w:tr>
      <w:tr w:rsidR="00487246" w:rsidRPr="00487246" w14:paraId="7CC81ECE" w14:textId="77777777" w:rsidTr="00487246">
        <w:trPr>
          <w:trHeight w:val="255"/>
        </w:trPr>
        <w:tc>
          <w:tcPr>
            <w:tcW w:w="1545" w:type="dxa"/>
            <w:tcBorders>
              <w:right w:val="single" w:sz="4" w:space="0" w:color="auto"/>
            </w:tcBorders>
            <w:shd w:val="clear" w:color="auto" w:fill="auto"/>
            <w:noWrap/>
            <w:vAlign w:val="bottom"/>
            <w:hideMark/>
          </w:tcPr>
          <w:p w14:paraId="5D5B8AAB" w14:textId="77777777" w:rsidR="00F628B6" w:rsidRPr="00487246" w:rsidRDefault="00F628B6" w:rsidP="00487246">
            <w:pPr>
              <w:spacing w:after="0" w:line="240" w:lineRule="auto"/>
              <w:rPr>
                <w:rFonts w:ascii="Calibri" w:eastAsia="Times New Roman" w:hAnsi="Calibri" w:cs="Arial"/>
                <w:color w:val="0070C0"/>
                <w:sz w:val="20"/>
                <w:szCs w:val="20"/>
              </w:rPr>
            </w:pPr>
            <w:r w:rsidRPr="00487246">
              <w:rPr>
                <w:rFonts w:ascii="Calibri" w:eastAsia="Times New Roman" w:hAnsi="Calibri" w:cs="Arial"/>
                <w:color w:val="0070C0"/>
                <w:sz w:val="20"/>
                <w:szCs w:val="20"/>
              </w:rPr>
              <w:t>100% Max</w:t>
            </w:r>
          </w:p>
        </w:tc>
        <w:tc>
          <w:tcPr>
            <w:tcW w:w="1260" w:type="dxa"/>
            <w:tcBorders>
              <w:top w:val="nil"/>
              <w:left w:val="single" w:sz="4" w:space="0" w:color="auto"/>
              <w:bottom w:val="nil"/>
            </w:tcBorders>
            <w:shd w:val="clear" w:color="auto" w:fill="auto"/>
            <w:noWrap/>
            <w:vAlign w:val="bottom"/>
            <w:hideMark/>
          </w:tcPr>
          <w:p w14:paraId="1BE3B8CF"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136</w:t>
            </w:r>
          </w:p>
        </w:tc>
        <w:tc>
          <w:tcPr>
            <w:tcW w:w="1421" w:type="dxa"/>
            <w:tcBorders>
              <w:top w:val="nil"/>
              <w:bottom w:val="nil"/>
            </w:tcBorders>
            <w:shd w:val="clear" w:color="auto" w:fill="auto"/>
            <w:noWrap/>
            <w:vAlign w:val="bottom"/>
            <w:hideMark/>
          </w:tcPr>
          <w:p w14:paraId="0A35AC41"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1.0000</w:t>
            </w:r>
          </w:p>
        </w:tc>
        <w:tc>
          <w:tcPr>
            <w:tcW w:w="1421" w:type="dxa"/>
            <w:tcBorders>
              <w:top w:val="nil"/>
              <w:bottom w:val="nil"/>
              <w:right w:val="single" w:sz="4" w:space="0" w:color="auto"/>
            </w:tcBorders>
            <w:shd w:val="clear" w:color="auto" w:fill="auto"/>
            <w:noWrap/>
            <w:vAlign w:val="bottom"/>
            <w:hideMark/>
          </w:tcPr>
          <w:p w14:paraId="481DDEED"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0.2274</w:t>
            </w:r>
          </w:p>
        </w:tc>
        <w:tc>
          <w:tcPr>
            <w:tcW w:w="1028" w:type="dxa"/>
            <w:tcBorders>
              <w:left w:val="single" w:sz="4" w:space="0" w:color="auto"/>
            </w:tcBorders>
            <w:shd w:val="clear" w:color="auto" w:fill="auto"/>
            <w:noWrap/>
            <w:vAlign w:val="bottom"/>
            <w:hideMark/>
          </w:tcPr>
          <w:p w14:paraId="3CFE1578"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141</w:t>
            </w:r>
          </w:p>
        </w:tc>
        <w:tc>
          <w:tcPr>
            <w:tcW w:w="1421" w:type="dxa"/>
            <w:shd w:val="clear" w:color="auto" w:fill="auto"/>
            <w:noWrap/>
            <w:vAlign w:val="bottom"/>
            <w:hideMark/>
          </w:tcPr>
          <w:p w14:paraId="7A8A8198"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1.0000</w:t>
            </w:r>
          </w:p>
        </w:tc>
        <w:tc>
          <w:tcPr>
            <w:tcW w:w="1421" w:type="dxa"/>
            <w:shd w:val="clear" w:color="auto" w:fill="auto"/>
            <w:noWrap/>
            <w:vAlign w:val="bottom"/>
            <w:hideMark/>
          </w:tcPr>
          <w:p w14:paraId="2E9A9EBA"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0.1754</w:t>
            </w:r>
          </w:p>
        </w:tc>
      </w:tr>
      <w:tr w:rsidR="00487246" w:rsidRPr="00487246" w14:paraId="182A6F63" w14:textId="77777777" w:rsidTr="00487246">
        <w:trPr>
          <w:trHeight w:val="255"/>
        </w:trPr>
        <w:tc>
          <w:tcPr>
            <w:tcW w:w="1545" w:type="dxa"/>
            <w:tcBorders>
              <w:right w:val="single" w:sz="4" w:space="0" w:color="auto"/>
            </w:tcBorders>
            <w:shd w:val="clear" w:color="auto" w:fill="auto"/>
            <w:noWrap/>
            <w:vAlign w:val="bottom"/>
            <w:hideMark/>
          </w:tcPr>
          <w:p w14:paraId="2452D1DA" w14:textId="77777777" w:rsidR="00F628B6" w:rsidRPr="00487246" w:rsidRDefault="00F628B6" w:rsidP="00487246">
            <w:pPr>
              <w:spacing w:after="0" w:line="240" w:lineRule="auto"/>
              <w:rPr>
                <w:rFonts w:ascii="Calibri" w:eastAsia="Times New Roman" w:hAnsi="Calibri" w:cs="Arial"/>
                <w:color w:val="0070C0"/>
                <w:sz w:val="20"/>
                <w:szCs w:val="20"/>
              </w:rPr>
            </w:pPr>
            <w:r w:rsidRPr="00487246">
              <w:rPr>
                <w:rFonts w:ascii="Calibri" w:eastAsia="Times New Roman" w:hAnsi="Calibri" w:cs="Arial"/>
                <w:color w:val="0070C0"/>
                <w:sz w:val="20"/>
                <w:szCs w:val="20"/>
              </w:rPr>
              <w:t>99%</w:t>
            </w:r>
          </w:p>
        </w:tc>
        <w:tc>
          <w:tcPr>
            <w:tcW w:w="1260" w:type="dxa"/>
            <w:tcBorders>
              <w:top w:val="nil"/>
              <w:left w:val="single" w:sz="4" w:space="0" w:color="auto"/>
              <w:bottom w:val="nil"/>
            </w:tcBorders>
            <w:shd w:val="clear" w:color="auto" w:fill="auto"/>
            <w:noWrap/>
            <w:vAlign w:val="bottom"/>
            <w:hideMark/>
          </w:tcPr>
          <w:p w14:paraId="18496C58"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90</w:t>
            </w:r>
          </w:p>
        </w:tc>
        <w:tc>
          <w:tcPr>
            <w:tcW w:w="1421" w:type="dxa"/>
            <w:tcBorders>
              <w:top w:val="nil"/>
              <w:bottom w:val="nil"/>
            </w:tcBorders>
            <w:shd w:val="clear" w:color="auto" w:fill="auto"/>
            <w:noWrap/>
            <w:vAlign w:val="bottom"/>
            <w:hideMark/>
          </w:tcPr>
          <w:p w14:paraId="53CE1EC5"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0.3750</w:t>
            </w:r>
          </w:p>
        </w:tc>
        <w:tc>
          <w:tcPr>
            <w:tcW w:w="1421" w:type="dxa"/>
            <w:tcBorders>
              <w:top w:val="nil"/>
              <w:bottom w:val="nil"/>
              <w:right w:val="single" w:sz="4" w:space="0" w:color="auto"/>
            </w:tcBorders>
            <w:shd w:val="clear" w:color="auto" w:fill="auto"/>
            <w:noWrap/>
            <w:vAlign w:val="bottom"/>
            <w:hideMark/>
          </w:tcPr>
          <w:p w14:paraId="257F4B40"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0.2041</w:t>
            </w:r>
          </w:p>
        </w:tc>
        <w:tc>
          <w:tcPr>
            <w:tcW w:w="1028" w:type="dxa"/>
            <w:tcBorders>
              <w:left w:val="single" w:sz="4" w:space="0" w:color="auto"/>
            </w:tcBorders>
            <w:shd w:val="clear" w:color="auto" w:fill="auto"/>
            <w:noWrap/>
            <w:vAlign w:val="bottom"/>
            <w:hideMark/>
          </w:tcPr>
          <w:p w14:paraId="1F76AE5E"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84</w:t>
            </w:r>
          </w:p>
        </w:tc>
        <w:tc>
          <w:tcPr>
            <w:tcW w:w="1421" w:type="dxa"/>
            <w:shd w:val="clear" w:color="auto" w:fill="auto"/>
            <w:noWrap/>
            <w:vAlign w:val="bottom"/>
            <w:hideMark/>
          </w:tcPr>
          <w:p w14:paraId="270C1701"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0.3333</w:t>
            </w:r>
          </w:p>
        </w:tc>
        <w:tc>
          <w:tcPr>
            <w:tcW w:w="1421" w:type="dxa"/>
            <w:shd w:val="clear" w:color="auto" w:fill="auto"/>
            <w:noWrap/>
            <w:vAlign w:val="bottom"/>
            <w:hideMark/>
          </w:tcPr>
          <w:p w14:paraId="15DB4673"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0.1663</w:t>
            </w:r>
          </w:p>
        </w:tc>
      </w:tr>
      <w:tr w:rsidR="00487246" w:rsidRPr="00487246" w14:paraId="3514CD95" w14:textId="77777777" w:rsidTr="00487246">
        <w:trPr>
          <w:trHeight w:val="255"/>
        </w:trPr>
        <w:tc>
          <w:tcPr>
            <w:tcW w:w="1545" w:type="dxa"/>
            <w:tcBorders>
              <w:right w:val="single" w:sz="4" w:space="0" w:color="auto"/>
            </w:tcBorders>
            <w:shd w:val="clear" w:color="auto" w:fill="auto"/>
            <w:noWrap/>
            <w:vAlign w:val="bottom"/>
            <w:hideMark/>
          </w:tcPr>
          <w:p w14:paraId="2EFFF8FD" w14:textId="77777777" w:rsidR="00F628B6" w:rsidRPr="00487246" w:rsidRDefault="00F628B6" w:rsidP="00487246">
            <w:pPr>
              <w:spacing w:after="0" w:line="240" w:lineRule="auto"/>
              <w:rPr>
                <w:rFonts w:ascii="Calibri" w:eastAsia="Times New Roman" w:hAnsi="Calibri" w:cs="Arial"/>
                <w:color w:val="0070C0"/>
                <w:sz w:val="20"/>
                <w:szCs w:val="20"/>
              </w:rPr>
            </w:pPr>
            <w:r w:rsidRPr="00487246">
              <w:rPr>
                <w:rFonts w:ascii="Calibri" w:eastAsia="Times New Roman" w:hAnsi="Calibri" w:cs="Arial"/>
                <w:color w:val="0070C0"/>
                <w:sz w:val="20"/>
                <w:szCs w:val="20"/>
              </w:rPr>
              <w:t>95%</w:t>
            </w:r>
          </w:p>
        </w:tc>
        <w:tc>
          <w:tcPr>
            <w:tcW w:w="1260" w:type="dxa"/>
            <w:tcBorders>
              <w:top w:val="nil"/>
              <w:left w:val="single" w:sz="4" w:space="0" w:color="auto"/>
              <w:bottom w:val="nil"/>
            </w:tcBorders>
            <w:shd w:val="clear" w:color="auto" w:fill="auto"/>
            <w:noWrap/>
            <w:vAlign w:val="bottom"/>
            <w:hideMark/>
          </w:tcPr>
          <w:p w14:paraId="2CFFDB73"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52</w:t>
            </w:r>
          </w:p>
        </w:tc>
        <w:tc>
          <w:tcPr>
            <w:tcW w:w="1421" w:type="dxa"/>
            <w:tcBorders>
              <w:top w:val="nil"/>
              <w:bottom w:val="nil"/>
            </w:tcBorders>
            <w:shd w:val="clear" w:color="auto" w:fill="auto"/>
            <w:noWrap/>
            <w:vAlign w:val="bottom"/>
            <w:hideMark/>
          </w:tcPr>
          <w:p w14:paraId="6E92A6F0"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0.2667</w:t>
            </w:r>
          </w:p>
        </w:tc>
        <w:tc>
          <w:tcPr>
            <w:tcW w:w="1421" w:type="dxa"/>
            <w:tcBorders>
              <w:top w:val="nil"/>
              <w:bottom w:val="nil"/>
              <w:right w:val="single" w:sz="4" w:space="0" w:color="auto"/>
            </w:tcBorders>
            <w:shd w:val="clear" w:color="auto" w:fill="auto"/>
            <w:noWrap/>
            <w:vAlign w:val="bottom"/>
            <w:hideMark/>
          </w:tcPr>
          <w:p w14:paraId="0B1B2F11"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0.1700</w:t>
            </w:r>
          </w:p>
        </w:tc>
        <w:tc>
          <w:tcPr>
            <w:tcW w:w="1028" w:type="dxa"/>
            <w:tcBorders>
              <w:left w:val="single" w:sz="4" w:space="0" w:color="auto"/>
            </w:tcBorders>
            <w:shd w:val="clear" w:color="auto" w:fill="auto"/>
            <w:noWrap/>
            <w:vAlign w:val="bottom"/>
            <w:hideMark/>
          </w:tcPr>
          <w:p w14:paraId="2CE9459E"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55</w:t>
            </w:r>
          </w:p>
        </w:tc>
        <w:tc>
          <w:tcPr>
            <w:tcW w:w="1421" w:type="dxa"/>
            <w:shd w:val="clear" w:color="auto" w:fill="auto"/>
            <w:noWrap/>
            <w:vAlign w:val="bottom"/>
            <w:hideMark/>
          </w:tcPr>
          <w:p w14:paraId="0C2078D9"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0.2500</w:t>
            </w:r>
          </w:p>
        </w:tc>
        <w:tc>
          <w:tcPr>
            <w:tcW w:w="1421" w:type="dxa"/>
            <w:shd w:val="clear" w:color="auto" w:fill="auto"/>
            <w:noWrap/>
            <w:vAlign w:val="bottom"/>
            <w:hideMark/>
          </w:tcPr>
          <w:p w14:paraId="54C8C405"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0.1498</w:t>
            </w:r>
          </w:p>
        </w:tc>
      </w:tr>
      <w:tr w:rsidR="00487246" w:rsidRPr="00487246" w14:paraId="234F5582" w14:textId="77777777" w:rsidTr="00487246">
        <w:trPr>
          <w:trHeight w:val="255"/>
        </w:trPr>
        <w:tc>
          <w:tcPr>
            <w:tcW w:w="1545" w:type="dxa"/>
            <w:tcBorders>
              <w:right w:val="single" w:sz="4" w:space="0" w:color="auto"/>
            </w:tcBorders>
            <w:shd w:val="clear" w:color="auto" w:fill="auto"/>
            <w:noWrap/>
            <w:vAlign w:val="bottom"/>
            <w:hideMark/>
          </w:tcPr>
          <w:p w14:paraId="7A1F97D4" w14:textId="77777777" w:rsidR="00F628B6" w:rsidRPr="00487246" w:rsidRDefault="00F628B6" w:rsidP="00487246">
            <w:pPr>
              <w:spacing w:after="0" w:line="240" w:lineRule="auto"/>
              <w:rPr>
                <w:rFonts w:ascii="Calibri" w:eastAsia="Times New Roman" w:hAnsi="Calibri" w:cs="Arial"/>
                <w:color w:val="0070C0"/>
                <w:sz w:val="20"/>
                <w:szCs w:val="20"/>
              </w:rPr>
            </w:pPr>
            <w:r w:rsidRPr="00487246">
              <w:rPr>
                <w:rFonts w:ascii="Calibri" w:eastAsia="Times New Roman" w:hAnsi="Calibri" w:cs="Arial"/>
                <w:color w:val="0070C0"/>
                <w:sz w:val="20"/>
                <w:szCs w:val="20"/>
              </w:rPr>
              <w:t>90%</w:t>
            </w:r>
          </w:p>
        </w:tc>
        <w:tc>
          <w:tcPr>
            <w:tcW w:w="1260" w:type="dxa"/>
            <w:tcBorders>
              <w:top w:val="nil"/>
              <w:left w:val="single" w:sz="4" w:space="0" w:color="auto"/>
              <w:bottom w:val="nil"/>
            </w:tcBorders>
            <w:shd w:val="clear" w:color="auto" w:fill="auto"/>
            <w:noWrap/>
            <w:vAlign w:val="bottom"/>
            <w:hideMark/>
          </w:tcPr>
          <w:p w14:paraId="2910A3E4"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42</w:t>
            </w:r>
          </w:p>
        </w:tc>
        <w:tc>
          <w:tcPr>
            <w:tcW w:w="1421" w:type="dxa"/>
            <w:tcBorders>
              <w:top w:val="nil"/>
              <w:bottom w:val="nil"/>
            </w:tcBorders>
            <w:shd w:val="clear" w:color="auto" w:fill="auto"/>
            <w:noWrap/>
            <w:vAlign w:val="bottom"/>
            <w:hideMark/>
          </w:tcPr>
          <w:p w14:paraId="7E6C2FAD"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0.2195</w:t>
            </w:r>
          </w:p>
        </w:tc>
        <w:tc>
          <w:tcPr>
            <w:tcW w:w="1421" w:type="dxa"/>
            <w:tcBorders>
              <w:top w:val="nil"/>
              <w:bottom w:val="nil"/>
              <w:right w:val="single" w:sz="4" w:space="0" w:color="auto"/>
            </w:tcBorders>
            <w:shd w:val="clear" w:color="auto" w:fill="auto"/>
            <w:noWrap/>
            <w:vAlign w:val="bottom"/>
            <w:hideMark/>
          </w:tcPr>
          <w:p w14:paraId="176DF57D"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0.1575</w:t>
            </w:r>
          </w:p>
        </w:tc>
        <w:tc>
          <w:tcPr>
            <w:tcW w:w="1028" w:type="dxa"/>
            <w:tcBorders>
              <w:left w:val="single" w:sz="4" w:space="0" w:color="auto"/>
            </w:tcBorders>
            <w:shd w:val="clear" w:color="auto" w:fill="auto"/>
            <w:noWrap/>
            <w:vAlign w:val="bottom"/>
            <w:hideMark/>
          </w:tcPr>
          <w:p w14:paraId="706F76C7"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43</w:t>
            </w:r>
          </w:p>
        </w:tc>
        <w:tc>
          <w:tcPr>
            <w:tcW w:w="1421" w:type="dxa"/>
            <w:shd w:val="clear" w:color="auto" w:fill="auto"/>
            <w:noWrap/>
            <w:vAlign w:val="bottom"/>
            <w:hideMark/>
          </w:tcPr>
          <w:p w14:paraId="7F2C9D3C"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0.2174</w:t>
            </w:r>
          </w:p>
        </w:tc>
        <w:tc>
          <w:tcPr>
            <w:tcW w:w="1421" w:type="dxa"/>
            <w:shd w:val="clear" w:color="auto" w:fill="auto"/>
            <w:noWrap/>
            <w:vAlign w:val="bottom"/>
            <w:hideMark/>
          </w:tcPr>
          <w:p w14:paraId="6D990B31"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0.1413</w:t>
            </w:r>
          </w:p>
        </w:tc>
      </w:tr>
      <w:tr w:rsidR="00487246" w:rsidRPr="00487246" w14:paraId="606D3497" w14:textId="77777777" w:rsidTr="00487246">
        <w:trPr>
          <w:trHeight w:val="255"/>
        </w:trPr>
        <w:tc>
          <w:tcPr>
            <w:tcW w:w="1545" w:type="dxa"/>
            <w:tcBorders>
              <w:right w:val="single" w:sz="4" w:space="0" w:color="auto"/>
            </w:tcBorders>
            <w:shd w:val="clear" w:color="auto" w:fill="auto"/>
            <w:noWrap/>
            <w:vAlign w:val="bottom"/>
            <w:hideMark/>
          </w:tcPr>
          <w:p w14:paraId="359015B3" w14:textId="77777777" w:rsidR="00F628B6" w:rsidRPr="00487246" w:rsidRDefault="00F628B6" w:rsidP="00487246">
            <w:pPr>
              <w:spacing w:after="0" w:line="240" w:lineRule="auto"/>
              <w:rPr>
                <w:rFonts w:ascii="Calibri" w:eastAsia="Times New Roman" w:hAnsi="Calibri" w:cs="Arial"/>
                <w:color w:val="0070C0"/>
                <w:sz w:val="20"/>
                <w:szCs w:val="20"/>
              </w:rPr>
            </w:pPr>
            <w:r w:rsidRPr="00487246">
              <w:rPr>
                <w:rFonts w:ascii="Calibri" w:eastAsia="Times New Roman" w:hAnsi="Calibri" w:cs="Arial"/>
                <w:color w:val="0070C0"/>
                <w:sz w:val="20"/>
                <w:szCs w:val="20"/>
              </w:rPr>
              <w:t>75% Q3</w:t>
            </w:r>
          </w:p>
        </w:tc>
        <w:tc>
          <w:tcPr>
            <w:tcW w:w="1260" w:type="dxa"/>
            <w:tcBorders>
              <w:top w:val="nil"/>
              <w:left w:val="single" w:sz="4" w:space="0" w:color="auto"/>
              <w:bottom w:val="nil"/>
            </w:tcBorders>
            <w:shd w:val="clear" w:color="auto" w:fill="auto"/>
            <w:noWrap/>
            <w:vAlign w:val="bottom"/>
            <w:hideMark/>
          </w:tcPr>
          <w:p w14:paraId="739D33B7"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28</w:t>
            </w:r>
          </w:p>
        </w:tc>
        <w:tc>
          <w:tcPr>
            <w:tcW w:w="1421" w:type="dxa"/>
            <w:tcBorders>
              <w:top w:val="nil"/>
              <w:bottom w:val="nil"/>
            </w:tcBorders>
            <w:shd w:val="clear" w:color="auto" w:fill="auto"/>
            <w:noWrap/>
            <w:vAlign w:val="bottom"/>
            <w:hideMark/>
          </w:tcPr>
          <w:p w14:paraId="70D5DC74"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0.1667</w:t>
            </w:r>
          </w:p>
        </w:tc>
        <w:tc>
          <w:tcPr>
            <w:tcW w:w="1421" w:type="dxa"/>
            <w:tcBorders>
              <w:top w:val="nil"/>
              <w:bottom w:val="nil"/>
              <w:right w:val="single" w:sz="4" w:space="0" w:color="auto"/>
            </w:tcBorders>
            <w:shd w:val="clear" w:color="auto" w:fill="auto"/>
            <w:noWrap/>
            <w:vAlign w:val="bottom"/>
            <w:hideMark/>
          </w:tcPr>
          <w:p w14:paraId="57773A69"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0.1374</w:t>
            </w:r>
          </w:p>
        </w:tc>
        <w:tc>
          <w:tcPr>
            <w:tcW w:w="1028" w:type="dxa"/>
            <w:tcBorders>
              <w:left w:val="single" w:sz="4" w:space="0" w:color="auto"/>
            </w:tcBorders>
            <w:shd w:val="clear" w:color="auto" w:fill="auto"/>
            <w:noWrap/>
            <w:vAlign w:val="bottom"/>
            <w:hideMark/>
          </w:tcPr>
          <w:p w14:paraId="1408BA1F"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28</w:t>
            </w:r>
          </w:p>
        </w:tc>
        <w:tc>
          <w:tcPr>
            <w:tcW w:w="1421" w:type="dxa"/>
            <w:shd w:val="clear" w:color="auto" w:fill="auto"/>
            <w:noWrap/>
            <w:vAlign w:val="bottom"/>
            <w:hideMark/>
          </w:tcPr>
          <w:p w14:paraId="2DD8E0EC"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0.1579</w:t>
            </w:r>
          </w:p>
        </w:tc>
        <w:tc>
          <w:tcPr>
            <w:tcW w:w="1421" w:type="dxa"/>
            <w:shd w:val="clear" w:color="auto" w:fill="auto"/>
            <w:noWrap/>
            <w:vAlign w:val="bottom"/>
            <w:hideMark/>
          </w:tcPr>
          <w:p w14:paraId="74399745"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0.1299</w:t>
            </w:r>
          </w:p>
        </w:tc>
      </w:tr>
      <w:tr w:rsidR="00487246" w:rsidRPr="00487246" w14:paraId="01C4314B" w14:textId="77777777" w:rsidTr="00487246">
        <w:trPr>
          <w:trHeight w:val="255"/>
        </w:trPr>
        <w:tc>
          <w:tcPr>
            <w:tcW w:w="1545" w:type="dxa"/>
            <w:tcBorders>
              <w:right w:val="single" w:sz="4" w:space="0" w:color="auto"/>
            </w:tcBorders>
            <w:shd w:val="clear" w:color="auto" w:fill="auto"/>
            <w:noWrap/>
            <w:vAlign w:val="bottom"/>
            <w:hideMark/>
          </w:tcPr>
          <w:p w14:paraId="58876EE1" w14:textId="77777777" w:rsidR="00F628B6" w:rsidRPr="00487246" w:rsidRDefault="00F628B6" w:rsidP="00487246">
            <w:pPr>
              <w:spacing w:after="0" w:line="240" w:lineRule="auto"/>
              <w:rPr>
                <w:rFonts w:ascii="Calibri" w:eastAsia="Times New Roman" w:hAnsi="Calibri" w:cs="Arial"/>
                <w:color w:val="0070C0"/>
                <w:sz w:val="20"/>
                <w:szCs w:val="20"/>
              </w:rPr>
            </w:pPr>
            <w:r w:rsidRPr="00487246">
              <w:rPr>
                <w:rFonts w:ascii="Calibri" w:eastAsia="Times New Roman" w:hAnsi="Calibri" w:cs="Arial"/>
                <w:color w:val="0070C0"/>
                <w:sz w:val="20"/>
                <w:szCs w:val="20"/>
              </w:rPr>
              <w:t>50% Median</w:t>
            </w:r>
          </w:p>
        </w:tc>
        <w:tc>
          <w:tcPr>
            <w:tcW w:w="1260" w:type="dxa"/>
            <w:tcBorders>
              <w:top w:val="nil"/>
              <w:left w:val="single" w:sz="4" w:space="0" w:color="auto"/>
              <w:bottom w:val="nil"/>
            </w:tcBorders>
            <w:shd w:val="clear" w:color="auto" w:fill="auto"/>
            <w:noWrap/>
            <w:vAlign w:val="bottom"/>
            <w:hideMark/>
          </w:tcPr>
          <w:p w14:paraId="5EB58866"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17</w:t>
            </w:r>
          </w:p>
        </w:tc>
        <w:tc>
          <w:tcPr>
            <w:tcW w:w="1421" w:type="dxa"/>
            <w:tcBorders>
              <w:top w:val="nil"/>
              <w:bottom w:val="nil"/>
            </w:tcBorders>
            <w:shd w:val="clear" w:color="auto" w:fill="auto"/>
            <w:noWrap/>
            <w:vAlign w:val="bottom"/>
            <w:hideMark/>
          </w:tcPr>
          <w:p w14:paraId="753EA903"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0.1154</w:t>
            </w:r>
          </w:p>
        </w:tc>
        <w:tc>
          <w:tcPr>
            <w:tcW w:w="1421" w:type="dxa"/>
            <w:tcBorders>
              <w:top w:val="nil"/>
              <w:bottom w:val="nil"/>
              <w:right w:val="single" w:sz="4" w:space="0" w:color="auto"/>
            </w:tcBorders>
            <w:shd w:val="clear" w:color="auto" w:fill="auto"/>
            <w:noWrap/>
            <w:vAlign w:val="bottom"/>
            <w:hideMark/>
          </w:tcPr>
          <w:p w14:paraId="7FE6D0DF"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0.1216</w:t>
            </w:r>
          </w:p>
        </w:tc>
        <w:tc>
          <w:tcPr>
            <w:tcW w:w="1028" w:type="dxa"/>
            <w:tcBorders>
              <w:left w:val="single" w:sz="4" w:space="0" w:color="auto"/>
            </w:tcBorders>
            <w:shd w:val="clear" w:color="auto" w:fill="auto"/>
            <w:noWrap/>
            <w:vAlign w:val="bottom"/>
            <w:hideMark/>
          </w:tcPr>
          <w:p w14:paraId="54E7F3B8"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17</w:t>
            </w:r>
          </w:p>
        </w:tc>
        <w:tc>
          <w:tcPr>
            <w:tcW w:w="1421" w:type="dxa"/>
            <w:shd w:val="clear" w:color="auto" w:fill="auto"/>
            <w:noWrap/>
            <w:vAlign w:val="bottom"/>
            <w:hideMark/>
          </w:tcPr>
          <w:p w14:paraId="617DCBA8"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0.1111</w:t>
            </w:r>
          </w:p>
        </w:tc>
        <w:tc>
          <w:tcPr>
            <w:tcW w:w="1421" w:type="dxa"/>
            <w:shd w:val="clear" w:color="auto" w:fill="auto"/>
            <w:noWrap/>
            <w:vAlign w:val="bottom"/>
            <w:hideMark/>
          </w:tcPr>
          <w:p w14:paraId="31FAE8DD"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0.1189</w:t>
            </w:r>
          </w:p>
        </w:tc>
      </w:tr>
      <w:tr w:rsidR="00487246" w:rsidRPr="00487246" w14:paraId="34C102C0" w14:textId="77777777" w:rsidTr="00487246">
        <w:trPr>
          <w:trHeight w:val="255"/>
        </w:trPr>
        <w:tc>
          <w:tcPr>
            <w:tcW w:w="1545" w:type="dxa"/>
            <w:tcBorders>
              <w:right w:val="single" w:sz="4" w:space="0" w:color="auto"/>
            </w:tcBorders>
            <w:shd w:val="clear" w:color="auto" w:fill="auto"/>
            <w:noWrap/>
            <w:vAlign w:val="bottom"/>
            <w:hideMark/>
          </w:tcPr>
          <w:p w14:paraId="5EA3B6E7" w14:textId="77777777" w:rsidR="00F628B6" w:rsidRPr="00487246" w:rsidRDefault="00F628B6" w:rsidP="00487246">
            <w:pPr>
              <w:spacing w:after="0" w:line="240" w:lineRule="auto"/>
              <w:rPr>
                <w:rFonts w:ascii="Calibri" w:eastAsia="Times New Roman" w:hAnsi="Calibri" w:cs="Arial"/>
                <w:color w:val="0070C0"/>
                <w:sz w:val="20"/>
                <w:szCs w:val="20"/>
              </w:rPr>
            </w:pPr>
            <w:r w:rsidRPr="00487246">
              <w:rPr>
                <w:rFonts w:ascii="Calibri" w:eastAsia="Times New Roman" w:hAnsi="Calibri" w:cs="Arial"/>
                <w:color w:val="0070C0"/>
                <w:sz w:val="20"/>
                <w:szCs w:val="20"/>
              </w:rPr>
              <w:t>25% Q1</w:t>
            </w:r>
          </w:p>
        </w:tc>
        <w:tc>
          <w:tcPr>
            <w:tcW w:w="1260" w:type="dxa"/>
            <w:tcBorders>
              <w:top w:val="nil"/>
              <w:left w:val="single" w:sz="4" w:space="0" w:color="auto"/>
              <w:bottom w:val="nil"/>
            </w:tcBorders>
            <w:shd w:val="clear" w:color="auto" w:fill="auto"/>
            <w:noWrap/>
            <w:vAlign w:val="bottom"/>
            <w:hideMark/>
          </w:tcPr>
          <w:p w14:paraId="49AC9FA6"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9</w:t>
            </w:r>
          </w:p>
        </w:tc>
        <w:tc>
          <w:tcPr>
            <w:tcW w:w="1421" w:type="dxa"/>
            <w:tcBorders>
              <w:top w:val="nil"/>
              <w:bottom w:val="nil"/>
            </w:tcBorders>
            <w:shd w:val="clear" w:color="auto" w:fill="auto"/>
            <w:noWrap/>
            <w:vAlign w:val="bottom"/>
            <w:hideMark/>
          </w:tcPr>
          <w:p w14:paraId="7E758B14"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0.0667</w:t>
            </w:r>
          </w:p>
        </w:tc>
        <w:tc>
          <w:tcPr>
            <w:tcW w:w="1421" w:type="dxa"/>
            <w:tcBorders>
              <w:top w:val="nil"/>
              <w:bottom w:val="nil"/>
              <w:right w:val="single" w:sz="4" w:space="0" w:color="auto"/>
            </w:tcBorders>
            <w:shd w:val="clear" w:color="auto" w:fill="auto"/>
            <w:noWrap/>
            <w:vAlign w:val="bottom"/>
            <w:hideMark/>
          </w:tcPr>
          <w:p w14:paraId="7E656E0E"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0.1067</w:t>
            </w:r>
          </w:p>
        </w:tc>
        <w:tc>
          <w:tcPr>
            <w:tcW w:w="1028" w:type="dxa"/>
            <w:tcBorders>
              <w:left w:val="single" w:sz="4" w:space="0" w:color="auto"/>
            </w:tcBorders>
            <w:shd w:val="clear" w:color="auto" w:fill="auto"/>
            <w:noWrap/>
            <w:vAlign w:val="bottom"/>
            <w:hideMark/>
          </w:tcPr>
          <w:p w14:paraId="143C0F97"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9</w:t>
            </w:r>
          </w:p>
        </w:tc>
        <w:tc>
          <w:tcPr>
            <w:tcW w:w="1421" w:type="dxa"/>
            <w:shd w:val="clear" w:color="auto" w:fill="auto"/>
            <w:noWrap/>
            <w:vAlign w:val="bottom"/>
            <w:hideMark/>
          </w:tcPr>
          <w:p w14:paraId="5F2EDB1C"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0.0714</w:t>
            </w:r>
          </w:p>
        </w:tc>
        <w:tc>
          <w:tcPr>
            <w:tcW w:w="1421" w:type="dxa"/>
            <w:shd w:val="clear" w:color="auto" w:fill="auto"/>
            <w:noWrap/>
            <w:vAlign w:val="bottom"/>
            <w:hideMark/>
          </w:tcPr>
          <w:p w14:paraId="2398B769"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0.1103</w:t>
            </w:r>
          </w:p>
        </w:tc>
      </w:tr>
      <w:tr w:rsidR="00487246" w:rsidRPr="00487246" w14:paraId="20DAC84E" w14:textId="77777777" w:rsidTr="00487246">
        <w:trPr>
          <w:trHeight w:val="255"/>
        </w:trPr>
        <w:tc>
          <w:tcPr>
            <w:tcW w:w="1545" w:type="dxa"/>
            <w:tcBorders>
              <w:right w:val="single" w:sz="4" w:space="0" w:color="auto"/>
            </w:tcBorders>
            <w:shd w:val="clear" w:color="auto" w:fill="auto"/>
            <w:noWrap/>
            <w:vAlign w:val="bottom"/>
            <w:hideMark/>
          </w:tcPr>
          <w:p w14:paraId="6B933DCA" w14:textId="77777777" w:rsidR="00F628B6" w:rsidRPr="00487246" w:rsidRDefault="00F628B6" w:rsidP="00487246">
            <w:pPr>
              <w:spacing w:after="0" w:line="240" w:lineRule="auto"/>
              <w:rPr>
                <w:rFonts w:ascii="Calibri" w:eastAsia="Times New Roman" w:hAnsi="Calibri" w:cs="Arial"/>
                <w:color w:val="0070C0"/>
                <w:sz w:val="20"/>
                <w:szCs w:val="20"/>
              </w:rPr>
            </w:pPr>
            <w:r w:rsidRPr="00487246">
              <w:rPr>
                <w:rFonts w:ascii="Calibri" w:eastAsia="Times New Roman" w:hAnsi="Calibri" w:cs="Arial"/>
                <w:color w:val="0070C0"/>
                <w:sz w:val="20"/>
                <w:szCs w:val="20"/>
              </w:rPr>
              <w:t>10%</w:t>
            </w:r>
          </w:p>
        </w:tc>
        <w:tc>
          <w:tcPr>
            <w:tcW w:w="1260" w:type="dxa"/>
            <w:tcBorders>
              <w:top w:val="nil"/>
              <w:left w:val="single" w:sz="4" w:space="0" w:color="auto"/>
              <w:bottom w:val="nil"/>
            </w:tcBorders>
            <w:shd w:val="clear" w:color="auto" w:fill="auto"/>
            <w:noWrap/>
            <w:vAlign w:val="bottom"/>
            <w:hideMark/>
          </w:tcPr>
          <w:p w14:paraId="0AB65783"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3</w:t>
            </w:r>
          </w:p>
        </w:tc>
        <w:tc>
          <w:tcPr>
            <w:tcW w:w="1421" w:type="dxa"/>
            <w:tcBorders>
              <w:top w:val="nil"/>
              <w:bottom w:val="nil"/>
            </w:tcBorders>
            <w:shd w:val="clear" w:color="auto" w:fill="auto"/>
            <w:noWrap/>
            <w:vAlign w:val="bottom"/>
            <w:hideMark/>
          </w:tcPr>
          <w:p w14:paraId="1047EA13"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0.0303</w:t>
            </w:r>
          </w:p>
        </w:tc>
        <w:tc>
          <w:tcPr>
            <w:tcW w:w="1421" w:type="dxa"/>
            <w:tcBorders>
              <w:top w:val="nil"/>
              <w:bottom w:val="nil"/>
              <w:right w:val="single" w:sz="4" w:space="0" w:color="auto"/>
            </w:tcBorders>
            <w:shd w:val="clear" w:color="auto" w:fill="auto"/>
            <w:noWrap/>
            <w:vAlign w:val="bottom"/>
            <w:hideMark/>
          </w:tcPr>
          <w:p w14:paraId="31EB9832"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0.0952</w:t>
            </w:r>
          </w:p>
        </w:tc>
        <w:tc>
          <w:tcPr>
            <w:tcW w:w="1028" w:type="dxa"/>
            <w:tcBorders>
              <w:left w:val="single" w:sz="4" w:space="0" w:color="auto"/>
            </w:tcBorders>
            <w:shd w:val="clear" w:color="auto" w:fill="auto"/>
            <w:noWrap/>
            <w:vAlign w:val="bottom"/>
            <w:hideMark/>
          </w:tcPr>
          <w:p w14:paraId="363A7FF8"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3</w:t>
            </w:r>
          </w:p>
        </w:tc>
        <w:tc>
          <w:tcPr>
            <w:tcW w:w="1421" w:type="dxa"/>
            <w:shd w:val="clear" w:color="auto" w:fill="auto"/>
            <w:noWrap/>
            <w:vAlign w:val="bottom"/>
            <w:hideMark/>
          </w:tcPr>
          <w:p w14:paraId="7D4C23B5"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0.0357</w:t>
            </w:r>
          </w:p>
        </w:tc>
        <w:tc>
          <w:tcPr>
            <w:tcW w:w="1421" w:type="dxa"/>
            <w:shd w:val="clear" w:color="auto" w:fill="auto"/>
            <w:noWrap/>
            <w:vAlign w:val="bottom"/>
            <w:hideMark/>
          </w:tcPr>
          <w:p w14:paraId="6D02D60E"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0.1037</w:t>
            </w:r>
          </w:p>
        </w:tc>
      </w:tr>
      <w:tr w:rsidR="00487246" w:rsidRPr="00487246" w14:paraId="4E88BF52" w14:textId="77777777" w:rsidTr="00487246">
        <w:trPr>
          <w:trHeight w:val="255"/>
        </w:trPr>
        <w:tc>
          <w:tcPr>
            <w:tcW w:w="1545" w:type="dxa"/>
            <w:tcBorders>
              <w:right w:val="single" w:sz="4" w:space="0" w:color="auto"/>
            </w:tcBorders>
            <w:shd w:val="clear" w:color="auto" w:fill="auto"/>
            <w:noWrap/>
            <w:vAlign w:val="bottom"/>
            <w:hideMark/>
          </w:tcPr>
          <w:p w14:paraId="04431D80" w14:textId="77777777" w:rsidR="00F628B6" w:rsidRPr="00487246" w:rsidRDefault="00F628B6" w:rsidP="00487246">
            <w:pPr>
              <w:spacing w:after="0" w:line="240" w:lineRule="auto"/>
              <w:rPr>
                <w:rFonts w:ascii="Calibri" w:eastAsia="Times New Roman" w:hAnsi="Calibri" w:cs="Arial"/>
                <w:color w:val="0070C0"/>
                <w:sz w:val="20"/>
                <w:szCs w:val="20"/>
              </w:rPr>
            </w:pPr>
            <w:r w:rsidRPr="00487246">
              <w:rPr>
                <w:rFonts w:ascii="Calibri" w:eastAsia="Times New Roman" w:hAnsi="Calibri" w:cs="Arial"/>
                <w:color w:val="0070C0"/>
                <w:sz w:val="20"/>
                <w:szCs w:val="20"/>
              </w:rPr>
              <w:t>5%</w:t>
            </w:r>
          </w:p>
        </w:tc>
        <w:tc>
          <w:tcPr>
            <w:tcW w:w="1260" w:type="dxa"/>
            <w:tcBorders>
              <w:top w:val="nil"/>
              <w:left w:val="single" w:sz="4" w:space="0" w:color="auto"/>
              <w:bottom w:val="nil"/>
            </w:tcBorders>
            <w:shd w:val="clear" w:color="auto" w:fill="auto"/>
            <w:noWrap/>
            <w:vAlign w:val="bottom"/>
            <w:hideMark/>
          </w:tcPr>
          <w:p w14:paraId="1DCF5DB7"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2</w:t>
            </w:r>
          </w:p>
        </w:tc>
        <w:tc>
          <w:tcPr>
            <w:tcW w:w="1421" w:type="dxa"/>
            <w:tcBorders>
              <w:top w:val="nil"/>
              <w:bottom w:val="nil"/>
            </w:tcBorders>
            <w:shd w:val="clear" w:color="auto" w:fill="auto"/>
            <w:noWrap/>
            <w:vAlign w:val="bottom"/>
            <w:hideMark/>
          </w:tcPr>
          <w:p w14:paraId="374B0162"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0.0000</w:t>
            </w:r>
          </w:p>
        </w:tc>
        <w:tc>
          <w:tcPr>
            <w:tcW w:w="1421" w:type="dxa"/>
            <w:tcBorders>
              <w:top w:val="nil"/>
              <w:bottom w:val="nil"/>
              <w:right w:val="single" w:sz="4" w:space="0" w:color="auto"/>
            </w:tcBorders>
            <w:shd w:val="clear" w:color="auto" w:fill="auto"/>
            <w:noWrap/>
            <w:vAlign w:val="bottom"/>
            <w:hideMark/>
          </w:tcPr>
          <w:p w14:paraId="5380E684"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0.0905</w:t>
            </w:r>
          </w:p>
        </w:tc>
        <w:tc>
          <w:tcPr>
            <w:tcW w:w="1028" w:type="dxa"/>
            <w:tcBorders>
              <w:left w:val="single" w:sz="4" w:space="0" w:color="auto"/>
            </w:tcBorders>
            <w:shd w:val="clear" w:color="auto" w:fill="auto"/>
            <w:noWrap/>
            <w:vAlign w:val="bottom"/>
            <w:hideMark/>
          </w:tcPr>
          <w:p w14:paraId="13182E99"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2</w:t>
            </w:r>
          </w:p>
        </w:tc>
        <w:tc>
          <w:tcPr>
            <w:tcW w:w="1421" w:type="dxa"/>
            <w:shd w:val="clear" w:color="auto" w:fill="auto"/>
            <w:noWrap/>
            <w:vAlign w:val="bottom"/>
            <w:hideMark/>
          </w:tcPr>
          <w:p w14:paraId="21C0527D"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0.0000</w:t>
            </w:r>
          </w:p>
        </w:tc>
        <w:tc>
          <w:tcPr>
            <w:tcW w:w="1421" w:type="dxa"/>
            <w:shd w:val="clear" w:color="auto" w:fill="auto"/>
            <w:noWrap/>
            <w:vAlign w:val="bottom"/>
            <w:hideMark/>
          </w:tcPr>
          <w:p w14:paraId="6A295402"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0.0993</w:t>
            </w:r>
          </w:p>
        </w:tc>
      </w:tr>
      <w:tr w:rsidR="00487246" w:rsidRPr="00487246" w14:paraId="6AA28D6D" w14:textId="77777777" w:rsidTr="00487246">
        <w:trPr>
          <w:trHeight w:val="255"/>
        </w:trPr>
        <w:tc>
          <w:tcPr>
            <w:tcW w:w="1545" w:type="dxa"/>
            <w:tcBorders>
              <w:right w:val="single" w:sz="4" w:space="0" w:color="auto"/>
            </w:tcBorders>
            <w:shd w:val="clear" w:color="auto" w:fill="auto"/>
            <w:noWrap/>
            <w:vAlign w:val="bottom"/>
            <w:hideMark/>
          </w:tcPr>
          <w:p w14:paraId="6F208A86" w14:textId="77777777" w:rsidR="00F628B6" w:rsidRPr="00487246" w:rsidRDefault="00F628B6" w:rsidP="00487246">
            <w:pPr>
              <w:spacing w:after="0" w:line="240" w:lineRule="auto"/>
              <w:rPr>
                <w:rFonts w:ascii="Calibri" w:eastAsia="Times New Roman" w:hAnsi="Calibri" w:cs="Arial"/>
                <w:color w:val="0070C0"/>
                <w:sz w:val="20"/>
                <w:szCs w:val="20"/>
              </w:rPr>
            </w:pPr>
            <w:r w:rsidRPr="00487246">
              <w:rPr>
                <w:rFonts w:ascii="Calibri" w:eastAsia="Times New Roman" w:hAnsi="Calibri" w:cs="Arial"/>
                <w:color w:val="0070C0"/>
                <w:sz w:val="20"/>
                <w:szCs w:val="20"/>
              </w:rPr>
              <w:t>1%</w:t>
            </w:r>
          </w:p>
        </w:tc>
        <w:tc>
          <w:tcPr>
            <w:tcW w:w="1260" w:type="dxa"/>
            <w:tcBorders>
              <w:top w:val="nil"/>
              <w:left w:val="single" w:sz="4" w:space="0" w:color="auto"/>
              <w:bottom w:val="nil"/>
            </w:tcBorders>
            <w:shd w:val="clear" w:color="auto" w:fill="auto"/>
            <w:noWrap/>
            <w:vAlign w:val="bottom"/>
            <w:hideMark/>
          </w:tcPr>
          <w:p w14:paraId="4E6F196F"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1</w:t>
            </w:r>
          </w:p>
        </w:tc>
        <w:tc>
          <w:tcPr>
            <w:tcW w:w="1421" w:type="dxa"/>
            <w:tcBorders>
              <w:top w:val="nil"/>
              <w:bottom w:val="nil"/>
            </w:tcBorders>
            <w:shd w:val="clear" w:color="auto" w:fill="auto"/>
            <w:noWrap/>
            <w:vAlign w:val="bottom"/>
            <w:hideMark/>
          </w:tcPr>
          <w:p w14:paraId="172FA0C0"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0.0000</w:t>
            </w:r>
          </w:p>
        </w:tc>
        <w:tc>
          <w:tcPr>
            <w:tcW w:w="1421" w:type="dxa"/>
            <w:tcBorders>
              <w:top w:val="nil"/>
              <w:bottom w:val="nil"/>
              <w:right w:val="single" w:sz="4" w:space="0" w:color="auto"/>
            </w:tcBorders>
            <w:shd w:val="clear" w:color="auto" w:fill="auto"/>
            <w:noWrap/>
            <w:vAlign w:val="bottom"/>
            <w:hideMark/>
          </w:tcPr>
          <w:p w14:paraId="1936AF08"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0.0799</w:t>
            </w:r>
          </w:p>
        </w:tc>
        <w:tc>
          <w:tcPr>
            <w:tcW w:w="1028" w:type="dxa"/>
            <w:tcBorders>
              <w:left w:val="single" w:sz="4" w:space="0" w:color="auto"/>
            </w:tcBorders>
            <w:shd w:val="clear" w:color="auto" w:fill="auto"/>
            <w:noWrap/>
            <w:vAlign w:val="bottom"/>
            <w:hideMark/>
          </w:tcPr>
          <w:p w14:paraId="61E5921B"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1</w:t>
            </w:r>
          </w:p>
        </w:tc>
        <w:tc>
          <w:tcPr>
            <w:tcW w:w="1421" w:type="dxa"/>
            <w:shd w:val="clear" w:color="auto" w:fill="auto"/>
            <w:noWrap/>
            <w:vAlign w:val="bottom"/>
            <w:hideMark/>
          </w:tcPr>
          <w:p w14:paraId="3F230B99"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0.0000</w:t>
            </w:r>
          </w:p>
        </w:tc>
        <w:tc>
          <w:tcPr>
            <w:tcW w:w="1421" w:type="dxa"/>
            <w:shd w:val="clear" w:color="auto" w:fill="auto"/>
            <w:noWrap/>
            <w:vAlign w:val="bottom"/>
            <w:hideMark/>
          </w:tcPr>
          <w:p w14:paraId="3E80B4BD"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0.0940</w:t>
            </w:r>
          </w:p>
        </w:tc>
      </w:tr>
      <w:tr w:rsidR="009B329D" w:rsidRPr="00487246" w14:paraId="046B779F" w14:textId="77777777" w:rsidTr="00487246">
        <w:trPr>
          <w:trHeight w:val="255"/>
        </w:trPr>
        <w:tc>
          <w:tcPr>
            <w:tcW w:w="1545" w:type="dxa"/>
            <w:tcBorders>
              <w:right w:val="single" w:sz="4" w:space="0" w:color="auto"/>
            </w:tcBorders>
            <w:shd w:val="clear" w:color="auto" w:fill="auto"/>
            <w:noWrap/>
            <w:vAlign w:val="bottom"/>
            <w:hideMark/>
          </w:tcPr>
          <w:p w14:paraId="79187579" w14:textId="77777777" w:rsidR="00F628B6" w:rsidRPr="00487246" w:rsidRDefault="00F628B6" w:rsidP="00487246">
            <w:pPr>
              <w:spacing w:after="0" w:line="240" w:lineRule="auto"/>
              <w:rPr>
                <w:rFonts w:ascii="Calibri" w:eastAsia="Times New Roman" w:hAnsi="Calibri" w:cs="Arial"/>
                <w:color w:val="0070C0"/>
                <w:sz w:val="20"/>
                <w:szCs w:val="20"/>
              </w:rPr>
            </w:pPr>
            <w:r w:rsidRPr="00487246">
              <w:rPr>
                <w:rFonts w:ascii="Calibri" w:eastAsia="Times New Roman" w:hAnsi="Calibri" w:cs="Arial"/>
                <w:color w:val="0070C0"/>
                <w:sz w:val="20"/>
                <w:szCs w:val="20"/>
              </w:rPr>
              <w:t>0% Min</w:t>
            </w:r>
          </w:p>
        </w:tc>
        <w:tc>
          <w:tcPr>
            <w:tcW w:w="1260" w:type="dxa"/>
            <w:tcBorders>
              <w:top w:val="nil"/>
              <w:left w:val="single" w:sz="4" w:space="0" w:color="auto"/>
              <w:bottom w:val="single" w:sz="4" w:space="0" w:color="auto"/>
            </w:tcBorders>
            <w:shd w:val="clear" w:color="auto" w:fill="auto"/>
            <w:noWrap/>
            <w:vAlign w:val="bottom"/>
            <w:hideMark/>
          </w:tcPr>
          <w:p w14:paraId="3A5F8BDB"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1</w:t>
            </w:r>
          </w:p>
        </w:tc>
        <w:tc>
          <w:tcPr>
            <w:tcW w:w="1421" w:type="dxa"/>
            <w:tcBorders>
              <w:top w:val="nil"/>
              <w:bottom w:val="single" w:sz="4" w:space="0" w:color="auto"/>
            </w:tcBorders>
            <w:shd w:val="clear" w:color="auto" w:fill="auto"/>
            <w:noWrap/>
            <w:vAlign w:val="bottom"/>
            <w:hideMark/>
          </w:tcPr>
          <w:p w14:paraId="7E8535C9"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0.0000</w:t>
            </w:r>
          </w:p>
        </w:tc>
        <w:tc>
          <w:tcPr>
            <w:tcW w:w="1421" w:type="dxa"/>
            <w:tcBorders>
              <w:top w:val="nil"/>
              <w:bottom w:val="single" w:sz="4" w:space="0" w:color="auto"/>
              <w:right w:val="single" w:sz="4" w:space="0" w:color="auto"/>
            </w:tcBorders>
            <w:shd w:val="clear" w:color="auto" w:fill="auto"/>
            <w:noWrap/>
            <w:vAlign w:val="bottom"/>
            <w:hideMark/>
          </w:tcPr>
          <w:p w14:paraId="576D4911"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0.0703</w:t>
            </w:r>
          </w:p>
        </w:tc>
        <w:tc>
          <w:tcPr>
            <w:tcW w:w="1028" w:type="dxa"/>
            <w:tcBorders>
              <w:left w:val="single" w:sz="4" w:space="0" w:color="auto"/>
            </w:tcBorders>
            <w:shd w:val="clear" w:color="auto" w:fill="auto"/>
            <w:noWrap/>
            <w:vAlign w:val="bottom"/>
            <w:hideMark/>
          </w:tcPr>
          <w:p w14:paraId="1699047E"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1</w:t>
            </w:r>
          </w:p>
        </w:tc>
        <w:tc>
          <w:tcPr>
            <w:tcW w:w="1421" w:type="dxa"/>
            <w:shd w:val="clear" w:color="auto" w:fill="auto"/>
            <w:noWrap/>
            <w:vAlign w:val="bottom"/>
            <w:hideMark/>
          </w:tcPr>
          <w:p w14:paraId="074E1E28"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0.0000</w:t>
            </w:r>
          </w:p>
        </w:tc>
        <w:tc>
          <w:tcPr>
            <w:tcW w:w="1421" w:type="dxa"/>
            <w:shd w:val="clear" w:color="auto" w:fill="auto"/>
            <w:noWrap/>
            <w:vAlign w:val="bottom"/>
            <w:hideMark/>
          </w:tcPr>
          <w:p w14:paraId="5AE7A9D7" w14:textId="77777777" w:rsidR="00F628B6" w:rsidRPr="00487246" w:rsidRDefault="00F628B6" w:rsidP="00487246">
            <w:pPr>
              <w:spacing w:after="0" w:line="240" w:lineRule="auto"/>
              <w:jc w:val="center"/>
              <w:rPr>
                <w:rFonts w:ascii="Calibri" w:hAnsi="Calibri" w:cs="Arial"/>
                <w:color w:val="0070C0"/>
                <w:sz w:val="20"/>
                <w:szCs w:val="20"/>
              </w:rPr>
            </w:pPr>
            <w:r w:rsidRPr="00487246">
              <w:rPr>
                <w:rFonts w:ascii="Calibri" w:hAnsi="Calibri" w:cs="Arial"/>
                <w:color w:val="0070C0"/>
                <w:sz w:val="20"/>
                <w:szCs w:val="20"/>
              </w:rPr>
              <w:t>0.0888</w:t>
            </w:r>
          </w:p>
        </w:tc>
      </w:tr>
    </w:tbl>
    <w:p w14:paraId="29D8D26C" w14:textId="77777777" w:rsidR="00F628B6" w:rsidRPr="00487246" w:rsidRDefault="00F628B6" w:rsidP="00F628B6">
      <w:pPr>
        <w:autoSpaceDE w:val="0"/>
        <w:autoSpaceDN w:val="0"/>
        <w:adjustRightInd w:val="0"/>
        <w:spacing w:after="0" w:line="240" w:lineRule="auto"/>
        <w:rPr>
          <w:rFonts w:cstheme="minorHAnsi"/>
          <w:b/>
          <w:bCs/>
          <w:color w:val="0070C0"/>
        </w:rPr>
      </w:pPr>
    </w:p>
    <w:p w14:paraId="7E0D53E5" w14:textId="76E5A6B5" w:rsidR="00F628B6" w:rsidRPr="00487246" w:rsidRDefault="00F628B6" w:rsidP="00F628B6">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theme="minorHAnsi"/>
          <w:b/>
          <w:bCs/>
          <w:color w:val="0070C0"/>
        </w:rPr>
      </w:pPr>
      <w:r w:rsidRPr="00487246">
        <w:rPr>
          <w:rFonts w:cstheme="minorHAnsi"/>
          <w:b/>
          <w:bCs/>
          <w:color w:val="0070C0"/>
        </w:rPr>
        <w:t xml:space="preserve">Figure </w:t>
      </w:r>
      <w:r w:rsidRPr="00487246">
        <w:rPr>
          <w:rFonts w:cstheme="minorHAnsi"/>
          <w:b/>
          <w:bCs/>
          <w:color w:val="0070C0"/>
        </w:rPr>
        <w:fldChar w:fldCharType="begin"/>
      </w:r>
      <w:r w:rsidRPr="00487246">
        <w:rPr>
          <w:rFonts w:cstheme="minorHAnsi"/>
          <w:b/>
          <w:bCs/>
          <w:color w:val="0070C0"/>
        </w:rPr>
        <w:instrText xml:space="preserve"> SEQ Figure \* ARABIC </w:instrText>
      </w:r>
      <w:r w:rsidRPr="00487246">
        <w:rPr>
          <w:rFonts w:cstheme="minorHAnsi"/>
          <w:b/>
          <w:bCs/>
          <w:color w:val="0070C0"/>
        </w:rPr>
        <w:fldChar w:fldCharType="separate"/>
      </w:r>
      <w:r w:rsidR="004E48DB">
        <w:rPr>
          <w:rFonts w:cstheme="minorHAnsi"/>
          <w:b/>
          <w:bCs/>
          <w:noProof/>
          <w:color w:val="0070C0"/>
        </w:rPr>
        <w:t>1</w:t>
      </w:r>
      <w:r w:rsidRPr="00487246">
        <w:rPr>
          <w:rFonts w:cstheme="minorHAnsi"/>
          <w:b/>
          <w:bCs/>
          <w:color w:val="0070C0"/>
        </w:rPr>
        <w:fldChar w:fldCharType="end"/>
      </w:r>
      <w:r w:rsidRPr="00487246">
        <w:rPr>
          <w:rFonts w:cstheme="minorHAnsi"/>
          <w:b/>
          <w:bCs/>
          <w:color w:val="0070C0"/>
        </w:rPr>
        <w:t>. Correlation between Hospital Risk-Standardized Mortality Rates in Split Samples; 2010-2011.</w:t>
      </w:r>
    </w:p>
    <w:p w14:paraId="60587026" w14:textId="77777777" w:rsidR="00F628B6" w:rsidRPr="00487246" w:rsidRDefault="00F628B6" w:rsidP="00F628B6">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theme="minorHAnsi"/>
          <w:b/>
          <w:bCs/>
          <w:color w:val="0070C0"/>
          <w:u w:val="single"/>
        </w:rPr>
      </w:pPr>
      <w:r w:rsidRPr="00487246">
        <w:rPr>
          <w:rFonts w:cstheme="minorHAnsi"/>
          <w:b/>
          <w:bCs/>
          <w:noProof/>
          <w:color w:val="0070C0"/>
          <w:u w:val="single"/>
        </w:rPr>
        <w:drawing>
          <wp:inline distT="0" distB="0" distL="0" distR="0" wp14:anchorId="3BD35AAA" wp14:editId="364A0513">
            <wp:extent cx="3105150" cy="3105150"/>
            <wp:effectExtent l="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pic:cNvPicPr>
                      <a:picLocks noChangeAspect="1" noChangeArrowheads="1"/>
                    </pic:cNvPicPr>
                  </pic:nvPicPr>
                  <pic:blipFill>
                    <a:blip r:embed="rId13"/>
                    <a:srcRect/>
                    <a:stretch>
                      <a:fillRect/>
                    </a:stretch>
                  </pic:blipFill>
                  <pic:spPr bwMode="auto">
                    <a:xfrm>
                      <a:off x="0" y="0"/>
                      <a:ext cx="3105150" cy="3105150"/>
                    </a:xfrm>
                    <a:prstGeom prst="rect">
                      <a:avLst/>
                    </a:prstGeom>
                    <a:noFill/>
                  </pic:spPr>
                </pic:pic>
              </a:graphicData>
            </a:graphic>
          </wp:inline>
        </w:drawing>
      </w:r>
    </w:p>
    <w:p w14:paraId="02DF29EB" w14:textId="77777777" w:rsidR="00F628B6" w:rsidRPr="00A25024" w:rsidRDefault="00F628B6" w:rsidP="008C54A9">
      <w:pPr>
        <w:autoSpaceDE w:val="0"/>
        <w:autoSpaceDN w:val="0"/>
        <w:adjustRightInd w:val="0"/>
        <w:spacing w:after="0" w:line="240" w:lineRule="auto"/>
        <w:rPr>
          <w:rFonts w:cstheme="minorHAnsi"/>
          <w:bCs/>
        </w:rPr>
      </w:pPr>
    </w:p>
    <w:p w14:paraId="0CABCFD4" w14:textId="17D760FA"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08394832" w14:textId="77777777" w:rsidR="00F628B6" w:rsidRPr="00487246" w:rsidRDefault="00F628B6" w:rsidP="00F628B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color w:val="0070C0"/>
        </w:rPr>
      </w:pPr>
      <w:r w:rsidRPr="00487246">
        <w:rPr>
          <w:rFonts w:cs="Calibri"/>
          <w:color w:val="0070C0"/>
        </w:rPr>
        <w:t xml:space="preserve">The reliability of a measurement is the degree to which repeated measurements of the same entity agree with each other. For measures of hospital performance, the measured entity is naturally the hospital, and reliability is the extent to which repeated measurements of the same hospital give similar results. Accordingly, our approach to assessing reliability is to consider the extent to which assessments of a hospital using different but randomly selected subsets of patients in the same </w:t>
      </w:r>
      <w:proofErr w:type="gramStart"/>
      <w:r w:rsidRPr="00487246">
        <w:rPr>
          <w:rFonts w:cs="Calibri"/>
          <w:color w:val="0070C0"/>
        </w:rPr>
        <w:t>time period</w:t>
      </w:r>
      <w:proofErr w:type="gramEnd"/>
      <w:r w:rsidRPr="00487246">
        <w:rPr>
          <w:rFonts w:cs="Calibri"/>
          <w:color w:val="0070C0"/>
        </w:rPr>
        <w:t xml:space="preserve"> produce similar measures of hospital performance. The agreement between the two RSMRs (0.122), which according to conventional interpretation is “slight,” likely reflects the relatively low number of cases included in the cohort as outlined above (Landis JR et al. 2013).  Nevertheless, the reliability of the measure should be assessed using larger split samples when available. Based on our experience with similar measures using split samples, using 4 years (and volume equivalent to 2 years) would result in higher intra-class correlation coefficient. </w:t>
      </w:r>
    </w:p>
    <w:p w14:paraId="1893493C" w14:textId="77777777" w:rsidR="00F628B6" w:rsidRPr="00487246" w:rsidRDefault="00F628B6" w:rsidP="00F628B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color w:val="0070C0"/>
        </w:rPr>
      </w:pPr>
    </w:p>
    <w:p w14:paraId="656D3692" w14:textId="77777777" w:rsidR="00F628B6" w:rsidRPr="00487246" w:rsidRDefault="00F628B6" w:rsidP="00F628B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color w:val="0070C0"/>
        </w:rPr>
      </w:pPr>
      <w:r w:rsidRPr="00487246">
        <w:rPr>
          <w:rFonts w:cs="Calibri"/>
          <w:color w:val="0070C0"/>
        </w:rPr>
        <w:t>References</w:t>
      </w:r>
    </w:p>
    <w:p w14:paraId="29D36C96" w14:textId="77777777" w:rsidR="00F628B6" w:rsidRPr="00487246" w:rsidRDefault="00F628B6" w:rsidP="00F628B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color w:val="0070C0"/>
        </w:rPr>
      </w:pPr>
      <w:r w:rsidRPr="00487246">
        <w:rPr>
          <w:rFonts w:cs="Calibri"/>
          <w:color w:val="0070C0"/>
        </w:rPr>
        <w:t>Landis JR, Koch GG. The measurement of observer agreement for categorical data. Biometrics. Mar 1977;33(1):159-174.</w:t>
      </w:r>
    </w:p>
    <w:p w14:paraId="3CB0128A" w14:textId="77777777" w:rsidR="00F628B6" w:rsidRPr="00A25024" w:rsidRDefault="00F628B6" w:rsidP="00DB3627">
      <w:pPr>
        <w:autoSpaceDE w:val="0"/>
        <w:autoSpaceDN w:val="0"/>
        <w:adjustRightInd w:val="0"/>
        <w:spacing w:after="0" w:line="240" w:lineRule="auto"/>
        <w:rPr>
          <w:rFonts w:cstheme="minorHAnsi"/>
          <w:bCs/>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866E7C">
        <w:rPr>
          <w:rFonts w:cstheme="minorHAnsi"/>
          <w:b/>
          <w:noProof/>
        </w:rPr>
        <w:t>2</w:t>
      </w:r>
      <w:r w:rsidR="00EA5F47" w:rsidRPr="00866E7C">
        <w:rPr>
          <w:rFonts w:cstheme="minorHAnsi"/>
          <w:b/>
          <w:noProof/>
        </w:rPr>
        <w:t>b</w:t>
      </w:r>
      <w:r w:rsidR="009C7513" w:rsidRPr="00866E7C">
        <w:rPr>
          <w:rFonts w:cstheme="minorHAnsi"/>
          <w:b/>
          <w:noProof/>
        </w:rPr>
        <w:t>1</w:t>
      </w:r>
      <w:r w:rsidRPr="00866E7C">
        <w:rPr>
          <w:rFonts w:cstheme="minorHAnsi"/>
          <w:b/>
          <w:noProof/>
        </w:rPr>
        <w:t xml:space="preserve">. </w:t>
      </w:r>
      <w:r w:rsidRPr="00866E7C">
        <w:rPr>
          <w:rFonts w:cstheme="minorHAnsi"/>
          <w:b/>
          <w:bCs/>
        </w:rPr>
        <w:t>VALIDITY TESTING</w:t>
      </w:r>
      <w:r w:rsidRPr="00A25024">
        <w:rPr>
          <w:rFonts w:cstheme="minorHAnsi"/>
          <w:b/>
          <w:bCs/>
        </w:rPr>
        <w:t xml:space="preserve"> </w:t>
      </w:r>
    </w:p>
    <w:p w14:paraId="0CABCFD7" w14:textId="793AC343"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F628B6">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7777777" w:rsidR="00696262" w:rsidRPr="00A25024" w:rsidRDefault="00FD6EC4"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38DFE5B6" w:rsidR="000574AB" w:rsidRPr="00A25024" w:rsidRDefault="00FD6EC4"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A92BD5">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 xml:space="preserve">good from poor </w:t>
      </w:r>
      <w:proofErr w:type="gramStart"/>
      <w:r w:rsidR="000414E8">
        <w:rPr>
          <w:rFonts w:eastAsia="MS Gothic" w:cstheme="minorHAnsi"/>
          <w:bCs/>
          <w:i/>
        </w:rPr>
        <w:t>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proofErr w:type="gramEnd"/>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55CB5D1C" w:rsidR="00833325"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3885C14C" w14:textId="77777777" w:rsidR="009B329D" w:rsidRPr="00487246" w:rsidRDefault="009B329D" w:rsidP="009B32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487246">
        <w:rPr>
          <w:rFonts w:cstheme="minorHAnsi"/>
          <w:bCs/>
          <w:color w:val="0070C0"/>
          <w:u w:val="single"/>
        </w:rPr>
        <w:t>Data Element Validity</w:t>
      </w:r>
    </w:p>
    <w:p w14:paraId="7E554085" w14:textId="77777777" w:rsidR="009B329D" w:rsidRPr="00487246" w:rsidRDefault="009B329D" w:rsidP="009B32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487246">
        <w:rPr>
          <w:rFonts w:cstheme="minorHAnsi"/>
          <w:bCs/>
          <w:color w:val="0070C0"/>
        </w:rPr>
        <w:t>Data element validity testing was done on the specified measure by comparing with variables in the ACC audit program.</w:t>
      </w:r>
      <w:r w:rsidRPr="00487246">
        <w:rPr>
          <w:rFonts w:ascii="Arial" w:hAnsi="Arial" w:cs="Arial"/>
          <w:color w:val="0070C0"/>
          <w:sz w:val="23"/>
          <w:szCs w:val="23"/>
        </w:rPr>
        <w:t xml:space="preserve"> </w:t>
      </w:r>
      <w:r w:rsidRPr="00487246">
        <w:rPr>
          <w:rFonts w:cstheme="minorHAnsi"/>
          <w:bCs/>
          <w:color w:val="0070C0"/>
        </w:rPr>
        <w:t xml:space="preserve">The NCDR </w:t>
      </w:r>
      <w:proofErr w:type="spellStart"/>
      <w:r w:rsidRPr="00487246">
        <w:rPr>
          <w:rFonts w:cstheme="minorHAnsi"/>
          <w:bCs/>
          <w:color w:val="0070C0"/>
        </w:rPr>
        <w:t>CathPCI</w:t>
      </w:r>
      <w:proofErr w:type="spellEnd"/>
      <w:r w:rsidRPr="00487246">
        <w:rPr>
          <w:rFonts w:cstheme="minorHAnsi"/>
          <w:bCs/>
          <w:color w:val="0070C0"/>
        </w:rPr>
        <w:t xml:space="preserve"> Registry has an established Data Quality Program that serves to assess and improve the quality of the data submitted to the registry. There are two complementary components to the Data Quality Program- the Data Quality Report (DQR) and the Data Audit Program (DAP). The DQR process assesses the completeness of the electronic data submitted by participating hospitals. Hospitals must achieve &gt;95% completeness of specific data elements identified as “core fields” to be included in the registry’s data warehouse for analysis. The “core fields” encompass the variables included in our risk adjustment models. The process is iterative, providing hospitals with the opportunity to correct errors and resubmit data for review and acceptance into the data warehouse. All data for this analysis passed the DQR completeness thresholds. </w:t>
      </w:r>
    </w:p>
    <w:p w14:paraId="75BFDEE6" w14:textId="77777777" w:rsidR="009B329D" w:rsidRPr="00487246" w:rsidRDefault="009B329D" w:rsidP="00DB3627">
      <w:pPr>
        <w:autoSpaceDE w:val="0"/>
        <w:autoSpaceDN w:val="0"/>
        <w:adjustRightInd w:val="0"/>
        <w:spacing w:after="0" w:line="240" w:lineRule="auto"/>
        <w:rPr>
          <w:rFonts w:cstheme="minorHAnsi"/>
          <w:bCs/>
          <w:color w:val="0070C0"/>
        </w:rPr>
      </w:pPr>
    </w:p>
    <w:p w14:paraId="0CABCFDD" w14:textId="77777777" w:rsidR="00833325" w:rsidRPr="00487246" w:rsidRDefault="00833325" w:rsidP="00DB3627">
      <w:pPr>
        <w:autoSpaceDE w:val="0"/>
        <w:autoSpaceDN w:val="0"/>
        <w:adjustRightInd w:val="0"/>
        <w:spacing w:after="0" w:line="240" w:lineRule="auto"/>
        <w:rPr>
          <w:rFonts w:cstheme="minorHAnsi"/>
          <w:bCs/>
          <w:color w:val="0070C0"/>
        </w:rPr>
      </w:pPr>
    </w:p>
    <w:p w14:paraId="4382491E" w14:textId="77777777" w:rsidR="009B329D" w:rsidRPr="00487246" w:rsidRDefault="009B329D" w:rsidP="009B32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487246">
        <w:rPr>
          <w:rFonts w:cstheme="minorHAnsi"/>
          <w:bCs/>
          <w:color w:val="0070C0"/>
        </w:rPr>
        <w:t xml:space="preserve">The DAP consists of annual on-site chart review and data abstraction. Among participating hospitals that pass the DQR for a minimum of two quarters, at least 5% are randomly selected to participate in the DAP. At individual sites, auditors review charts of 10% of submitted cases. The audits focus on variables that are used in the NCDR risk-adjusted in-hospital mortality model including demographics, comorbidities, cardiac status, coronary anatomy, and PCI status. The DAP includes an appeals process for hospitals to dispute the audit findings. The NCDR DAP was accepted by the National Quality Forum as part of its endorsement of the </w:t>
      </w:r>
      <w:proofErr w:type="spellStart"/>
      <w:r w:rsidRPr="00487246">
        <w:rPr>
          <w:rFonts w:cstheme="minorHAnsi"/>
          <w:bCs/>
          <w:color w:val="0070C0"/>
        </w:rPr>
        <w:t>CathPCI</w:t>
      </w:r>
      <w:proofErr w:type="spellEnd"/>
      <w:r w:rsidRPr="00487246">
        <w:rPr>
          <w:rFonts w:cstheme="minorHAnsi"/>
          <w:bCs/>
          <w:color w:val="0070C0"/>
        </w:rPr>
        <w:t xml:space="preserve"> Registry’s in-hospital risk-adjusted mortality measure. </w:t>
      </w:r>
    </w:p>
    <w:p w14:paraId="783BE84D" w14:textId="77777777" w:rsidR="009B329D" w:rsidRPr="00487246" w:rsidRDefault="009B329D" w:rsidP="009B32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p>
    <w:p w14:paraId="2D4BBB19" w14:textId="77777777" w:rsidR="009B329D" w:rsidRPr="00487246" w:rsidRDefault="009B329D" w:rsidP="009B32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487246">
        <w:rPr>
          <w:rFonts w:cstheme="minorHAnsi"/>
          <w:bCs/>
          <w:color w:val="0070C0"/>
          <w:u w:val="single"/>
        </w:rPr>
        <w:t>10th revision of the International Statistical Classification of Diseases and Related Health Problems (ICD-10) Code Selection</w:t>
      </w:r>
    </w:p>
    <w:p w14:paraId="4D5581ED" w14:textId="77777777" w:rsidR="009B329D" w:rsidRPr="00487246" w:rsidRDefault="009B329D" w:rsidP="009B32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487246">
        <w:rPr>
          <w:rFonts w:cstheme="minorHAnsi"/>
          <w:bCs/>
          <w:color w:val="0070C0"/>
        </w:rPr>
        <w:t xml:space="preserve">In 2012, we used the General Equivalence Mapping (GEM) crosswalk between ICD-9-CM and ICD-10-CM/PCS to create specifications for the measure in ICD-10-CM/PCS. Our process for mapping procedural codes in the measures to ICD-10-CM consisted of a detailed clinical review, including manual review of related ICD-10-CM codes to determine that all appropriate codes are included, rather than relying exclusively on the GEM. To conduct the crosswalk, we created a database to effectively use the mapping tables provided by CMS. We then compiled a list of ICD-9-CM codes that define PCI during hospitalization. Measure developers used these ICD-9-CM codes to build queries to extract the GEM results from the mapping table in the database. We then applied those ICD-10-CM codes to the ICD-10-CM to ICD-9-CM mapping table to see if the reverse query produced ICD-9-CM codes that were not in the original measure specifications. </w:t>
      </w:r>
    </w:p>
    <w:p w14:paraId="646644C0" w14:textId="77777777" w:rsidR="009B329D" w:rsidRPr="00487246" w:rsidRDefault="009B329D" w:rsidP="009B32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p>
    <w:p w14:paraId="426869EB" w14:textId="77777777" w:rsidR="009B329D" w:rsidRPr="00487246" w:rsidRDefault="009B329D" w:rsidP="009B32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487246">
        <w:rPr>
          <w:rFonts w:cstheme="minorHAnsi"/>
          <w:bCs/>
          <w:color w:val="0070C0"/>
        </w:rPr>
        <w:t>Our clinicians reviewed these results in detail and determined that many ICD-10-CM codes that should be included in our cohort were not being captured by the GEMs. We confirmed this by consulting the ICD-10-CM draft procedural codebook and identifying the ICD-10-CM codes that our clinicians felt should be included in our cohort. The GEMs identified 16 ICD-10-CM codes for our PCI mortality cohort, while clinician review of the ICD-10-CM draft codebook resulted in 48 ICD-10-CM codes.</w:t>
      </w:r>
    </w:p>
    <w:p w14:paraId="3AB432FD" w14:textId="77777777" w:rsidR="009B329D" w:rsidRPr="00487246" w:rsidRDefault="009B329D" w:rsidP="009B32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p>
    <w:p w14:paraId="2E14ECDA" w14:textId="77777777" w:rsidR="009B329D" w:rsidRPr="00487246" w:rsidRDefault="009B329D" w:rsidP="009B32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487246">
        <w:rPr>
          <w:rFonts w:cstheme="minorHAnsi"/>
          <w:bCs/>
          <w:color w:val="0070C0"/>
        </w:rPr>
        <w:t xml:space="preserve">Further details also </w:t>
      </w:r>
      <w:proofErr w:type="gramStart"/>
      <w:r w:rsidRPr="00487246">
        <w:rPr>
          <w:rFonts w:cstheme="minorHAnsi"/>
          <w:bCs/>
          <w:color w:val="0070C0"/>
        </w:rPr>
        <w:t>are located in</w:t>
      </w:r>
      <w:proofErr w:type="gramEnd"/>
      <w:r w:rsidRPr="00487246">
        <w:rPr>
          <w:rFonts w:cstheme="minorHAnsi"/>
          <w:bCs/>
          <w:color w:val="0070C0"/>
        </w:rPr>
        <w:t xml:space="preserve"> the attached Appendix.</w:t>
      </w:r>
    </w:p>
    <w:p w14:paraId="301C53F9" w14:textId="77777777" w:rsidR="009B329D" w:rsidRDefault="009B329D" w:rsidP="00092566">
      <w:pPr>
        <w:autoSpaceDE w:val="0"/>
        <w:autoSpaceDN w:val="0"/>
        <w:adjustRightInd w:val="0"/>
        <w:spacing w:after="0" w:line="240" w:lineRule="auto"/>
        <w:rPr>
          <w:rFonts w:cstheme="minorHAnsi"/>
          <w:b/>
          <w:bCs/>
        </w:rPr>
      </w:pPr>
    </w:p>
    <w:p w14:paraId="0CABCFDE" w14:textId="53A73698" w:rsidR="007422FD"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0AF68A9A" w14:textId="77777777" w:rsidR="009B329D" w:rsidRPr="00487246" w:rsidRDefault="009B329D" w:rsidP="009B32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487246">
        <w:rPr>
          <w:rFonts w:cstheme="minorHAnsi"/>
          <w:bCs/>
          <w:color w:val="0070C0"/>
          <w:u w:val="single"/>
        </w:rPr>
        <w:t>Data Element Validity</w:t>
      </w:r>
    </w:p>
    <w:p w14:paraId="2F2FF722" w14:textId="77777777" w:rsidR="009B329D" w:rsidRPr="00487246" w:rsidRDefault="009B329D" w:rsidP="009B32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487246">
        <w:rPr>
          <w:rFonts w:cstheme="minorHAnsi"/>
          <w:bCs/>
          <w:color w:val="0070C0"/>
        </w:rPr>
        <w:t xml:space="preserve">In the audit that assessed cases submitted in 2005, the median agreement between submitted and audited values was 92%. There was consistency across sites, with agreement in the lowest and highest deciles of hospitals ranging from 90% to 95%. </w:t>
      </w:r>
    </w:p>
    <w:p w14:paraId="50E65829" w14:textId="77777777" w:rsidR="009B329D" w:rsidRPr="00092566" w:rsidRDefault="009B329D" w:rsidP="00092566">
      <w:pPr>
        <w:autoSpaceDE w:val="0"/>
        <w:autoSpaceDN w:val="0"/>
        <w:adjustRightInd w:val="0"/>
        <w:spacing w:after="0" w:line="240" w:lineRule="auto"/>
        <w:rPr>
          <w:rFonts w:cstheme="minorHAnsi"/>
          <w:bCs/>
        </w:rPr>
      </w:pPr>
    </w:p>
    <w:p w14:paraId="0CABCFDF" w14:textId="73DDA9A8" w:rsidR="007422FD"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4B58333C" w14:textId="77777777" w:rsidR="009B329D" w:rsidRPr="00487246" w:rsidRDefault="009B329D" w:rsidP="009B32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487246">
        <w:rPr>
          <w:rFonts w:cstheme="minorHAnsi"/>
          <w:bCs/>
          <w:color w:val="0070C0"/>
          <w:u w:val="single"/>
        </w:rPr>
        <w:t>Data Element Validity</w:t>
      </w:r>
    </w:p>
    <w:p w14:paraId="11B274D1" w14:textId="77777777" w:rsidR="009B329D" w:rsidRPr="00487246" w:rsidRDefault="009B329D" w:rsidP="009B32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487246">
        <w:rPr>
          <w:rFonts w:cstheme="minorHAnsi"/>
          <w:bCs/>
          <w:color w:val="0070C0"/>
        </w:rPr>
        <w:t xml:space="preserve">The audits conducted by the ACC support the overall validity of the data </w:t>
      </w:r>
      <w:proofErr w:type="gramStart"/>
      <w:r w:rsidRPr="00487246">
        <w:rPr>
          <w:rFonts w:cstheme="minorHAnsi"/>
          <w:bCs/>
          <w:color w:val="0070C0"/>
        </w:rPr>
        <w:t>elements  included</w:t>
      </w:r>
      <w:proofErr w:type="gramEnd"/>
      <w:r w:rsidRPr="00487246">
        <w:rPr>
          <w:rFonts w:cstheme="minorHAnsi"/>
          <w:bCs/>
          <w:color w:val="0070C0"/>
        </w:rPr>
        <w:t xml:space="preserve"> in this measure. The data elements used for risk adjustment were consistently found for all patients and were accurately extracted from the medical record.</w:t>
      </w:r>
    </w:p>
    <w:p w14:paraId="19C299CE" w14:textId="77777777" w:rsidR="009B329D" w:rsidRPr="00A25024" w:rsidRDefault="009B329D" w:rsidP="00DB3627">
      <w:pPr>
        <w:autoSpaceDE w:val="0"/>
        <w:autoSpaceDN w:val="0"/>
        <w:adjustRightInd w:val="0"/>
        <w:spacing w:after="0" w:line="240" w:lineRule="auto"/>
        <w:rPr>
          <w:rFonts w:cstheme="minorHAnsi"/>
          <w:bCs/>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40E47E41" w:rsidR="00833325" w:rsidRPr="009B329D" w:rsidRDefault="00092566" w:rsidP="00DB3627">
      <w:pPr>
        <w:autoSpaceDE w:val="0"/>
        <w:autoSpaceDN w:val="0"/>
        <w:adjustRightInd w:val="0"/>
        <w:spacing w:after="0" w:line="240" w:lineRule="auto"/>
        <w:rPr>
          <w:rFonts w:cstheme="minorHAnsi"/>
          <w:bCs/>
          <w:color w:val="FF0000"/>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18CC6818" w14:textId="6ADD665E" w:rsidR="009B329D" w:rsidRPr="00487246" w:rsidRDefault="009B329D" w:rsidP="00DB3627">
      <w:pPr>
        <w:autoSpaceDE w:val="0"/>
        <w:autoSpaceDN w:val="0"/>
        <w:adjustRightInd w:val="0"/>
        <w:spacing w:after="0" w:line="240" w:lineRule="auto"/>
        <w:rPr>
          <w:rFonts w:cstheme="minorHAnsi"/>
          <w:bCs/>
          <w:color w:val="0070C0"/>
          <w:sz w:val="12"/>
        </w:rPr>
      </w:pPr>
      <w:r w:rsidRPr="00487246">
        <w:rPr>
          <w:rFonts w:cstheme="minorHAnsi"/>
          <w:color w:val="0070C0"/>
        </w:rPr>
        <w:t xml:space="preserve">Exclusions were those determined by expert input to be clinically relevant, required </w:t>
      </w:r>
      <w:proofErr w:type="gramStart"/>
      <w:r w:rsidRPr="00487246">
        <w:rPr>
          <w:rFonts w:cstheme="minorHAnsi"/>
          <w:color w:val="0070C0"/>
        </w:rPr>
        <w:t>in order to</w:t>
      </w:r>
      <w:proofErr w:type="gramEnd"/>
      <w:r w:rsidRPr="00487246">
        <w:rPr>
          <w:rFonts w:cstheme="minorHAnsi"/>
          <w:color w:val="0070C0"/>
        </w:rPr>
        <w:t xml:space="preserve"> assess the outcome, or needed for calculation of the measure. To ascertain the impact of the exclusions on the cohort, we examined proportions of the total cohort excluded for each exclusion criterion</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0CABCFE6" w14:textId="5B229DEC" w:rsidR="007422FD" w:rsidRPr="009B329D" w:rsidRDefault="00092566" w:rsidP="00092566">
      <w:pPr>
        <w:autoSpaceDE w:val="0"/>
        <w:autoSpaceDN w:val="0"/>
        <w:adjustRightInd w:val="0"/>
        <w:spacing w:after="0" w:line="240" w:lineRule="auto"/>
        <w:rPr>
          <w:rFonts w:cstheme="minorHAnsi"/>
          <w:bCs/>
          <w:color w:val="FF0000"/>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tbl>
      <w:tblPr>
        <w:tblW w:w="100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966"/>
        <w:gridCol w:w="1060"/>
        <w:gridCol w:w="942"/>
        <w:gridCol w:w="1060"/>
        <w:gridCol w:w="1773"/>
      </w:tblGrid>
      <w:tr w:rsidR="009B329D" w:rsidRPr="009B329D" w14:paraId="3CF97776" w14:textId="77777777" w:rsidTr="00487246">
        <w:trPr>
          <w:trHeight w:val="255"/>
        </w:trPr>
        <w:tc>
          <w:tcPr>
            <w:tcW w:w="10005" w:type="dxa"/>
            <w:gridSpan w:val="6"/>
            <w:shd w:val="clear" w:color="auto" w:fill="auto"/>
            <w:noWrap/>
            <w:vAlign w:val="center"/>
          </w:tcPr>
          <w:p w14:paraId="4D04673D" w14:textId="77777777" w:rsidR="009B329D" w:rsidRPr="00BA495E" w:rsidRDefault="009B329D" w:rsidP="00487246">
            <w:pPr>
              <w:spacing w:after="0" w:line="240" w:lineRule="auto"/>
              <w:rPr>
                <w:rFonts w:ascii="Calibri" w:eastAsia="Times New Roman" w:hAnsi="Calibri" w:cs="Times New Roman"/>
                <w:color w:val="0070C0"/>
              </w:rPr>
            </w:pPr>
            <w:r w:rsidRPr="00BA495E">
              <w:rPr>
                <w:rFonts w:ascii="Calibri" w:eastAsia="Times New Roman" w:hAnsi="Calibri" w:cs="Times New Roman"/>
                <w:b/>
                <w:bCs/>
                <w:color w:val="0070C0"/>
              </w:rPr>
              <w:t xml:space="preserve">Table 2. Exclusions from the target population for the 2010, 2011, and the combined 2010-2011 dataset. </w:t>
            </w:r>
          </w:p>
        </w:tc>
      </w:tr>
      <w:tr w:rsidR="009B329D" w:rsidRPr="009B329D" w14:paraId="6C769AF2" w14:textId="77777777" w:rsidTr="00487246">
        <w:trPr>
          <w:trHeight w:val="255"/>
        </w:trPr>
        <w:tc>
          <w:tcPr>
            <w:tcW w:w="4320" w:type="dxa"/>
            <w:vMerge w:val="restart"/>
            <w:shd w:val="clear" w:color="auto" w:fill="D9D9D9" w:themeFill="background1" w:themeFillShade="D9"/>
            <w:noWrap/>
            <w:vAlign w:val="center"/>
            <w:hideMark/>
          </w:tcPr>
          <w:p w14:paraId="4968BDB6" w14:textId="77777777" w:rsidR="009B329D" w:rsidRPr="00BA495E" w:rsidRDefault="009B329D" w:rsidP="00487246">
            <w:pPr>
              <w:spacing w:after="0" w:line="240" w:lineRule="auto"/>
              <w:rPr>
                <w:rFonts w:ascii="Calibri" w:eastAsia="Times New Roman" w:hAnsi="Calibri" w:cs="Times New Roman"/>
                <w:b/>
                <w:bCs/>
                <w:color w:val="0070C0"/>
              </w:rPr>
            </w:pPr>
            <w:r w:rsidRPr="00BA495E">
              <w:rPr>
                <w:rFonts w:ascii="Calibri" w:eastAsia="Times New Roman" w:hAnsi="Calibri" w:cs="Times New Roman"/>
                <w:b/>
                <w:bCs/>
                <w:color w:val="0070C0"/>
              </w:rPr>
              <w:t>Exclusions</w:t>
            </w:r>
          </w:p>
        </w:tc>
        <w:tc>
          <w:tcPr>
            <w:tcW w:w="1983" w:type="dxa"/>
            <w:gridSpan w:val="2"/>
            <w:shd w:val="clear" w:color="auto" w:fill="D9D9D9" w:themeFill="background1" w:themeFillShade="D9"/>
            <w:noWrap/>
            <w:vAlign w:val="center"/>
            <w:hideMark/>
          </w:tcPr>
          <w:p w14:paraId="5242D2C5"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2010</w:t>
            </w:r>
          </w:p>
        </w:tc>
        <w:tc>
          <w:tcPr>
            <w:tcW w:w="1929" w:type="dxa"/>
            <w:gridSpan w:val="2"/>
            <w:shd w:val="clear" w:color="auto" w:fill="D9D9D9" w:themeFill="background1" w:themeFillShade="D9"/>
            <w:noWrap/>
            <w:vAlign w:val="center"/>
            <w:hideMark/>
          </w:tcPr>
          <w:p w14:paraId="689CBFBB"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2011</w:t>
            </w:r>
          </w:p>
        </w:tc>
        <w:tc>
          <w:tcPr>
            <w:tcW w:w="1773" w:type="dxa"/>
            <w:shd w:val="clear" w:color="auto" w:fill="D9D9D9" w:themeFill="background1" w:themeFillShade="D9"/>
            <w:noWrap/>
            <w:vAlign w:val="center"/>
            <w:hideMark/>
          </w:tcPr>
          <w:p w14:paraId="607465EA"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2010-2011</w:t>
            </w:r>
          </w:p>
        </w:tc>
      </w:tr>
      <w:tr w:rsidR="009B329D" w:rsidRPr="009B329D" w14:paraId="135357F2" w14:textId="77777777" w:rsidTr="00487246">
        <w:trPr>
          <w:trHeight w:val="80"/>
        </w:trPr>
        <w:tc>
          <w:tcPr>
            <w:tcW w:w="4320" w:type="dxa"/>
            <w:vMerge/>
            <w:shd w:val="clear" w:color="auto" w:fill="D9D9D9" w:themeFill="background1" w:themeFillShade="D9"/>
            <w:vAlign w:val="center"/>
            <w:hideMark/>
          </w:tcPr>
          <w:p w14:paraId="1D23270F" w14:textId="77777777" w:rsidR="009B329D" w:rsidRPr="00BA495E" w:rsidRDefault="009B329D" w:rsidP="00487246">
            <w:pPr>
              <w:spacing w:after="0" w:line="240" w:lineRule="auto"/>
              <w:rPr>
                <w:rFonts w:ascii="Calibri" w:eastAsia="Times New Roman" w:hAnsi="Calibri" w:cs="Times New Roman"/>
                <w:b/>
                <w:bCs/>
                <w:color w:val="0070C0"/>
              </w:rPr>
            </w:pPr>
          </w:p>
        </w:tc>
        <w:tc>
          <w:tcPr>
            <w:tcW w:w="966" w:type="dxa"/>
            <w:shd w:val="clear" w:color="auto" w:fill="D9D9D9" w:themeFill="background1" w:themeFillShade="D9"/>
            <w:noWrap/>
            <w:vAlign w:val="center"/>
            <w:hideMark/>
          </w:tcPr>
          <w:p w14:paraId="689E28B6"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Patient Stay</w:t>
            </w:r>
          </w:p>
        </w:tc>
        <w:tc>
          <w:tcPr>
            <w:tcW w:w="1017" w:type="dxa"/>
            <w:shd w:val="clear" w:color="auto" w:fill="D9D9D9" w:themeFill="background1" w:themeFillShade="D9"/>
            <w:vAlign w:val="center"/>
          </w:tcPr>
          <w:p w14:paraId="168CCC26" w14:textId="77777777" w:rsidR="009B329D" w:rsidRPr="00BA495E" w:rsidRDefault="009B329D" w:rsidP="00487246">
            <w:pPr>
              <w:spacing w:after="0" w:line="240" w:lineRule="auto"/>
              <w:jc w:val="center"/>
              <w:rPr>
                <w:rFonts w:ascii="Calibri" w:eastAsia="Times New Roman" w:hAnsi="Calibri" w:cs="Times New Roman"/>
                <w:bCs/>
                <w:color w:val="0070C0"/>
              </w:rPr>
            </w:pPr>
            <w:r w:rsidRPr="00BA495E">
              <w:rPr>
                <w:rFonts w:ascii="Calibri" w:eastAsia="Times New Roman" w:hAnsi="Calibri" w:cs="Times New Roman"/>
                <w:b/>
                <w:bCs/>
                <w:color w:val="0070C0"/>
              </w:rPr>
              <w:t>Hospitals</w:t>
            </w:r>
          </w:p>
        </w:tc>
        <w:tc>
          <w:tcPr>
            <w:tcW w:w="912" w:type="dxa"/>
            <w:shd w:val="clear" w:color="auto" w:fill="D9D9D9" w:themeFill="background1" w:themeFillShade="D9"/>
            <w:noWrap/>
            <w:vAlign w:val="center"/>
            <w:hideMark/>
          </w:tcPr>
          <w:p w14:paraId="32809536"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Patient Stay</w:t>
            </w:r>
          </w:p>
        </w:tc>
        <w:tc>
          <w:tcPr>
            <w:tcW w:w="1017" w:type="dxa"/>
            <w:shd w:val="clear" w:color="auto" w:fill="D9D9D9" w:themeFill="background1" w:themeFillShade="D9"/>
            <w:noWrap/>
            <w:vAlign w:val="center"/>
            <w:hideMark/>
          </w:tcPr>
          <w:p w14:paraId="09E9166E"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Hospitals</w:t>
            </w:r>
          </w:p>
        </w:tc>
        <w:tc>
          <w:tcPr>
            <w:tcW w:w="1773" w:type="dxa"/>
            <w:shd w:val="clear" w:color="auto" w:fill="D9D9D9" w:themeFill="background1" w:themeFillShade="D9"/>
            <w:noWrap/>
            <w:vAlign w:val="center"/>
            <w:hideMark/>
          </w:tcPr>
          <w:p w14:paraId="4E0E3D52"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Patient Stay</w:t>
            </w:r>
          </w:p>
        </w:tc>
      </w:tr>
      <w:tr w:rsidR="009B329D" w:rsidRPr="009B329D" w14:paraId="32C8C9EB" w14:textId="77777777" w:rsidTr="00487246">
        <w:trPr>
          <w:trHeight w:val="255"/>
        </w:trPr>
        <w:tc>
          <w:tcPr>
            <w:tcW w:w="4320" w:type="dxa"/>
            <w:vMerge/>
            <w:shd w:val="clear" w:color="auto" w:fill="D9D9D9" w:themeFill="background1" w:themeFillShade="D9"/>
            <w:vAlign w:val="center"/>
            <w:hideMark/>
          </w:tcPr>
          <w:p w14:paraId="7F619AA1" w14:textId="77777777" w:rsidR="009B329D" w:rsidRPr="00BA495E" w:rsidRDefault="009B329D" w:rsidP="00487246">
            <w:pPr>
              <w:spacing w:after="0" w:line="240" w:lineRule="auto"/>
              <w:rPr>
                <w:rFonts w:ascii="Calibri" w:eastAsia="Times New Roman" w:hAnsi="Calibri" w:cs="Times New Roman"/>
                <w:b/>
                <w:bCs/>
                <w:color w:val="0070C0"/>
              </w:rPr>
            </w:pPr>
          </w:p>
        </w:tc>
        <w:tc>
          <w:tcPr>
            <w:tcW w:w="966" w:type="dxa"/>
            <w:shd w:val="clear" w:color="auto" w:fill="D9D9D9" w:themeFill="background1" w:themeFillShade="D9"/>
            <w:noWrap/>
            <w:vAlign w:val="center"/>
            <w:hideMark/>
          </w:tcPr>
          <w:p w14:paraId="5E7609C6"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w:t>
            </w:r>
          </w:p>
          <w:p w14:paraId="7161D15C"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 xml:space="preserve"> (%)</w:t>
            </w:r>
          </w:p>
        </w:tc>
        <w:tc>
          <w:tcPr>
            <w:tcW w:w="1017" w:type="dxa"/>
            <w:shd w:val="clear" w:color="auto" w:fill="D9D9D9" w:themeFill="background1" w:themeFillShade="D9"/>
            <w:noWrap/>
            <w:vAlign w:val="center"/>
          </w:tcPr>
          <w:p w14:paraId="50A9ADDB"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 xml:space="preserve"># </w:t>
            </w:r>
          </w:p>
          <w:p w14:paraId="187F9915"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w:t>
            </w:r>
          </w:p>
        </w:tc>
        <w:tc>
          <w:tcPr>
            <w:tcW w:w="912" w:type="dxa"/>
            <w:shd w:val="clear" w:color="auto" w:fill="D9D9D9" w:themeFill="background1" w:themeFillShade="D9"/>
            <w:noWrap/>
            <w:vAlign w:val="center"/>
            <w:hideMark/>
          </w:tcPr>
          <w:p w14:paraId="72206B08"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w:t>
            </w:r>
          </w:p>
          <w:p w14:paraId="60B6F8C8"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w:t>
            </w:r>
          </w:p>
        </w:tc>
        <w:tc>
          <w:tcPr>
            <w:tcW w:w="1017" w:type="dxa"/>
            <w:shd w:val="clear" w:color="auto" w:fill="D9D9D9" w:themeFill="background1" w:themeFillShade="D9"/>
            <w:noWrap/>
            <w:vAlign w:val="center"/>
            <w:hideMark/>
          </w:tcPr>
          <w:p w14:paraId="6672F9A1"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w:t>
            </w:r>
          </w:p>
          <w:p w14:paraId="63DF81AF"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w:t>
            </w:r>
          </w:p>
        </w:tc>
        <w:tc>
          <w:tcPr>
            <w:tcW w:w="1773" w:type="dxa"/>
            <w:shd w:val="clear" w:color="auto" w:fill="D9D9D9" w:themeFill="background1" w:themeFillShade="D9"/>
            <w:noWrap/>
            <w:vAlign w:val="center"/>
            <w:hideMark/>
          </w:tcPr>
          <w:p w14:paraId="107EFB81"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w:t>
            </w:r>
          </w:p>
          <w:p w14:paraId="72835109"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 xml:space="preserve"> (%)</w:t>
            </w:r>
          </w:p>
        </w:tc>
      </w:tr>
      <w:tr w:rsidR="009B329D" w:rsidRPr="009B329D" w14:paraId="6B9D52AC" w14:textId="77777777" w:rsidTr="00487246">
        <w:trPr>
          <w:trHeight w:val="255"/>
        </w:trPr>
        <w:tc>
          <w:tcPr>
            <w:tcW w:w="4320" w:type="dxa"/>
            <w:shd w:val="clear" w:color="auto" w:fill="auto"/>
            <w:noWrap/>
            <w:vAlign w:val="center"/>
            <w:hideMark/>
          </w:tcPr>
          <w:p w14:paraId="5BF71BC1" w14:textId="77777777" w:rsidR="009B329D" w:rsidRPr="00BA495E" w:rsidRDefault="009B329D" w:rsidP="00487246">
            <w:pPr>
              <w:spacing w:after="0" w:line="240" w:lineRule="auto"/>
              <w:rPr>
                <w:rFonts w:ascii="Calibri" w:eastAsia="Times New Roman" w:hAnsi="Calibri" w:cs="Times New Roman"/>
                <w:b/>
                <w:bCs/>
                <w:color w:val="0070C0"/>
              </w:rPr>
            </w:pPr>
            <w:r w:rsidRPr="00BA495E">
              <w:rPr>
                <w:rFonts w:ascii="Calibri" w:eastAsia="Times New Roman" w:hAnsi="Calibri" w:cs="Times New Roman"/>
                <w:b/>
                <w:bCs/>
                <w:color w:val="0070C0"/>
              </w:rPr>
              <w:t>Initial Sample</w:t>
            </w:r>
          </w:p>
        </w:tc>
        <w:tc>
          <w:tcPr>
            <w:tcW w:w="966" w:type="dxa"/>
            <w:shd w:val="clear" w:color="auto" w:fill="auto"/>
            <w:noWrap/>
            <w:vAlign w:val="center"/>
            <w:hideMark/>
          </w:tcPr>
          <w:p w14:paraId="31F09DB8"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199,853</w:t>
            </w:r>
          </w:p>
        </w:tc>
        <w:tc>
          <w:tcPr>
            <w:tcW w:w="1017" w:type="dxa"/>
            <w:shd w:val="clear" w:color="auto" w:fill="auto"/>
            <w:vAlign w:val="center"/>
          </w:tcPr>
          <w:p w14:paraId="76DF772E"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1,095</w:t>
            </w:r>
          </w:p>
        </w:tc>
        <w:tc>
          <w:tcPr>
            <w:tcW w:w="912" w:type="dxa"/>
            <w:shd w:val="clear" w:color="auto" w:fill="auto"/>
            <w:noWrap/>
            <w:vAlign w:val="center"/>
            <w:hideMark/>
          </w:tcPr>
          <w:p w14:paraId="75EC09A8"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195,812</w:t>
            </w:r>
          </w:p>
        </w:tc>
        <w:tc>
          <w:tcPr>
            <w:tcW w:w="1017" w:type="dxa"/>
            <w:shd w:val="clear" w:color="auto" w:fill="auto"/>
            <w:noWrap/>
            <w:vAlign w:val="center"/>
            <w:hideMark/>
          </w:tcPr>
          <w:p w14:paraId="7B3B6C3C"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1,185</w:t>
            </w:r>
          </w:p>
        </w:tc>
        <w:tc>
          <w:tcPr>
            <w:tcW w:w="1773" w:type="dxa"/>
            <w:shd w:val="clear" w:color="auto" w:fill="auto"/>
            <w:noWrap/>
            <w:vAlign w:val="center"/>
            <w:hideMark/>
          </w:tcPr>
          <w:p w14:paraId="31B443E4"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395,665</w:t>
            </w:r>
          </w:p>
        </w:tc>
      </w:tr>
      <w:tr w:rsidR="009B329D" w:rsidRPr="009B329D" w14:paraId="040D8EF3" w14:textId="77777777" w:rsidTr="00487246">
        <w:trPr>
          <w:trHeight w:val="255"/>
        </w:trPr>
        <w:tc>
          <w:tcPr>
            <w:tcW w:w="4320" w:type="dxa"/>
            <w:shd w:val="clear" w:color="auto" w:fill="auto"/>
            <w:noWrap/>
            <w:vAlign w:val="center"/>
            <w:hideMark/>
          </w:tcPr>
          <w:p w14:paraId="0D799051" w14:textId="77777777" w:rsidR="009B329D" w:rsidRPr="00BA495E" w:rsidRDefault="009B329D" w:rsidP="00487246">
            <w:pPr>
              <w:spacing w:after="0" w:line="240" w:lineRule="auto"/>
              <w:rPr>
                <w:rFonts w:ascii="Calibri" w:eastAsia="Times New Roman" w:hAnsi="Calibri" w:cs="Times New Roman"/>
                <w:color w:val="0070C0"/>
              </w:rPr>
            </w:pPr>
            <w:r w:rsidRPr="00BA495E">
              <w:rPr>
                <w:rFonts w:ascii="Calibri" w:eastAsia="Times New Roman" w:hAnsi="Calibri" w:cs="Times New Roman"/>
                <w:color w:val="0070C0"/>
              </w:rPr>
              <w:t>Not Medicare patient on admission</w:t>
            </w:r>
          </w:p>
        </w:tc>
        <w:tc>
          <w:tcPr>
            <w:tcW w:w="966" w:type="dxa"/>
            <w:shd w:val="clear" w:color="auto" w:fill="auto"/>
            <w:noWrap/>
            <w:vAlign w:val="center"/>
            <w:hideMark/>
          </w:tcPr>
          <w:p w14:paraId="0BA22269"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43, 669 (21.85)</w:t>
            </w:r>
          </w:p>
        </w:tc>
        <w:tc>
          <w:tcPr>
            <w:tcW w:w="1017" w:type="dxa"/>
            <w:shd w:val="clear" w:color="auto" w:fill="auto"/>
            <w:noWrap/>
            <w:vAlign w:val="center"/>
          </w:tcPr>
          <w:p w14:paraId="660EC559"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3</w:t>
            </w:r>
          </w:p>
          <w:p w14:paraId="5FB5D1CE"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(0.27)</w:t>
            </w:r>
          </w:p>
        </w:tc>
        <w:tc>
          <w:tcPr>
            <w:tcW w:w="912" w:type="dxa"/>
            <w:shd w:val="clear" w:color="auto" w:fill="auto"/>
            <w:noWrap/>
            <w:vAlign w:val="center"/>
            <w:hideMark/>
          </w:tcPr>
          <w:p w14:paraId="5D3EA9F2"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44,840</w:t>
            </w:r>
          </w:p>
          <w:p w14:paraId="480A8826"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(22.90)</w:t>
            </w:r>
          </w:p>
        </w:tc>
        <w:tc>
          <w:tcPr>
            <w:tcW w:w="1017" w:type="dxa"/>
            <w:shd w:val="clear" w:color="auto" w:fill="auto"/>
            <w:noWrap/>
            <w:vAlign w:val="center"/>
            <w:hideMark/>
          </w:tcPr>
          <w:p w14:paraId="5715EE79"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1</w:t>
            </w:r>
          </w:p>
          <w:p w14:paraId="7F6A7B88"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(0.08)</w:t>
            </w:r>
          </w:p>
        </w:tc>
        <w:tc>
          <w:tcPr>
            <w:tcW w:w="1773" w:type="dxa"/>
            <w:shd w:val="clear" w:color="auto" w:fill="auto"/>
            <w:noWrap/>
            <w:vAlign w:val="center"/>
            <w:hideMark/>
          </w:tcPr>
          <w:p w14:paraId="33121FF8"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88509</w:t>
            </w:r>
          </w:p>
          <w:p w14:paraId="596147D5"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(22.37)</w:t>
            </w:r>
          </w:p>
        </w:tc>
      </w:tr>
      <w:tr w:rsidR="009B329D" w:rsidRPr="009B329D" w14:paraId="7683CE4E" w14:textId="77777777" w:rsidTr="00487246">
        <w:trPr>
          <w:trHeight w:val="255"/>
        </w:trPr>
        <w:tc>
          <w:tcPr>
            <w:tcW w:w="4320" w:type="dxa"/>
            <w:shd w:val="clear" w:color="auto" w:fill="auto"/>
            <w:noWrap/>
            <w:vAlign w:val="center"/>
            <w:hideMark/>
          </w:tcPr>
          <w:p w14:paraId="1731A838" w14:textId="77777777" w:rsidR="009B329D" w:rsidRPr="00BA495E" w:rsidRDefault="009B329D" w:rsidP="00487246">
            <w:pPr>
              <w:spacing w:after="0" w:line="240" w:lineRule="auto"/>
              <w:rPr>
                <w:rFonts w:ascii="Calibri" w:eastAsia="Times New Roman" w:hAnsi="Calibri" w:cs="Times New Roman"/>
                <w:b/>
                <w:bCs/>
                <w:color w:val="0070C0"/>
              </w:rPr>
            </w:pPr>
            <w:r w:rsidRPr="00BA495E">
              <w:rPr>
                <w:rFonts w:ascii="Calibri" w:eastAsia="Times New Roman" w:hAnsi="Calibri" w:cs="Times New Roman"/>
                <w:b/>
                <w:bCs/>
                <w:color w:val="0070C0"/>
              </w:rPr>
              <w:t>Remaining</w:t>
            </w:r>
          </w:p>
        </w:tc>
        <w:tc>
          <w:tcPr>
            <w:tcW w:w="966" w:type="dxa"/>
            <w:shd w:val="clear" w:color="auto" w:fill="auto"/>
            <w:noWrap/>
            <w:vAlign w:val="center"/>
            <w:hideMark/>
          </w:tcPr>
          <w:p w14:paraId="670F18B3"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156184</w:t>
            </w:r>
          </w:p>
        </w:tc>
        <w:tc>
          <w:tcPr>
            <w:tcW w:w="1017" w:type="dxa"/>
            <w:shd w:val="clear" w:color="auto" w:fill="auto"/>
            <w:vAlign w:val="center"/>
          </w:tcPr>
          <w:p w14:paraId="4933793F"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1,092</w:t>
            </w:r>
          </w:p>
        </w:tc>
        <w:tc>
          <w:tcPr>
            <w:tcW w:w="912" w:type="dxa"/>
            <w:shd w:val="clear" w:color="auto" w:fill="auto"/>
            <w:noWrap/>
            <w:vAlign w:val="center"/>
            <w:hideMark/>
          </w:tcPr>
          <w:p w14:paraId="56BF4725"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150,972</w:t>
            </w:r>
          </w:p>
        </w:tc>
        <w:tc>
          <w:tcPr>
            <w:tcW w:w="1017" w:type="dxa"/>
            <w:shd w:val="clear" w:color="auto" w:fill="auto"/>
            <w:noWrap/>
            <w:vAlign w:val="center"/>
            <w:hideMark/>
          </w:tcPr>
          <w:p w14:paraId="03192771"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1,184</w:t>
            </w:r>
          </w:p>
        </w:tc>
        <w:tc>
          <w:tcPr>
            <w:tcW w:w="1773" w:type="dxa"/>
            <w:shd w:val="clear" w:color="auto" w:fill="auto"/>
            <w:noWrap/>
            <w:vAlign w:val="center"/>
            <w:hideMark/>
          </w:tcPr>
          <w:p w14:paraId="770ADB16"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307,156</w:t>
            </w:r>
          </w:p>
        </w:tc>
      </w:tr>
      <w:tr w:rsidR="009B329D" w:rsidRPr="009B329D" w14:paraId="4270FE5E" w14:textId="77777777" w:rsidTr="00487246">
        <w:trPr>
          <w:trHeight w:val="255"/>
        </w:trPr>
        <w:tc>
          <w:tcPr>
            <w:tcW w:w="4320" w:type="dxa"/>
            <w:shd w:val="clear" w:color="auto" w:fill="auto"/>
            <w:noWrap/>
            <w:vAlign w:val="center"/>
            <w:hideMark/>
          </w:tcPr>
          <w:p w14:paraId="398E8C15" w14:textId="77777777" w:rsidR="009B329D" w:rsidRPr="00BA495E" w:rsidRDefault="009B329D" w:rsidP="00487246">
            <w:pPr>
              <w:spacing w:after="0" w:line="240" w:lineRule="auto"/>
              <w:rPr>
                <w:rFonts w:ascii="Calibri" w:eastAsia="Times New Roman" w:hAnsi="Calibri" w:cs="Times New Roman"/>
                <w:color w:val="0070C0"/>
              </w:rPr>
            </w:pPr>
            <w:r w:rsidRPr="00BA495E">
              <w:rPr>
                <w:rFonts w:ascii="Calibri" w:eastAsia="Times New Roman" w:hAnsi="Calibri" w:cs="Times New Roman"/>
                <w:color w:val="0070C0"/>
              </w:rPr>
              <w:t>Not the first claim in the same claim bundle*</w:t>
            </w:r>
          </w:p>
        </w:tc>
        <w:tc>
          <w:tcPr>
            <w:tcW w:w="966" w:type="dxa"/>
            <w:shd w:val="clear" w:color="auto" w:fill="auto"/>
            <w:noWrap/>
            <w:vAlign w:val="center"/>
            <w:hideMark/>
          </w:tcPr>
          <w:p w14:paraId="2CA0E450"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3</w:t>
            </w:r>
          </w:p>
          <w:p w14:paraId="33638D02"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(0.00)</w:t>
            </w:r>
          </w:p>
        </w:tc>
        <w:tc>
          <w:tcPr>
            <w:tcW w:w="1017" w:type="dxa"/>
            <w:shd w:val="clear" w:color="auto" w:fill="auto"/>
            <w:noWrap/>
            <w:vAlign w:val="center"/>
          </w:tcPr>
          <w:p w14:paraId="0D254532"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 xml:space="preserve">0 </w:t>
            </w:r>
          </w:p>
          <w:p w14:paraId="69DC3CDE"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(0.00)</w:t>
            </w:r>
          </w:p>
        </w:tc>
        <w:tc>
          <w:tcPr>
            <w:tcW w:w="912" w:type="dxa"/>
            <w:shd w:val="clear" w:color="auto" w:fill="auto"/>
            <w:noWrap/>
            <w:vAlign w:val="center"/>
            <w:hideMark/>
          </w:tcPr>
          <w:p w14:paraId="41180935"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8 (0.01)</w:t>
            </w:r>
          </w:p>
        </w:tc>
        <w:tc>
          <w:tcPr>
            <w:tcW w:w="1017" w:type="dxa"/>
            <w:shd w:val="clear" w:color="auto" w:fill="auto"/>
            <w:noWrap/>
            <w:vAlign w:val="center"/>
            <w:hideMark/>
          </w:tcPr>
          <w:p w14:paraId="52261A0F"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w:t>
            </w:r>
          </w:p>
          <w:p w14:paraId="1AC28931"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(0.00)</w:t>
            </w:r>
          </w:p>
        </w:tc>
        <w:tc>
          <w:tcPr>
            <w:tcW w:w="1773" w:type="dxa"/>
            <w:shd w:val="clear" w:color="auto" w:fill="auto"/>
            <w:noWrap/>
            <w:vAlign w:val="center"/>
            <w:hideMark/>
          </w:tcPr>
          <w:p w14:paraId="3415EB2D"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11</w:t>
            </w:r>
          </w:p>
          <w:p w14:paraId="47EBF709"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(0.00)</w:t>
            </w:r>
          </w:p>
        </w:tc>
      </w:tr>
      <w:tr w:rsidR="009B329D" w:rsidRPr="009B329D" w14:paraId="50F7EE04" w14:textId="77777777" w:rsidTr="00487246">
        <w:trPr>
          <w:trHeight w:val="255"/>
        </w:trPr>
        <w:tc>
          <w:tcPr>
            <w:tcW w:w="4320" w:type="dxa"/>
            <w:shd w:val="clear" w:color="auto" w:fill="auto"/>
            <w:noWrap/>
            <w:vAlign w:val="center"/>
            <w:hideMark/>
          </w:tcPr>
          <w:p w14:paraId="03DB3DC9" w14:textId="77777777" w:rsidR="009B329D" w:rsidRPr="00BA495E" w:rsidRDefault="009B329D" w:rsidP="00487246">
            <w:pPr>
              <w:spacing w:after="0" w:line="240" w:lineRule="auto"/>
              <w:rPr>
                <w:rFonts w:ascii="Calibri" w:eastAsia="Times New Roman" w:hAnsi="Calibri" w:cs="Times New Roman"/>
                <w:b/>
                <w:bCs/>
                <w:color w:val="0070C0"/>
              </w:rPr>
            </w:pPr>
            <w:r w:rsidRPr="00BA495E">
              <w:rPr>
                <w:rFonts w:ascii="Calibri" w:eastAsia="Times New Roman" w:hAnsi="Calibri" w:cs="Times New Roman"/>
                <w:b/>
                <w:bCs/>
                <w:color w:val="0070C0"/>
              </w:rPr>
              <w:t>Remaining</w:t>
            </w:r>
          </w:p>
        </w:tc>
        <w:tc>
          <w:tcPr>
            <w:tcW w:w="966" w:type="dxa"/>
            <w:shd w:val="clear" w:color="auto" w:fill="auto"/>
            <w:noWrap/>
            <w:vAlign w:val="center"/>
            <w:hideMark/>
          </w:tcPr>
          <w:p w14:paraId="0CDDEF23"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156181</w:t>
            </w:r>
          </w:p>
        </w:tc>
        <w:tc>
          <w:tcPr>
            <w:tcW w:w="1017" w:type="dxa"/>
            <w:shd w:val="clear" w:color="auto" w:fill="auto"/>
            <w:vAlign w:val="center"/>
          </w:tcPr>
          <w:p w14:paraId="392BBE26"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1,092</w:t>
            </w:r>
          </w:p>
        </w:tc>
        <w:tc>
          <w:tcPr>
            <w:tcW w:w="912" w:type="dxa"/>
            <w:shd w:val="clear" w:color="auto" w:fill="auto"/>
            <w:noWrap/>
            <w:vAlign w:val="center"/>
            <w:hideMark/>
          </w:tcPr>
          <w:p w14:paraId="5E2A86A1"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150,964</w:t>
            </w:r>
          </w:p>
        </w:tc>
        <w:tc>
          <w:tcPr>
            <w:tcW w:w="1017" w:type="dxa"/>
            <w:shd w:val="clear" w:color="auto" w:fill="auto"/>
            <w:noWrap/>
            <w:vAlign w:val="center"/>
            <w:hideMark/>
          </w:tcPr>
          <w:p w14:paraId="207BABA0"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1,184</w:t>
            </w:r>
          </w:p>
        </w:tc>
        <w:tc>
          <w:tcPr>
            <w:tcW w:w="1773" w:type="dxa"/>
            <w:shd w:val="clear" w:color="auto" w:fill="auto"/>
            <w:noWrap/>
            <w:vAlign w:val="center"/>
            <w:hideMark/>
          </w:tcPr>
          <w:p w14:paraId="4373EA7F"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307,145</w:t>
            </w:r>
          </w:p>
        </w:tc>
      </w:tr>
      <w:tr w:rsidR="009B329D" w:rsidRPr="009B329D" w14:paraId="51DD8527" w14:textId="77777777" w:rsidTr="00487246">
        <w:trPr>
          <w:trHeight w:val="255"/>
        </w:trPr>
        <w:tc>
          <w:tcPr>
            <w:tcW w:w="4320" w:type="dxa"/>
            <w:shd w:val="clear" w:color="auto" w:fill="auto"/>
            <w:noWrap/>
            <w:vAlign w:val="center"/>
            <w:hideMark/>
          </w:tcPr>
          <w:p w14:paraId="5272EE29" w14:textId="77777777" w:rsidR="009B329D" w:rsidRPr="00BA495E" w:rsidRDefault="009B329D" w:rsidP="00487246">
            <w:pPr>
              <w:spacing w:after="0" w:line="240" w:lineRule="auto"/>
              <w:rPr>
                <w:rFonts w:ascii="Calibri" w:eastAsia="Times New Roman" w:hAnsi="Calibri" w:cs="Times New Roman"/>
                <w:color w:val="0070C0"/>
              </w:rPr>
            </w:pPr>
            <w:r w:rsidRPr="00BA495E">
              <w:rPr>
                <w:rFonts w:ascii="Calibri" w:eastAsia="Times New Roman" w:hAnsi="Calibri" w:cs="Times New Roman"/>
                <w:color w:val="0070C0"/>
              </w:rPr>
              <w:t>Get the procedure more than 10 days after admission</w:t>
            </w:r>
          </w:p>
        </w:tc>
        <w:tc>
          <w:tcPr>
            <w:tcW w:w="966" w:type="dxa"/>
            <w:shd w:val="clear" w:color="auto" w:fill="auto"/>
            <w:noWrap/>
            <w:vAlign w:val="center"/>
            <w:hideMark/>
          </w:tcPr>
          <w:p w14:paraId="1E278B84"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1,074 (0.69)</w:t>
            </w:r>
          </w:p>
        </w:tc>
        <w:tc>
          <w:tcPr>
            <w:tcW w:w="1017" w:type="dxa"/>
            <w:shd w:val="clear" w:color="auto" w:fill="auto"/>
            <w:noWrap/>
            <w:vAlign w:val="center"/>
          </w:tcPr>
          <w:p w14:paraId="6E1FFAA7"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 xml:space="preserve">0 </w:t>
            </w:r>
          </w:p>
          <w:p w14:paraId="5BDFBF3E"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(0.00)</w:t>
            </w:r>
          </w:p>
        </w:tc>
        <w:tc>
          <w:tcPr>
            <w:tcW w:w="912" w:type="dxa"/>
            <w:shd w:val="clear" w:color="auto" w:fill="auto"/>
            <w:noWrap/>
            <w:vAlign w:val="center"/>
            <w:hideMark/>
          </w:tcPr>
          <w:p w14:paraId="31B8A0FD"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1,212</w:t>
            </w:r>
          </w:p>
          <w:p w14:paraId="1304E03B"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(0.80)</w:t>
            </w:r>
          </w:p>
        </w:tc>
        <w:tc>
          <w:tcPr>
            <w:tcW w:w="1017" w:type="dxa"/>
            <w:shd w:val="clear" w:color="auto" w:fill="auto"/>
            <w:noWrap/>
            <w:vAlign w:val="center"/>
            <w:hideMark/>
          </w:tcPr>
          <w:p w14:paraId="3D1AF480"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w:t>
            </w:r>
          </w:p>
          <w:p w14:paraId="4E22ADC3"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(0.00)</w:t>
            </w:r>
          </w:p>
        </w:tc>
        <w:tc>
          <w:tcPr>
            <w:tcW w:w="1773" w:type="dxa"/>
            <w:shd w:val="clear" w:color="auto" w:fill="auto"/>
            <w:noWrap/>
            <w:vAlign w:val="center"/>
            <w:hideMark/>
          </w:tcPr>
          <w:p w14:paraId="2370F4D2"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2286</w:t>
            </w:r>
          </w:p>
          <w:p w14:paraId="3F6CF41B"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(0.74)</w:t>
            </w:r>
          </w:p>
        </w:tc>
      </w:tr>
      <w:tr w:rsidR="009B329D" w:rsidRPr="009B329D" w14:paraId="2E309487" w14:textId="77777777" w:rsidTr="00487246">
        <w:trPr>
          <w:trHeight w:val="255"/>
        </w:trPr>
        <w:tc>
          <w:tcPr>
            <w:tcW w:w="4320" w:type="dxa"/>
            <w:shd w:val="clear" w:color="auto" w:fill="auto"/>
            <w:noWrap/>
            <w:vAlign w:val="center"/>
            <w:hideMark/>
          </w:tcPr>
          <w:p w14:paraId="3A49FEBD" w14:textId="77777777" w:rsidR="009B329D" w:rsidRPr="00BA495E" w:rsidRDefault="009B329D" w:rsidP="00487246">
            <w:pPr>
              <w:spacing w:after="0" w:line="240" w:lineRule="auto"/>
              <w:rPr>
                <w:rFonts w:ascii="Calibri" w:eastAsia="Times New Roman" w:hAnsi="Calibri" w:cs="Times New Roman"/>
                <w:b/>
                <w:bCs/>
                <w:color w:val="0070C0"/>
              </w:rPr>
            </w:pPr>
            <w:r w:rsidRPr="00BA495E">
              <w:rPr>
                <w:rFonts w:ascii="Calibri" w:eastAsia="Times New Roman" w:hAnsi="Calibri" w:cs="Times New Roman"/>
                <w:b/>
                <w:bCs/>
                <w:color w:val="0070C0"/>
              </w:rPr>
              <w:t>Remaining</w:t>
            </w:r>
          </w:p>
        </w:tc>
        <w:tc>
          <w:tcPr>
            <w:tcW w:w="966" w:type="dxa"/>
            <w:shd w:val="clear" w:color="auto" w:fill="auto"/>
            <w:noWrap/>
            <w:vAlign w:val="center"/>
            <w:hideMark/>
          </w:tcPr>
          <w:p w14:paraId="43BE5CC5"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155,107</w:t>
            </w:r>
          </w:p>
        </w:tc>
        <w:tc>
          <w:tcPr>
            <w:tcW w:w="1017" w:type="dxa"/>
            <w:shd w:val="clear" w:color="auto" w:fill="auto"/>
            <w:vAlign w:val="center"/>
          </w:tcPr>
          <w:p w14:paraId="78F9CFAC"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1,092</w:t>
            </w:r>
          </w:p>
        </w:tc>
        <w:tc>
          <w:tcPr>
            <w:tcW w:w="912" w:type="dxa"/>
            <w:shd w:val="clear" w:color="auto" w:fill="auto"/>
            <w:noWrap/>
            <w:vAlign w:val="center"/>
            <w:hideMark/>
          </w:tcPr>
          <w:p w14:paraId="22A0FF15"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149,752</w:t>
            </w:r>
          </w:p>
        </w:tc>
        <w:tc>
          <w:tcPr>
            <w:tcW w:w="1017" w:type="dxa"/>
            <w:shd w:val="clear" w:color="auto" w:fill="auto"/>
            <w:noWrap/>
            <w:vAlign w:val="center"/>
            <w:hideMark/>
          </w:tcPr>
          <w:p w14:paraId="15669D60"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1,184</w:t>
            </w:r>
          </w:p>
        </w:tc>
        <w:tc>
          <w:tcPr>
            <w:tcW w:w="1773" w:type="dxa"/>
            <w:shd w:val="clear" w:color="auto" w:fill="auto"/>
            <w:noWrap/>
            <w:vAlign w:val="center"/>
            <w:hideMark/>
          </w:tcPr>
          <w:p w14:paraId="1CB03010"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304,859</w:t>
            </w:r>
          </w:p>
        </w:tc>
      </w:tr>
      <w:tr w:rsidR="009B329D" w:rsidRPr="009B329D" w14:paraId="464E2E28" w14:textId="77777777" w:rsidTr="00487246">
        <w:trPr>
          <w:trHeight w:val="255"/>
        </w:trPr>
        <w:tc>
          <w:tcPr>
            <w:tcW w:w="4320" w:type="dxa"/>
            <w:shd w:val="clear" w:color="auto" w:fill="auto"/>
            <w:noWrap/>
            <w:vAlign w:val="center"/>
            <w:hideMark/>
          </w:tcPr>
          <w:p w14:paraId="18BEDA29" w14:textId="77777777" w:rsidR="009B329D" w:rsidRPr="00BA495E" w:rsidRDefault="009B329D" w:rsidP="00487246">
            <w:pPr>
              <w:spacing w:after="0" w:line="240" w:lineRule="auto"/>
              <w:rPr>
                <w:rFonts w:ascii="Calibri" w:eastAsia="Times New Roman" w:hAnsi="Calibri" w:cs="Times New Roman"/>
                <w:color w:val="0070C0"/>
              </w:rPr>
            </w:pPr>
            <w:r w:rsidRPr="00BA495E">
              <w:rPr>
                <w:rFonts w:ascii="Calibri" w:eastAsia="Times New Roman" w:hAnsi="Calibri" w:cs="Times New Roman"/>
                <w:color w:val="0070C0"/>
              </w:rPr>
              <w:t>Transferred in (PCI to PCI)</w:t>
            </w:r>
          </w:p>
        </w:tc>
        <w:tc>
          <w:tcPr>
            <w:tcW w:w="966" w:type="dxa"/>
            <w:shd w:val="clear" w:color="auto" w:fill="auto"/>
            <w:noWrap/>
            <w:vAlign w:val="center"/>
            <w:hideMark/>
          </w:tcPr>
          <w:p w14:paraId="6CC40593"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186 (0.12)</w:t>
            </w:r>
          </w:p>
        </w:tc>
        <w:tc>
          <w:tcPr>
            <w:tcW w:w="1017" w:type="dxa"/>
            <w:shd w:val="clear" w:color="auto" w:fill="auto"/>
            <w:noWrap/>
            <w:vAlign w:val="center"/>
          </w:tcPr>
          <w:p w14:paraId="3716B876"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 xml:space="preserve">0 </w:t>
            </w:r>
          </w:p>
          <w:p w14:paraId="7DAF5B9C"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(0.00)</w:t>
            </w:r>
          </w:p>
        </w:tc>
        <w:tc>
          <w:tcPr>
            <w:tcW w:w="912" w:type="dxa"/>
            <w:shd w:val="clear" w:color="auto" w:fill="auto"/>
            <w:noWrap/>
            <w:vAlign w:val="center"/>
            <w:hideMark/>
          </w:tcPr>
          <w:p w14:paraId="4B5A5A38"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204</w:t>
            </w:r>
          </w:p>
          <w:p w14:paraId="6443FB92"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(0.14)</w:t>
            </w:r>
          </w:p>
        </w:tc>
        <w:tc>
          <w:tcPr>
            <w:tcW w:w="1017" w:type="dxa"/>
            <w:shd w:val="clear" w:color="auto" w:fill="auto"/>
            <w:noWrap/>
            <w:vAlign w:val="center"/>
            <w:hideMark/>
          </w:tcPr>
          <w:p w14:paraId="1F16F917"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(0.00)</w:t>
            </w:r>
          </w:p>
        </w:tc>
        <w:tc>
          <w:tcPr>
            <w:tcW w:w="1773" w:type="dxa"/>
            <w:shd w:val="clear" w:color="auto" w:fill="auto"/>
            <w:noWrap/>
            <w:vAlign w:val="center"/>
            <w:hideMark/>
          </w:tcPr>
          <w:p w14:paraId="4F5EB428"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390</w:t>
            </w:r>
          </w:p>
          <w:p w14:paraId="7F324356"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(0.13)</w:t>
            </w:r>
          </w:p>
        </w:tc>
      </w:tr>
      <w:tr w:rsidR="009B329D" w:rsidRPr="009B329D" w14:paraId="25BA6FBA" w14:textId="77777777" w:rsidTr="00487246">
        <w:trPr>
          <w:trHeight w:val="255"/>
        </w:trPr>
        <w:tc>
          <w:tcPr>
            <w:tcW w:w="4320" w:type="dxa"/>
            <w:shd w:val="clear" w:color="auto" w:fill="auto"/>
            <w:noWrap/>
            <w:vAlign w:val="center"/>
            <w:hideMark/>
          </w:tcPr>
          <w:p w14:paraId="404D8E5F" w14:textId="77777777" w:rsidR="009B329D" w:rsidRPr="00BA495E" w:rsidRDefault="009B329D" w:rsidP="00487246">
            <w:pPr>
              <w:spacing w:after="0" w:line="240" w:lineRule="auto"/>
              <w:rPr>
                <w:rFonts w:ascii="Calibri" w:eastAsia="Times New Roman" w:hAnsi="Calibri" w:cs="Times New Roman"/>
                <w:b/>
                <w:bCs/>
                <w:color w:val="0070C0"/>
              </w:rPr>
            </w:pPr>
            <w:r w:rsidRPr="00BA495E">
              <w:rPr>
                <w:rFonts w:ascii="Calibri" w:eastAsia="Times New Roman" w:hAnsi="Calibri" w:cs="Times New Roman"/>
                <w:b/>
                <w:bCs/>
                <w:color w:val="0070C0"/>
              </w:rPr>
              <w:t>Remaining</w:t>
            </w:r>
          </w:p>
        </w:tc>
        <w:tc>
          <w:tcPr>
            <w:tcW w:w="966" w:type="dxa"/>
            <w:shd w:val="clear" w:color="auto" w:fill="auto"/>
            <w:noWrap/>
            <w:vAlign w:val="center"/>
            <w:hideMark/>
          </w:tcPr>
          <w:p w14:paraId="7A5BA42E"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154,921</w:t>
            </w:r>
          </w:p>
        </w:tc>
        <w:tc>
          <w:tcPr>
            <w:tcW w:w="1017" w:type="dxa"/>
            <w:shd w:val="clear" w:color="auto" w:fill="auto"/>
            <w:vAlign w:val="center"/>
          </w:tcPr>
          <w:p w14:paraId="28B67877"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1,092</w:t>
            </w:r>
          </w:p>
        </w:tc>
        <w:tc>
          <w:tcPr>
            <w:tcW w:w="912" w:type="dxa"/>
            <w:shd w:val="clear" w:color="auto" w:fill="auto"/>
            <w:noWrap/>
            <w:vAlign w:val="center"/>
            <w:hideMark/>
          </w:tcPr>
          <w:p w14:paraId="7B383B87"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149,548</w:t>
            </w:r>
          </w:p>
        </w:tc>
        <w:tc>
          <w:tcPr>
            <w:tcW w:w="1017" w:type="dxa"/>
            <w:shd w:val="clear" w:color="auto" w:fill="auto"/>
            <w:noWrap/>
            <w:vAlign w:val="center"/>
            <w:hideMark/>
          </w:tcPr>
          <w:p w14:paraId="3750A321"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1,184</w:t>
            </w:r>
          </w:p>
        </w:tc>
        <w:tc>
          <w:tcPr>
            <w:tcW w:w="1773" w:type="dxa"/>
            <w:shd w:val="clear" w:color="auto" w:fill="auto"/>
            <w:noWrap/>
            <w:vAlign w:val="center"/>
            <w:hideMark/>
          </w:tcPr>
          <w:p w14:paraId="2B8EF0D9"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304,469</w:t>
            </w:r>
          </w:p>
        </w:tc>
      </w:tr>
      <w:tr w:rsidR="009B329D" w:rsidRPr="009B329D" w14:paraId="38F3DE17" w14:textId="77777777" w:rsidTr="00487246">
        <w:trPr>
          <w:trHeight w:val="255"/>
        </w:trPr>
        <w:tc>
          <w:tcPr>
            <w:tcW w:w="4320" w:type="dxa"/>
            <w:shd w:val="clear" w:color="auto" w:fill="auto"/>
            <w:noWrap/>
            <w:vAlign w:val="center"/>
            <w:hideMark/>
          </w:tcPr>
          <w:p w14:paraId="7C5D0390" w14:textId="77777777" w:rsidR="009B329D" w:rsidRPr="00BA495E" w:rsidRDefault="009B329D" w:rsidP="00487246">
            <w:pPr>
              <w:spacing w:after="0" w:line="240" w:lineRule="auto"/>
              <w:rPr>
                <w:rFonts w:ascii="Calibri" w:eastAsia="Times New Roman" w:hAnsi="Calibri" w:cs="Times New Roman"/>
                <w:color w:val="0070C0"/>
              </w:rPr>
            </w:pPr>
            <w:r w:rsidRPr="00BA495E">
              <w:rPr>
                <w:rFonts w:ascii="Calibri" w:eastAsia="Times New Roman" w:hAnsi="Calibri" w:cs="Times New Roman"/>
                <w:color w:val="0070C0"/>
              </w:rPr>
              <w:t>Unknown death</w:t>
            </w:r>
          </w:p>
        </w:tc>
        <w:tc>
          <w:tcPr>
            <w:tcW w:w="966" w:type="dxa"/>
            <w:shd w:val="clear" w:color="auto" w:fill="auto"/>
            <w:noWrap/>
            <w:vAlign w:val="center"/>
            <w:hideMark/>
          </w:tcPr>
          <w:p w14:paraId="175EB914"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w:t>
            </w:r>
          </w:p>
          <w:p w14:paraId="27EF0138"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(0.00)</w:t>
            </w:r>
          </w:p>
        </w:tc>
        <w:tc>
          <w:tcPr>
            <w:tcW w:w="1017" w:type="dxa"/>
            <w:shd w:val="clear" w:color="auto" w:fill="auto"/>
            <w:noWrap/>
            <w:vAlign w:val="center"/>
          </w:tcPr>
          <w:p w14:paraId="170E89BA"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 xml:space="preserve">0 </w:t>
            </w:r>
          </w:p>
          <w:p w14:paraId="23C669E2"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(0.00)</w:t>
            </w:r>
          </w:p>
        </w:tc>
        <w:tc>
          <w:tcPr>
            <w:tcW w:w="912" w:type="dxa"/>
            <w:shd w:val="clear" w:color="auto" w:fill="auto"/>
            <w:noWrap/>
            <w:vAlign w:val="center"/>
            <w:hideMark/>
          </w:tcPr>
          <w:p w14:paraId="0DD8B741"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w:t>
            </w:r>
          </w:p>
          <w:p w14:paraId="4DFAFC46"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(0.00)</w:t>
            </w:r>
          </w:p>
        </w:tc>
        <w:tc>
          <w:tcPr>
            <w:tcW w:w="1017" w:type="dxa"/>
            <w:shd w:val="clear" w:color="auto" w:fill="auto"/>
            <w:noWrap/>
            <w:vAlign w:val="center"/>
            <w:hideMark/>
          </w:tcPr>
          <w:p w14:paraId="30ACE418"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w:t>
            </w:r>
          </w:p>
          <w:p w14:paraId="73B73E50"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(0.00)</w:t>
            </w:r>
          </w:p>
        </w:tc>
        <w:tc>
          <w:tcPr>
            <w:tcW w:w="1773" w:type="dxa"/>
            <w:shd w:val="clear" w:color="auto" w:fill="auto"/>
            <w:noWrap/>
            <w:vAlign w:val="center"/>
            <w:hideMark/>
          </w:tcPr>
          <w:p w14:paraId="57DE7BD9"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w:t>
            </w:r>
          </w:p>
          <w:p w14:paraId="0D42062F"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(0.00)</w:t>
            </w:r>
          </w:p>
        </w:tc>
      </w:tr>
      <w:tr w:rsidR="009B329D" w:rsidRPr="009B329D" w14:paraId="10A0B9D1" w14:textId="77777777" w:rsidTr="00487246">
        <w:trPr>
          <w:trHeight w:val="255"/>
        </w:trPr>
        <w:tc>
          <w:tcPr>
            <w:tcW w:w="4320" w:type="dxa"/>
            <w:shd w:val="clear" w:color="auto" w:fill="auto"/>
            <w:noWrap/>
            <w:vAlign w:val="center"/>
            <w:hideMark/>
          </w:tcPr>
          <w:p w14:paraId="7E9BE7DA" w14:textId="77777777" w:rsidR="009B329D" w:rsidRPr="00BA495E" w:rsidRDefault="009B329D" w:rsidP="00487246">
            <w:pPr>
              <w:spacing w:after="0" w:line="240" w:lineRule="auto"/>
              <w:rPr>
                <w:rFonts w:ascii="Calibri" w:eastAsia="Times New Roman" w:hAnsi="Calibri" w:cs="Times New Roman"/>
                <w:b/>
                <w:bCs/>
                <w:color w:val="0070C0"/>
              </w:rPr>
            </w:pPr>
            <w:r w:rsidRPr="00BA495E">
              <w:rPr>
                <w:rFonts w:ascii="Calibri" w:eastAsia="Times New Roman" w:hAnsi="Calibri" w:cs="Times New Roman"/>
                <w:b/>
                <w:bCs/>
                <w:color w:val="0070C0"/>
              </w:rPr>
              <w:t>Remaining</w:t>
            </w:r>
          </w:p>
        </w:tc>
        <w:tc>
          <w:tcPr>
            <w:tcW w:w="966" w:type="dxa"/>
            <w:shd w:val="clear" w:color="auto" w:fill="auto"/>
            <w:noWrap/>
            <w:vAlign w:val="center"/>
            <w:hideMark/>
          </w:tcPr>
          <w:p w14:paraId="3E1A8BAF"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154,921</w:t>
            </w:r>
          </w:p>
        </w:tc>
        <w:tc>
          <w:tcPr>
            <w:tcW w:w="1017" w:type="dxa"/>
            <w:shd w:val="clear" w:color="auto" w:fill="auto"/>
            <w:vAlign w:val="center"/>
          </w:tcPr>
          <w:p w14:paraId="1B6D8B39"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1,092</w:t>
            </w:r>
          </w:p>
        </w:tc>
        <w:tc>
          <w:tcPr>
            <w:tcW w:w="912" w:type="dxa"/>
            <w:shd w:val="clear" w:color="auto" w:fill="auto"/>
            <w:noWrap/>
            <w:vAlign w:val="center"/>
            <w:hideMark/>
          </w:tcPr>
          <w:p w14:paraId="5482CA98"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149,548</w:t>
            </w:r>
          </w:p>
        </w:tc>
        <w:tc>
          <w:tcPr>
            <w:tcW w:w="1017" w:type="dxa"/>
            <w:shd w:val="clear" w:color="auto" w:fill="auto"/>
            <w:noWrap/>
            <w:vAlign w:val="center"/>
            <w:hideMark/>
          </w:tcPr>
          <w:p w14:paraId="38A30E99"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1,184</w:t>
            </w:r>
          </w:p>
        </w:tc>
        <w:tc>
          <w:tcPr>
            <w:tcW w:w="1773" w:type="dxa"/>
            <w:shd w:val="clear" w:color="auto" w:fill="auto"/>
            <w:noWrap/>
            <w:vAlign w:val="center"/>
            <w:hideMark/>
          </w:tcPr>
          <w:p w14:paraId="6273D434"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304,469</w:t>
            </w:r>
          </w:p>
        </w:tc>
      </w:tr>
      <w:tr w:rsidR="009B329D" w:rsidRPr="009B329D" w14:paraId="473447FC" w14:textId="77777777" w:rsidTr="00487246">
        <w:trPr>
          <w:trHeight w:val="255"/>
        </w:trPr>
        <w:tc>
          <w:tcPr>
            <w:tcW w:w="4320" w:type="dxa"/>
            <w:shd w:val="clear" w:color="auto" w:fill="auto"/>
            <w:noWrap/>
            <w:vAlign w:val="center"/>
            <w:hideMark/>
          </w:tcPr>
          <w:p w14:paraId="01054220" w14:textId="77777777" w:rsidR="009B329D" w:rsidRPr="00BA495E" w:rsidRDefault="009B329D" w:rsidP="00487246">
            <w:pPr>
              <w:spacing w:after="0" w:line="240" w:lineRule="auto"/>
              <w:rPr>
                <w:rFonts w:ascii="Calibri" w:eastAsia="Times New Roman" w:hAnsi="Calibri" w:cs="Times New Roman"/>
                <w:color w:val="0070C0"/>
              </w:rPr>
            </w:pPr>
            <w:r w:rsidRPr="00BA495E">
              <w:rPr>
                <w:rFonts w:ascii="Calibri" w:eastAsia="Times New Roman" w:hAnsi="Calibri" w:cs="Times New Roman"/>
                <w:color w:val="0070C0"/>
              </w:rPr>
              <w:t>Duplicate death</w:t>
            </w:r>
          </w:p>
        </w:tc>
        <w:tc>
          <w:tcPr>
            <w:tcW w:w="966" w:type="dxa"/>
            <w:shd w:val="clear" w:color="auto" w:fill="auto"/>
            <w:noWrap/>
            <w:vAlign w:val="center"/>
            <w:hideMark/>
          </w:tcPr>
          <w:p w14:paraId="41C665C5"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65</w:t>
            </w:r>
          </w:p>
          <w:p w14:paraId="733B0D7B"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(0.04)</w:t>
            </w:r>
          </w:p>
        </w:tc>
        <w:tc>
          <w:tcPr>
            <w:tcW w:w="1017" w:type="dxa"/>
            <w:shd w:val="clear" w:color="auto" w:fill="auto"/>
            <w:noWrap/>
            <w:vAlign w:val="center"/>
          </w:tcPr>
          <w:p w14:paraId="3B8127F6"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 xml:space="preserve">0 </w:t>
            </w:r>
          </w:p>
          <w:p w14:paraId="64E6E101"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(0.00)</w:t>
            </w:r>
          </w:p>
        </w:tc>
        <w:tc>
          <w:tcPr>
            <w:tcW w:w="912" w:type="dxa"/>
            <w:shd w:val="clear" w:color="auto" w:fill="auto"/>
            <w:noWrap/>
            <w:vAlign w:val="center"/>
            <w:hideMark/>
          </w:tcPr>
          <w:p w14:paraId="0852DF00"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77</w:t>
            </w:r>
          </w:p>
          <w:p w14:paraId="6E41AB3C"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(0.05)</w:t>
            </w:r>
          </w:p>
        </w:tc>
        <w:tc>
          <w:tcPr>
            <w:tcW w:w="1017" w:type="dxa"/>
            <w:shd w:val="clear" w:color="auto" w:fill="auto"/>
            <w:noWrap/>
            <w:vAlign w:val="center"/>
            <w:hideMark/>
          </w:tcPr>
          <w:p w14:paraId="68530B64"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w:t>
            </w:r>
          </w:p>
          <w:p w14:paraId="54E8D910"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(0.00)</w:t>
            </w:r>
          </w:p>
        </w:tc>
        <w:tc>
          <w:tcPr>
            <w:tcW w:w="1773" w:type="dxa"/>
            <w:shd w:val="clear" w:color="auto" w:fill="auto"/>
            <w:noWrap/>
            <w:vAlign w:val="center"/>
            <w:hideMark/>
          </w:tcPr>
          <w:p w14:paraId="03DC1D92"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142</w:t>
            </w:r>
          </w:p>
          <w:p w14:paraId="2E672CF4"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(0.05)</w:t>
            </w:r>
          </w:p>
        </w:tc>
      </w:tr>
      <w:tr w:rsidR="009B329D" w:rsidRPr="009B329D" w14:paraId="7ABCEEFE" w14:textId="77777777" w:rsidTr="00487246">
        <w:trPr>
          <w:trHeight w:val="255"/>
        </w:trPr>
        <w:tc>
          <w:tcPr>
            <w:tcW w:w="4320" w:type="dxa"/>
            <w:shd w:val="clear" w:color="auto" w:fill="auto"/>
            <w:noWrap/>
            <w:vAlign w:val="center"/>
            <w:hideMark/>
          </w:tcPr>
          <w:p w14:paraId="3BBA62FE" w14:textId="77777777" w:rsidR="009B329D" w:rsidRPr="00BA495E" w:rsidRDefault="009B329D" w:rsidP="00487246">
            <w:pPr>
              <w:spacing w:after="0" w:line="240" w:lineRule="auto"/>
              <w:rPr>
                <w:rFonts w:ascii="Calibri" w:eastAsia="Times New Roman" w:hAnsi="Calibri" w:cs="Times New Roman"/>
                <w:b/>
                <w:bCs/>
                <w:color w:val="0070C0"/>
              </w:rPr>
            </w:pPr>
            <w:r w:rsidRPr="00BA495E">
              <w:rPr>
                <w:rFonts w:ascii="Calibri" w:eastAsia="Times New Roman" w:hAnsi="Calibri" w:cs="Times New Roman"/>
                <w:b/>
                <w:bCs/>
                <w:color w:val="0070C0"/>
              </w:rPr>
              <w:t>Remaining</w:t>
            </w:r>
          </w:p>
        </w:tc>
        <w:tc>
          <w:tcPr>
            <w:tcW w:w="966" w:type="dxa"/>
            <w:shd w:val="clear" w:color="auto" w:fill="auto"/>
            <w:noWrap/>
            <w:vAlign w:val="center"/>
            <w:hideMark/>
          </w:tcPr>
          <w:p w14:paraId="787478F2"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154,856</w:t>
            </w:r>
          </w:p>
        </w:tc>
        <w:tc>
          <w:tcPr>
            <w:tcW w:w="1017" w:type="dxa"/>
            <w:shd w:val="clear" w:color="auto" w:fill="auto"/>
            <w:vAlign w:val="center"/>
          </w:tcPr>
          <w:p w14:paraId="2750D17A"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1,092</w:t>
            </w:r>
          </w:p>
        </w:tc>
        <w:tc>
          <w:tcPr>
            <w:tcW w:w="912" w:type="dxa"/>
            <w:shd w:val="clear" w:color="auto" w:fill="auto"/>
            <w:noWrap/>
            <w:vAlign w:val="center"/>
            <w:hideMark/>
          </w:tcPr>
          <w:p w14:paraId="62810F02"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149,471</w:t>
            </w:r>
          </w:p>
        </w:tc>
        <w:tc>
          <w:tcPr>
            <w:tcW w:w="1017" w:type="dxa"/>
            <w:shd w:val="clear" w:color="auto" w:fill="auto"/>
            <w:noWrap/>
            <w:vAlign w:val="center"/>
            <w:hideMark/>
          </w:tcPr>
          <w:p w14:paraId="0C29A9D4"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1,184</w:t>
            </w:r>
          </w:p>
        </w:tc>
        <w:tc>
          <w:tcPr>
            <w:tcW w:w="1773" w:type="dxa"/>
            <w:shd w:val="clear" w:color="auto" w:fill="auto"/>
            <w:noWrap/>
            <w:vAlign w:val="center"/>
            <w:hideMark/>
          </w:tcPr>
          <w:p w14:paraId="3564E549"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304,327</w:t>
            </w:r>
          </w:p>
        </w:tc>
      </w:tr>
      <w:tr w:rsidR="009B329D" w:rsidRPr="009B329D" w14:paraId="2AC25EC6" w14:textId="77777777" w:rsidTr="00487246">
        <w:trPr>
          <w:trHeight w:val="255"/>
        </w:trPr>
        <w:tc>
          <w:tcPr>
            <w:tcW w:w="4320" w:type="dxa"/>
            <w:shd w:val="clear" w:color="auto" w:fill="auto"/>
            <w:noWrap/>
            <w:vAlign w:val="center"/>
            <w:hideMark/>
          </w:tcPr>
          <w:p w14:paraId="3D297F6F" w14:textId="77777777" w:rsidR="009B329D" w:rsidRPr="00BA495E" w:rsidRDefault="009B329D" w:rsidP="00487246">
            <w:pPr>
              <w:spacing w:after="0" w:line="240" w:lineRule="auto"/>
              <w:rPr>
                <w:rFonts w:ascii="Calibri" w:eastAsia="Times New Roman" w:hAnsi="Calibri" w:cs="Times New Roman"/>
                <w:color w:val="0070C0"/>
              </w:rPr>
            </w:pPr>
            <w:r w:rsidRPr="00BA495E">
              <w:rPr>
                <w:rFonts w:ascii="Calibri" w:eastAsia="Times New Roman" w:hAnsi="Calibri" w:cs="Times New Roman"/>
                <w:color w:val="0070C0"/>
              </w:rPr>
              <w:t>AMA</w:t>
            </w:r>
          </w:p>
        </w:tc>
        <w:tc>
          <w:tcPr>
            <w:tcW w:w="966" w:type="dxa"/>
            <w:shd w:val="clear" w:color="auto" w:fill="auto"/>
            <w:noWrap/>
            <w:vAlign w:val="center"/>
            <w:hideMark/>
          </w:tcPr>
          <w:p w14:paraId="7C0A9438"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215 (0.14)</w:t>
            </w:r>
          </w:p>
        </w:tc>
        <w:tc>
          <w:tcPr>
            <w:tcW w:w="1017" w:type="dxa"/>
            <w:shd w:val="clear" w:color="auto" w:fill="auto"/>
            <w:noWrap/>
            <w:vAlign w:val="center"/>
          </w:tcPr>
          <w:p w14:paraId="3CE532D0"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 xml:space="preserve">0 </w:t>
            </w:r>
          </w:p>
          <w:p w14:paraId="3FDB22D0"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(0.00)</w:t>
            </w:r>
          </w:p>
        </w:tc>
        <w:tc>
          <w:tcPr>
            <w:tcW w:w="912" w:type="dxa"/>
            <w:shd w:val="clear" w:color="auto" w:fill="auto"/>
            <w:noWrap/>
            <w:vAlign w:val="center"/>
            <w:hideMark/>
          </w:tcPr>
          <w:p w14:paraId="54D369D1"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212</w:t>
            </w:r>
          </w:p>
          <w:p w14:paraId="4D8F521D"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(0.14)</w:t>
            </w:r>
          </w:p>
        </w:tc>
        <w:tc>
          <w:tcPr>
            <w:tcW w:w="1017" w:type="dxa"/>
            <w:shd w:val="clear" w:color="auto" w:fill="auto"/>
            <w:noWrap/>
            <w:vAlign w:val="center"/>
            <w:hideMark/>
          </w:tcPr>
          <w:p w14:paraId="0E4DFE8D"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w:t>
            </w:r>
          </w:p>
          <w:p w14:paraId="612B1CCB"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(0.00)</w:t>
            </w:r>
          </w:p>
        </w:tc>
        <w:tc>
          <w:tcPr>
            <w:tcW w:w="1773" w:type="dxa"/>
            <w:shd w:val="clear" w:color="auto" w:fill="auto"/>
            <w:noWrap/>
            <w:vAlign w:val="center"/>
            <w:hideMark/>
          </w:tcPr>
          <w:p w14:paraId="4DFC9314"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427</w:t>
            </w:r>
          </w:p>
          <w:p w14:paraId="6DA33F5A"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(0.14)</w:t>
            </w:r>
          </w:p>
        </w:tc>
      </w:tr>
      <w:tr w:rsidR="009B329D" w:rsidRPr="009B329D" w14:paraId="4B1CE25E" w14:textId="77777777" w:rsidTr="00487246">
        <w:trPr>
          <w:trHeight w:val="255"/>
        </w:trPr>
        <w:tc>
          <w:tcPr>
            <w:tcW w:w="4320" w:type="dxa"/>
            <w:shd w:val="clear" w:color="000000" w:fill="FFFFFF" w:themeFill="background1"/>
            <w:noWrap/>
            <w:vAlign w:val="center"/>
            <w:hideMark/>
          </w:tcPr>
          <w:p w14:paraId="7DBAAE2A" w14:textId="77777777" w:rsidR="009B329D" w:rsidRPr="00BA495E" w:rsidRDefault="009B329D" w:rsidP="00487246">
            <w:pPr>
              <w:spacing w:after="0" w:line="240" w:lineRule="auto"/>
              <w:rPr>
                <w:rFonts w:ascii="Calibri" w:eastAsia="Times New Roman" w:hAnsi="Calibri" w:cs="Times New Roman"/>
                <w:b/>
                <w:bCs/>
                <w:color w:val="0070C0"/>
              </w:rPr>
            </w:pPr>
            <w:r w:rsidRPr="00BA495E">
              <w:rPr>
                <w:rFonts w:ascii="Calibri" w:eastAsia="Times New Roman" w:hAnsi="Calibri" w:cs="Times New Roman"/>
                <w:b/>
                <w:bCs/>
                <w:color w:val="0070C0"/>
              </w:rPr>
              <w:t>Remaining</w:t>
            </w:r>
          </w:p>
        </w:tc>
        <w:tc>
          <w:tcPr>
            <w:tcW w:w="966" w:type="dxa"/>
            <w:shd w:val="clear" w:color="000000" w:fill="FFFFFF" w:themeFill="background1"/>
            <w:noWrap/>
            <w:vAlign w:val="center"/>
            <w:hideMark/>
          </w:tcPr>
          <w:p w14:paraId="7DB87219"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154,641</w:t>
            </w:r>
          </w:p>
        </w:tc>
        <w:tc>
          <w:tcPr>
            <w:tcW w:w="1017" w:type="dxa"/>
            <w:shd w:val="clear" w:color="000000" w:fill="FFFFFF" w:themeFill="background1"/>
            <w:vAlign w:val="center"/>
          </w:tcPr>
          <w:p w14:paraId="27FE1834"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1,092</w:t>
            </w:r>
          </w:p>
        </w:tc>
        <w:tc>
          <w:tcPr>
            <w:tcW w:w="912" w:type="dxa"/>
            <w:shd w:val="clear" w:color="000000" w:fill="FFFFFF" w:themeFill="background1"/>
            <w:noWrap/>
            <w:vAlign w:val="center"/>
            <w:hideMark/>
          </w:tcPr>
          <w:p w14:paraId="59F344C0"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149,259</w:t>
            </w:r>
          </w:p>
        </w:tc>
        <w:tc>
          <w:tcPr>
            <w:tcW w:w="1017" w:type="dxa"/>
            <w:shd w:val="clear" w:color="000000" w:fill="FFFFFF" w:themeFill="background1"/>
            <w:noWrap/>
            <w:vAlign w:val="center"/>
            <w:hideMark/>
          </w:tcPr>
          <w:p w14:paraId="64A16CFD"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1,184</w:t>
            </w:r>
          </w:p>
        </w:tc>
        <w:tc>
          <w:tcPr>
            <w:tcW w:w="1773" w:type="dxa"/>
            <w:shd w:val="clear" w:color="000000" w:fill="FFFFFF" w:themeFill="background1"/>
            <w:noWrap/>
            <w:vAlign w:val="center"/>
            <w:hideMark/>
          </w:tcPr>
          <w:p w14:paraId="1FDF0DB0"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303,900</w:t>
            </w:r>
          </w:p>
        </w:tc>
      </w:tr>
      <w:tr w:rsidR="009B329D" w:rsidRPr="009B329D" w14:paraId="49E7A8B9" w14:textId="77777777" w:rsidTr="00487246">
        <w:trPr>
          <w:trHeight w:val="215"/>
        </w:trPr>
        <w:tc>
          <w:tcPr>
            <w:tcW w:w="4320" w:type="dxa"/>
            <w:shd w:val="clear" w:color="auto" w:fill="auto"/>
            <w:noWrap/>
            <w:vAlign w:val="center"/>
            <w:hideMark/>
          </w:tcPr>
          <w:p w14:paraId="2E250A4A" w14:textId="77777777" w:rsidR="009B329D" w:rsidRPr="00BA495E" w:rsidRDefault="009B329D" w:rsidP="00487246">
            <w:pPr>
              <w:spacing w:after="0" w:line="240" w:lineRule="auto"/>
              <w:rPr>
                <w:rFonts w:ascii="Calibri" w:eastAsia="Times New Roman" w:hAnsi="Calibri" w:cs="Times New Roman"/>
                <w:color w:val="0070C0"/>
              </w:rPr>
            </w:pPr>
            <w:r w:rsidRPr="00BA495E">
              <w:rPr>
                <w:rFonts w:ascii="Calibri" w:eastAsia="Times New Roman" w:hAnsi="Calibri" w:cs="Times New Roman"/>
                <w:color w:val="0070C0"/>
              </w:rPr>
              <w:t>Not with STEMI/Shock</w:t>
            </w:r>
          </w:p>
        </w:tc>
        <w:tc>
          <w:tcPr>
            <w:tcW w:w="966" w:type="dxa"/>
            <w:shd w:val="clear" w:color="auto" w:fill="auto"/>
            <w:noWrap/>
            <w:vAlign w:val="center"/>
            <w:hideMark/>
          </w:tcPr>
          <w:p w14:paraId="5E088010"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130,942 (84.67)</w:t>
            </w:r>
          </w:p>
        </w:tc>
        <w:tc>
          <w:tcPr>
            <w:tcW w:w="1017" w:type="dxa"/>
            <w:shd w:val="clear" w:color="auto" w:fill="auto"/>
            <w:noWrap/>
            <w:vAlign w:val="center"/>
          </w:tcPr>
          <w:p w14:paraId="0725D516"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 xml:space="preserve">20 </w:t>
            </w:r>
          </w:p>
          <w:p w14:paraId="516C565A"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(1.83)</w:t>
            </w:r>
          </w:p>
        </w:tc>
        <w:tc>
          <w:tcPr>
            <w:tcW w:w="912" w:type="dxa"/>
            <w:shd w:val="clear" w:color="auto" w:fill="auto"/>
            <w:noWrap/>
            <w:vAlign w:val="center"/>
            <w:hideMark/>
          </w:tcPr>
          <w:p w14:paraId="44399EBA"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124619</w:t>
            </w:r>
          </w:p>
          <w:p w14:paraId="718B0BDA"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(83.49)</w:t>
            </w:r>
          </w:p>
        </w:tc>
        <w:tc>
          <w:tcPr>
            <w:tcW w:w="1017" w:type="dxa"/>
            <w:shd w:val="clear" w:color="auto" w:fill="auto"/>
            <w:noWrap/>
            <w:vAlign w:val="center"/>
            <w:hideMark/>
          </w:tcPr>
          <w:p w14:paraId="7E529291"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28</w:t>
            </w:r>
          </w:p>
          <w:p w14:paraId="40CDC5ED"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(2.36)</w:t>
            </w:r>
          </w:p>
        </w:tc>
        <w:tc>
          <w:tcPr>
            <w:tcW w:w="1773" w:type="dxa"/>
            <w:shd w:val="clear" w:color="auto" w:fill="auto"/>
            <w:noWrap/>
            <w:vAlign w:val="center"/>
            <w:hideMark/>
          </w:tcPr>
          <w:p w14:paraId="312EFBAD"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255561</w:t>
            </w:r>
          </w:p>
          <w:p w14:paraId="7279E8DF"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(84.09)</w:t>
            </w:r>
          </w:p>
        </w:tc>
      </w:tr>
      <w:tr w:rsidR="009B329D" w:rsidRPr="009B329D" w14:paraId="434208D6" w14:textId="77777777" w:rsidTr="00487246">
        <w:trPr>
          <w:trHeight w:val="85"/>
        </w:trPr>
        <w:tc>
          <w:tcPr>
            <w:tcW w:w="4320" w:type="dxa"/>
            <w:shd w:val="clear" w:color="auto" w:fill="auto"/>
            <w:noWrap/>
            <w:vAlign w:val="center"/>
            <w:hideMark/>
          </w:tcPr>
          <w:p w14:paraId="5740A8D5" w14:textId="77777777" w:rsidR="009B329D" w:rsidRPr="00BA495E" w:rsidRDefault="009B329D" w:rsidP="00487246">
            <w:pPr>
              <w:spacing w:after="0" w:line="240" w:lineRule="auto"/>
              <w:rPr>
                <w:rFonts w:ascii="Calibri" w:eastAsia="Times New Roman" w:hAnsi="Calibri" w:cs="Times New Roman"/>
                <w:b/>
                <w:bCs/>
                <w:color w:val="0070C0"/>
              </w:rPr>
            </w:pPr>
            <w:r w:rsidRPr="00BA495E">
              <w:rPr>
                <w:rFonts w:ascii="Calibri" w:eastAsia="Times New Roman" w:hAnsi="Calibri" w:cs="Times New Roman"/>
                <w:b/>
                <w:bCs/>
                <w:color w:val="0070C0"/>
              </w:rPr>
              <w:t>Study Sample</w:t>
            </w:r>
          </w:p>
        </w:tc>
        <w:tc>
          <w:tcPr>
            <w:tcW w:w="966" w:type="dxa"/>
            <w:shd w:val="clear" w:color="auto" w:fill="auto"/>
            <w:noWrap/>
            <w:vAlign w:val="center"/>
            <w:hideMark/>
          </w:tcPr>
          <w:p w14:paraId="6699D53C"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23,699</w:t>
            </w:r>
          </w:p>
        </w:tc>
        <w:tc>
          <w:tcPr>
            <w:tcW w:w="1017" w:type="dxa"/>
            <w:shd w:val="clear" w:color="auto" w:fill="auto"/>
            <w:vAlign w:val="center"/>
          </w:tcPr>
          <w:p w14:paraId="3696412E"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1,072</w:t>
            </w:r>
          </w:p>
        </w:tc>
        <w:tc>
          <w:tcPr>
            <w:tcW w:w="912" w:type="dxa"/>
            <w:shd w:val="clear" w:color="auto" w:fill="auto"/>
            <w:noWrap/>
            <w:vAlign w:val="center"/>
            <w:hideMark/>
          </w:tcPr>
          <w:p w14:paraId="3D4F4825"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24,640</w:t>
            </w:r>
          </w:p>
        </w:tc>
        <w:tc>
          <w:tcPr>
            <w:tcW w:w="1017" w:type="dxa"/>
            <w:shd w:val="clear" w:color="auto" w:fill="auto"/>
            <w:noWrap/>
            <w:vAlign w:val="center"/>
            <w:hideMark/>
          </w:tcPr>
          <w:p w14:paraId="258F8364"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1,156</w:t>
            </w:r>
          </w:p>
        </w:tc>
        <w:tc>
          <w:tcPr>
            <w:tcW w:w="1773" w:type="dxa"/>
            <w:shd w:val="clear" w:color="000000" w:fill="FFFFFF" w:themeFill="background1"/>
            <w:noWrap/>
            <w:vAlign w:val="center"/>
            <w:hideMark/>
          </w:tcPr>
          <w:p w14:paraId="0DB065E7" w14:textId="77777777" w:rsidR="009B329D" w:rsidRPr="00BA495E" w:rsidRDefault="009B329D" w:rsidP="00487246">
            <w:pPr>
              <w:spacing w:after="0" w:line="240" w:lineRule="auto"/>
              <w:jc w:val="center"/>
              <w:rPr>
                <w:rFonts w:ascii="Calibri" w:eastAsia="Times New Roman" w:hAnsi="Calibri" w:cs="Times New Roman"/>
                <w:b/>
                <w:bCs/>
                <w:color w:val="0070C0"/>
              </w:rPr>
            </w:pPr>
            <w:r w:rsidRPr="00BA495E">
              <w:rPr>
                <w:rFonts w:ascii="Calibri" w:eastAsia="Times New Roman" w:hAnsi="Calibri" w:cs="Times New Roman"/>
                <w:b/>
                <w:bCs/>
                <w:color w:val="0070C0"/>
              </w:rPr>
              <w:t>48,339</w:t>
            </w:r>
          </w:p>
        </w:tc>
      </w:tr>
      <w:tr w:rsidR="009B329D" w:rsidRPr="009B329D" w14:paraId="25B8E89F" w14:textId="77777777" w:rsidTr="00487246">
        <w:trPr>
          <w:trHeight w:val="116"/>
        </w:trPr>
        <w:tc>
          <w:tcPr>
            <w:tcW w:w="4320" w:type="dxa"/>
            <w:shd w:val="clear" w:color="auto" w:fill="auto"/>
            <w:noWrap/>
            <w:vAlign w:val="center"/>
            <w:hideMark/>
          </w:tcPr>
          <w:p w14:paraId="5759E33D" w14:textId="77777777" w:rsidR="009B329D" w:rsidRPr="00BA495E" w:rsidRDefault="009B329D" w:rsidP="00487246">
            <w:pPr>
              <w:spacing w:after="0" w:line="240" w:lineRule="auto"/>
              <w:rPr>
                <w:rFonts w:ascii="Calibri" w:eastAsia="Times New Roman" w:hAnsi="Calibri" w:cs="Times New Roman"/>
                <w:color w:val="0070C0"/>
              </w:rPr>
            </w:pPr>
            <w:r w:rsidRPr="00BA495E">
              <w:rPr>
                <w:rFonts w:ascii="Calibri" w:eastAsia="Times New Roman" w:hAnsi="Calibri" w:cs="Times New Roman"/>
                <w:color w:val="0070C0"/>
              </w:rPr>
              <w:t>Death within 30-days from procedure</w:t>
            </w:r>
          </w:p>
        </w:tc>
        <w:tc>
          <w:tcPr>
            <w:tcW w:w="966" w:type="dxa"/>
            <w:shd w:val="clear" w:color="auto" w:fill="auto"/>
            <w:noWrap/>
            <w:vAlign w:val="center"/>
            <w:hideMark/>
          </w:tcPr>
          <w:p w14:paraId="2E6F91C6"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2,804 (11.83)</w:t>
            </w:r>
          </w:p>
        </w:tc>
        <w:tc>
          <w:tcPr>
            <w:tcW w:w="1017" w:type="dxa"/>
            <w:shd w:val="clear" w:color="auto" w:fill="auto"/>
            <w:noWrap/>
            <w:vAlign w:val="center"/>
          </w:tcPr>
          <w:p w14:paraId="09382104" w14:textId="77777777" w:rsidR="009B329D" w:rsidRPr="00BA495E" w:rsidRDefault="009B329D" w:rsidP="00487246">
            <w:pPr>
              <w:spacing w:after="0" w:line="240" w:lineRule="auto"/>
              <w:jc w:val="center"/>
              <w:rPr>
                <w:rFonts w:ascii="Calibri" w:eastAsia="Times New Roman" w:hAnsi="Calibri" w:cs="Times New Roman"/>
                <w:color w:val="0070C0"/>
              </w:rPr>
            </w:pPr>
          </w:p>
        </w:tc>
        <w:tc>
          <w:tcPr>
            <w:tcW w:w="912" w:type="dxa"/>
            <w:shd w:val="clear" w:color="auto" w:fill="auto"/>
            <w:noWrap/>
            <w:vAlign w:val="center"/>
            <w:hideMark/>
          </w:tcPr>
          <w:p w14:paraId="49573FE3"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3090</w:t>
            </w:r>
          </w:p>
          <w:p w14:paraId="333AD277"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(12.54)</w:t>
            </w:r>
          </w:p>
        </w:tc>
        <w:tc>
          <w:tcPr>
            <w:tcW w:w="1017" w:type="dxa"/>
            <w:shd w:val="clear" w:color="auto" w:fill="auto"/>
            <w:noWrap/>
            <w:vAlign w:val="center"/>
            <w:hideMark/>
          </w:tcPr>
          <w:p w14:paraId="72A8E164" w14:textId="77777777" w:rsidR="009B329D" w:rsidRPr="00BA495E" w:rsidRDefault="009B329D" w:rsidP="00487246">
            <w:pPr>
              <w:spacing w:after="0" w:line="240" w:lineRule="auto"/>
              <w:jc w:val="center"/>
              <w:rPr>
                <w:rFonts w:ascii="Calibri" w:eastAsia="Times New Roman" w:hAnsi="Calibri" w:cs="Times New Roman"/>
                <w:b/>
                <w:bCs/>
                <w:color w:val="0070C0"/>
              </w:rPr>
            </w:pPr>
          </w:p>
        </w:tc>
        <w:tc>
          <w:tcPr>
            <w:tcW w:w="1773" w:type="dxa"/>
            <w:shd w:val="clear" w:color="auto" w:fill="auto"/>
            <w:noWrap/>
            <w:vAlign w:val="center"/>
            <w:hideMark/>
          </w:tcPr>
          <w:p w14:paraId="53DBA214"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5894</w:t>
            </w:r>
          </w:p>
          <w:p w14:paraId="2BE5B0B5"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(12.19)</w:t>
            </w:r>
          </w:p>
        </w:tc>
      </w:tr>
      <w:tr w:rsidR="009B329D" w:rsidRPr="009B329D" w14:paraId="257941B7" w14:textId="77777777" w:rsidTr="00487246">
        <w:trPr>
          <w:trHeight w:val="255"/>
        </w:trPr>
        <w:tc>
          <w:tcPr>
            <w:tcW w:w="4320" w:type="dxa"/>
            <w:shd w:val="clear" w:color="auto" w:fill="auto"/>
            <w:noWrap/>
            <w:vAlign w:val="center"/>
            <w:hideMark/>
          </w:tcPr>
          <w:p w14:paraId="41C0DF92" w14:textId="77777777" w:rsidR="009B329D" w:rsidRPr="00BA495E" w:rsidRDefault="009B329D" w:rsidP="00487246">
            <w:pPr>
              <w:spacing w:after="0" w:line="240" w:lineRule="auto"/>
              <w:rPr>
                <w:rFonts w:ascii="Calibri" w:eastAsia="Times New Roman" w:hAnsi="Calibri" w:cs="Times New Roman"/>
                <w:color w:val="0070C0"/>
              </w:rPr>
            </w:pPr>
            <w:r w:rsidRPr="00BA495E">
              <w:rPr>
                <w:rFonts w:ascii="Calibri" w:eastAsia="Times New Roman" w:hAnsi="Calibri" w:cs="Times New Roman"/>
                <w:color w:val="0070C0"/>
              </w:rPr>
              <w:t>In-Hospital death</w:t>
            </w:r>
          </w:p>
        </w:tc>
        <w:tc>
          <w:tcPr>
            <w:tcW w:w="966" w:type="dxa"/>
            <w:shd w:val="clear" w:color="auto" w:fill="auto"/>
            <w:noWrap/>
            <w:vAlign w:val="center"/>
            <w:hideMark/>
          </w:tcPr>
          <w:p w14:paraId="1F4DCCA4"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2,241 (9.5)</w:t>
            </w:r>
          </w:p>
        </w:tc>
        <w:tc>
          <w:tcPr>
            <w:tcW w:w="1017" w:type="dxa"/>
            <w:shd w:val="clear" w:color="auto" w:fill="auto"/>
            <w:noWrap/>
            <w:vAlign w:val="center"/>
          </w:tcPr>
          <w:p w14:paraId="06B078F0" w14:textId="77777777" w:rsidR="009B329D" w:rsidRPr="00BA495E" w:rsidRDefault="009B329D" w:rsidP="00487246">
            <w:pPr>
              <w:spacing w:after="0" w:line="240" w:lineRule="auto"/>
              <w:jc w:val="center"/>
              <w:rPr>
                <w:rFonts w:ascii="Calibri" w:eastAsia="Times New Roman" w:hAnsi="Calibri" w:cs="Times New Roman"/>
                <w:color w:val="0070C0"/>
              </w:rPr>
            </w:pPr>
          </w:p>
        </w:tc>
        <w:tc>
          <w:tcPr>
            <w:tcW w:w="912" w:type="dxa"/>
            <w:shd w:val="clear" w:color="auto" w:fill="auto"/>
            <w:noWrap/>
            <w:vAlign w:val="center"/>
            <w:hideMark/>
          </w:tcPr>
          <w:p w14:paraId="3B1C3BFF"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2439</w:t>
            </w:r>
          </w:p>
          <w:p w14:paraId="453670F1"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(9.9)</w:t>
            </w:r>
          </w:p>
        </w:tc>
        <w:tc>
          <w:tcPr>
            <w:tcW w:w="1017" w:type="dxa"/>
            <w:shd w:val="clear" w:color="auto" w:fill="auto"/>
            <w:noWrap/>
            <w:vAlign w:val="center"/>
            <w:hideMark/>
          </w:tcPr>
          <w:p w14:paraId="54979615" w14:textId="77777777" w:rsidR="009B329D" w:rsidRPr="00BA495E" w:rsidRDefault="009B329D" w:rsidP="00487246">
            <w:pPr>
              <w:spacing w:after="0" w:line="240" w:lineRule="auto"/>
              <w:jc w:val="center"/>
              <w:rPr>
                <w:rFonts w:ascii="Calibri" w:eastAsia="Times New Roman" w:hAnsi="Calibri" w:cs="Times New Roman"/>
                <w:b/>
                <w:bCs/>
                <w:color w:val="0070C0"/>
              </w:rPr>
            </w:pPr>
          </w:p>
        </w:tc>
        <w:tc>
          <w:tcPr>
            <w:tcW w:w="1773" w:type="dxa"/>
            <w:shd w:val="clear" w:color="auto" w:fill="auto"/>
            <w:noWrap/>
            <w:vAlign w:val="center"/>
            <w:hideMark/>
          </w:tcPr>
          <w:p w14:paraId="566576E0"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4680</w:t>
            </w:r>
          </w:p>
          <w:p w14:paraId="0D8E41A6" w14:textId="77777777" w:rsidR="009B329D" w:rsidRPr="00BA495E" w:rsidRDefault="009B329D" w:rsidP="00487246">
            <w:pPr>
              <w:spacing w:after="0" w:line="240" w:lineRule="auto"/>
              <w:jc w:val="center"/>
              <w:rPr>
                <w:rFonts w:ascii="Calibri" w:eastAsia="Times New Roman" w:hAnsi="Calibri" w:cs="Times New Roman"/>
                <w:color w:val="0070C0"/>
              </w:rPr>
            </w:pPr>
            <w:r w:rsidRPr="00BA495E">
              <w:rPr>
                <w:rFonts w:ascii="Calibri" w:eastAsia="Times New Roman" w:hAnsi="Calibri" w:cs="Times New Roman"/>
                <w:color w:val="0070C0"/>
              </w:rPr>
              <w:t>(9.68)</w:t>
            </w:r>
          </w:p>
        </w:tc>
      </w:tr>
      <w:tr w:rsidR="009B329D" w:rsidRPr="009B329D" w14:paraId="6260FD31" w14:textId="77777777" w:rsidTr="00487246">
        <w:trPr>
          <w:trHeight w:val="525"/>
        </w:trPr>
        <w:tc>
          <w:tcPr>
            <w:tcW w:w="10005" w:type="dxa"/>
            <w:gridSpan w:val="6"/>
            <w:shd w:val="clear" w:color="auto" w:fill="auto"/>
            <w:vAlign w:val="bottom"/>
            <w:hideMark/>
          </w:tcPr>
          <w:p w14:paraId="37DADD1A" w14:textId="77777777" w:rsidR="009B329D" w:rsidRPr="00BA495E" w:rsidRDefault="009B329D" w:rsidP="00487246">
            <w:pPr>
              <w:spacing w:after="0" w:line="240" w:lineRule="auto"/>
              <w:rPr>
                <w:rFonts w:ascii="Calibri" w:eastAsia="Times New Roman" w:hAnsi="Calibri" w:cs="Times New Roman"/>
                <w:color w:val="0070C0"/>
              </w:rPr>
            </w:pPr>
            <w:r w:rsidRPr="00BA495E">
              <w:rPr>
                <w:rFonts w:ascii="Calibri" w:eastAsia="Times New Roman" w:hAnsi="Calibri" w:cs="Times New Roman"/>
                <w:color w:val="0070C0"/>
              </w:rPr>
              <w:t xml:space="preserve">* Defined as two or more claims in which the admission date of the current claim is before or the same as the discharge date of its previous claim. When this happens, the information at discharge of the first claim are replaced by the information at discharge of the last claim. </w:t>
            </w:r>
          </w:p>
        </w:tc>
      </w:tr>
    </w:tbl>
    <w:p w14:paraId="5A115314" w14:textId="77777777" w:rsidR="009B329D" w:rsidRDefault="009B329D" w:rsidP="00092566">
      <w:pPr>
        <w:autoSpaceDE w:val="0"/>
        <w:autoSpaceDN w:val="0"/>
        <w:adjustRightInd w:val="0"/>
        <w:spacing w:after="0" w:line="240" w:lineRule="auto"/>
        <w:rPr>
          <w:rFonts w:cstheme="minorHAnsi"/>
          <w:bCs/>
        </w:rPr>
      </w:pP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0CABCFE8" w14:textId="2D48B862" w:rsidR="007422FD"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3FF03661" w14:textId="77777777" w:rsidR="009B329D" w:rsidRPr="00BA495E" w:rsidRDefault="009B329D" w:rsidP="009B329D">
      <w:pPr>
        <w:pBdr>
          <w:top w:val="single" w:sz="4" w:space="1" w:color="auto"/>
          <w:left w:val="single" w:sz="4" w:space="4" w:color="auto"/>
          <w:bottom w:val="single" w:sz="4" w:space="1" w:color="auto"/>
          <w:right w:val="single" w:sz="4" w:space="4" w:color="auto"/>
        </w:pBdr>
        <w:spacing w:line="240" w:lineRule="auto"/>
        <w:rPr>
          <w:rFonts w:cstheme="minorHAnsi"/>
          <w:color w:val="0070C0"/>
        </w:rPr>
      </w:pPr>
      <w:r w:rsidRPr="00BA495E">
        <w:rPr>
          <w:rFonts w:cstheme="minorHAnsi"/>
          <w:color w:val="0070C0"/>
        </w:rPr>
        <w:t xml:space="preserve">The decision to exclude patients discharged AMA is based on clinical judgment to make the measure fair and is unlikely to distort the results given the very low frequency. Excluding patients transferring into a hospital does not actually exclude acute episodes from the measure, but considers the hospital that initially admits the patient as the one accountable for the outcome, avoiding double counting and clarifying accountability. The exclusion of unreliable data is necessary for valid calculation of the measure. Excluding PCIs that follow a prior PCI in the same admission or during a transfer-in is applied </w:t>
      </w:r>
      <w:proofErr w:type="gramStart"/>
      <w:r w:rsidRPr="00BA495E">
        <w:rPr>
          <w:rFonts w:cstheme="minorHAnsi"/>
          <w:color w:val="0070C0"/>
        </w:rPr>
        <w:t>in order to</w:t>
      </w:r>
      <w:proofErr w:type="gramEnd"/>
      <w:r w:rsidRPr="00BA495E">
        <w:rPr>
          <w:rFonts w:cstheme="minorHAnsi"/>
          <w:color w:val="0070C0"/>
        </w:rPr>
        <w:t xml:space="preserve"> avoid assigning the death to two separate admissions. The decision to exclude subsequent PCIs within 30 days of death is necessary to avoid attributing the same death to more than one PCI. Lastly, patients who get the procedure more than 10 days after admission have a PCI after many days of hospitalization are rare and represent a distinct population that likely has risk factors related to the hospitalization and not well quantified in the registry.</w:t>
      </w:r>
    </w:p>
    <w:p w14:paraId="59D65B12" w14:textId="77777777" w:rsidR="009B329D" w:rsidRPr="00A25024" w:rsidRDefault="009B329D" w:rsidP="00DB3627">
      <w:pPr>
        <w:autoSpaceDE w:val="0"/>
        <w:autoSpaceDN w:val="0"/>
        <w:adjustRightInd w:val="0"/>
        <w:spacing w:after="0" w:line="240" w:lineRule="auto"/>
        <w:rPr>
          <w:rFonts w:cstheme="minorHAnsi"/>
          <w:bCs/>
        </w:rPr>
      </w:pP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49BD120"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77777777" w:rsidR="00033038" w:rsidRPr="005232D6" w:rsidRDefault="00FD6EC4"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0FD80A75" w:rsidR="00743E46" w:rsidRPr="005232D6" w:rsidRDefault="00FD6EC4"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9B329D">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9B329D">
            <w:rPr>
              <w:rStyle w:val="Style4"/>
              <w:u w:val="none"/>
            </w:rPr>
            <w:t>13</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FD6EC4"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FD6EC4"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Default="00AF2D68" w:rsidP="009D3882">
      <w:pPr>
        <w:rPr>
          <w:rFonts w:cs="Calibri"/>
          <w:b/>
          <w:bCs/>
        </w:rPr>
      </w:pPr>
    </w:p>
    <w:p w14:paraId="0CABCFF4" w14:textId="36A09F52" w:rsidR="009D3882" w:rsidRPr="009D3882" w:rsidRDefault="009C7513" w:rsidP="009D3882">
      <w:pPr>
        <w:rPr>
          <w:rFonts w:cstheme="minorHAnsi"/>
          <w:b/>
          <w:bCs/>
          <w:sz w:val="14"/>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r w:rsidR="00A92BD5" w:rsidRPr="00A92BD5">
        <w:rPr>
          <w:rFonts w:cstheme="minorHAnsi"/>
          <w:b/>
          <w:bCs/>
          <w:color w:val="FF0000"/>
        </w:rPr>
        <w:t>N/A</w:t>
      </w:r>
    </w:p>
    <w:p w14:paraId="0CABCFF6" w14:textId="313B0C80" w:rsidR="00001D73" w:rsidRDefault="009C7513" w:rsidP="00AF2D68">
      <w:pPr>
        <w:rPr>
          <w:rFonts w:cstheme="minorHAnsi"/>
          <w:bCs/>
          <w:sz w:val="4"/>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3F2A5E56"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rFonts w:cstheme="minorHAnsi"/>
          <w:color w:val="0070C0"/>
        </w:rPr>
        <w:t xml:space="preserve">The goal of risk adjustment is to account for different patient demographic and clinical characteristics at the time of admission (hospital case mix), enabling interpretation of any identified differences in quality.  Conditions that may represent adverse outcomes due to care received during the index hospital stay are not included in the risk-adjustment model. We sought to develop a model that included key variables that were clinically relevant and based on strong association with 30-day mortality. </w:t>
      </w:r>
    </w:p>
    <w:p w14:paraId="415B63F7" w14:textId="77777777" w:rsidR="009B329D" w:rsidRPr="00AF2D68" w:rsidRDefault="009B329D" w:rsidP="00AF2D68">
      <w:pPr>
        <w:rPr>
          <w:rFonts w:cstheme="minorHAnsi"/>
          <w:bCs/>
          <w:sz w:val="4"/>
        </w:rPr>
      </w:pP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FD6EC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FD6EC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FD6EC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28946FC4" w:rsidR="00092566"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p>
    <w:p w14:paraId="7BF2A408"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color w:val="0070C0"/>
        </w:rPr>
        <w:t xml:space="preserve">To create a model with increased usability while retaining excellent model performance, we tested the performance of the model without those variables considered to be questionably feasible. </w:t>
      </w:r>
      <w:r w:rsidRPr="00BA495E">
        <w:rPr>
          <w:rFonts w:cstheme="minorHAnsi"/>
          <w:color w:val="0070C0"/>
        </w:rPr>
        <w:t xml:space="preserve">To select candidate variables, a team of clinicians reviewed all variables in the NCDR </w:t>
      </w:r>
      <w:proofErr w:type="spellStart"/>
      <w:r w:rsidRPr="00BA495E">
        <w:rPr>
          <w:rFonts w:cstheme="minorHAnsi"/>
          <w:color w:val="0070C0"/>
        </w:rPr>
        <w:t>CathPCI</w:t>
      </w:r>
      <w:proofErr w:type="spellEnd"/>
      <w:r w:rsidRPr="00BA495E">
        <w:rPr>
          <w:rFonts w:cstheme="minorHAnsi"/>
          <w:color w:val="0070C0"/>
        </w:rPr>
        <w:t xml:space="preserve"> Registry database (a copy of the data collection form and the complete list of variables collected and submitted by hospitals can be found at www.ncdr.com). We did not consider as candidate variables those that we would not want to adjust for in a quality measure, such as potential complications, certain patient demographics (e.g., race, socioeconomic status), and patients‟ admission path (e.g., admitted from, or discharged to, a skilled nursing facility [SNF]). Variables were also considered ineligible if they were particularly vulnerable to gaming or were deemed to lack clinical relevance. Based on careful review by a team of clinicians and further informed by a review of the literature, a total of 26 variables were determined to be appropriate for consideration as candidate variables. Our set of candidate variables included two “demographic” variables (age and gender), 15 “history and risk factor” variables, four “cardiac status” variables, one “</w:t>
      </w:r>
      <w:proofErr w:type="spellStart"/>
      <w:r w:rsidRPr="00BA495E">
        <w:rPr>
          <w:rFonts w:cstheme="minorHAnsi"/>
          <w:color w:val="0070C0"/>
        </w:rPr>
        <w:t>cath</w:t>
      </w:r>
      <w:proofErr w:type="spellEnd"/>
      <w:r w:rsidRPr="00BA495E">
        <w:rPr>
          <w:rFonts w:cstheme="minorHAnsi"/>
          <w:color w:val="0070C0"/>
        </w:rPr>
        <w:t xml:space="preserve"> lab visit” variable and four “PCI procedure” variables. The final risk-adjustment model for the STEMI or shock cohort included 13 variables:</w:t>
      </w:r>
    </w:p>
    <w:p w14:paraId="268BC2D7"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rFonts w:cstheme="minorHAnsi"/>
          <w:color w:val="0070C0"/>
        </w:rPr>
        <w:t>1) Age</w:t>
      </w:r>
    </w:p>
    <w:p w14:paraId="5ABE765D"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rFonts w:cstheme="minorHAnsi"/>
          <w:color w:val="0070C0"/>
        </w:rPr>
        <w:t>2) Body mass index (BMI)</w:t>
      </w:r>
    </w:p>
    <w:p w14:paraId="57CFB9D5"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rFonts w:cstheme="minorHAnsi"/>
          <w:color w:val="0070C0"/>
        </w:rPr>
        <w:t>3) Cerebrovascular disease</w:t>
      </w:r>
    </w:p>
    <w:p w14:paraId="5718F75F"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rFonts w:cstheme="minorHAnsi"/>
          <w:color w:val="0070C0"/>
        </w:rPr>
        <w:t>4) Chronic lung disease</w:t>
      </w:r>
    </w:p>
    <w:p w14:paraId="73D6CCED"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rFonts w:cstheme="minorHAnsi"/>
          <w:color w:val="0070C0"/>
        </w:rPr>
        <w:t>5) Glomerular filtration rate (GFR)</w:t>
      </w:r>
    </w:p>
    <w:p w14:paraId="1280A300"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rFonts w:cstheme="minorHAnsi"/>
          <w:color w:val="0070C0"/>
        </w:rPr>
        <w:t>6) Previous PCI</w:t>
      </w:r>
    </w:p>
    <w:p w14:paraId="6BF9F710"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rFonts w:cstheme="minorHAnsi"/>
          <w:color w:val="0070C0"/>
        </w:rPr>
        <w:t>7) Congestive heart failure (CHF) status</w:t>
      </w:r>
    </w:p>
    <w:p w14:paraId="6F880643"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rFonts w:cstheme="minorHAnsi"/>
          <w:color w:val="0070C0"/>
        </w:rPr>
        <w:t>8) Cardiogenic shock</w:t>
      </w:r>
    </w:p>
    <w:p w14:paraId="50653672"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rFonts w:cstheme="minorHAnsi"/>
          <w:color w:val="0070C0"/>
        </w:rPr>
        <w:t>9) Symptoms present on admission</w:t>
      </w:r>
    </w:p>
    <w:p w14:paraId="55E681DD"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rFonts w:cstheme="minorHAnsi"/>
          <w:color w:val="0070C0"/>
        </w:rPr>
        <w:t>10) Ejection fraction percentage</w:t>
      </w:r>
    </w:p>
    <w:p w14:paraId="0710DBF2"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rFonts w:cstheme="minorHAnsi"/>
          <w:color w:val="0070C0"/>
        </w:rPr>
        <w:t>11) PCI status</w:t>
      </w:r>
    </w:p>
    <w:p w14:paraId="2CD29288"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rFonts w:cstheme="minorHAnsi"/>
          <w:color w:val="0070C0"/>
        </w:rPr>
        <w:t>12) Highest risk lesion – segment category</w:t>
      </w:r>
    </w:p>
    <w:p w14:paraId="254C270D"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rFonts w:cstheme="minorHAnsi"/>
          <w:color w:val="0070C0"/>
        </w:rPr>
        <w:t xml:space="preserve">13) Highest risk lesion – SCAI lesion class </w:t>
      </w:r>
    </w:p>
    <w:p w14:paraId="61908898" w14:textId="77777777" w:rsidR="009B329D" w:rsidRDefault="009B329D" w:rsidP="00001D73">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CABCFF9" w14:textId="5196F8B6" w:rsidR="00C1695E" w:rsidRPr="00BA495E" w:rsidRDefault="00BA495E" w:rsidP="00001D73">
      <w:pPr>
        <w:autoSpaceDE w:val="0"/>
        <w:autoSpaceDN w:val="0"/>
        <w:adjustRightInd w:val="0"/>
        <w:spacing w:after="0" w:line="240" w:lineRule="auto"/>
        <w:rPr>
          <w:rFonts w:cstheme="minorHAnsi"/>
          <w:b/>
          <w:bCs/>
          <w:color w:val="FF0000"/>
        </w:rPr>
      </w:pPr>
      <w:r w:rsidRPr="00BA495E">
        <w:rPr>
          <w:rFonts w:cstheme="minorHAnsi"/>
          <w:b/>
          <w:bCs/>
          <w:color w:val="FF0000"/>
        </w:rPr>
        <w:t>N/A</w:t>
      </w:r>
    </w:p>
    <w:p w14:paraId="27D02ED1" w14:textId="77777777" w:rsidR="00BA495E" w:rsidRPr="00001D73" w:rsidRDefault="00BA495E" w:rsidP="00001D73">
      <w:pPr>
        <w:autoSpaceDE w:val="0"/>
        <w:autoSpaceDN w:val="0"/>
        <w:adjustRightInd w:val="0"/>
        <w:spacing w:after="0" w:line="240" w:lineRule="auto"/>
        <w:rPr>
          <w:rFonts w:cstheme="minorHAnsi"/>
          <w:b/>
          <w:bCs/>
        </w:rPr>
      </w:pPr>
    </w:p>
    <w:p w14:paraId="0CABCFFA" w14:textId="652C552D" w:rsidR="00092566"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A7EA96A"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rFonts w:cstheme="minorHAnsi"/>
          <w:color w:val="0070C0"/>
        </w:rPr>
        <w:t xml:space="preserve">Several variables required </w:t>
      </w:r>
      <w:proofErr w:type="gramStart"/>
      <w:r w:rsidRPr="00BA495E">
        <w:rPr>
          <w:rFonts w:cstheme="minorHAnsi"/>
          <w:color w:val="0070C0"/>
        </w:rPr>
        <w:t>particular consideration</w:t>
      </w:r>
      <w:proofErr w:type="gramEnd"/>
      <w:r w:rsidRPr="00BA495E">
        <w:rPr>
          <w:rFonts w:cstheme="minorHAnsi"/>
          <w:color w:val="0070C0"/>
        </w:rPr>
        <w:t xml:space="preserve">. First, in the current version of the </w:t>
      </w:r>
      <w:proofErr w:type="spellStart"/>
      <w:r w:rsidRPr="00BA495E">
        <w:rPr>
          <w:rFonts w:cstheme="minorHAnsi"/>
          <w:color w:val="0070C0"/>
        </w:rPr>
        <w:t>CathPCI</w:t>
      </w:r>
      <w:proofErr w:type="spellEnd"/>
      <w:r w:rsidRPr="00BA495E">
        <w:rPr>
          <w:rFonts w:cstheme="minorHAnsi"/>
          <w:color w:val="0070C0"/>
        </w:rPr>
        <w:t xml:space="preserve"> registry, participants are instructed to use New York Heart Association (NYHA) classification to capture symptom severity for both heart failure and angina. Accordingly, the resulting variable is a hybrid which may dilute the prognostic importance usually associated with NYHA class. Second, variables such as PCI status and cardiogenic shock impart important prognostic information but are vulnerable to systematic misclassification. This is relevant to efforts to publicly report 30-day PCI mortality in that several key variables (e.g., cardiogenic shock and PCI status) may be consistently coded differently across sites. For example, although the </w:t>
      </w:r>
      <w:proofErr w:type="spellStart"/>
      <w:r w:rsidRPr="00BA495E">
        <w:rPr>
          <w:rFonts w:cstheme="minorHAnsi"/>
          <w:color w:val="0070C0"/>
        </w:rPr>
        <w:t>CathPCI</w:t>
      </w:r>
      <w:proofErr w:type="spellEnd"/>
      <w:r w:rsidRPr="00BA495E">
        <w:rPr>
          <w:rFonts w:cstheme="minorHAnsi"/>
          <w:color w:val="0070C0"/>
        </w:rPr>
        <w:t xml:space="preserve"> data dictionary provides detailed definitions of PCI status (http://www.ncdr.com/WebNCDR/ELEMENTS.ASPX), sites may differ in their interpretation of these definitions such that a patient considered an emergent PCI at hospital A may be considered an urgent PCI at hospital B. If differences in coding occur with sufficient frequency, the risk-standardized mortality rate for hospital A might appear lower than hospital B, even if their case mixes and outcomes were otherwise identical. </w:t>
      </w:r>
    </w:p>
    <w:p w14:paraId="38360FF7"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rFonts w:cstheme="minorHAnsi"/>
          <w:color w:val="0070C0"/>
        </w:rPr>
        <w:t xml:space="preserve">To examine this issue, we compared the frequency of different PCI status categories at hospitals with risk adjusted mortality rates that were above and below the median using the STEMI or shock cohort. We found that rates of cardiogenic shock were comparable, but that hospitals with below average risk-standardized mortality had modestly higher rates of emergency and salvage PCI (76.7% and 1.4%), compared with hospitals with above average risk-standardized mortality (72.3% and 1.2%). We cannot determine whether these differences accurately reflect differences in case mix or are due to systematic differences in coding. Nevertheless, these results highlight the need to further ensure data accuracy. </w:t>
      </w:r>
    </w:p>
    <w:p w14:paraId="0D0F4303"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BA495E">
        <w:rPr>
          <w:rFonts w:cstheme="minorHAnsi"/>
          <w:color w:val="0070C0"/>
        </w:rPr>
        <w:t>For categorical variables with missing values, the value from the reference group was added. The percentage of missing values for all categorical variables was very small (&lt;1%). There were three continuous variables with significant numbers of missing values: body mass index (BMI), glomerular filtration rate (GFR), and left ventricular ejection fraction (LVEF). For BMI, we stratified by gender and imputed the missing values to the median of the</w:t>
      </w:r>
      <w:r w:rsidRPr="00BA495E">
        <w:rPr>
          <w:rFonts w:ascii="Arial" w:hAnsi="Arial" w:cs="Arial"/>
          <w:color w:val="0070C0"/>
          <w:sz w:val="23"/>
          <w:szCs w:val="23"/>
        </w:rPr>
        <w:t xml:space="preserve"> </w:t>
      </w:r>
      <w:r w:rsidRPr="00BA495E">
        <w:rPr>
          <w:rFonts w:cstheme="minorHAnsi"/>
          <w:color w:val="0070C0"/>
        </w:rPr>
        <w:t xml:space="preserve">corresponding groups. For GFR, we stratified patients into five categories: &lt;30, 31-60, 61-90, &gt;90, and missing. For LVEF, we stratified patients into four categories- &lt;30%, 31-45%, &gt;45%, and missing. </w:t>
      </w:r>
    </w:p>
    <w:p w14:paraId="1D8A7A1F" w14:textId="77777777" w:rsidR="009B329D" w:rsidRPr="00BA495E" w:rsidRDefault="009B329D" w:rsidP="009B329D">
      <w:pPr>
        <w:pBdr>
          <w:top w:val="single" w:sz="4" w:space="1" w:color="auto"/>
          <w:left w:val="single" w:sz="4" w:space="0" w:color="auto"/>
          <w:bottom w:val="single" w:sz="4" w:space="1" w:color="auto"/>
          <w:right w:val="single" w:sz="4" w:space="4" w:color="auto"/>
        </w:pBdr>
        <w:spacing w:line="240" w:lineRule="auto"/>
        <w:rPr>
          <w:rFonts w:cstheme="minorHAnsi"/>
          <w:b/>
          <w:bCs/>
          <w:color w:val="0070C0"/>
        </w:rPr>
      </w:pPr>
      <w:r w:rsidRPr="00BA495E">
        <w:rPr>
          <w:rFonts w:cstheme="minorHAnsi"/>
          <w:color w:val="0070C0"/>
        </w:rPr>
        <w:t xml:space="preserve">We used logistic regression with stepwise selection (entry p&lt;0.05; retention with p&lt;0.01) for variable selection. We also assessed the direction and magnitude of the regression coefficients. </w:t>
      </w:r>
    </w:p>
    <w:p w14:paraId="70CC8EEA" w14:textId="77777777" w:rsidR="009B329D" w:rsidRPr="00A25024" w:rsidRDefault="009B329D" w:rsidP="00092566">
      <w:pPr>
        <w:autoSpaceDE w:val="0"/>
        <w:autoSpaceDN w:val="0"/>
        <w:adjustRightInd w:val="0"/>
        <w:spacing w:after="0" w:line="240" w:lineRule="auto"/>
        <w:rPr>
          <w:rFonts w:cstheme="minorHAnsi"/>
          <w:bCs/>
        </w:rPr>
      </w:pP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1A691AF1" w14:textId="77777777" w:rsidR="009B329D" w:rsidRPr="00BA495E" w:rsidRDefault="00743E46" w:rsidP="009B329D">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theme="minorHAnsi"/>
          <w:color w:val="0070C0"/>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9B329D" w:rsidRPr="00BA495E">
        <w:rPr>
          <w:rFonts w:cstheme="minorHAnsi"/>
          <w:color w:val="0070C0"/>
        </w:rPr>
        <w:t xml:space="preserve">We computed 6 summary statistics for assessing model performance: over-fitting indices, percentage of variation explained by the risk factors, predictive ability, area under the receiver operating characteristic (ROC) curve, distribution of residuals, and model chi-square. </w:t>
      </w:r>
    </w:p>
    <w:p w14:paraId="4D3B547C" w14:textId="77777777" w:rsidR="009B329D" w:rsidRPr="00BA495E" w:rsidRDefault="009B329D" w:rsidP="009B329D">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theme="minorHAnsi"/>
          <w:color w:val="0070C0"/>
        </w:rPr>
      </w:pPr>
    </w:p>
    <w:p w14:paraId="7824F714" w14:textId="77777777" w:rsidR="009B329D" w:rsidRPr="00BA495E" w:rsidRDefault="009B329D" w:rsidP="009B329D">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theme="minorHAnsi"/>
          <w:color w:val="0070C0"/>
        </w:rPr>
      </w:pPr>
      <w:r w:rsidRPr="00BA495E">
        <w:rPr>
          <w:rFonts w:cstheme="minorHAnsi"/>
          <w:color w:val="0070C0"/>
        </w:rPr>
        <w:t xml:space="preserve">The development model has excellent discrimination, calibration, and fit. The patient-level mortality rate ranges from 1.4% in the lowest predicted decile to 40.3% in the highest predicted decile, a range of 38.9%. The area under the ROC curve is 0.825. </w:t>
      </w:r>
    </w:p>
    <w:p w14:paraId="3D27B8E5" w14:textId="77777777" w:rsidR="009B329D" w:rsidRPr="00BA495E" w:rsidRDefault="009B329D" w:rsidP="009B329D">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theme="minorHAnsi"/>
          <w:color w:val="0070C0"/>
        </w:rPr>
      </w:pPr>
    </w:p>
    <w:p w14:paraId="37ED0222" w14:textId="77777777" w:rsidR="009B329D" w:rsidRPr="00BA495E" w:rsidRDefault="009B329D" w:rsidP="009B329D">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theme="minorHAnsi"/>
          <w:b/>
          <w:bCs/>
          <w:color w:val="0070C0"/>
        </w:rPr>
      </w:pPr>
      <w:r w:rsidRPr="00BA495E">
        <w:rPr>
          <w:rFonts w:cstheme="minorHAnsi"/>
          <w:color w:val="0070C0"/>
        </w:rPr>
        <w:t xml:space="preserve">The discrimination and the explained variation of the model at the patient-level are consistent with those of published PCI in-hospital mortality models (Yale-CORE 2008). The ROC is modestly lower than that of previously published </w:t>
      </w:r>
      <w:proofErr w:type="gramStart"/>
      <w:r w:rsidRPr="00BA495E">
        <w:rPr>
          <w:rFonts w:cstheme="minorHAnsi"/>
          <w:color w:val="0070C0"/>
        </w:rPr>
        <w:t>models</w:t>
      </w:r>
      <w:proofErr w:type="gramEnd"/>
      <w:r w:rsidRPr="00BA495E">
        <w:rPr>
          <w:rFonts w:cstheme="minorHAnsi"/>
          <w:color w:val="0070C0"/>
        </w:rPr>
        <w:t xml:space="preserve"> due to several factors. First, we stratified the entire population of PCI patients into two populations based on the presence or absence of two </w:t>
      </w:r>
      <w:proofErr w:type="spellStart"/>
      <w:r w:rsidRPr="00BA495E">
        <w:rPr>
          <w:rFonts w:cstheme="minorHAnsi"/>
          <w:color w:val="0070C0"/>
        </w:rPr>
        <w:t>prognostically</w:t>
      </w:r>
      <w:proofErr w:type="spellEnd"/>
      <w:r w:rsidRPr="00BA495E">
        <w:rPr>
          <w:rFonts w:cstheme="minorHAnsi"/>
          <w:color w:val="0070C0"/>
        </w:rPr>
        <w:t xml:space="preserve"> important variables: STEMI and cardiogenic shock. Second, we excluded covariates such as potential complications, certain patient demographics (e.g., race), and patients‟ admission path (e.g., outpatient, emergency department, transfers-in from other facilities (non-acute care or acute care). These characteristics may be associated</w:t>
      </w:r>
      <w:r w:rsidRPr="00BA495E">
        <w:rPr>
          <w:color w:val="0070C0"/>
        </w:rPr>
        <w:t xml:space="preserve"> with mortality and thus could increase the model performance to predict patient mortality. However, these variables may be related to quality or supply factors that should not be included in an adjustment that seeks to control for patient clinical characteristics. Thus, the choice was to focus on adjustment for clinical differences in the populations among hospitals.</w:t>
      </w:r>
    </w:p>
    <w:p w14:paraId="0CABCFFD" w14:textId="79D5D7A7" w:rsidR="00001D73" w:rsidRPr="00001D73" w:rsidRDefault="00001D73" w:rsidP="00092566">
      <w:pPr>
        <w:autoSpaceDE w:val="0"/>
        <w:autoSpaceDN w:val="0"/>
        <w:adjustRightInd w:val="0"/>
        <w:spacing w:after="0" w:line="240" w:lineRule="auto"/>
        <w:rPr>
          <w:rFonts w:cstheme="minorHAnsi"/>
          <w:b/>
          <w:bCs/>
        </w:rPr>
      </w:pPr>
    </w:p>
    <w:p w14:paraId="0CABCFFE" w14:textId="02457D69" w:rsidR="00001D73" w:rsidRDefault="009C7513"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tbl>
      <w:tblPr>
        <w:tblStyle w:val="TableGrid1"/>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2"/>
        <w:gridCol w:w="2642"/>
        <w:gridCol w:w="2468"/>
      </w:tblGrid>
      <w:tr w:rsidR="009B329D" w:rsidRPr="00BA495E" w14:paraId="6D9F43BE" w14:textId="77777777" w:rsidTr="00487246">
        <w:tc>
          <w:tcPr>
            <w:tcW w:w="9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BA496B" w14:textId="77777777" w:rsidR="009B329D" w:rsidRPr="00BA495E" w:rsidRDefault="009B329D" w:rsidP="00487246">
            <w:pPr>
              <w:keepNext/>
              <w:rPr>
                <w:rFonts w:cstheme="minorHAnsi"/>
                <w:b/>
                <w:color w:val="0070C0"/>
              </w:rPr>
            </w:pPr>
            <w:r w:rsidRPr="00BA495E">
              <w:rPr>
                <w:b/>
                <w:color w:val="0070C0"/>
              </w:rPr>
              <w:t>Table 3</w:t>
            </w:r>
            <w:r w:rsidRPr="00BA495E">
              <w:rPr>
                <w:rFonts w:cstheme="minorHAnsi"/>
                <w:b/>
                <w:color w:val="0070C0"/>
              </w:rPr>
              <w:t>. Model Performance: Calibration Results Based on the Logistic Regression Model</w:t>
            </w:r>
          </w:p>
        </w:tc>
      </w:tr>
      <w:tr w:rsidR="009B329D" w:rsidRPr="00BA495E" w14:paraId="12EB36F3" w14:textId="77777777" w:rsidTr="00487246">
        <w:tc>
          <w:tcPr>
            <w:tcW w:w="4320" w:type="dxa"/>
            <w:tcBorders>
              <w:top w:val="single" w:sz="4" w:space="0" w:color="auto"/>
              <w:left w:val="single" w:sz="4" w:space="0" w:color="auto"/>
              <w:bottom w:val="single" w:sz="4" w:space="0" w:color="auto"/>
            </w:tcBorders>
            <w:shd w:val="clear" w:color="auto" w:fill="D9D9D9" w:themeFill="background1" w:themeFillShade="D9"/>
            <w:vAlign w:val="center"/>
          </w:tcPr>
          <w:p w14:paraId="11F6C0DE" w14:textId="77777777" w:rsidR="009B329D" w:rsidRPr="00BA495E" w:rsidRDefault="009B329D" w:rsidP="00487246">
            <w:pPr>
              <w:keepNext/>
              <w:jc w:val="center"/>
              <w:rPr>
                <w:rFonts w:cstheme="minorHAnsi"/>
                <w:b/>
                <w:color w:val="0070C0"/>
              </w:rPr>
            </w:pPr>
            <w:r w:rsidRPr="00BA495E">
              <w:rPr>
                <w:rFonts w:cstheme="minorHAnsi"/>
                <w:b/>
                <w:color w:val="0070C0"/>
              </w:rPr>
              <w:t>Indices</w:t>
            </w:r>
          </w:p>
        </w:tc>
        <w:tc>
          <w:tcPr>
            <w:tcW w:w="2700" w:type="dxa"/>
            <w:tcBorders>
              <w:top w:val="single" w:sz="4" w:space="0" w:color="auto"/>
              <w:bottom w:val="single" w:sz="4" w:space="0" w:color="auto"/>
            </w:tcBorders>
            <w:shd w:val="clear" w:color="auto" w:fill="D9D9D9" w:themeFill="background1" w:themeFillShade="D9"/>
          </w:tcPr>
          <w:p w14:paraId="4251CD67" w14:textId="77777777" w:rsidR="009B329D" w:rsidRPr="00BA495E" w:rsidRDefault="009B329D" w:rsidP="00487246">
            <w:pPr>
              <w:keepNext/>
              <w:jc w:val="center"/>
              <w:rPr>
                <w:rFonts w:cstheme="minorHAnsi"/>
                <w:b/>
                <w:color w:val="0070C0"/>
              </w:rPr>
            </w:pPr>
            <w:r w:rsidRPr="00BA495E">
              <w:rPr>
                <w:rFonts w:cstheme="minorHAnsi"/>
                <w:b/>
                <w:color w:val="0070C0"/>
              </w:rPr>
              <w:t>2011 Sample</w:t>
            </w:r>
          </w:p>
        </w:tc>
        <w:tc>
          <w:tcPr>
            <w:tcW w:w="2520" w:type="dxa"/>
            <w:tcBorders>
              <w:top w:val="single" w:sz="4" w:space="0" w:color="auto"/>
              <w:bottom w:val="single" w:sz="4" w:space="0" w:color="auto"/>
              <w:right w:val="single" w:sz="4" w:space="0" w:color="auto"/>
            </w:tcBorders>
            <w:shd w:val="clear" w:color="auto" w:fill="D9D9D9" w:themeFill="background1" w:themeFillShade="D9"/>
          </w:tcPr>
          <w:p w14:paraId="5741D091" w14:textId="77777777" w:rsidR="009B329D" w:rsidRPr="00BA495E" w:rsidRDefault="009B329D" w:rsidP="00487246">
            <w:pPr>
              <w:keepNext/>
              <w:jc w:val="center"/>
              <w:rPr>
                <w:rFonts w:cstheme="minorHAnsi"/>
                <w:b/>
                <w:color w:val="0070C0"/>
              </w:rPr>
            </w:pPr>
            <w:r w:rsidRPr="00BA495E">
              <w:rPr>
                <w:rFonts w:cstheme="minorHAnsi"/>
                <w:b/>
                <w:color w:val="0070C0"/>
              </w:rPr>
              <w:t>2010 Sample</w:t>
            </w:r>
          </w:p>
        </w:tc>
      </w:tr>
      <w:tr w:rsidR="009B329D" w:rsidRPr="00BA495E" w14:paraId="3F0D2F3D" w14:textId="77777777" w:rsidTr="00487246">
        <w:tc>
          <w:tcPr>
            <w:tcW w:w="4320" w:type="dxa"/>
            <w:tcBorders>
              <w:top w:val="single" w:sz="4" w:space="0" w:color="auto"/>
              <w:left w:val="single" w:sz="4" w:space="0" w:color="auto"/>
            </w:tcBorders>
          </w:tcPr>
          <w:p w14:paraId="64A7CDCF" w14:textId="77777777" w:rsidR="009B329D" w:rsidRPr="00BA495E" w:rsidRDefault="009B329D" w:rsidP="00487246">
            <w:pPr>
              <w:keepNext/>
              <w:rPr>
                <w:rFonts w:cstheme="minorHAnsi"/>
                <w:color w:val="0070C0"/>
              </w:rPr>
            </w:pPr>
            <w:r w:rsidRPr="00BA495E">
              <w:rPr>
                <w:rFonts w:cstheme="minorHAnsi"/>
                <w:color w:val="0070C0"/>
              </w:rPr>
              <w:t>Number of Admissions</w:t>
            </w:r>
          </w:p>
        </w:tc>
        <w:tc>
          <w:tcPr>
            <w:tcW w:w="2700" w:type="dxa"/>
            <w:tcBorders>
              <w:top w:val="single" w:sz="4" w:space="0" w:color="auto"/>
            </w:tcBorders>
          </w:tcPr>
          <w:p w14:paraId="148F6D9F" w14:textId="77777777" w:rsidR="009B329D" w:rsidRPr="00BA495E" w:rsidRDefault="009B329D" w:rsidP="00487246">
            <w:pPr>
              <w:keepNext/>
              <w:jc w:val="center"/>
              <w:rPr>
                <w:rFonts w:cstheme="minorHAnsi"/>
                <w:color w:val="0070C0"/>
              </w:rPr>
            </w:pPr>
            <w:r w:rsidRPr="00BA495E">
              <w:rPr>
                <w:rFonts w:cstheme="minorHAnsi"/>
                <w:color w:val="0070C0"/>
              </w:rPr>
              <w:t>24,640</w:t>
            </w:r>
          </w:p>
        </w:tc>
        <w:tc>
          <w:tcPr>
            <w:tcW w:w="2520" w:type="dxa"/>
            <w:tcBorders>
              <w:top w:val="single" w:sz="4" w:space="0" w:color="auto"/>
              <w:right w:val="single" w:sz="4" w:space="0" w:color="auto"/>
            </w:tcBorders>
          </w:tcPr>
          <w:p w14:paraId="5D6D240F" w14:textId="77777777" w:rsidR="009B329D" w:rsidRPr="00BA495E" w:rsidRDefault="009B329D" w:rsidP="00487246">
            <w:pPr>
              <w:keepNext/>
              <w:jc w:val="center"/>
              <w:rPr>
                <w:rFonts w:cstheme="minorHAnsi"/>
                <w:color w:val="0070C0"/>
              </w:rPr>
            </w:pPr>
            <w:r w:rsidRPr="00BA495E">
              <w:rPr>
                <w:rFonts w:cstheme="minorHAnsi"/>
                <w:color w:val="0070C0"/>
              </w:rPr>
              <w:t>23,699</w:t>
            </w:r>
          </w:p>
        </w:tc>
      </w:tr>
      <w:tr w:rsidR="009B329D" w:rsidRPr="00BA495E" w14:paraId="51E7CD94" w14:textId="77777777" w:rsidTr="00487246">
        <w:tc>
          <w:tcPr>
            <w:tcW w:w="4320" w:type="dxa"/>
            <w:tcBorders>
              <w:left w:val="single" w:sz="4" w:space="0" w:color="auto"/>
            </w:tcBorders>
          </w:tcPr>
          <w:p w14:paraId="77D9FE30" w14:textId="77777777" w:rsidR="009B329D" w:rsidRPr="00BA495E" w:rsidRDefault="009B329D" w:rsidP="00487246">
            <w:pPr>
              <w:keepNext/>
              <w:rPr>
                <w:rFonts w:cstheme="minorHAnsi"/>
                <w:color w:val="0070C0"/>
              </w:rPr>
            </w:pPr>
            <w:r w:rsidRPr="00BA495E">
              <w:rPr>
                <w:rFonts w:cstheme="minorHAnsi"/>
                <w:color w:val="0070C0"/>
              </w:rPr>
              <w:t>Calibration</w:t>
            </w:r>
          </w:p>
        </w:tc>
        <w:tc>
          <w:tcPr>
            <w:tcW w:w="2700" w:type="dxa"/>
            <w:vAlign w:val="bottom"/>
          </w:tcPr>
          <w:p w14:paraId="00F97F23" w14:textId="77777777" w:rsidR="009B329D" w:rsidRPr="00BA495E" w:rsidRDefault="009B329D" w:rsidP="00487246">
            <w:pPr>
              <w:keepNext/>
              <w:ind w:left="-63" w:right="-108"/>
              <w:jc w:val="center"/>
              <w:rPr>
                <w:rFonts w:cstheme="minorHAnsi"/>
                <w:bCs/>
                <w:color w:val="0070C0"/>
              </w:rPr>
            </w:pPr>
          </w:p>
        </w:tc>
        <w:tc>
          <w:tcPr>
            <w:tcW w:w="2520" w:type="dxa"/>
            <w:tcBorders>
              <w:right w:val="single" w:sz="4" w:space="0" w:color="auto"/>
            </w:tcBorders>
            <w:vAlign w:val="bottom"/>
          </w:tcPr>
          <w:p w14:paraId="7E8F1364" w14:textId="77777777" w:rsidR="009B329D" w:rsidRPr="00BA495E" w:rsidRDefault="009B329D" w:rsidP="00487246">
            <w:pPr>
              <w:keepNext/>
              <w:ind w:left="-18"/>
              <w:jc w:val="center"/>
              <w:rPr>
                <w:rFonts w:cstheme="minorHAnsi"/>
                <w:bCs/>
                <w:color w:val="0070C0"/>
              </w:rPr>
            </w:pPr>
          </w:p>
        </w:tc>
      </w:tr>
      <w:tr w:rsidR="009B329D" w:rsidRPr="00BA495E" w14:paraId="260288D7" w14:textId="77777777" w:rsidTr="00487246">
        <w:tc>
          <w:tcPr>
            <w:tcW w:w="4320" w:type="dxa"/>
            <w:tcBorders>
              <w:left w:val="single" w:sz="4" w:space="0" w:color="auto"/>
            </w:tcBorders>
          </w:tcPr>
          <w:p w14:paraId="44C67B82" w14:textId="77777777" w:rsidR="009B329D" w:rsidRPr="00BA495E" w:rsidRDefault="009B329D" w:rsidP="00487246">
            <w:pPr>
              <w:keepNext/>
              <w:rPr>
                <w:rFonts w:cstheme="minorHAnsi"/>
                <w:color w:val="0070C0"/>
              </w:rPr>
            </w:pPr>
            <w:r w:rsidRPr="00BA495E">
              <w:rPr>
                <w:rFonts w:cstheme="minorHAnsi"/>
                <w:color w:val="0070C0"/>
              </w:rPr>
              <w:t xml:space="preserve">  γ0, γ1</w:t>
            </w:r>
          </w:p>
        </w:tc>
        <w:tc>
          <w:tcPr>
            <w:tcW w:w="2700" w:type="dxa"/>
            <w:vAlign w:val="bottom"/>
          </w:tcPr>
          <w:p w14:paraId="0D7D14C7" w14:textId="77777777" w:rsidR="009B329D" w:rsidRPr="00BA495E" w:rsidRDefault="009B329D" w:rsidP="00487246">
            <w:pPr>
              <w:keepNext/>
              <w:ind w:left="-63" w:right="-108"/>
              <w:jc w:val="center"/>
              <w:rPr>
                <w:rFonts w:cstheme="minorHAnsi"/>
                <w:bCs/>
                <w:color w:val="0070C0"/>
              </w:rPr>
            </w:pPr>
            <w:r w:rsidRPr="00BA495E">
              <w:rPr>
                <w:rFonts w:cstheme="minorHAnsi"/>
                <w:bCs/>
                <w:color w:val="0070C0"/>
              </w:rPr>
              <w:t xml:space="preserve">-  </w:t>
            </w:r>
          </w:p>
        </w:tc>
        <w:tc>
          <w:tcPr>
            <w:tcW w:w="2520" w:type="dxa"/>
            <w:tcBorders>
              <w:right w:val="single" w:sz="4" w:space="0" w:color="auto"/>
            </w:tcBorders>
            <w:vAlign w:val="bottom"/>
          </w:tcPr>
          <w:p w14:paraId="1292D503" w14:textId="77777777" w:rsidR="009B329D" w:rsidRPr="00BA495E" w:rsidRDefault="009B329D" w:rsidP="00487246">
            <w:pPr>
              <w:keepNext/>
              <w:ind w:left="-43" w:right="-58"/>
              <w:jc w:val="center"/>
              <w:rPr>
                <w:rFonts w:cstheme="minorHAnsi"/>
                <w:bCs/>
                <w:color w:val="0070C0"/>
              </w:rPr>
            </w:pPr>
            <w:r w:rsidRPr="00BA495E">
              <w:rPr>
                <w:rFonts w:cstheme="minorHAnsi"/>
                <w:bCs/>
                <w:color w:val="0070C0"/>
              </w:rPr>
              <w:t>-0.088, 0.997</w:t>
            </w:r>
          </w:p>
        </w:tc>
      </w:tr>
      <w:tr w:rsidR="009B329D" w:rsidRPr="00BA495E" w14:paraId="703EA059" w14:textId="77777777" w:rsidTr="00487246">
        <w:tc>
          <w:tcPr>
            <w:tcW w:w="4320" w:type="dxa"/>
            <w:tcBorders>
              <w:left w:val="single" w:sz="4" w:space="0" w:color="auto"/>
            </w:tcBorders>
          </w:tcPr>
          <w:p w14:paraId="4A487526" w14:textId="77777777" w:rsidR="009B329D" w:rsidRPr="00BA495E" w:rsidRDefault="009B329D" w:rsidP="00487246">
            <w:pPr>
              <w:rPr>
                <w:color w:val="0070C0"/>
              </w:rPr>
            </w:pPr>
            <w:r w:rsidRPr="00BA495E">
              <w:rPr>
                <w:color w:val="0070C0"/>
              </w:rPr>
              <w:t>ROC</w:t>
            </w:r>
          </w:p>
        </w:tc>
        <w:tc>
          <w:tcPr>
            <w:tcW w:w="2700" w:type="dxa"/>
          </w:tcPr>
          <w:p w14:paraId="58C312DD" w14:textId="77777777" w:rsidR="009B329D" w:rsidRPr="00BA495E" w:rsidRDefault="009B329D" w:rsidP="00487246">
            <w:pPr>
              <w:jc w:val="center"/>
              <w:rPr>
                <w:color w:val="0070C0"/>
              </w:rPr>
            </w:pPr>
            <w:r w:rsidRPr="00BA495E">
              <w:rPr>
                <w:color w:val="0070C0"/>
              </w:rPr>
              <w:t>0.827</w:t>
            </w:r>
          </w:p>
        </w:tc>
        <w:tc>
          <w:tcPr>
            <w:tcW w:w="2520" w:type="dxa"/>
            <w:tcBorders>
              <w:right w:val="single" w:sz="4" w:space="0" w:color="auto"/>
            </w:tcBorders>
          </w:tcPr>
          <w:p w14:paraId="4EB77CE1" w14:textId="77777777" w:rsidR="009B329D" w:rsidRPr="00BA495E" w:rsidRDefault="009B329D" w:rsidP="00487246">
            <w:pPr>
              <w:jc w:val="center"/>
              <w:rPr>
                <w:color w:val="0070C0"/>
              </w:rPr>
            </w:pPr>
            <w:r w:rsidRPr="00BA495E">
              <w:rPr>
                <w:color w:val="0070C0"/>
              </w:rPr>
              <w:t>0.831</w:t>
            </w:r>
          </w:p>
        </w:tc>
      </w:tr>
      <w:tr w:rsidR="009B329D" w:rsidRPr="00BA495E" w14:paraId="34DF0B12" w14:textId="77777777" w:rsidTr="00487246">
        <w:tc>
          <w:tcPr>
            <w:tcW w:w="4320" w:type="dxa"/>
            <w:tcBorders>
              <w:left w:val="single" w:sz="4" w:space="0" w:color="auto"/>
            </w:tcBorders>
          </w:tcPr>
          <w:p w14:paraId="2D9A63A7" w14:textId="77777777" w:rsidR="009B329D" w:rsidRPr="00BA495E" w:rsidRDefault="009B329D" w:rsidP="00487246">
            <w:pPr>
              <w:rPr>
                <w:color w:val="0070C0"/>
              </w:rPr>
            </w:pPr>
            <w:r w:rsidRPr="00BA495E">
              <w:rPr>
                <w:color w:val="0070C0"/>
              </w:rPr>
              <w:t xml:space="preserve">Residuals Lack of Fit (Pearson Residual Fall %) </w:t>
            </w:r>
          </w:p>
        </w:tc>
        <w:tc>
          <w:tcPr>
            <w:tcW w:w="2700" w:type="dxa"/>
          </w:tcPr>
          <w:p w14:paraId="16EDD81C" w14:textId="77777777" w:rsidR="009B329D" w:rsidRPr="00BA495E" w:rsidRDefault="009B329D" w:rsidP="00487246">
            <w:pPr>
              <w:jc w:val="center"/>
              <w:rPr>
                <w:color w:val="0070C0"/>
              </w:rPr>
            </w:pPr>
          </w:p>
        </w:tc>
        <w:tc>
          <w:tcPr>
            <w:tcW w:w="2520" w:type="dxa"/>
            <w:tcBorders>
              <w:right w:val="single" w:sz="4" w:space="0" w:color="auto"/>
            </w:tcBorders>
          </w:tcPr>
          <w:p w14:paraId="3D8866DD" w14:textId="77777777" w:rsidR="009B329D" w:rsidRPr="00BA495E" w:rsidRDefault="009B329D" w:rsidP="00487246">
            <w:pPr>
              <w:jc w:val="center"/>
              <w:rPr>
                <w:color w:val="0070C0"/>
              </w:rPr>
            </w:pPr>
          </w:p>
        </w:tc>
      </w:tr>
      <w:tr w:rsidR="009B329D" w:rsidRPr="00BA495E" w14:paraId="0F59950D" w14:textId="77777777" w:rsidTr="00487246">
        <w:tc>
          <w:tcPr>
            <w:tcW w:w="4320" w:type="dxa"/>
            <w:tcBorders>
              <w:left w:val="single" w:sz="4" w:space="0" w:color="auto"/>
            </w:tcBorders>
          </w:tcPr>
          <w:p w14:paraId="6BB882C2" w14:textId="77777777" w:rsidR="009B329D" w:rsidRPr="00BA495E" w:rsidRDefault="009B329D" w:rsidP="00487246">
            <w:pPr>
              <w:rPr>
                <w:color w:val="0070C0"/>
              </w:rPr>
            </w:pPr>
            <w:r w:rsidRPr="00BA495E">
              <w:rPr>
                <w:color w:val="0070C0"/>
              </w:rPr>
              <w:t xml:space="preserve">  &lt;-2</w:t>
            </w:r>
          </w:p>
        </w:tc>
        <w:tc>
          <w:tcPr>
            <w:tcW w:w="2700" w:type="dxa"/>
          </w:tcPr>
          <w:p w14:paraId="207D48C9" w14:textId="77777777" w:rsidR="009B329D" w:rsidRPr="00BA495E" w:rsidRDefault="009B329D" w:rsidP="00487246">
            <w:pPr>
              <w:jc w:val="center"/>
              <w:rPr>
                <w:color w:val="0070C0"/>
              </w:rPr>
            </w:pPr>
            <w:r w:rsidRPr="00BA495E">
              <w:rPr>
                <w:color w:val="0070C0"/>
              </w:rPr>
              <w:t>0.175</w:t>
            </w:r>
          </w:p>
        </w:tc>
        <w:tc>
          <w:tcPr>
            <w:tcW w:w="2520" w:type="dxa"/>
            <w:tcBorders>
              <w:right w:val="single" w:sz="4" w:space="0" w:color="auto"/>
            </w:tcBorders>
          </w:tcPr>
          <w:p w14:paraId="015E07B0" w14:textId="77777777" w:rsidR="009B329D" w:rsidRPr="00BA495E" w:rsidRDefault="009B329D" w:rsidP="00487246">
            <w:pPr>
              <w:jc w:val="center"/>
              <w:rPr>
                <w:color w:val="0070C0"/>
              </w:rPr>
            </w:pPr>
            <w:r w:rsidRPr="00BA495E">
              <w:rPr>
                <w:color w:val="0070C0"/>
              </w:rPr>
              <w:t>0.186</w:t>
            </w:r>
          </w:p>
        </w:tc>
      </w:tr>
      <w:tr w:rsidR="009B329D" w:rsidRPr="00BA495E" w14:paraId="0C2C0E58" w14:textId="77777777" w:rsidTr="00487246">
        <w:tc>
          <w:tcPr>
            <w:tcW w:w="4320" w:type="dxa"/>
            <w:tcBorders>
              <w:left w:val="single" w:sz="4" w:space="0" w:color="auto"/>
            </w:tcBorders>
          </w:tcPr>
          <w:p w14:paraId="7AB7CA58" w14:textId="77777777" w:rsidR="009B329D" w:rsidRPr="00BA495E" w:rsidRDefault="009B329D" w:rsidP="00487246">
            <w:pPr>
              <w:rPr>
                <w:color w:val="0070C0"/>
              </w:rPr>
            </w:pPr>
            <w:r w:rsidRPr="00BA495E">
              <w:rPr>
                <w:color w:val="0070C0"/>
              </w:rPr>
              <w:t xml:space="preserve">  [-2, 0)</w:t>
            </w:r>
          </w:p>
        </w:tc>
        <w:tc>
          <w:tcPr>
            <w:tcW w:w="2700" w:type="dxa"/>
          </w:tcPr>
          <w:p w14:paraId="77DA8744" w14:textId="77777777" w:rsidR="009B329D" w:rsidRPr="00BA495E" w:rsidRDefault="009B329D" w:rsidP="00487246">
            <w:pPr>
              <w:jc w:val="center"/>
              <w:rPr>
                <w:color w:val="0070C0"/>
              </w:rPr>
            </w:pPr>
            <w:r w:rsidRPr="00BA495E">
              <w:rPr>
                <w:color w:val="0070C0"/>
              </w:rPr>
              <w:t>87.285</w:t>
            </w:r>
          </w:p>
        </w:tc>
        <w:tc>
          <w:tcPr>
            <w:tcW w:w="2520" w:type="dxa"/>
            <w:tcBorders>
              <w:right w:val="single" w:sz="4" w:space="0" w:color="auto"/>
            </w:tcBorders>
          </w:tcPr>
          <w:p w14:paraId="15843683" w14:textId="77777777" w:rsidR="009B329D" w:rsidRPr="00BA495E" w:rsidRDefault="009B329D" w:rsidP="00487246">
            <w:pPr>
              <w:jc w:val="center"/>
              <w:rPr>
                <w:color w:val="0070C0"/>
              </w:rPr>
            </w:pPr>
            <w:r w:rsidRPr="00BA495E">
              <w:rPr>
                <w:color w:val="0070C0"/>
              </w:rPr>
              <w:t>87.983</w:t>
            </w:r>
          </w:p>
        </w:tc>
      </w:tr>
      <w:tr w:rsidR="009B329D" w:rsidRPr="00BA495E" w14:paraId="2E53D0E4" w14:textId="77777777" w:rsidTr="00487246">
        <w:tc>
          <w:tcPr>
            <w:tcW w:w="4320" w:type="dxa"/>
            <w:tcBorders>
              <w:left w:val="single" w:sz="4" w:space="0" w:color="auto"/>
            </w:tcBorders>
          </w:tcPr>
          <w:p w14:paraId="112EF5C7" w14:textId="77777777" w:rsidR="009B329D" w:rsidRPr="00BA495E" w:rsidRDefault="009B329D" w:rsidP="00487246">
            <w:pPr>
              <w:rPr>
                <w:color w:val="0070C0"/>
              </w:rPr>
            </w:pPr>
            <w:r w:rsidRPr="00BA495E">
              <w:rPr>
                <w:color w:val="0070C0"/>
              </w:rPr>
              <w:t xml:space="preserve">  [0, 2)</w:t>
            </w:r>
          </w:p>
        </w:tc>
        <w:tc>
          <w:tcPr>
            <w:tcW w:w="2700" w:type="dxa"/>
          </w:tcPr>
          <w:p w14:paraId="5197826C" w14:textId="77777777" w:rsidR="009B329D" w:rsidRPr="00BA495E" w:rsidRDefault="009B329D" w:rsidP="00487246">
            <w:pPr>
              <w:jc w:val="center"/>
              <w:rPr>
                <w:color w:val="0070C0"/>
              </w:rPr>
            </w:pPr>
            <w:r w:rsidRPr="00BA495E">
              <w:rPr>
                <w:color w:val="0070C0"/>
              </w:rPr>
              <w:t>7.171</w:t>
            </w:r>
          </w:p>
        </w:tc>
        <w:tc>
          <w:tcPr>
            <w:tcW w:w="2520" w:type="dxa"/>
            <w:tcBorders>
              <w:right w:val="single" w:sz="4" w:space="0" w:color="auto"/>
            </w:tcBorders>
          </w:tcPr>
          <w:p w14:paraId="3C734CBD" w14:textId="77777777" w:rsidR="009B329D" w:rsidRPr="00BA495E" w:rsidRDefault="009B329D" w:rsidP="00487246">
            <w:pPr>
              <w:jc w:val="center"/>
              <w:rPr>
                <w:color w:val="0070C0"/>
              </w:rPr>
            </w:pPr>
            <w:r w:rsidRPr="00BA495E">
              <w:rPr>
                <w:color w:val="0070C0"/>
              </w:rPr>
              <w:t>6.675</w:t>
            </w:r>
          </w:p>
        </w:tc>
      </w:tr>
      <w:tr w:rsidR="009B329D" w:rsidRPr="00BA495E" w14:paraId="5EC4B886" w14:textId="77777777" w:rsidTr="00487246">
        <w:tc>
          <w:tcPr>
            <w:tcW w:w="4320" w:type="dxa"/>
            <w:tcBorders>
              <w:left w:val="single" w:sz="4" w:space="0" w:color="auto"/>
              <w:bottom w:val="single" w:sz="4" w:space="0" w:color="auto"/>
            </w:tcBorders>
          </w:tcPr>
          <w:p w14:paraId="608199B0" w14:textId="77777777" w:rsidR="009B329D" w:rsidRPr="00BA495E" w:rsidRDefault="009B329D" w:rsidP="00487246">
            <w:pPr>
              <w:rPr>
                <w:color w:val="0070C0"/>
              </w:rPr>
            </w:pPr>
            <w:r w:rsidRPr="00BA495E">
              <w:rPr>
                <w:color w:val="0070C0"/>
              </w:rPr>
              <w:t xml:space="preserve">  [2+</w:t>
            </w:r>
          </w:p>
        </w:tc>
        <w:tc>
          <w:tcPr>
            <w:tcW w:w="2700" w:type="dxa"/>
            <w:tcBorders>
              <w:bottom w:val="single" w:sz="4" w:space="0" w:color="auto"/>
            </w:tcBorders>
          </w:tcPr>
          <w:p w14:paraId="66F1CD20" w14:textId="77777777" w:rsidR="009B329D" w:rsidRPr="00BA495E" w:rsidRDefault="009B329D" w:rsidP="00487246">
            <w:pPr>
              <w:jc w:val="center"/>
              <w:rPr>
                <w:color w:val="0070C0"/>
              </w:rPr>
            </w:pPr>
            <w:r w:rsidRPr="00BA495E">
              <w:rPr>
                <w:color w:val="0070C0"/>
              </w:rPr>
              <w:t>5.369</w:t>
            </w:r>
          </w:p>
        </w:tc>
        <w:tc>
          <w:tcPr>
            <w:tcW w:w="2520" w:type="dxa"/>
            <w:tcBorders>
              <w:bottom w:val="single" w:sz="4" w:space="0" w:color="auto"/>
              <w:right w:val="single" w:sz="4" w:space="0" w:color="auto"/>
            </w:tcBorders>
          </w:tcPr>
          <w:p w14:paraId="65573CCF" w14:textId="77777777" w:rsidR="009B329D" w:rsidRPr="00BA495E" w:rsidRDefault="009B329D" w:rsidP="00487246">
            <w:pPr>
              <w:jc w:val="center"/>
              <w:rPr>
                <w:color w:val="0070C0"/>
              </w:rPr>
            </w:pPr>
            <w:r w:rsidRPr="00BA495E">
              <w:rPr>
                <w:color w:val="0070C0"/>
              </w:rPr>
              <w:t>5.156</w:t>
            </w:r>
          </w:p>
        </w:tc>
      </w:tr>
    </w:tbl>
    <w:p w14:paraId="3EE8E176" w14:textId="77777777" w:rsidR="009B329D" w:rsidRPr="00BA495E" w:rsidRDefault="009B329D" w:rsidP="00092566">
      <w:pPr>
        <w:autoSpaceDE w:val="0"/>
        <w:autoSpaceDN w:val="0"/>
        <w:adjustRightInd w:val="0"/>
        <w:spacing w:after="0" w:line="240" w:lineRule="auto"/>
        <w:rPr>
          <w:rFonts w:cstheme="minorHAnsi"/>
          <w:b/>
          <w:bCs/>
          <w:color w:val="0070C0"/>
        </w:rPr>
      </w:pPr>
    </w:p>
    <w:p w14:paraId="6CCBCC10" w14:textId="77777777" w:rsidR="009B329D" w:rsidRPr="00BA495E" w:rsidRDefault="009C7513" w:rsidP="00092566">
      <w:pPr>
        <w:autoSpaceDE w:val="0"/>
        <w:autoSpaceDN w:val="0"/>
        <w:adjustRightInd w:val="0"/>
        <w:spacing w:after="0" w:line="240" w:lineRule="auto"/>
        <w:rPr>
          <w:rFonts w:cstheme="minorHAnsi"/>
          <w:b/>
          <w:color w:val="0070C0"/>
        </w:rPr>
      </w:pPr>
      <w:r w:rsidRPr="00BA495E">
        <w:rPr>
          <w:rFonts w:cstheme="minorHAnsi"/>
          <w:b/>
          <w:bCs/>
          <w:color w:val="0070C0"/>
        </w:rPr>
        <w:t>2b3</w:t>
      </w:r>
      <w:r w:rsidR="00743E46" w:rsidRPr="00BA495E">
        <w:rPr>
          <w:rFonts w:cstheme="minorHAnsi"/>
          <w:b/>
          <w:bCs/>
          <w:color w:val="0070C0"/>
        </w:rPr>
        <w:t>.8</w:t>
      </w:r>
      <w:r w:rsidR="00001D73" w:rsidRPr="00BA495E">
        <w:rPr>
          <w:rFonts w:cstheme="minorHAnsi"/>
          <w:b/>
          <w:bCs/>
          <w:color w:val="0070C0"/>
        </w:rPr>
        <w:t xml:space="preserve">. </w:t>
      </w:r>
      <w:r w:rsidR="00743E46" w:rsidRPr="00BA495E">
        <w:rPr>
          <w:rFonts w:cstheme="minorHAnsi"/>
          <w:b/>
          <w:bCs/>
          <w:color w:val="0070C0"/>
        </w:rPr>
        <w:t xml:space="preserve">Statistical </w:t>
      </w:r>
      <w:r w:rsidR="00092566" w:rsidRPr="00BA495E">
        <w:rPr>
          <w:rFonts w:cstheme="minorHAnsi"/>
          <w:b/>
          <w:bCs/>
          <w:color w:val="0070C0"/>
        </w:rPr>
        <w:t>Risk Model Calibration – Risk decile plots or calibration curves</w:t>
      </w:r>
      <w:r w:rsidR="00092566" w:rsidRPr="00BA495E">
        <w:rPr>
          <w:rFonts w:cstheme="minorHAnsi"/>
          <w:bCs/>
          <w:color w:val="0070C0"/>
        </w:rPr>
        <w:t>:</w:t>
      </w:r>
      <w:r w:rsidR="00092566" w:rsidRPr="00BA495E">
        <w:rPr>
          <w:rFonts w:cstheme="minorHAnsi"/>
          <w:bCs/>
          <w:color w:val="0070C0"/>
        </w:rPr>
        <w:br/>
      </w:r>
    </w:p>
    <w:tbl>
      <w:tblPr>
        <w:tblStyle w:val="TableGrid2"/>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gridCol w:w="2423"/>
        <w:gridCol w:w="2145"/>
        <w:gridCol w:w="1845"/>
      </w:tblGrid>
      <w:tr w:rsidR="009B329D" w:rsidRPr="00BA495E" w14:paraId="78D1F5F7" w14:textId="77777777" w:rsidTr="00487246">
        <w:tc>
          <w:tcPr>
            <w:tcW w:w="7448" w:type="dxa"/>
            <w:gridSpan w:val="3"/>
            <w:tcBorders>
              <w:top w:val="single" w:sz="4" w:space="0" w:color="auto"/>
              <w:left w:val="single" w:sz="4" w:space="0" w:color="auto"/>
              <w:bottom w:val="single" w:sz="4" w:space="0" w:color="auto"/>
            </w:tcBorders>
            <w:shd w:val="clear" w:color="auto" w:fill="auto"/>
            <w:vAlign w:val="center"/>
          </w:tcPr>
          <w:p w14:paraId="61606949" w14:textId="77777777" w:rsidR="009B329D" w:rsidRPr="00BA495E" w:rsidRDefault="009B329D" w:rsidP="00487246">
            <w:pPr>
              <w:keepNext/>
              <w:rPr>
                <w:rFonts w:cstheme="minorHAnsi"/>
                <w:b/>
                <w:color w:val="0070C0"/>
              </w:rPr>
            </w:pPr>
            <w:r w:rsidRPr="00BA495E">
              <w:rPr>
                <w:rFonts w:cstheme="minorHAnsi"/>
                <w:b/>
                <w:color w:val="0070C0"/>
              </w:rPr>
              <w:t>Table 4. RSMR Model Performance for STEMI or Shock Cohort</w:t>
            </w:r>
          </w:p>
        </w:tc>
        <w:tc>
          <w:tcPr>
            <w:tcW w:w="1845" w:type="dxa"/>
            <w:tcBorders>
              <w:top w:val="single" w:sz="4" w:space="0" w:color="auto"/>
              <w:bottom w:val="single" w:sz="4" w:space="0" w:color="auto"/>
              <w:right w:val="single" w:sz="4" w:space="0" w:color="auto"/>
            </w:tcBorders>
          </w:tcPr>
          <w:p w14:paraId="4AB40FE1" w14:textId="77777777" w:rsidR="009B329D" w:rsidRPr="00BA495E" w:rsidRDefault="009B329D" w:rsidP="00487246">
            <w:pPr>
              <w:keepNext/>
              <w:rPr>
                <w:rFonts w:cstheme="minorHAnsi"/>
                <w:b/>
                <w:color w:val="0070C0"/>
              </w:rPr>
            </w:pPr>
          </w:p>
        </w:tc>
      </w:tr>
      <w:tr w:rsidR="009B329D" w:rsidRPr="00BA495E" w14:paraId="110E96CA" w14:textId="77777777" w:rsidTr="00487246">
        <w:tc>
          <w:tcPr>
            <w:tcW w:w="2880" w:type="dxa"/>
            <w:tcBorders>
              <w:top w:val="single" w:sz="4" w:space="0" w:color="auto"/>
              <w:left w:val="single" w:sz="4" w:space="0" w:color="auto"/>
              <w:bottom w:val="single" w:sz="4" w:space="0" w:color="auto"/>
            </w:tcBorders>
            <w:shd w:val="clear" w:color="auto" w:fill="D9D9D9" w:themeFill="background1" w:themeFillShade="D9"/>
            <w:vAlign w:val="center"/>
          </w:tcPr>
          <w:p w14:paraId="29D5ECA8" w14:textId="77777777" w:rsidR="009B329D" w:rsidRPr="00BA495E" w:rsidRDefault="009B329D" w:rsidP="00487246">
            <w:pPr>
              <w:keepNext/>
              <w:jc w:val="center"/>
              <w:rPr>
                <w:rFonts w:cstheme="minorHAnsi"/>
                <w:b/>
                <w:color w:val="0070C0"/>
              </w:rPr>
            </w:pPr>
            <w:r w:rsidRPr="00BA495E">
              <w:rPr>
                <w:rFonts w:cstheme="minorHAnsi"/>
                <w:b/>
                <w:color w:val="0070C0"/>
              </w:rPr>
              <w:t>Indices</w:t>
            </w:r>
          </w:p>
        </w:tc>
        <w:tc>
          <w:tcPr>
            <w:tcW w:w="2423" w:type="dxa"/>
            <w:tcBorders>
              <w:top w:val="single" w:sz="4" w:space="0" w:color="auto"/>
              <w:bottom w:val="single" w:sz="4" w:space="0" w:color="auto"/>
            </w:tcBorders>
            <w:shd w:val="clear" w:color="auto" w:fill="D9D9D9" w:themeFill="background1" w:themeFillShade="D9"/>
          </w:tcPr>
          <w:p w14:paraId="0EE4C07A" w14:textId="77777777" w:rsidR="009B329D" w:rsidRPr="00BA495E" w:rsidRDefault="009B329D" w:rsidP="00487246">
            <w:pPr>
              <w:keepNext/>
              <w:jc w:val="center"/>
              <w:rPr>
                <w:rFonts w:cstheme="minorHAnsi"/>
                <w:b/>
                <w:color w:val="0070C0"/>
              </w:rPr>
            </w:pPr>
            <w:r w:rsidRPr="00BA495E">
              <w:rPr>
                <w:rFonts w:cstheme="minorHAnsi"/>
                <w:b/>
                <w:color w:val="0070C0"/>
              </w:rPr>
              <w:t>Development Sample</w:t>
            </w:r>
          </w:p>
          <w:p w14:paraId="78B8BAD2" w14:textId="77777777" w:rsidR="009B329D" w:rsidRPr="00BA495E" w:rsidRDefault="009B329D" w:rsidP="00487246">
            <w:pPr>
              <w:keepNext/>
              <w:jc w:val="center"/>
              <w:rPr>
                <w:rFonts w:cstheme="minorHAnsi"/>
                <w:b/>
                <w:color w:val="0070C0"/>
              </w:rPr>
            </w:pPr>
            <w:r w:rsidRPr="00BA495E">
              <w:rPr>
                <w:rFonts w:cstheme="minorHAnsi"/>
                <w:b/>
                <w:color w:val="0070C0"/>
              </w:rPr>
              <w:t>(2010)</w:t>
            </w:r>
          </w:p>
        </w:tc>
        <w:tc>
          <w:tcPr>
            <w:tcW w:w="2145" w:type="dxa"/>
            <w:tcBorders>
              <w:top w:val="single" w:sz="4" w:space="0" w:color="auto"/>
              <w:bottom w:val="single" w:sz="4" w:space="0" w:color="auto"/>
            </w:tcBorders>
            <w:shd w:val="clear" w:color="auto" w:fill="D9D9D9" w:themeFill="background1" w:themeFillShade="D9"/>
          </w:tcPr>
          <w:p w14:paraId="61E3F476" w14:textId="77777777" w:rsidR="009B329D" w:rsidRPr="00BA495E" w:rsidRDefault="009B329D" w:rsidP="00487246">
            <w:pPr>
              <w:keepNext/>
              <w:jc w:val="center"/>
              <w:rPr>
                <w:rFonts w:cstheme="minorHAnsi"/>
                <w:b/>
                <w:color w:val="0070C0"/>
              </w:rPr>
            </w:pPr>
            <w:r w:rsidRPr="00BA495E">
              <w:rPr>
                <w:rFonts w:cstheme="minorHAnsi"/>
                <w:b/>
                <w:color w:val="0070C0"/>
              </w:rPr>
              <w:t>Validation Sample</w:t>
            </w:r>
          </w:p>
          <w:p w14:paraId="01263B8C" w14:textId="77777777" w:rsidR="009B329D" w:rsidRPr="00BA495E" w:rsidRDefault="009B329D" w:rsidP="00487246">
            <w:pPr>
              <w:keepNext/>
              <w:jc w:val="center"/>
              <w:rPr>
                <w:rFonts w:cstheme="minorHAnsi"/>
                <w:b/>
                <w:color w:val="0070C0"/>
              </w:rPr>
            </w:pPr>
            <w:r w:rsidRPr="00BA495E">
              <w:rPr>
                <w:rFonts w:cstheme="minorHAnsi"/>
                <w:b/>
                <w:color w:val="0070C0"/>
              </w:rPr>
              <w:t>(2011)</w:t>
            </w:r>
          </w:p>
        </w:tc>
        <w:tc>
          <w:tcPr>
            <w:tcW w:w="1845" w:type="dxa"/>
            <w:tcBorders>
              <w:top w:val="single" w:sz="4" w:space="0" w:color="auto"/>
              <w:bottom w:val="single" w:sz="4" w:space="0" w:color="auto"/>
              <w:right w:val="single" w:sz="4" w:space="0" w:color="auto"/>
            </w:tcBorders>
            <w:shd w:val="clear" w:color="auto" w:fill="D9D9D9" w:themeFill="background1" w:themeFillShade="D9"/>
          </w:tcPr>
          <w:p w14:paraId="32C713D2" w14:textId="77777777" w:rsidR="009B329D" w:rsidRPr="00BA495E" w:rsidRDefault="009B329D" w:rsidP="00487246">
            <w:pPr>
              <w:keepNext/>
              <w:jc w:val="center"/>
              <w:rPr>
                <w:rFonts w:cstheme="minorHAnsi"/>
                <w:b/>
                <w:color w:val="0070C0"/>
              </w:rPr>
            </w:pPr>
            <w:r w:rsidRPr="00BA495E">
              <w:rPr>
                <w:rFonts w:cstheme="minorHAnsi"/>
                <w:b/>
                <w:color w:val="0070C0"/>
              </w:rPr>
              <w:t>Merged Sample</w:t>
            </w:r>
          </w:p>
          <w:p w14:paraId="1A502E58" w14:textId="77777777" w:rsidR="009B329D" w:rsidRPr="00BA495E" w:rsidRDefault="009B329D" w:rsidP="00487246">
            <w:pPr>
              <w:keepNext/>
              <w:jc w:val="center"/>
              <w:rPr>
                <w:rFonts w:cstheme="minorHAnsi"/>
                <w:b/>
                <w:color w:val="0070C0"/>
              </w:rPr>
            </w:pPr>
            <w:r w:rsidRPr="00BA495E">
              <w:rPr>
                <w:rFonts w:cstheme="minorHAnsi"/>
                <w:b/>
                <w:color w:val="0070C0"/>
              </w:rPr>
              <w:t>(2010-2011)</w:t>
            </w:r>
          </w:p>
        </w:tc>
      </w:tr>
      <w:tr w:rsidR="009B329D" w:rsidRPr="00BA495E" w14:paraId="4B03892E" w14:textId="77777777" w:rsidTr="00487246">
        <w:tc>
          <w:tcPr>
            <w:tcW w:w="2880" w:type="dxa"/>
            <w:tcBorders>
              <w:top w:val="single" w:sz="4" w:space="0" w:color="auto"/>
              <w:left w:val="single" w:sz="4" w:space="0" w:color="auto"/>
            </w:tcBorders>
          </w:tcPr>
          <w:p w14:paraId="77BB70AD" w14:textId="77777777" w:rsidR="009B329D" w:rsidRPr="00BA495E" w:rsidRDefault="009B329D" w:rsidP="00487246">
            <w:pPr>
              <w:rPr>
                <w:rFonts w:cstheme="minorHAnsi"/>
                <w:color w:val="0070C0"/>
              </w:rPr>
            </w:pPr>
            <w:r w:rsidRPr="00BA495E">
              <w:rPr>
                <w:rFonts w:cstheme="minorHAnsi"/>
                <w:color w:val="0070C0"/>
              </w:rPr>
              <w:t>Number of hospitals</w:t>
            </w:r>
          </w:p>
        </w:tc>
        <w:tc>
          <w:tcPr>
            <w:tcW w:w="2423" w:type="dxa"/>
            <w:tcBorders>
              <w:top w:val="single" w:sz="4" w:space="0" w:color="auto"/>
            </w:tcBorders>
            <w:vAlign w:val="center"/>
          </w:tcPr>
          <w:p w14:paraId="6CDE8243" w14:textId="77777777" w:rsidR="009B329D" w:rsidRPr="00BA495E" w:rsidRDefault="009B329D" w:rsidP="00487246">
            <w:pPr>
              <w:jc w:val="center"/>
              <w:rPr>
                <w:rFonts w:cstheme="minorHAnsi"/>
                <w:color w:val="0070C0"/>
              </w:rPr>
            </w:pPr>
            <w:r w:rsidRPr="00BA495E">
              <w:rPr>
                <w:rFonts w:cstheme="minorHAnsi"/>
                <w:color w:val="0070C0"/>
              </w:rPr>
              <w:t>1,072</w:t>
            </w:r>
          </w:p>
        </w:tc>
        <w:tc>
          <w:tcPr>
            <w:tcW w:w="2145" w:type="dxa"/>
            <w:tcBorders>
              <w:top w:val="single" w:sz="4" w:space="0" w:color="auto"/>
            </w:tcBorders>
            <w:vAlign w:val="center"/>
          </w:tcPr>
          <w:p w14:paraId="2F382BAB" w14:textId="77777777" w:rsidR="009B329D" w:rsidRPr="00BA495E" w:rsidRDefault="009B329D" w:rsidP="00487246">
            <w:pPr>
              <w:jc w:val="center"/>
              <w:rPr>
                <w:rFonts w:cstheme="minorHAnsi"/>
                <w:color w:val="0070C0"/>
              </w:rPr>
            </w:pPr>
            <w:r w:rsidRPr="00BA495E">
              <w:rPr>
                <w:rFonts w:cstheme="minorHAnsi"/>
                <w:color w:val="0070C0"/>
              </w:rPr>
              <w:t>1,156</w:t>
            </w:r>
          </w:p>
        </w:tc>
        <w:tc>
          <w:tcPr>
            <w:tcW w:w="1845" w:type="dxa"/>
            <w:tcBorders>
              <w:top w:val="single" w:sz="4" w:space="0" w:color="auto"/>
              <w:right w:val="single" w:sz="4" w:space="0" w:color="auto"/>
            </w:tcBorders>
          </w:tcPr>
          <w:p w14:paraId="18F0052F" w14:textId="77777777" w:rsidR="009B329D" w:rsidRPr="00BA495E" w:rsidRDefault="009B329D" w:rsidP="00487246">
            <w:pPr>
              <w:jc w:val="center"/>
              <w:rPr>
                <w:rFonts w:cstheme="minorHAnsi"/>
                <w:color w:val="0070C0"/>
              </w:rPr>
            </w:pPr>
            <w:r w:rsidRPr="00BA495E">
              <w:rPr>
                <w:rFonts w:cstheme="minorHAnsi"/>
                <w:color w:val="0070C0"/>
              </w:rPr>
              <w:t>1,182</w:t>
            </w:r>
          </w:p>
        </w:tc>
      </w:tr>
      <w:tr w:rsidR="009B329D" w:rsidRPr="00BA495E" w14:paraId="41F52F7E" w14:textId="77777777" w:rsidTr="00487246">
        <w:tc>
          <w:tcPr>
            <w:tcW w:w="2880" w:type="dxa"/>
            <w:tcBorders>
              <w:left w:val="single" w:sz="4" w:space="0" w:color="auto"/>
            </w:tcBorders>
          </w:tcPr>
          <w:p w14:paraId="61B290E3" w14:textId="77777777" w:rsidR="009B329D" w:rsidRPr="00BA495E" w:rsidRDefault="009B329D" w:rsidP="00487246">
            <w:pPr>
              <w:rPr>
                <w:rFonts w:cstheme="minorHAnsi"/>
                <w:color w:val="0070C0"/>
              </w:rPr>
            </w:pPr>
            <w:r w:rsidRPr="00BA495E">
              <w:rPr>
                <w:rFonts w:cstheme="minorHAnsi"/>
                <w:color w:val="0070C0"/>
              </w:rPr>
              <w:t>Number of admissions</w:t>
            </w:r>
          </w:p>
        </w:tc>
        <w:tc>
          <w:tcPr>
            <w:tcW w:w="2423" w:type="dxa"/>
            <w:vAlign w:val="center"/>
          </w:tcPr>
          <w:p w14:paraId="1A6D32E1" w14:textId="77777777" w:rsidR="009B329D" w:rsidRPr="00BA495E" w:rsidRDefault="009B329D" w:rsidP="00487246">
            <w:pPr>
              <w:jc w:val="center"/>
              <w:rPr>
                <w:rFonts w:cstheme="minorHAnsi"/>
                <w:color w:val="0070C0"/>
              </w:rPr>
            </w:pPr>
            <w:r w:rsidRPr="00BA495E">
              <w:rPr>
                <w:rFonts w:cstheme="minorHAnsi"/>
                <w:color w:val="0070C0"/>
              </w:rPr>
              <w:t>23,699</w:t>
            </w:r>
          </w:p>
        </w:tc>
        <w:tc>
          <w:tcPr>
            <w:tcW w:w="2145" w:type="dxa"/>
            <w:vAlign w:val="center"/>
          </w:tcPr>
          <w:p w14:paraId="6A45901E" w14:textId="77777777" w:rsidR="009B329D" w:rsidRPr="00BA495E" w:rsidRDefault="009B329D" w:rsidP="00487246">
            <w:pPr>
              <w:jc w:val="center"/>
              <w:rPr>
                <w:rFonts w:cstheme="minorHAnsi"/>
                <w:color w:val="0070C0"/>
              </w:rPr>
            </w:pPr>
            <w:r w:rsidRPr="00BA495E">
              <w:rPr>
                <w:rFonts w:cstheme="minorHAnsi"/>
                <w:color w:val="0070C0"/>
              </w:rPr>
              <w:t>24,640</w:t>
            </w:r>
          </w:p>
        </w:tc>
        <w:tc>
          <w:tcPr>
            <w:tcW w:w="1845" w:type="dxa"/>
            <w:tcBorders>
              <w:right w:val="single" w:sz="4" w:space="0" w:color="auto"/>
            </w:tcBorders>
          </w:tcPr>
          <w:p w14:paraId="09B6B973" w14:textId="77777777" w:rsidR="009B329D" w:rsidRPr="00BA495E" w:rsidRDefault="009B329D" w:rsidP="00487246">
            <w:pPr>
              <w:jc w:val="center"/>
              <w:rPr>
                <w:rFonts w:cstheme="minorHAnsi"/>
                <w:color w:val="0070C0"/>
              </w:rPr>
            </w:pPr>
            <w:r w:rsidRPr="00BA495E">
              <w:rPr>
                <w:rFonts w:cstheme="minorHAnsi"/>
                <w:color w:val="0070C0"/>
              </w:rPr>
              <w:t>48,339</w:t>
            </w:r>
          </w:p>
        </w:tc>
      </w:tr>
      <w:tr w:rsidR="009B329D" w:rsidRPr="00BA495E" w14:paraId="734DDF09" w14:textId="77777777" w:rsidTr="00487246">
        <w:trPr>
          <w:trHeight w:val="180"/>
        </w:trPr>
        <w:tc>
          <w:tcPr>
            <w:tcW w:w="2880" w:type="dxa"/>
            <w:tcBorders>
              <w:left w:val="single" w:sz="4" w:space="0" w:color="auto"/>
            </w:tcBorders>
            <w:vAlign w:val="center"/>
          </w:tcPr>
          <w:p w14:paraId="762BCFE2" w14:textId="77777777" w:rsidR="009B329D" w:rsidRPr="00BA495E" w:rsidRDefault="009B329D" w:rsidP="00487246">
            <w:pPr>
              <w:ind w:left="72" w:hanging="72"/>
              <w:rPr>
                <w:rFonts w:cstheme="minorHAnsi"/>
                <w:color w:val="0070C0"/>
              </w:rPr>
            </w:pPr>
            <w:r w:rsidRPr="00BA495E">
              <w:rPr>
                <w:rFonts w:cstheme="minorHAnsi"/>
                <w:color w:val="0070C0"/>
              </w:rPr>
              <w:t>RSMR</w:t>
            </w:r>
          </w:p>
        </w:tc>
        <w:tc>
          <w:tcPr>
            <w:tcW w:w="2423" w:type="dxa"/>
            <w:vAlign w:val="center"/>
          </w:tcPr>
          <w:p w14:paraId="09D30C83" w14:textId="77777777" w:rsidR="009B329D" w:rsidRPr="00BA495E" w:rsidRDefault="009B329D" w:rsidP="00487246">
            <w:pPr>
              <w:jc w:val="center"/>
              <w:rPr>
                <w:rFonts w:cstheme="minorHAnsi"/>
                <w:color w:val="0070C0"/>
              </w:rPr>
            </w:pPr>
          </w:p>
        </w:tc>
        <w:tc>
          <w:tcPr>
            <w:tcW w:w="2145" w:type="dxa"/>
            <w:vAlign w:val="center"/>
          </w:tcPr>
          <w:p w14:paraId="0093B75D" w14:textId="77777777" w:rsidR="009B329D" w:rsidRPr="00BA495E" w:rsidRDefault="009B329D" w:rsidP="00487246">
            <w:pPr>
              <w:jc w:val="center"/>
              <w:rPr>
                <w:rFonts w:cstheme="minorHAnsi"/>
                <w:color w:val="0070C0"/>
              </w:rPr>
            </w:pPr>
          </w:p>
        </w:tc>
        <w:tc>
          <w:tcPr>
            <w:tcW w:w="1845" w:type="dxa"/>
            <w:tcBorders>
              <w:right w:val="single" w:sz="4" w:space="0" w:color="auto"/>
            </w:tcBorders>
          </w:tcPr>
          <w:p w14:paraId="3DEE1FFC" w14:textId="77777777" w:rsidR="009B329D" w:rsidRPr="00BA495E" w:rsidRDefault="009B329D" w:rsidP="00487246">
            <w:pPr>
              <w:jc w:val="center"/>
              <w:rPr>
                <w:rFonts w:cstheme="minorHAnsi"/>
                <w:color w:val="0070C0"/>
              </w:rPr>
            </w:pPr>
          </w:p>
        </w:tc>
      </w:tr>
      <w:tr w:rsidR="009B329D" w:rsidRPr="00BA495E" w14:paraId="55C3B800" w14:textId="77777777" w:rsidTr="00487246">
        <w:tc>
          <w:tcPr>
            <w:tcW w:w="2880" w:type="dxa"/>
            <w:tcBorders>
              <w:left w:val="single" w:sz="4" w:space="0" w:color="auto"/>
            </w:tcBorders>
            <w:vAlign w:val="center"/>
          </w:tcPr>
          <w:p w14:paraId="0D72556F" w14:textId="77777777" w:rsidR="009B329D" w:rsidRPr="00BA495E" w:rsidRDefault="009B329D" w:rsidP="00487246">
            <w:pPr>
              <w:ind w:left="162"/>
              <w:rPr>
                <w:rFonts w:cstheme="minorHAnsi"/>
                <w:color w:val="0070C0"/>
              </w:rPr>
            </w:pPr>
            <w:r w:rsidRPr="00BA495E">
              <w:rPr>
                <w:rFonts w:cstheme="minorHAnsi"/>
                <w:color w:val="0070C0"/>
              </w:rPr>
              <w:t>100% Max</w:t>
            </w:r>
          </w:p>
        </w:tc>
        <w:tc>
          <w:tcPr>
            <w:tcW w:w="2423" w:type="dxa"/>
            <w:vAlign w:val="bottom"/>
          </w:tcPr>
          <w:p w14:paraId="76442BDC" w14:textId="77777777" w:rsidR="009B329D" w:rsidRPr="00BA495E" w:rsidRDefault="009B329D" w:rsidP="00487246">
            <w:pPr>
              <w:jc w:val="center"/>
              <w:rPr>
                <w:rFonts w:cstheme="minorHAnsi"/>
                <w:color w:val="0070C0"/>
              </w:rPr>
            </w:pPr>
            <w:r w:rsidRPr="00BA495E">
              <w:rPr>
                <w:rFonts w:eastAsia="Times New Roman" w:cs="Arial"/>
                <w:color w:val="0070C0"/>
              </w:rPr>
              <w:t>0.2077</w:t>
            </w:r>
          </w:p>
        </w:tc>
        <w:tc>
          <w:tcPr>
            <w:tcW w:w="2145" w:type="dxa"/>
            <w:vAlign w:val="bottom"/>
          </w:tcPr>
          <w:p w14:paraId="30537B07" w14:textId="77777777" w:rsidR="009B329D" w:rsidRPr="00BA495E" w:rsidRDefault="009B329D" w:rsidP="00487246">
            <w:pPr>
              <w:jc w:val="center"/>
              <w:rPr>
                <w:rFonts w:cstheme="minorHAnsi"/>
                <w:color w:val="0070C0"/>
              </w:rPr>
            </w:pPr>
            <w:r w:rsidRPr="00BA495E">
              <w:rPr>
                <w:rFonts w:eastAsia="Times New Roman" w:cs="Arial"/>
                <w:color w:val="0070C0"/>
              </w:rPr>
              <w:t>0.2275</w:t>
            </w:r>
          </w:p>
        </w:tc>
        <w:tc>
          <w:tcPr>
            <w:tcW w:w="1845" w:type="dxa"/>
            <w:tcBorders>
              <w:right w:val="single" w:sz="4" w:space="0" w:color="auto"/>
            </w:tcBorders>
            <w:vAlign w:val="bottom"/>
          </w:tcPr>
          <w:p w14:paraId="0DA388CC" w14:textId="77777777" w:rsidR="009B329D" w:rsidRPr="00BA495E" w:rsidRDefault="009B329D" w:rsidP="00487246">
            <w:pPr>
              <w:jc w:val="center"/>
              <w:rPr>
                <w:rFonts w:cstheme="minorHAnsi"/>
                <w:color w:val="0070C0"/>
              </w:rPr>
            </w:pPr>
            <w:r w:rsidRPr="00BA495E">
              <w:rPr>
                <w:rFonts w:eastAsia="Times New Roman" w:cs="Arial"/>
                <w:color w:val="0070C0"/>
              </w:rPr>
              <w:t>0.1983</w:t>
            </w:r>
          </w:p>
        </w:tc>
      </w:tr>
      <w:tr w:rsidR="009B329D" w:rsidRPr="00BA495E" w14:paraId="587B04BD" w14:textId="77777777" w:rsidTr="00487246">
        <w:tc>
          <w:tcPr>
            <w:tcW w:w="2880" w:type="dxa"/>
            <w:tcBorders>
              <w:left w:val="single" w:sz="4" w:space="0" w:color="auto"/>
            </w:tcBorders>
            <w:vAlign w:val="center"/>
          </w:tcPr>
          <w:p w14:paraId="5076B330" w14:textId="77777777" w:rsidR="009B329D" w:rsidRPr="00BA495E" w:rsidRDefault="009B329D" w:rsidP="00487246">
            <w:pPr>
              <w:ind w:left="162"/>
              <w:rPr>
                <w:rFonts w:cstheme="minorHAnsi"/>
                <w:color w:val="0070C0"/>
              </w:rPr>
            </w:pPr>
            <w:r w:rsidRPr="00BA495E">
              <w:rPr>
                <w:rFonts w:cstheme="minorHAnsi"/>
                <w:color w:val="0070C0"/>
              </w:rPr>
              <w:t>99%</w:t>
            </w:r>
          </w:p>
        </w:tc>
        <w:tc>
          <w:tcPr>
            <w:tcW w:w="2423" w:type="dxa"/>
            <w:vAlign w:val="bottom"/>
          </w:tcPr>
          <w:p w14:paraId="74C51472" w14:textId="77777777" w:rsidR="009B329D" w:rsidRPr="00BA495E" w:rsidRDefault="009B329D" w:rsidP="00487246">
            <w:pPr>
              <w:jc w:val="center"/>
              <w:rPr>
                <w:rFonts w:cstheme="minorHAnsi"/>
                <w:color w:val="0070C0"/>
              </w:rPr>
            </w:pPr>
            <w:r w:rsidRPr="00BA495E">
              <w:rPr>
                <w:rFonts w:eastAsia="Times New Roman" w:cs="Arial"/>
                <w:color w:val="0070C0"/>
              </w:rPr>
              <w:t>0.1747</w:t>
            </w:r>
          </w:p>
        </w:tc>
        <w:tc>
          <w:tcPr>
            <w:tcW w:w="2145" w:type="dxa"/>
            <w:vAlign w:val="bottom"/>
          </w:tcPr>
          <w:p w14:paraId="47AE5BB7" w14:textId="77777777" w:rsidR="009B329D" w:rsidRPr="00BA495E" w:rsidRDefault="009B329D" w:rsidP="00487246">
            <w:pPr>
              <w:jc w:val="center"/>
              <w:rPr>
                <w:rFonts w:cstheme="minorHAnsi"/>
                <w:color w:val="0070C0"/>
              </w:rPr>
            </w:pPr>
            <w:r w:rsidRPr="00BA495E">
              <w:rPr>
                <w:rFonts w:eastAsia="Times New Roman" w:cs="Arial"/>
                <w:color w:val="0070C0"/>
              </w:rPr>
              <w:t>0.1906</w:t>
            </w:r>
          </w:p>
        </w:tc>
        <w:tc>
          <w:tcPr>
            <w:tcW w:w="1845" w:type="dxa"/>
            <w:tcBorders>
              <w:right w:val="single" w:sz="4" w:space="0" w:color="auto"/>
            </w:tcBorders>
            <w:vAlign w:val="bottom"/>
          </w:tcPr>
          <w:p w14:paraId="07015087" w14:textId="77777777" w:rsidR="009B329D" w:rsidRPr="00BA495E" w:rsidRDefault="009B329D" w:rsidP="00487246">
            <w:pPr>
              <w:jc w:val="center"/>
              <w:rPr>
                <w:rFonts w:cstheme="minorHAnsi"/>
                <w:color w:val="0070C0"/>
              </w:rPr>
            </w:pPr>
            <w:r w:rsidRPr="00BA495E">
              <w:rPr>
                <w:rFonts w:eastAsia="Times New Roman" w:cs="Arial"/>
                <w:color w:val="0070C0"/>
              </w:rPr>
              <w:t>0.1813</w:t>
            </w:r>
          </w:p>
        </w:tc>
      </w:tr>
      <w:tr w:rsidR="009B329D" w:rsidRPr="00BA495E" w14:paraId="5A236BAA" w14:textId="77777777" w:rsidTr="00487246">
        <w:tc>
          <w:tcPr>
            <w:tcW w:w="2880" w:type="dxa"/>
            <w:tcBorders>
              <w:left w:val="single" w:sz="4" w:space="0" w:color="auto"/>
            </w:tcBorders>
            <w:vAlign w:val="center"/>
          </w:tcPr>
          <w:p w14:paraId="02719B42" w14:textId="77777777" w:rsidR="009B329D" w:rsidRPr="00BA495E" w:rsidRDefault="009B329D" w:rsidP="00487246">
            <w:pPr>
              <w:ind w:left="162"/>
              <w:rPr>
                <w:rFonts w:cstheme="minorHAnsi"/>
                <w:color w:val="0070C0"/>
              </w:rPr>
            </w:pPr>
            <w:r w:rsidRPr="00BA495E">
              <w:rPr>
                <w:rFonts w:cstheme="minorHAnsi"/>
                <w:color w:val="0070C0"/>
              </w:rPr>
              <w:t>95%</w:t>
            </w:r>
          </w:p>
        </w:tc>
        <w:tc>
          <w:tcPr>
            <w:tcW w:w="2423" w:type="dxa"/>
            <w:vAlign w:val="bottom"/>
          </w:tcPr>
          <w:p w14:paraId="5B5DE939" w14:textId="77777777" w:rsidR="009B329D" w:rsidRPr="00BA495E" w:rsidRDefault="009B329D" w:rsidP="00487246">
            <w:pPr>
              <w:jc w:val="center"/>
              <w:rPr>
                <w:rFonts w:cstheme="minorHAnsi"/>
                <w:color w:val="0070C0"/>
              </w:rPr>
            </w:pPr>
            <w:r w:rsidRPr="00BA495E">
              <w:rPr>
                <w:rFonts w:eastAsia="Times New Roman" w:cs="Arial"/>
                <w:color w:val="0070C0"/>
              </w:rPr>
              <w:t>0.1578</w:t>
            </w:r>
          </w:p>
        </w:tc>
        <w:tc>
          <w:tcPr>
            <w:tcW w:w="2145" w:type="dxa"/>
            <w:vAlign w:val="bottom"/>
          </w:tcPr>
          <w:p w14:paraId="3CC91D08" w14:textId="77777777" w:rsidR="009B329D" w:rsidRPr="00BA495E" w:rsidRDefault="009B329D" w:rsidP="00487246">
            <w:pPr>
              <w:jc w:val="center"/>
              <w:rPr>
                <w:rFonts w:cstheme="minorHAnsi"/>
                <w:color w:val="0070C0"/>
              </w:rPr>
            </w:pPr>
            <w:r w:rsidRPr="00BA495E">
              <w:rPr>
                <w:rFonts w:eastAsia="Times New Roman" w:cs="Arial"/>
                <w:color w:val="0070C0"/>
              </w:rPr>
              <w:t>0.1661</w:t>
            </w:r>
          </w:p>
        </w:tc>
        <w:tc>
          <w:tcPr>
            <w:tcW w:w="1845" w:type="dxa"/>
            <w:tcBorders>
              <w:right w:val="single" w:sz="4" w:space="0" w:color="auto"/>
            </w:tcBorders>
            <w:vAlign w:val="bottom"/>
          </w:tcPr>
          <w:p w14:paraId="0A6B86EA" w14:textId="77777777" w:rsidR="009B329D" w:rsidRPr="00BA495E" w:rsidRDefault="009B329D" w:rsidP="00487246">
            <w:pPr>
              <w:jc w:val="center"/>
              <w:rPr>
                <w:rFonts w:cstheme="minorHAnsi"/>
                <w:color w:val="0070C0"/>
              </w:rPr>
            </w:pPr>
            <w:r w:rsidRPr="00BA495E">
              <w:rPr>
                <w:rFonts w:eastAsia="Times New Roman" w:cs="Arial"/>
                <w:color w:val="0070C0"/>
              </w:rPr>
              <w:t>0.1616</w:t>
            </w:r>
          </w:p>
        </w:tc>
      </w:tr>
      <w:tr w:rsidR="009B329D" w:rsidRPr="00BA495E" w14:paraId="682E3950" w14:textId="77777777" w:rsidTr="00487246">
        <w:tc>
          <w:tcPr>
            <w:tcW w:w="2880" w:type="dxa"/>
            <w:tcBorders>
              <w:left w:val="single" w:sz="4" w:space="0" w:color="auto"/>
            </w:tcBorders>
            <w:vAlign w:val="center"/>
          </w:tcPr>
          <w:p w14:paraId="1BE63C7D" w14:textId="77777777" w:rsidR="009B329D" w:rsidRPr="00BA495E" w:rsidRDefault="009B329D" w:rsidP="00487246">
            <w:pPr>
              <w:ind w:left="162"/>
              <w:rPr>
                <w:rFonts w:cstheme="minorHAnsi"/>
                <w:color w:val="0070C0"/>
              </w:rPr>
            </w:pPr>
            <w:r w:rsidRPr="00BA495E">
              <w:rPr>
                <w:rFonts w:cstheme="minorHAnsi"/>
                <w:color w:val="0070C0"/>
              </w:rPr>
              <w:t>90%</w:t>
            </w:r>
          </w:p>
        </w:tc>
        <w:tc>
          <w:tcPr>
            <w:tcW w:w="2423" w:type="dxa"/>
            <w:vAlign w:val="bottom"/>
          </w:tcPr>
          <w:p w14:paraId="6AAB582E" w14:textId="77777777" w:rsidR="009B329D" w:rsidRPr="00BA495E" w:rsidRDefault="009B329D" w:rsidP="00487246">
            <w:pPr>
              <w:jc w:val="center"/>
              <w:rPr>
                <w:rFonts w:cstheme="minorHAnsi"/>
                <w:color w:val="0070C0"/>
              </w:rPr>
            </w:pPr>
            <w:r w:rsidRPr="00BA495E">
              <w:rPr>
                <w:rFonts w:eastAsia="Times New Roman" w:cs="Arial"/>
                <w:color w:val="0070C0"/>
              </w:rPr>
              <w:t>0.1452</w:t>
            </w:r>
          </w:p>
        </w:tc>
        <w:tc>
          <w:tcPr>
            <w:tcW w:w="2145" w:type="dxa"/>
            <w:vAlign w:val="bottom"/>
          </w:tcPr>
          <w:p w14:paraId="4A62D592" w14:textId="77777777" w:rsidR="009B329D" w:rsidRPr="00BA495E" w:rsidRDefault="009B329D" w:rsidP="00487246">
            <w:pPr>
              <w:jc w:val="center"/>
              <w:rPr>
                <w:rFonts w:cstheme="minorHAnsi"/>
                <w:color w:val="0070C0"/>
              </w:rPr>
            </w:pPr>
            <w:r w:rsidRPr="00BA495E">
              <w:rPr>
                <w:rFonts w:eastAsia="Times New Roman" w:cs="Arial"/>
                <w:color w:val="0070C0"/>
              </w:rPr>
              <w:t>0.1542</w:t>
            </w:r>
          </w:p>
        </w:tc>
        <w:tc>
          <w:tcPr>
            <w:tcW w:w="1845" w:type="dxa"/>
            <w:tcBorders>
              <w:right w:val="single" w:sz="4" w:space="0" w:color="auto"/>
            </w:tcBorders>
            <w:vAlign w:val="bottom"/>
          </w:tcPr>
          <w:p w14:paraId="4CA81B5A" w14:textId="77777777" w:rsidR="009B329D" w:rsidRPr="00BA495E" w:rsidRDefault="009B329D" w:rsidP="00487246">
            <w:pPr>
              <w:jc w:val="center"/>
              <w:rPr>
                <w:rFonts w:cstheme="minorHAnsi"/>
                <w:color w:val="0070C0"/>
              </w:rPr>
            </w:pPr>
            <w:r w:rsidRPr="00BA495E">
              <w:rPr>
                <w:rFonts w:eastAsia="Times New Roman" w:cs="Arial"/>
                <w:color w:val="0070C0"/>
              </w:rPr>
              <w:t>0.1496</w:t>
            </w:r>
          </w:p>
        </w:tc>
      </w:tr>
      <w:tr w:rsidR="009B329D" w:rsidRPr="00BA495E" w14:paraId="29385024" w14:textId="77777777" w:rsidTr="00487246">
        <w:tc>
          <w:tcPr>
            <w:tcW w:w="2880" w:type="dxa"/>
            <w:tcBorders>
              <w:left w:val="single" w:sz="4" w:space="0" w:color="auto"/>
            </w:tcBorders>
            <w:vAlign w:val="center"/>
          </w:tcPr>
          <w:p w14:paraId="5059A84C" w14:textId="77777777" w:rsidR="009B329D" w:rsidRPr="00BA495E" w:rsidRDefault="009B329D" w:rsidP="00487246">
            <w:pPr>
              <w:ind w:left="162"/>
              <w:rPr>
                <w:rFonts w:cstheme="minorHAnsi"/>
                <w:color w:val="0070C0"/>
              </w:rPr>
            </w:pPr>
            <w:r w:rsidRPr="00BA495E">
              <w:rPr>
                <w:rFonts w:cstheme="minorHAnsi"/>
                <w:color w:val="0070C0"/>
              </w:rPr>
              <w:t xml:space="preserve">75% </w:t>
            </w:r>
          </w:p>
        </w:tc>
        <w:tc>
          <w:tcPr>
            <w:tcW w:w="2423" w:type="dxa"/>
            <w:vAlign w:val="bottom"/>
          </w:tcPr>
          <w:p w14:paraId="1A9A5D94" w14:textId="77777777" w:rsidR="009B329D" w:rsidRPr="00BA495E" w:rsidRDefault="009B329D" w:rsidP="00487246">
            <w:pPr>
              <w:jc w:val="center"/>
              <w:rPr>
                <w:rFonts w:cstheme="minorHAnsi"/>
                <w:color w:val="0070C0"/>
              </w:rPr>
            </w:pPr>
            <w:r w:rsidRPr="00BA495E">
              <w:rPr>
                <w:rFonts w:eastAsia="Times New Roman" w:cs="Arial"/>
                <w:color w:val="0070C0"/>
              </w:rPr>
              <w:t>0.1297</w:t>
            </w:r>
          </w:p>
        </w:tc>
        <w:tc>
          <w:tcPr>
            <w:tcW w:w="2145" w:type="dxa"/>
            <w:vAlign w:val="bottom"/>
          </w:tcPr>
          <w:p w14:paraId="2F04B4CF" w14:textId="77777777" w:rsidR="009B329D" w:rsidRPr="00BA495E" w:rsidRDefault="009B329D" w:rsidP="00487246">
            <w:pPr>
              <w:jc w:val="center"/>
              <w:rPr>
                <w:rFonts w:cstheme="minorHAnsi"/>
                <w:color w:val="0070C0"/>
              </w:rPr>
            </w:pPr>
            <w:r w:rsidRPr="00BA495E">
              <w:rPr>
                <w:rFonts w:eastAsia="Times New Roman" w:cs="Arial"/>
                <w:color w:val="0070C0"/>
              </w:rPr>
              <w:t>0.1378</w:t>
            </w:r>
          </w:p>
        </w:tc>
        <w:tc>
          <w:tcPr>
            <w:tcW w:w="1845" w:type="dxa"/>
            <w:tcBorders>
              <w:right w:val="single" w:sz="4" w:space="0" w:color="auto"/>
            </w:tcBorders>
            <w:vAlign w:val="bottom"/>
          </w:tcPr>
          <w:p w14:paraId="62992BF5" w14:textId="77777777" w:rsidR="009B329D" w:rsidRPr="00BA495E" w:rsidRDefault="009B329D" w:rsidP="00487246">
            <w:pPr>
              <w:jc w:val="center"/>
              <w:rPr>
                <w:rFonts w:cstheme="minorHAnsi"/>
                <w:color w:val="0070C0"/>
              </w:rPr>
            </w:pPr>
            <w:r w:rsidRPr="00BA495E">
              <w:rPr>
                <w:rFonts w:eastAsia="Times New Roman" w:cs="Arial"/>
                <w:color w:val="0070C0"/>
              </w:rPr>
              <w:t>0.1331</w:t>
            </w:r>
          </w:p>
        </w:tc>
      </w:tr>
      <w:tr w:rsidR="009B329D" w:rsidRPr="00BA495E" w14:paraId="0A7D84A7" w14:textId="77777777" w:rsidTr="00487246">
        <w:tc>
          <w:tcPr>
            <w:tcW w:w="2880" w:type="dxa"/>
            <w:tcBorders>
              <w:left w:val="single" w:sz="4" w:space="0" w:color="auto"/>
            </w:tcBorders>
            <w:vAlign w:val="center"/>
          </w:tcPr>
          <w:p w14:paraId="70672B66" w14:textId="77777777" w:rsidR="009B329D" w:rsidRPr="00BA495E" w:rsidRDefault="009B329D" w:rsidP="00487246">
            <w:pPr>
              <w:ind w:left="162"/>
              <w:rPr>
                <w:rFonts w:cstheme="minorHAnsi"/>
                <w:color w:val="0070C0"/>
              </w:rPr>
            </w:pPr>
            <w:r w:rsidRPr="00BA495E">
              <w:rPr>
                <w:rFonts w:cstheme="minorHAnsi"/>
                <w:color w:val="0070C0"/>
              </w:rPr>
              <w:t>50% Median</w:t>
            </w:r>
          </w:p>
        </w:tc>
        <w:tc>
          <w:tcPr>
            <w:tcW w:w="2423" w:type="dxa"/>
            <w:vAlign w:val="bottom"/>
          </w:tcPr>
          <w:p w14:paraId="40F8DC58" w14:textId="77777777" w:rsidR="009B329D" w:rsidRPr="00BA495E" w:rsidRDefault="009B329D" w:rsidP="00487246">
            <w:pPr>
              <w:jc w:val="center"/>
              <w:rPr>
                <w:rFonts w:cstheme="minorHAnsi"/>
                <w:color w:val="0070C0"/>
              </w:rPr>
            </w:pPr>
            <w:r w:rsidRPr="00BA495E">
              <w:rPr>
                <w:rFonts w:eastAsia="Times New Roman" w:cs="Arial"/>
                <w:color w:val="0070C0"/>
              </w:rPr>
              <w:t>0.1159</w:t>
            </w:r>
          </w:p>
        </w:tc>
        <w:tc>
          <w:tcPr>
            <w:tcW w:w="2145" w:type="dxa"/>
            <w:vAlign w:val="bottom"/>
          </w:tcPr>
          <w:p w14:paraId="2629F237" w14:textId="77777777" w:rsidR="009B329D" w:rsidRPr="00BA495E" w:rsidRDefault="009B329D" w:rsidP="00487246">
            <w:pPr>
              <w:jc w:val="center"/>
              <w:rPr>
                <w:rFonts w:cstheme="minorHAnsi"/>
                <w:color w:val="0070C0"/>
              </w:rPr>
            </w:pPr>
            <w:r w:rsidRPr="00BA495E">
              <w:rPr>
                <w:rFonts w:eastAsia="Times New Roman" w:cs="Arial"/>
                <w:color w:val="0070C0"/>
              </w:rPr>
              <w:t>0.1249</w:t>
            </w:r>
          </w:p>
        </w:tc>
        <w:tc>
          <w:tcPr>
            <w:tcW w:w="1845" w:type="dxa"/>
            <w:tcBorders>
              <w:right w:val="single" w:sz="4" w:space="0" w:color="auto"/>
            </w:tcBorders>
            <w:vAlign w:val="bottom"/>
          </w:tcPr>
          <w:p w14:paraId="323DDE14" w14:textId="77777777" w:rsidR="009B329D" w:rsidRPr="00BA495E" w:rsidRDefault="009B329D" w:rsidP="00487246">
            <w:pPr>
              <w:jc w:val="center"/>
              <w:rPr>
                <w:rFonts w:cstheme="minorHAnsi"/>
                <w:color w:val="0070C0"/>
              </w:rPr>
            </w:pPr>
            <w:r w:rsidRPr="00BA495E">
              <w:rPr>
                <w:rFonts w:eastAsia="Times New Roman" w:cs="Arial"/>
                <w:color w:val="0070C0"/>
              </w:rPr>
              <w:t>0.1201</w:t>
            </w:r>
          </w:p>
        </w:tc>
      </w:tr>
      <w:tr w:rsidR="009B329D" w:rsidRPr="00BA495E" w14:paraId="69D18BD1" w14:textId="77777777" w:rsidTr="00487246">
        <w:tc>
          <w:tcPr>
            <w:tcW w:w="2880" w:type="dxa"/>
            <w:tcBorders>
              <w:left w:val="single" w:sz="4" w:space="0" w:color="auto"/>
            </w:tcBorders>
            <w:vAlign w:val="center"/>
          </w:tcPr>
          <w:p w14:paraId="0C56B6EA" w14:textId="77777777" w:rsidR="009B329D" w:rsidRPr="00BA495E" w:rsidRDefault="009B329D" w:rsidP="00487246">
            <w:pPr>
              <w:ind w:left="162"/>
              <w:rPr>
                <w:rFonts w:cstheme="minorHAnsi"/>
                <w:color w:val="0070C0"/>
              </w:rPr>
            </w:pPr>
            <w:r w:rsidRPr="00BA495E">
              <w:rPr>
                <w:rFonts w:cstheme="minorHAnsi"/>
                <w:color w:val="0070C0"/>
              </w:rPr>
              <w:t>25%</w:t>
            </w:r>
          </w:p>
        </w:tc>
        <w:tc>
          <w:tcPr>
            <w:tcW w:w="2423" w:type="dxa"/>
            <w:vAlign w:val="bottom"/>
          </w:tcPr>
          <w:p w14:paraId="75B3E3FB" w14:textId="77777777" w:rsidR="009B329D" w:rsidRPr="00BA495E" w:rsidRDefault="009B329D" w:rsidP="00487246">
            <w:pPr>
              <w:jc w:val="center"/>
              <w:rPr>
                <w:rFonts w:cstheme="minorHAnsi"/>
                <w:color w:val="0070C0"/>
              </w:rPr>
            </w:pPr>
            <w:r w:rsidRPr="00BA495E">
              <w:rPr>
                <w:rFonts w:eastAsia="Times New Roman" w:cs="Arial"/>
                <w:color w:val="0070C0"/>
              </w:rPr>
              <w:t>0.1060</w:t>
            </w:r>
          </w:p>
        </w:tc>
        <w:tc>
          <w:tcPr>
            <w:tcW w:w="2145" w:type="dxa"/>
            <w:vAlign w:val="bottom"/>
          </w:tcPr>
          <w:p w14:paraId="113DFE23" w14:textId="77777777" w:rsidR="009B329D" w:rsidRPr="00BA495E" w:rsidRDefault="009B329D" w:rsidP="00487246">
            <w:pPr>
              <w:jc w:val="center"/>
              <w:rPr>
                <w:rFonts w:cstheme="minorHAnsi"/>
                <w:color w:val="0070C0"/>
              </w:rPr>
            </w:pPr>
            <w:r w:rsidRPr="00BA495E">
              <w:rPr>
                <w:rFonts w:eastAsia="Times New Roman" w:cs="Arial"/>
                <w:color w:val="0070C0"/>
              </w:rPr>
              <w:t>0.1113</w:t>
            </w:r>
          </w:p>
        </w:tc>
        <w:tc>
          <w:tcPr>
            <w:tcW w:w="1845" w:type="dxa"/>
            <w:tcBorders>
              <w:right w:val="single" w:sz="4" w:space="0" w:color="auto"/>
            </w:tcBorders>
            <w:vAlign w:val="bottom"/>
          </w:tcPr>
          <w:p w14:paraId="124B3233" w14:textId="77777777" w:rsidR="009B329D" w:rsidRPr="00BA495E" w:rsidRDefault="009B329D" w:rsidP="00487246">
            <w:pPr>
              <w:jc w:val="center"/>
              <w:rPr>
                <w:rFonts w:cstheme="minorHAnsi"/>
                <w:color w:val="0070C0"/>
              </w:rPr>
            </w:pPr>
            <w:r w:rsidRPr="00BA495E">
              <w:rPr>
                <w:rFonts w:eastAsia="Times New Roman" w:cs="Arial"/>
                <w:color w:val="0070C0"/>
              </w:rPr>
              <w:t>0.1094</w:t>
            </w:r>
          </w:p>
        </w:tc>
      </w:tr>
      <w:tr w:rsidR="009B329D" w:rsidRPr="00BA495E" w14:paraId="59CC48D3" w14:textId="77777777" w:rsidTr="00487246">
        <w:tc>
          <w:tcPr>
            <w:tcW w:w="2880" w:type="dxa"/>
            <w:tcBorders>
              <w:left w:val="single" w:sz="4" w:space="0" w:color="auto"/>
            </w:tcBorders>
            <w:vAlign w:val="center"/>
          </w:tcPr>
          <w:p w14:paraId="26EDC118" w14:textId="77777777" w:rsidR="009B329D" w:rsidRPr="00BA495E" w:rsidRDefault="009B329D" w:rsidP="00487246">
            <w:pPr>
              <w:ind w:left="162"/>
              <w:rPr>
                <w:rFonts w:cstheme="minorHAnsi"/>
                <w:color w:val="0070C0"/>
              </w:rPr>
            </w:pPr>
            <w:r w:rsidRPr="00BA495E">
              <w:rPr>
                <w:rFonts w:cstheme="minorHAnsi"/>
                <w:color w:val="0070C0"/>
              </w:rPr>
              <w:t>10%</w:t>
            </w:r>
          </w:p>
        </w:tc>
        <w:tc>
          <w:tcPr>
            <w:tcW w:w="2423" w:type="dxa"/>
            <w:vAlign w:val="bottom"/>
          </w:tcPr>
          <w:p w14:paraId="0A158C57" w14:textId="77777777" w:rsidR="009B329D" w:rsidRPr="00BA495E" w:rsidRDefault="009B329D" w:rsidP="00487246">
            <w:pPr>
              <w:jc w:val="center"/>
              <w:rPr>
                <w:rFonts w:cstheme="minorHAnsi"/>
                <w:color w:val="0070C0"/>
              </w:rPr>
            </w:pPr>
            <w:r w:rsidRPr="00BA495E">
              <w:rPr>
                <w:rFonts w:eastAsia="Times New Roman" w:cs="Arial"/>
                <w:color w:val="0070C0"/>
              </w:rPr>
              <w:t>0.0977</w:t>
            </w:r>
          </w:p>
        </w:tc>
        <w:tc>
          <w:tcPr>
            <w:tcW w:w="2145" w:type="dxa"/>
            <w:vAlign w:val="bottom"/>
          </w:tcPr>
          <w:p w14:paraId="77B5982E" w14:textId="77777777" w:rsidR="009B329D" w:rsidRPr="00BA495E" w:rsidRDefault="009B329D" w:rsidP="00487246">
            <w:pPr>
              <w:jc w:val="center"/>
              <w:rPr>
                <w:rFonts w:cstheme="minorHAnsi"/>
                <w:color w:val="0070C0"/>
              </w:rPr>
            </w:pPr>
            <w:r w:rsidRPr="00BA495E">
              <w:rPr>
                <w:rFonts w:eastAsia="Times New Roman" w:cs="Arial"/>
                <w:color w:val="0070C0"/>
              </w:rPr>
              <w:t>0.1007</w:t>
            </w:r>
          </w:p>
        </w:tc>
        <w:tc>
          <w:tcPr>
            <w:tcW w:w="1845" w:type="dxa"/>
            <w:tcBorders>
              <w:right w:val="single" w:sz="4" w:space="0" w:color="auto"/>
            </w:tcBorders>
            <w:vAlign w:val="bottom"/>
          </w:tcPr>
          <w:p w14:paraId="0C9C0DDB" w14:textId="77777777" w:rsidR="009B329D" w:rsidRPr="00BA495E" w:rsidRDefault="009B329D" w:rsidP="00487246">
            <w:pPr>
              <w:jc w:val="center"/>
              <w:rPr>
                <w:rFonts w:cstheme="minorHAnsi"/>
                <w:color w:val="0070C0"/>
              </w:rPr>
            </w:pPr>
            <w:r w:rsidRPr="00BA495E">
              <w:rPr>
                <w:rFonts w:eastAsia="Times New Roman" w:cs="Arial"/>
                <w:color w:val="0070C0"/>
              </w:rPr>
              <w:t>0.0992</w:t>
            </w:r>
          </w:p>
        </w:tc>
      </w:tr>
      <w:tr w:rsidR="009B329D" w:rsidRPr="00BA495E" w14:paraId="29A3A1DE" w14:textId="77777777" w:rsidTr="00487246">
        <w:tc>
          <w:tcPr>
            <w:tcW w:w="2880" w:type="dxa"/>
            <w:tcBorders>
              <w:left w:val="single" w:sz="4" w:space="0" w:color="auto"/>
            </w:tcBorders>
            <w:vAlign w:val="center"/>
          </w:tcPr>
          <w:p w14:paraId="0D129E52" w14:textId="77777777" w:rsidR="009B329D" w:rsidRPr="00BA495E" w:rsidRDefault="009B329D" w:rsidP="00487246">
            <w:pPr>
              <w:ind w:left="162"/>
              <w:rPr>
                <w:rFonts w:cstheme="minorHAnsi"/>
                <w:color w:val="0070C0"/>
              </w:rPr>
            </w:pPr>
            <w:r w:rsidRPr="00BA495E">
              <w:rPr>
                <w:rFonts w:cstheme="minorHAnsi"/>
                <w:color w:val="0070C0"/>
              </w:rPr>
              <w:t>5%</w:t>
            </w:r>
          </w:p>
        </w:tc>
        <w:tc>
          <w:tcPr>
            <w:tcW w:w="2423" w:type="dxa"/>
            <w:vAlign w:val="bottom"/>
          </w:tcPr>
          <w:p w14:paraId="1E507733" w14:textId="77777777" w:rsidR="009B329D" w:rsidRPr="00BA495E" w:rsidRDefault="009B329D" w:rsidP="00487246">
            <w:pPr>
              <w:jc w:val="center"/>
              <w:rPr>
                <w:rFonts w:cstheme="minorHAnsi"/>
                <w:color w:val="0070C0"/>
              </w:rPr>
            </w:pPr>
            <w:r w:rsidRPr="00BA495E">
              <w:rPr>
                <w:rFonts w:eastAsia="Times New Roman" w:cs="Arial"/>
                <w:color w:val="0070C0"/>
              </w:rPr>
              <w:t>0.0936</w:t>
            </w:r>
          </w:p>
        </w:tc>
        <w:tc>
          <w:tcPr>
            <w:tcW w:w="2145" w:type="dxa"/>
            <w:vAlign w:val="bottom"/>
          </w:tcPr>
          <w:p w14:paraId="0FF996FA" w14:textId="77777777" w:rsidR="009B329D" w:rsidRPr="00BA495E" w:rsidRDefault="009B329D" w:rsidP="00487246">
            <w:pPr>
              <w:jc w:val="center"/>
              <w:rPr>
                <w:rFonts w:cstheme="minorHAnsi"/>
                <w:color w:val="0070C0"/>
              </w:rPr>
            </w:pPr>
            <w:r w:rsidRPr="00BA495E">
              <w:rPr>
                <w:rFonts w:eastAsia="Times New Roman" w:cs="Arial"/>
                <w:color w:val="0070C0"/>
              </w:rPr>
              <w:t>0.0953</w:t>
            </w:r>
          </w:p>
        </w:tc>
        <w:tc>
          <w:tcPr>
            <w:tcW w:w="1845" w:type="dxa"/>
            <w:tcBorders>
              <w:right w:val="single" w:sz="4" w:space="0" w:color="auto"/>
            </w:tcBorders>
            <w:vAlign w:val="bottom"/>
          </w:tcPr>
          <w:p w14:paraId="7521B82E" w14:textId="77777777" w:rsidR="009B329D" w:rsidRPr="00BA495E" w:rsidRDefault="009B329D" w:rsidP="00487246">
            <w:pPr>
              <w:jc w:val="center"/>
              <w:rPr>
                <w:rFonts w:cstheme="minorHAnsi"/>
                <w:color w:val="0070C0"/>
              </w:rPr>
            </w:pPr>
            <w:r w:rsidRPr="00BA495E">
              <w:rPr>
                <w:rFonts w:eastAsia="Times New Roman" w:cs="Arial"/>
                <w:color w:val="0070C0"/>
              </w:rPr>
              <w:t>0.0935</w:t>
            </w:r>
          </w:p>
        </w:tc>
      </w:tr>
      <w:tr w:rsidR="009B329D" w:rsidRPr="00BA495E" w14:paraId="6EC9E718" w14:textId="77777777" w:rsidTr="00487246">
        <w:tc>
          <w:tcPr>
            <w:tcW w:w="2880" w:type="dxa"/>
            <w:tcBorders>
              <w:left w:val="single" w:sz="4" w:space="0" w:color="auto"/>
            </w:tcBorders>
            <w:vAlign w:val="center"/>
          </w:tcPr>
          <w:p w14:paraId="05857D85" w14:textId="77777777" w:rsidR="009B329D" w:rsidRPr="00BA495E" w:rsidRDefault="009B329D" w:rsidP="00487246">
            <w:pPr>
              <w:ind w:left="162"/>
              <w:rPr>
                <w:rFonts w:cstheme="minorHAnsi"/>
                <w:color w:val="0070C0"/>
              </w:rPr>
            </w:pPr>
            <w:r w:rsidRPr="00BA495E">
              <w:rPr>
                <w:rFonts w:cstheme="minorHAnsi"/>
                <w:color w:val="0070C0"/>
              </w:rPr>
              <w:t>1%</w:t>
            </w:r>
          </w:p>
        </w:tc>
        <w:tc>
          <w:tcPr>
            <w:tcW w:w="2423" w:type="dxa"/>
            <w:vAlign w:val="bottom"/>
          </w:tcPr>
          <w:p w14:paraId="6D2D0FCF" w14:textId="77777777" w:rsidR="009B329D" w:rsidRPr="00BA495E" w:rsidRDefault="009B329D" w:rsidP="00487246">
            <w:pPr>
              <w:jc w:val="center"/>
              <w:rPr>
                <w:rFonts w:cstheme="minorHAnsi"/>
                <w:color w:val="0070C0"/>
              </w:rPr>
            </w:pPr>
            <w:r w:rsidRPr="00BA495E">
              <w:rPr>
                <w:rFonts w:eastAsia="Times New Roman" w:cs="Arial"/>
                <w:color w:val="0070C0"/>
              </w:rPr>
              <w:t>0.0834</w:t>
            </w:r>
          </w:p>
        </w:tc>
        <w:tc>
          <w:tcPr>
            <w:tcW w:w="2145" w:type="dxa"/>
            <w:vAlign w:val="bottom"/>
          </w:tcPr>
          <w:p w14:paraId="74C476C0" w14:textId="77777777" w:rsidR="009B329D" w:rsidRPr="00BA495E" w:rsidRDefault="009B329D" w:rsidP="00487246">
            <w:pPr>
              <w:jc w:val="center"/>
              <w:rPr>
                <w:rFonts w:cstheme="minorHAnsi"/>
                <w:color w:val="0070C0"/>
              </w:rPr>
            </w:pPr>
            <w:r w:rsidRPr="00BA495E">
              <w:rPr>
                <w:rFonts w:eastAsia="Times New Roman" w:cs="Arial"/>
                <w:color w:val="0070C0"/>
              </w:rPr>
              <w:t>0.0841</w:t>
            </w:r>
          </w:p>
        </w:tc>
        <w:tc>
          <w:tcPr>
            <w:tcW w:w="1845" w:type="dxa"/>
            <w:tcBorders>
              <w:right w:val="single" w:sz="4" w:space="0" w:color="auto"/>
            </w:tcBorders>
            <w:vAlign w:val="bottom"/>
          </w:tcPr>
          <w:p w14:paraId="300C9C03" w14:textId="77777777" w:rsidR="009B329D" w:rsidRPr="00BA495E" w:rsidRDefault="009B329D" w:rsidP="00487246">
            <w:pPr>
              <w:jc w:val="center"/>
              <w:rPr>
                <w:rFonts w:cstheme="minorHAnsi"/>
                <w:color w:val="0070C0"/>
              </w:rPr>
            </w:pPr>
            <w:r w:rsidRPr="00BA495E">
              <w:rPr>
                <w:rFonts w:eastAsia="Times New Roman" w:cs="Arial"/>
                <w:color w:val="0070C0"/>
              </w:rPr>
              <w:t>0.0848</w:t>
            </w:r>
          </w:p>
        </w:tc>
      </w:tr>
      <w:tr w:rsidR="009B329D" w:rsidRPr="00BA495E" w14:paraId="11D7FD9C" w14:textId="77777777" w:rsidTr="00487246">
        <w:tc>
          <w:tcPr>
            <w:tcW w:w="2880" w:type="dxa"/>
            <w:tcBorders>
              <w:left w:val="single" w:sz="4" w:space="0" w:color="auto"/>
              <w:bottom w:val="single" w:sz="4" w:space="0" w:color="auto"/>
            </w:tcBorders>
            <w:vAlign w:val="center"/>
          </w:tcPr>
          <w:p w14:paraId="52B372E9" w14:textId="77777777" w:rsidR="009B329D" w:rsidRPr="00BA495E" w:rsidRDefault="009B329D" w:rsidP="00487246">
            <w:pPr>
              <w:ind w:left="162"/>
              <w:rPr>
                <w:rFonts w:cstheme="minorHAnsi"/>
                <w:color w:val="0070C0"/>
              </w:rPr>
            </w:pPr>
            <w:r w:rsidRPr="00BA495E">
              <w:rPr>
                <w:rFonts w:cstheme="minorHAnsi"/>
                <w:color w:val="0070C0"/>
              </w:rPr>
              <w:t>0% Min</w:t>
            </w:r>
          </w:p>
        </w:tc>
        <w:tc>
          <w:tcPr>
            <w:tcW w:w="2423" w:type="dxa"/>
            <w:tcBorders>
              <w:bottom w:val="single" w:sz="4" w:space="0" w:color="auto"/>
            </w:tcBorders>
            <w:vAlign w:val="bottom"/>
          </w:tcPr>
          <w:p w14:paraId="494C43C3" w14:textId="77777777" w:rsidR="009B329D" w:rsidRPr="00BA495E" w:rsidRDefault="009B329D" w:rsidP="00487246">
            <w:pPr>
              <w:jc w:val="center"/>
              <w:rPr>
                <w:rFonts w:cstheme="minorHAnsi"/>
                <w:color w:val="0070C0"/>
              </w:rPr>
            </w:pPr>
            <w:r w:rsidRPr="00BA495E">
              <w:rPr>
                <w:rFonts w:eastAsia="Times New Roman" w:cs="Arial"/>
                <w:color w:val="0070C0"/>
              </w:rPr>
              <w:t>0.0751</w:t>
            </w:r>
          </w:p>
        </w:tc>
        <w:tc>
          <w:tcPr>
            <w:tcW w:w="2145" w:type="dxa"/>
            <w:tcBorders>
              <w:bottom w:val="single" w:sz="4" w:space="0" w:color="auto"/>
            </w:tcBorders>
            <w:vAlign w:val="bottom"/>
          </w:tcPr>
          <w:p w14:paraId="0DD077FE" w14:textId="77777777" w:rsidR="009B329D" w:rsidRPr="00BA495E" w:rsidRDefault="009B329D" w:rsidP="00487246">
            <w:pPr>
              <w:jc w:val="center"/>
              <w:rPr>
                <w:rFonts w:cstheme="minorHAnsi"/>
                <w:color w:val="0070C0"/>
              </w:rPr>
            </w:pPr>
            <w:r w:rsidRPr="00BA495E">
              <w:rPr>
                <w:rFonts w:eastAsia="Times New Roman" w:cs="Arial"/>
                <w:color w:val="0070C0"/>
              </w:rPr>
              <w:t>0.0741</w:t>
            </w:r>
          </w:p>
        </w:tc>
        <w:tc>
          <w:tcPr>
            <w:tcW w:w="1845" w:type="dxa"/>
            <w:tcBorders>
              <w:bottom w:val="single" w:sz="4" w:space="0" w:color="auto"/>
              <w:right w:val="single" w:sz="4" w:space="0" w:color="auto"/>
            </w:tcBorders>
            <w:vAlign w:val="bottom"/>
          </w:tcPr>
          <w:p w14:paraId="1198112F" w14:textId="77777777" w:rsidR="009B329D" w:rsidRPr="00BA495E" w:rsidRDefault="009B329D" w:rsidP="00487246">
            <w:pPr>
              <w:jc w:val="center"/>
              <w:rPr>
                <w:rFonts w:cstheme="minorHAnsi"/>
                <w:color w:val="0070C0"/>
              </w:rPr>
            </w:pPr>
            <w:r w:rsidRPr="00BA495E">
              <w:rPr>
                <w:rFonts w:eastAsia="Times New Roman" w:cs="Arial"/>
                <w:color w:val="0070C0"/>
              </w:rPr>
              <w:t>0.0778</w:t>
            </w:r>
          </w:p>
        </w:tc>
      </w:tr>
    </w:tbl>
    <w:p w14:paraId="0CABCFFF" w14:textId="6A9EE533" w:rsidR="00743E46" w:rsidRDefault="00743E46" w:rsidP="00092566">
      <w:pPr>
        <w:autoSpaceDE w:val="0"/>
        <w:autoSpaceDN w:val="0"/>
        <w:adjustRightInd w:val="0"/>
        <w:spacing w:after="0" w:line="240" w:lineRule="auto"/>
        <w:rPr>
          <w:rFonts w:cstheme="minorHAnsi"/>
          <w:b/>
        </w:rPr>
      </w:pP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3" w:name="question2b49"/>
      <w:bookmarkEnd w:id="13"/>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37B6AD9B" w:rsidR="00092566" w:rsidRPr="00BA495E" w:rsidRDefault="009B329D" w:rsidP="009B329D">
      <w:pPr>
        <w:rPr>
          <w:rFonts w:cstheme="minorHAnsi"/>
          <w:bCs/>
          <w:color w:val="0070C0"/>
        </w:rPr>
      </w:pPr>
      <w:r w:rsidRPr="00BA495E">
        <w:rPr>
          <w:rFonts w:cstheme="minorHAnsi"/>
          <w:bCs/>
          <w:color w:val="0070C0"/>
        </w:rPr>
        <w:t>N/A</w:t>
      </w:r>
    </w:p>
    <w:p w14:paraId="0CABD002" w14:textId="1F4246B5" w:rsidR="00092566"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65D93228" w14:textId="77777777" w:rsidR="009B329D" w:rsidRPr="00BA495E" w:rsidRDefault="009B329D" w:rsidP="009B32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BA495E">
        <w:rPr>
          <w:rFonts w:cstheme="minorHAnsi"/>
          <w:bCs/>
          <w:color w:val="0070C0"/>
        </w:rPr>
        <w:t>The C-statistic of 0.825 indicates excellent model discrimination. The calibration value of close to 0 at one end and close to 1 to the other end indicates good calibration of the model. The risk decile plot shows excellent discrimination of the model and good predictive ability.</w:t>
      </w:r>
    </w:p>
    <w:p w14:paraId="4C9F61E6" w14:textId="77777777" w:rsidR="009B329D" w:rsidRPr="00A25024" w:rsidRDefault="009B329D" w:rsidP="00092566">
      <w:pPr>
        <w:autoSpaceDE w:val="0"/>
        <w:autoSpaceDN w:val="0"/>
        <w:adjustRightInd w:val="0"/>
        <w:spacing w:after="0" w:line="240" w:lineRule="auto"/>
        <w:rPr>
          <w:rFonts w:cstheme="minorHAnsi"/>
          <w:bCs/>
        </w:rPr>
      </w:pP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2439D292" w:rsidR="003755CB" w:rsidRPr="00322692" w:rsidRDefault="009B329D" w:rsidP="00D61410">
      <w:pPr>
        <w:autoSpaceDE w:val="0"/>
        <w:autoSpaceDN w:val="0"/>
        <w:adjustRightInd w:val="0"/>
        <w:spacing w:after="0" w:line="240" w:lineRule="auto"/>
        <w:rPr>
          <w:rFonts w:cstheme="minorHAnsi"/>
          <w:b/>
          <w:bCs/>
          <w:color w:val="0070C0"/>
        </w:rPr>
      </w:pPr>
      <w:r w:rsidRPr="00322692">
        <w:rPr>
          <w:rFonts w:cstheme="minorHAnsi"/>
          <w:b/>
          <w:bCs/>
          <w:color w:val="0070C0"/>
        </w:rPr>
        <w:t>N/A</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sidRPr="00866E7C">
        <w:rPr>
          <w:rFonts w:cstheme="minorHAnsi"/>
          <w:b/>
          <w:bCs/>
        </w:rPr>
        <w:t>2b4</w:t>
      </w:r>
      <w:r w:rsidR="00D61410" w:rsidRPr="00866E7C">
        <w:rPr>
          <w:rFonts w:cstheme="minorHAnsi"/>
          <w:b/>
          <w:bCs/>
        </w:rPr>
        <w:t>. IDENTIFICATION OF STATISTICALLY SIGNIFICANT &amp; MEANINGFUL DIFFERENCES IN PERFORMANCE</w:t>
      </w:r>
    </w:p>
    <w:p w14:paraId="0CABD008" w14:textId="2D3565CB" w:rsidR="00D61410" w:rsidRPr="00A25024"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539FA103" w14:textId="77777777" w:rsidR="009B329D" w:rsidRPr="00322692" w:rsidRDefault="009B329D" w:rsidP="009B329D">
      <w:pPr>
        <w:pBdr>
          <w:top w:val="single" w:sz="4" w:space="1" w:color="auto"/>
          <w:left w:val="single" w:sz="4" w:space="4" w:color="auto"/>
          <w:bottom w:val="single" w:sz="4" w:space="1" w:color="auto"/>
          <w:right w:val="single" w:sz="4" w:space="4" w:color="auto"/>
        </w:pBdr>
        <w:shd w:val="clear" w:color="auto" w:fill="FFFFFF"/>
        <w:spacing w:line="240" w:lineRule="auto"/>
        <w:rPr>
          <w:rFonts w:cstheme="minorHAnsi"/>
          <w:bCs/>
          <w:color w:val="0070C0"/>
        </w:rPr>
      </w:pPr>
      <w:r w:rsidRPr="00322692">
        <w:rPr>
          <w:rFonts w:cstheme="minorHAnsi"/>
          <w:bCs/>
          <w:color w:val="0070C0"/>
        </w:rPr>
        <w:t>For the currently publicly reported measures of hospital outcomes, including the PCI readmission measure, CMS estimates an interval estimate for each risk-standardized rate to characterize the amount of uncertainty associated with the rate. It then compares the interval estimate to the national crude rate for the outcome and categorizes hospitals as “better than,” “worse than,” or “no different than” the U.S. national rate (NCDR registry rate for PCI). However, the decision to publicly report this PCI mortality measure and the approach to discriminating performance has not been determined.</w:t>
      </w:r>
    </w:p>
    <w:p w14:paraId="2DF0C9A1" w14:textId="77777777" w:rsidR="009B329D" w:rsidRPr="00322692" w:rsidRDefault="009B329D" w:rsidP="009B329D">
      <w:pPr>
        <w:pBdr>
          <w:top w:val="single" w:sz="4" w:space="1" w:color="auto"/>
          <w:left w:val="single" w:sz="4" w:space="4" w:color="auto"/>
          <w:bottom w:val="single" w:sz="4" w:space="1" w:color="auto"/>
          <w:right w:val="single" w:sz="4" w:space="4" w:color="auto"/>
        </w:pBdr>
        <w:shd w:val="clear" w:color="auto" w:fill="FFFFFF"/>
        <w:spacing w:after="0" w:line="240" w:lineRule="auto"/>
        <w:rPr>
          <w:rFonts w:cstheme="minorHAnsi"/>
          <w:b/>
          <w:bCs/>
          <w:color w:val="0070C0"/>
        </w:rPr>
      </w:pPr>
      <w:r w:rsidRPr="00322692">
        <w:rPr>
          <w:rFonts w:cstheme="minorHAnsi"/>
          <w:bCs/>
          <w:color w:val="0070C0"/>
        </w:rPr>
        <w:t xml:space="preserve">We assessed variation in RSMRs among hospitals by examining the distribution of the hospital RSMRs and plotting the histogram of the hospital RSMRs. </w:t>
      </w: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0CABD00A" w14:textId="72ABD438"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26799DDE" w14:textId="77777777" w:rsidR="009B329D" w:rsidRPr="00BA495E" w:rsidRDefault="009B329D" w:rsidP="009B32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BA495E">
        <w:rPr>
          <w:rFonts w:cstheme="minorHAnsi"/>
          <w:bCs/>
          <w:color w:val="0070C0"/>
        </w:rPr>
        <w:t xml:space="preserve">In the 2010-2011 sample, the mean hospital RSMR for the STEMI or shock cohort was 12.3%%, with a range of 7.8% to 19.8%. The interquartile range was 10.9% to 13.3%.  </w:t>
      </w:r>
    </w:p>
    <w:p w14:paraId="44F963FA" w14:textId="77777777" w:rsidR="009B329D" w:rsidRDefault="009B329D" w:rsidP="00D61410">
      <w:pPr>
        <w:autoSpaceDE w:val="0"/>
        <w:autoSpaceDN w:val="0"/>
        <w:adjustRightInd w:val="0"/>
        <w:spacing w:after="0" w:line="240" w:lineRule="auto"/>
        <w:rPr>
          <w:rFonts w:cstheme="minorHAnsi"/>
          <w:bCs/>
        </w:rPr>
      </w:pPr>
    </w:p>
    <w:p w14:paraId="620761FC" w14:textId="48B21306" w:rsidR="009B329D" w:rsidRPr="00BA495E" w:rsidRDefault="009B329D" w:rsidP="009B329D">
      <w:pPr>
        <w:pStyle w:val="Caption"/>
        <w:pBdr>
          <w:top w:val="single" w:sz="4" w:space="1" w:color="auto"/>
          <w:left w:val="single" w:sz="4" w:space="2" w:color="auto"/>
          <w:bottom w:val="single" w:sz="4" w:space="1" w:color="auto"/>
          <w:right w:val="single" w:sz="4" w:space="4" w:color="auto"/>
        </w:pBdr>
        <w:spacing w:after="0"/>
        <w:rPr>
          <w:rFonts w:asciiTheme="minorHAnsi" w:hAnsiTheme="minorHAnsi" w:cstheme="minorHAnsi"/>
          <w:color w:val="0070C0"/>
          <w:szCs w:val="22"/>
        </w:rPr>
      </w:pPr>
      <w:r w:rsidRPr="00BA495E">
        <w:rPr>
          <w:rFonts w:asciiTheme="minorHAnsi" w:hAnsiTheme="minorHAnsi" w:cstheme="minorHAnsi"/>
          <w:color w:val="0070C0"/>
          <w:szCs w:val="22"/>
        </w:rPr>
        <w:t xml:space="preserve">Figure </w:t>
      </w:r>
      <w:r w:rsidRPr="00BA495E">
        <w:rPr>
          <w:rFonts w:asciiTheme="minorHAnsi" w:hAnsiTheme="minorHAnsi" w:cstheme="minorHAnsi"/>
          <w:color w:val="0070C0"/>
          <w:szCs w:val="22"/>
        </w:rPr>
        <w:fldChar w:fldCharType="begin"/>
      </w:r>
      <w:r w:rsidRPr="00BA495E">
        <w:rPr>
          <w:rFonts w:asciiTheme="minorHAnsi" w:hAnsiTheme="minorHAnsi" w:cstheme="minorHAnsi"/>
          <w:color w:val="0070C0"/>
          <w:szCs w:val="22"/>
        </w:rPr>
        <w:instrText xml:space="preserve"> SEQ Figure \* ARABIC </w:instrText>
      </w:r>
      <w:r w:rsidRPr="00BA495E">
        <w:rPr>
          <w:rFonts w:asciiTheme="minorHAnsi" w:hAnsiTheme="minorHAnsi" w:cstheme="minorHAnsi"/>
          <w:color w:val="0070C0"/>
          <w:szCs w:val="22"/>
        </w:rPr>
        <w:fldChar w:fldCharType="separate"/>
      </w:r>
      <w:r w:rsidR="004E48DB">
        <w:rPr>
          <w:rFonts w:asciiTheme="minorHAnsi" w:hAnsiTheme="minorHAnsi" w:cstheme="minorHAnsi"/>
          <w:noProof/>
          <w:color w:val="0070C0"/>
          <w:szCs w:val="22"/>
        </w:rPr>
        <w:t>2</w:t>
      </w:r>
      <w:r w:rsidRPr="00BA495E">
        <w:rPr>
          <w:rFonts w:asciiTheme="minorHAnsi" w:hAnsiTheme="minorHAnsi" w:cstheme="minorHAnsi"/>
          <w:noProof/>
          <w:color w:val="0070C0"/>
          <w:szCs w:val="22"/>
        </w:rPr>
        <w:fldChar w:fldCharType="end"/>
      </w:r>
      <w:r w:rsidRPr="00BA495E">
        <w:rPr>
          <w:rFonts w:asciiTheme="minorHAnsi" w:hAnsiTheme="minorHAnsi" w:cstheme="minorHAnsi"/>
          <w:color w:val="0070C0"/>
          <w:szCs w:val="22"/>
        </w:rPr>
        <w:t xml:space="preserve">. </w:t>
      </w:r>
      <w:r w:rsidRPr="00BA495E">
        <w:rPr>
          <w:rFonts w:asciiTheme="minorHAnsi" w:hAnsiTheme="minorHAnsi"/>
          <w:color w:val="0070C0"/>
          <w:szCs w:val="22"/>
        </w:rPr>
        <w:t xml:space="preserve">Distribution of risk-standardized mortality rates (RSMRs); 2010-2011 combined sample. </w:t>
      </w:r>
    </w:p>
    <w:p w14:paraId="5046F7FB" w14:textId="77777777" w:rsidR="009B329D" w:rsidRPr="009B329D" w:rsidRDefault="009B329D" w:rsidP="009B329D">
      <w:pPr>
        <w:pBdr>
          <w:top w:val="single" w:sz="4" w:space="1" w:color="auto"/>
          <w:left w:val="single" w:sz="4" w:space="2" w:color="auto"/>
          <w:bottom w:val="single" w:sz="4" w:space="1" w:color="auto"/>
          <w:right w:val="single" w:sz="4" w:space="4" w:color="auto"/>
        </w:pBdr>
        <w:spacing w:after="0"/>
        <w:rPr>
          <w:rFonts w:cstheme="minorHAnsi"/>
          <w:color w:val="FF0000"/>
        </w:rPr>
      </w:pPr>
      <w:r w:rsidRPr="009B329D">
        <w:rPr>
          <w:noProof/>
          <w:color w:val="FF0000"/>
        </w:rPr>
        <w:drawing>
          <wp:inline distT="0" distB="0" distL="0" distR="0" wp14:anchorId="4DA4468D" wp14:editId="32337E6B">
            <wp:extent cx="3934047" cy="2879203"/>
            <wp:effectExtent l="0" t="0" r="0" b="0"/>
            <wp:docPr id="122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9" name="Picture 1"/>
                    <pic:cNvPicPr>
                      <a:picLocks noChangeAspect="1" noChangeArrowheads="1"/>
                    </pic:cNvPicPr>
                  </pic:nvPicPr>
                  <pic:blipFill>
                    <a:blip r:embed="rId14"/>
                    <a:srcRect/>
                    <a:stretch>
                      <a:fillRect/>
                    </a:stretch>
                  </pic:blipFill>
                  <pic:spPr bwMode="auto">
                    <a:xfrm>
                      <a:off x="0" y="0"/>
                      <a:ext cx="3938173" cy="2882223"/>
                    </a:xfrm>
                    <a:prstGeom prst="rect">
                      <a:avLst/>
                    </a:prstGeom>
                    <a:noFill/>
                  </pic:spPr>
                </pic:pic>
              </a:graphicData>
            </a:graphic>
          </wp:inline>
        </w:drawing>
      </w:r>
    </w:p>
    <w:p w14:paraId="0CABD00B" w14:textId="77777777" w:rsidR="00D61410" w:rsidRPr="009B329D" w:rsidRDefault="00D61410" w:rsidP="00D61410">
      <w:pPr>
        <w:autoSpaceDE w:val="0"/>
        <w:autoSpaceDN w:val="0"/>
        <w:adjustRightInd w:val="0"/>
        <w:spacing w:after="0" w:line="240" w:lineRule="auto"/>
        <w:rPr>
          <w:rFonts w:cstheme="minorHAnsi"/>
          <w:b/>
          <w:bCs/>
        </w:rPr>
      </w:pPr>
    </w:p>
    <w:p w14:paraId="4C21BCE8" w14:textId="1CB1787D" w:rsidR="009B329D" w:rsidRPr="00A25024"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247805E1" w14:textId="77777777" w:rsidR="009B329D" w:rsidRPr="00BA495E" w:rsidRDefault="009B329D" w:rsidP="009B329D">
      <w:pPr>
        <w:pBdr>
          <w:top w:val="single" w:sz="4" w:space="1" w:color="auto"/>
          <w:left w:val="single" w:sz="4" w:space="4" w:color="auto"/>
          <w:bottom w:val="single" w:sz="4" w:space="1" w:color="auto"/>
          <w:right w:val="single" w:sz="4" w:space="4" w:color="auto"/>
        </w:pBdr>
        <w:shd w:val="clear" w:color="auto" w:fill="FFFFFF"/>
        <w:spacing w:after="0" w:line="240" w:lineRule="auto"/>
        <w:rPr>
          <w:rFonts w:cstheme="minorHAnsi"/>
          <w:b/>
          <w:bCs/>
          <w:color w:val="0070C0"/>
        </w:rPr>
      </w:pPr>
      <w:r w:rsidRPr="00BA495E">
        <w:rPr>
          <w:rFonts w:cstheme="minorHAnsi"/>
          <w:bCs/>
          <w:color w:val="0070C0"/>
        </w:rPr>
        <w:t xml:space="preserve">The variation in rates suggests there are meaningful differences across hospitals in the 30-day risk-standardized mortality after PCI in the STEMI or shock cohort. </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866E7C">
        <w:rPr>
          <w:rFonts w:cstheme="minorHAnsi"/>
          <w:b/>
          <w:bCs/>
        </w:rPr>
        <w:t>2</w:t>
      </w:r>
      <w:r w:rsidR="00EA5F47" w:rsidRPr="00866E7C">
        <w:rPr>
          <w:rFonts w:cstheme="minorHAnsi"/>
          <w:b/>
          <w:bCs/>
        </w:rPr>
        <w:t>b</w:t>
      </w:r>
      <w:r w:rsidR="009C7513" w:rsidRPr="00866E7C">
        <w:rPr>
          <w:rFonts w:cstheme="minorHAnsi"/>
          <w:b/>
          <w:bCs/>
        </w:rPr>
        <w:t>5</w:t>
      </w:r>
      <w:r w:rsidRPr="00866E7C">
        <w:rPr>
          <w:rFonts w:cstheme="minorHAnsi"/>
          <w:b/>
          <w:bCs/>
        </w:rPr>
        <w:t xml:space="preserve">. COMPARABILITY OF PERFORMANCE SCORES </w:t>
      </w:r>
      <w:r w:rsidR="004C498F" w:rsidRPr="00866E7C">
        <w:rPr>
          <w:rFonts w:cstheme="minorHAnsi"/>
          <w:b/>
          <w:bCs/>
        </w:rPr>
        <w:t>WHEN</w:t>
      </w:r>
      <w:r w:rsidR="002B2116" w:rsidRPr="00866E7C">
        <w:rPr>
          <w:rFonts w:cstheme="minorHAnsi"/>
          <w:b/>
          <w:bCs/>
        </w:rPr>
        <w:t xml:space="preserve"> MORE THAN ONE SET OF SPECIFICATIONS</w:t>
      </w:r>
      <w:r w:rsidR="002B2116" w:rsidRPr="00A25024">
        <w:rPr>
          <w:rFonts w:cstheme="minorHAnsi"/>
          <w:b/>
          <w:bCs/>
        </w:rPr>
        <w:t xml:space="preserve">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1E9B8156" w:rsidR="000F06B5" w:rsidRPr="00F750ED" w:rsidRDefault="00F750ED" w:rsidP="00DB3627">
      <w:pPr>
        <w:autoSpaceDE w:val="0"/>
        <w:autoSpaceDN w:val="0"/>
        <w:adjustRightInd w:val="0"/>
        <w:spacing w:after="0" w:line="240" w:lineRule="auto"/>
        <w:rPr>
          <w:rFonts w:cstheme="minorHAnsi"/>
          <w:bCs/>
          <w:color w:val="FF0000"/>
        </w:rPr>
      </w:pPr>
      <w:r w:rsidRPr="00F750ED">
        <w:rPr>
          <w:rFonts w:cstheme="minorHAnsi"/>
          <w:bCs/>
          <w:color w:val="FF0000"/>
        </w:rPr>
        <w:t>N/A</w:t>
      </w:r>
    </w:p>
    <w:p w14:paraId="20167577" w14:textId="77777777" w:rsidR="00F750ED" w:rsidRPr="00F750ED" w:rsidRDefault="009C7513" w:rsidP="00F750ED">
      <w:pPr>
        <w:autoSpaceDE w:val="0"/>
        <w:autoSpaceDN w:val="0"/>
        <w:adjustRightInd w:val="0"/>
        <w:spacing w:after="0" w:line="240" w:lineRule="auto"/>
        <w:rPr>
          <w:rFonts w:cstheme="minorHAnsi"/>
          <w:bCs/>
          <w:color w:val="FF0000"/>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F750ED" w:rsidRPr="00F750ED">
        <w:rPr>
          <w:rFonts w:cstheme="minorHAnsi"/>
          <w:bCs/>
          <w:color w:val="FF0000"/>
        </w:rPr>
        <w:t>N/A</w:t>
      </w:r>
    </w:p>
    <w:p w14:paraId="0CABD014" w14:textId="384B509A" w:rsidR="000F06B5" w:rsidRPr="00A25024" w:rsidRDefault="000F06B5" w:rsidP="00DB3627">
      <w:pPr>
        <w:pStyle w:val="ListParagraph"/>
        <w:autoSpaceDE w:val="0"/>
        <w:autoSpaceDN w:val="0"/>
        <w:adjustRightInd w:val="0"/>
        <w:spacing w:after="0" w:line="240" w:lineRule="auto"/>
        <w:ind w:left="0"/>
        <w:rPr>
          <w:rFonts w:cstheme="minorHAnsi"/>
          <w:bCs/>
        </w:rPr>
      </w:pPr>
    </w:p>
    <w:p w14:paraId="163CABA6" w14:textId="77777777" w:rsidR="00F750ED" w:rsidRPr="00F750ED" w:rsidRDefault="009C7513" w:rsidP="00F750ED">
      <w:pPr>
        <w:autoSpaceDE w:val="0"/>
        <w:autoSpaceDN w:val="0"/>
        <w:adjustRightInd w:val="0"/>
        <w:spacing w:after="0" w:line="240" w:lineRule="auto"/>
        <w:rPr>
          <w:rFonts w:cstheme="minorHAnsi"/>
          <w:bCs/>
          <w:color w:val="FF0000"/>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F750ED" w:rsidRPr="00F750ED">
        <w:rPr>
          <w:rFonts w:cstheme="minorHAnsi"/>
          <w:bCs/>
          <w:color w:val="FF0000"/>
        </w:rPr>
        <w:t>N/A</w:t>
      </w:r>
    </w:p>
    <w:p w14:paraId="0CABD016" w14:textId="2CB3E44A" w:rsidR="00E1508F" w:rsidRPr="00E1508F" w:rsidRDefault="00E1508F" w:rsidP="00E1508F">
      <w:pPr>
        <w:autoSpaceDE w:val="0"/>
        <w:autoSpaceDN w:val="0"/>
        <w:adjustRightInd w:val="0"/>
        <w:spacing w:after="0" w:line="240" w:lineRule="auto"/>
        <w:rPr>
          <w:rFonts w:cstheme="minorHAnsi"/>
          <w:bCs/>
        </w:rPr>
      </w:pPr>
    </w:p>
    <w:p w14:paraId="4E42C045" w14:textId="77777777" w:rsidR="00306F12" w:rsidRPr="00F750ED" w:rsidRDefault="009C7513" w:rsidP="00306F12">
      <w:pPr>
        <w:autoSpaceDE w:val="0"/>
        <w:autoSpaceDN w:val="0"/>
        <w:adjustRightInd w:val="0"/>
        <w:spacing w:after="0" w:line="240" w:lineRule="auto"/>
        <w:rPr>
          <w:rFonts w:cstheme="minorHAnsi"/>
          <w:bCs/>
          <w:color w:val="FF0000"/>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r w:rsidR="00306F12" w:rsidRPr="00F750ED">
        <w:rPr>
          <w:rFonts w:cstheme="minorHAnsi"/>
          <w:bCs/>
          <w:color w:val="FF0000"/>
        </w:rPr>
        <w:t>N/A</w:t>
      </w:r>
    </w:p>
    <w:p w14:paraId="0CABD017" w14:textId="0C9FD55C" w:rsidR="0079180E" w:rsidRDefault="0079180E" w:rsidP="00DB3627">
      <w:pPr>
        <w:autoSpaceDE w:val="0"/>
        <w:autoSpaceDN w:val="0"/>
        <w:adjustRightInd w:val="0"/>
        <w:spacing w:after="0" w:line="240" w:lineRule="auto"/>
        <w:rPr>
          <w:rFonts w:cstheme="minorHAnsi"/>
          <w:bCs/>
        </w:rPr>
      </w:pP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2FEF71E8" w14:textId="77777777" w:rsidR="00306F12"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p>
    <w:p w14:paraId="40CD1DE8" w14:textId="77777777" w:rsidR="00306F12" w:rsidRPr="00BA495E" w:rsidRDefault="00306F12" w:rsidP="00306F12">
      <w:pPr>
        <w:pStyle w:val="ListParagraph"/>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ind w:left="0"/>
        <w:rPr>
          <w:rFonts w:cstheme="minorHAnsi"/>
          <w:color w:val="0070C0"/>
        </w:rPr>
      </w:pPr>
      <w:r w:rsidRPr="00BA495E">
        <w:rPr>
          <w:rFonts w:cstheme="minorHAnsi"/>
          <w:color w:val="0070C0"/>
        </w:rPr>
        <w:t xml:space="preserve">We examined rates of missing data for all candidate variables and examined histograms of the frequency of </w:t>
      </w:r>
      <w:proofErr w:type="spellStart"/>
      <w:r w:rsidRPr="00BA495E">
        <w:rPr>
          <w:rFonts w:cstheme="minorHAnsi"/>
          <w:color w:val="0070C0"/>
        </w:rPr>
        <w:t>missingness</w:t>
      </w:r>
      <w:proofErr w:type="spellEnd"/>
      <w:r w:rsidRPr="00BA495E">
        <w:rPr>
          <w:rFonts w:cstheme="minorHAnsi"/>
          <w:color w:val="0070C0"/>
        </w:rPr>
        <w:t xml:space="preserve"> by hospital. </w:t>
      </w:r>
    </w:p>
    <w:p w14:paraId="0CABD01B" w14:textId="2AF263E7" w:rsidR="008F7E67" w:rsidRPr="00A25024" w:rsidRDefault="008F7E67" w:rsidP="008F7E67">
      <w:pPr>
        <w:autoSpaceDE w:val="0"/>
        <w:autoSpaceDN w:val="0"/>
        <w:adjustRightInd w:val="0"/>
        <w:spacing w:after="0" w:line="240" w:lineRule="auto"/>
        <w:rPr>
          <w:rFonts w:cstheme="minorHAnsi"/>
          <w:bCs/>
        </w:rPr>
      </w:pPr>
      <w:r w:rsidRPr="00A25024">
        <w:rPr>
          <w:rFonts w:cstheme="minorHAnsi"/>
          <w:bCs/>
        </w:rPr>
        <w:t xml:space="preserve"> </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CABD01D" w14:textId="3A7518A6"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7530D8A0" w14:textId="77777777" w:rsidR="00306F12" w:rsidRPr="00BA495E" w:rsidRDefault="00306F12" w:rsidP="00306F12">
      <w:pPr>
        <w:pStyle w:val="ListParagraph"/>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ind w:left="0"/>
        <w:rPr>
          <w:rFonts w:cstheme="minorHAnsi"/>
          <w:color w:val="0070C0"/>
        </w:rPr>
      </w:pPr>
      <w:r w:rsidRPr="00BA495E">
        <w:rPr>
          <w:rFonts w:cstheme="minorHAnsi"/>
          <w:bCs/>
          <w:color w:val="0070C0"/>
        </w:rPr>
        <w:t xml:space="preserve">Overall the percentage of missing values for all categorical variables was very small (&lt;1%). There were three continuous variables with significant numbers of missing values: body mass index (BMI), glomerular filtration rate (GFR), and left ventricular ejection fraction (LVEF). </w:t>
      </w:r>
      <w:r w:rsidRPr="00BA495E">
        <w:rPr>
          <w:rFonts w:cstheme="minorHAnsi"/>
          <w:color w:val="0070C0"/>
        </w:rPr>
        <w:t xml:space="preserve">The frequency of </w:t>
      </w:r>
      <w:proofErr w:type="spellStart"/>
      <w:r w:rsidRPr="00BA495E">
        <w:rPr>
          <w:rFonts w:cstheme="minorHAnsi"/>
          <w:color w:val="0070C0"/>
        </w:rPr>
        <w:t>missingness</w:t>
      </w:r>
      <w:proofErr w:type="spellEnd"/>
      <w:r w:rsidRPr="00BA495E">
        <w:rPr>
          <w:rFonts w:cstheme="minorHAnsi"/>
          <w:color w:val="0070C0"/>
        </w:rPr>
        <w:t xml:space="preserve"> by hospital appeared to be evenly distributed across hospitals. </w:t>
      </w:r>
      <w:r w:rsidRPr="00BA495E">
        <w:rPr>
          <w:rFonts w:cstheme="minorHAnsi"/>
          <w:bCs/>
          <w:color w:val="0070C0"/>
        </w:rPr>
        <w:t xml:space="preserve"> </w:t>
      </w:r>
      <w:r w:rsidRPr="00BA495E">
        <w:rPr>
          <w:rFonts w:cstheme="minorHAnsi"/>
          <w:color w:val="0070C0"/>
        </w:rPr>
        <w:t xml:space="preserve">Model performance and estimates of hospital RSMR were not significantly different when repeated excluding cases with missing data. The fact that the data was missing did not appear to be at random in that patients with missing data regarding GFR, and LVEF were at higher risk of death than those without missing data. </w:t>
      </w:r>
      <w:proofErr w:type="gramStart"/>
      <w:r w:rsidRPr="00BA495E">
        <w:rPr>
          <w:rFonts w:cstheme="minorHAnsi"/>
          <w:color w:val="0070C0"/>
        </w:rPr>
        <w:t>Accordingly</w:t>
      </w:r>
      <w:proofErr w:type="gramEnd"/>
      <w:r w:rsidRPr="00BA495E">
        <w:rPr>
          <w:rFonts w:cstheme="minorHAnsi"/>
          <w:color w:val="0070C0"/>
        </w:rPr>
        <w:t xml:space="preserve"> we created a dummy variable to capture that information. </w:t>
      </w:r>
    </w:p>
    <w:p w14:paraId="6DF35D7F" w14:textId="77777777" w:rsidR="00306F12" w:rsidRPr="00BA495E" w:rsidRDefault="00306F12" w:rsidP="00306F12">
      <w:pPr>
        <w:pStyle w:val="ListParagraph"/>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ind w:left="0"/>
        <w:rPr>
          <w:rFonts w:cstheme="minorHAnsi"/>
          <w:color w:val="0070C0"/>
        </w:rPr>
      </w:pPr>
    </w:p>
    <w:p w14:paraId="2C56B637" w14:textId="77777777" w:rsidR="00306F12" w:rsidRPr="00BA495E" w:rsidRDefault="00306F12" w:rsidP="00306F12">
      <w:pPr>
        <w:pStyle w:val="ListParagraph"/>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ind w:left="0"/>
        <w:rPr>
          <w:rFonts w:cstheme="minorHAnsi"/>
          <w:color w:val="0070C0"/>
        </w:rPr>
      </w:pPr>
      <w:r w:rsidRPr="00BA495E">
        <w:rPr>
          <w:rFonts w:cstheme="minorHAnsi"/>
          <w:color w:val="0070C0"/>
        </w:rPr>
        <w:t>For categorical variables with missing values, the value from the reference group was added. For BMI, we stratified by gender and imputed the missing values to the median of the corresponding groups. For GFR, we stratified patients into five categories: &lt;30, 31-60, 61-90, &gt;90, and missing. For LVEF, we stratified patients into four categories- &lt;30%, 31-45%, &gt;45%, and missing.</w:t>
      </w:r>
    </w:p>
    <w:p w14:paraId="393F6A21" w14:textId="77777777" w:rsidR="00306F12" w:rsidRDefault="00306F12" w:rsidP="008F7E67">
      <w:pPr>
        <w:autoSpaceDE w:val="0"/>
        <w:autoSpaceDN w:val="0"/>
        <w:adjustRightInd w:val="0"/>
        <w:spacing w:after="0" w:line="240" w:lineRule="auto"/>
        <w:rPr>
          <w:rFonts w:cstheme="minorHAnsi"/>
          <w:bCs/>
        </w:rPr>
      </w:pP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2AC1A80B" w:rsidR="00BA053B" w:rsidRDefault="00BA053B">
      <w:pPr>
        <w:autoSpaceDE w:val="0"/>
        <w:autoSpaceDN w:val="0"/>
        <w:adjustRightInd w:val="0"/>
        <w:spacing w:after="0" w:line="240" w:lineRule="auto"/>
        <w:rPr>
          <w:rFonts w:cstheme="minorHAnsi"/>
          <w:bCs/>
        </w:rPr>
      </w:pPr>
    </w:p>
    <w:p w14:paraId="1D39FAD5" w14:textId="77777777" w:rsidR="00306F12" w:rsidRPr="00BA495E" w:rsidRDefault="00306F12" w:rsidP="00306F12">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theme="minorHAnsi"/>
          <w:bCs/>
          <w:color w:val="0070C0"/>
        </w:rPr>
      </w:pPr>
      <w:r w:rsidRPr="00BA495E">
        <w:rPr>
          <w:rFonts w:cstheme="minorHAnsi"/>
          <w:bCs/>
          <w:color w:val="0070C0"/>
        </w:rPr>
        <w:t xml:space="preserve">As noted above, model performance was comparable when we included or excluded cases with missing data. </w:t>
      </w:r>
    </w:p>
    <w:p w14:paraId="62586F68" w14:textId="77777777" w:rsidR="00306F12" w:rsidRPr="005560E7" w:rsidRDefault="00306F12">
      <w:pPr>
        <w:autoSpaceDE w:val="0"/>
        <w:autoSpaceDN w:val="0"/>
        <w:adjustRightInd w:val="0"/>
        <w:spacing w:after="0" w:line="240" w:lineRule="auto"/>
        <w:rPr>
          <w:rFonts w:cstheme="minorHAnsi"/>
          <w:bCs/>
        </w:rPr>
      </w:pPr>
    </w:p>
    <w:sectPr w:rsidR="00306F12" w:rsidRPr="005560E7" w:rsidSect="008505D1">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C0983" w14:textId="77777777" w:rsidR="00487246" w:rsidRDefault="00487246" w:rsidP="005C73CA">
      <w:pPr>
        <w:spacing w:after="0" w:line="240" w:lineRule="auto"/>
      </w:pPr>
      <w:r>
        <w:separator/>
      </w:r>
    </w:p>
  </w:endnote>
  <w:endnote w:type="continuationSeparator" w:id="0">
    <w:p w14:paraId="45535B57" w14:textId="77777777" w:rsidR="00487246" w:rsidRDefault="00487246"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6" w14:textId="451EBE9D" w:rsidR="00487246" w:rsidRDefault="00487246">
    <w:pPr>
      <w:pStyle w:val="Footer"/>
    </w:pPr>
    <w:r>
      <w:t>Version 7.1 9/6/2017</w:t>
    </w:r>
    <w:r>
      <w:ptab w:relativeTo="margin" w:alignment="right" w:leader="none"/>
    </w:r>
    <w:r>
      <w:fldChar w:fldCharType="begin"/>
    </w:r>
    <w:r>
      <w:instrText xml:space="preserve"> PAGE   \* MERGEFORMAT </w:instrText>
    </w:r>
    <w:r>
      <w:fldChar w:fldCharType="separate"/>
    </w:r>
    <w:r w:rsidR="00FD6EC4">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4223E" w14:textId="77777777" w:rsidR="00487246" w:rsidRDefault="00487246" w:rsidP="005C73CA">
      <w:pPr>
        <w:spacing w:after="0" w:line="240" w:lineRule="auto"/>
      </w:pPr>
      <w:r>
        <w:separator/>
      </w:r>
    </w:p>
  </w:footnote>
  <w:footnote w:type="continuationSeparator" w:id="0">
    <w:p w14:paraId="4298B336" w14:textId="77777777" w:rsidR="00487246" w:rsidRDefault="00487246"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5" w14:textId="77777777" w:rsidR="00487246" w:rsidRPr="00105D8B" w:rsidRDefault="00487246"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7"/>
  </w:num>
  <w:num w:numId="27">
    <w:abstractNumId w:val="0"/>
  </w:num>
  <w:num w:numId="28">
    <w:abstractNumId w:val="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3F21"/>
    <w:rsid w:val="001969C5"/>
    <w:rsid w:val="001A6CDD"/>
    <w:rsid w:val="001C12EE"/>
    <w:rsid w:val="001C7B02"/>
    <w:rsid w:val="001E4DD4"/>
    <w:rsid w:val="001E69DC"/>
    <w:rsid w:val="001F169D"/>
    <w:rsid w:val="001F1DA1"/>
    <w:rsid w:val="001F6F93"/>
    <w:rsid w:val="001F7A20"/>
    <w:rsid w:val="0021054A"/>
    <w:rsid w:val="0021195A"/>
    <w:rsid w:val="00213383"/>
    <w:rsid w:val="00220250"/>
    <w:rsid w:val="00222444"/>
    <w:rsid w:val="0022691B"/>
    <w:rsid w:val="00232163"/>
    <w:rsid w:val="002376F8"/>
    <w:rsid w:val="002408E4"/>
    <w:rsid w:val="00241591"/>
    <w:rsid w:val="00250B4F"/>
    <w:rsid w:val="0025762F"/>
    <w:rsid w:val="00275563"/>
    <w:rsid w:val="0028114D"/>
    <w:rsid w:val="00287649"/>
    <w:rsid w:val="00287E84"/>
    <w:rsid w:val="0029286C"/>
    <w:rsid w:val="0029300E"/>
    <w:rsid w:val="002B0C3A"/>
    <w:rsid w:val="002B1345"/>
    <w:rsid w:val="002B2116"/>
    <w:rsid w:val="002B2D9B"/>
    <w:rsid w:val="002B5016"/>
    <w:rsid w:val="002B742C"/>
    <w:rsid w:val="002B7F4D"/>
    <w:rsid w:val="002C285C"/>
    <w:rsid w:val="002C7BE4"/>
    <w:rsid w:val="002D417D"/>
    <w:rsid w:val="002D5E5D"/>
    <w:rsid w:val="002E78A0"/>
    <w:rsid w:val="002F2687"/>
    <w:rsid w:val="002F48E1"/>
    <w:rsid w:val="002F4F3B"/>
    <w:rsid w:val="00304C86"/>
    <w:rsid w:val="003059EB"/>
    <w:rsid w:val="00306F12"/>
    <w:rsid w:val="003116AC"/>
    <w:rsid w:val="00315567"/>
    <w:rsid w:val="00322692"/>
    <w:rsid w:val="00330144"/>
    <w:rsid w:val="00332AB6"/>
    <w:rsid w:val="00334329"/>
    <w:rsid w:val="00345CBA"/>
    <w:rsid w:val="00346245"/>
    <w:rsid w:val="00356267"/>
    <w:rsid w:val="00356BAD"/>
    <w:rsid w:val="003605B4"/>
    <w:rsid w:val="003627AC"/>
    <w:rsid w:val="00366914"/>
    <w:rsid w:val="00372FE3"/>
    <w:rsid w:val="003755CB"/>
    <w:rsid w:val="00383F85"/>
    <w:rsid w:val="00387BA1"/>
    <w:rsid w:val="003A306C"/>
    <w:rsid w:val="003A7DE7"/>
    <w:rsid w:val="003B1006"/>
    <w:rsid w:val="003C5F11"/>
    <w:rsid w:val="003D294B"/>
    <w:rsid w:val="003D6401"/>
    <w:rsid w:val="003E1863"/>
    <w:rsid w:val="0041606D"/>
    <w:rsid w:val="00416962"/>
    <w:rsid w:val="004206A8"/>
    <w:rsid w:val="004348CC"/>
    <w:rsid w:val="00450C58"/>
    <w:rsid w:val="004658FF"/>
    <w:rsid w:val="00474ED7"/>
    <w:rsid w:val="004756E1"/>
    <w:rsid w:val="0048008A"/>
    <w:rsid w:val="00483E94"/>
    <w:rsid w:val="00484120"/>
    <w:rsid w:val="004853A0"/>
    <w:rsid w:val="00487246"/>
    <w:rsid w:val="00496B5F"/>
    <w:rsid w:val="004A2E10"/>
    <w:rsid w:val="004B17FF"/>
    <w:rsid w:val="004B1BA0"/>
    <w:rsid w:val="004B6CEE"/>
    <w:rsid w:val="004C2443"/>
    <w:rsid w:val="004C498F"/>
    <w:rsid w:val="004C5D29"/>
    <w:rsid w:val="004C681A"/>
    <w:rsid w:val="004D4D8A"/>
    <w:rsid w:val="004E48DB"/>
    <w:rsid w:val="004F68EE"/>
    <w:rsid w:val="005038D5"/>
    <w:rsid w:val="00511BA4"/>
    <w:rsid w:val="005149E7"/>
    <w:rsid w:val="005232D6"/>
    <w:rsid w:val="005333CC"/>
    <w:rsid w:val="005363F1"/>
    <w:rsid w:val="00537C1B"/>
    <w:rsid w:val="0055007C"/>
    <w:rsid w:val="00554922"/>
    <w:rsid w:val="00555282"/>
    <w:rsid w:val="005560E7"/>
    <w:rsid w:val="005612CC"/>
    <w:rsid w:val="00563029"/>
    <w:rsid w:val="00567D12"/>
    <w:rsid w:val="00576062"/>
    <w:rsid w:val="0059559F"/>
    <w:rsid w:val="005A49FF"/>
    <w:rsid w:val="005A4DF6"/>
    <w:rsid w:val="005A7634"/>
    <w:rsid w:val="005B6F0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1D44"/>
    <w:rsid w:val="006574D2"/>
    <w:rsid w:val="00663563"/>
    <w:rsid w:val="006676D4"/>
    <w:rsid w:val="00675535"/>
    <w:rsid w:val="00681359"/>
    <w:rsid w:val="0069157C"/>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13B1"/>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66E7C"/>
    <w:rsid w:val="00870E6C"/>
    <w:rsid w:val="00875846"/>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6E61"/>
    <w:rsid w:val="00947F78"/>
    <w:rsid w:val="00953234"/>
    <w:rsid w:val="00961EAF"/>
    <w:rsid w:val="0096278F"/>
    <w:rsid w:val="009726E1"/>
    <w:rsid w:val="00972A04"/>
    <w:rsid w:val="00977591"/>
    <w:rsid w:val="00980E75"/>
    <w:rsid w:val="00994BE0"/>
    <w:rsid w:val="009A25B1"/>
    <w:rsid w:val="009A4608"/>
    <w:rsid w:val="009A6A57"/>
    <w:rsid w:val="009A70BF"/>
    <w:rsid w:val="009B1A15"/>
    <w:rsid w:val="009B329D"/>
    <w:rsid w:val="009C0852"/>
    <w:rsid w:val="009C13CA"/>
    <w:rsid w:val="009C32C6"/>
    <w:rsid w:val="009C665F"/>
    <w:rsid w:val="009C7513"/>
    <w:rsid w:val="009D3882"/>
    <w:rsid w:val="009D7E38"/>
    <w:rsid w:val="009E095B"/>
    <w:rsid w:val="009E1846"/>
    <w:rsid w:val="009E78FF"/>
    <w:rsid w:val="00A01494"/>
    <w:rsid w:val="00A22FA9"/>
    <w:rsid w:val="00A25024"/>
    <w:rsid w:val="00A35F8F"/>
    <w:rsid w:val="00A41377"/>
    <w:rsid w:val="00A4263D"/>
    <w:rsid w:val="00A509B8"/>
    <w:rsid w:val="00A52AB9"/>
    <w:rsid w:val="00A6210B"/>
    <w:rsid w:val="00A64EBF"/>
    <w:rsid w:val="00A70B6F"/>
    <w:rsid w:val="00A71200"/>
    <w:rsid w:val="00A7323A"/>
    <w:rsid w:val="00A831B4"/>
    <w:rsid w:val="00A92BD5"/>
    <w:rsid w:val="00A97798"/>
    <w:rsid w:val="00AA5213"/>
    <w:rsid w:val="00AA65A6"/>
    <w:rsid w:val="00AC1D8E"/>
    <w:rsid w:val="00AC48FA"/>
    <w:rsid w:val="00AD0240"/>
    <w:rsid w:val="00AD4137"/>
    <w:rsid w:val="00AE55E1"/>
    <w:rsid w:val="00AF2D68"/>
    <w:rsid w:val="00B037BA"/>
    <w:rsid w:val="00B20139"/>
    <w:rsid w:val="00B218DA"/>
    <w:rsid w:val="00B342FA"/>
    <w:rsid w:val="00B53E8B"/>
    <w:rsid w:val="00B65074"/>
    <w:rsid w:val="00B774D2"/>
    <w:rsid w:val="00B8015A"/>
    <w:rsid w:val="00B82A57"/>
    <w:rsid w:val="00BA053B"/>
    <w:rsid w:val="00BA495E"/>
    <w:rsid w:val="00BB35AE"/>
    <w:rsid w:val="00BC03A1"/>
    <w:rsid w:val="00BC0D25"/>
    <w:rsid w:val="00BD2505"/>
    <w:rsid w:val="00BE592D"/>
    <w:rsid w:val="00BF52B0"/>
    <w:rsid w:val="00BF5697"/>
    <w:rsid w:val="00C14CCC"/>
    <w:rsid w:val="00C1695E"/>
    <w:rsid w:val="00C22C1C"/>
    <w:rsid w:val="00C33F2E"/>
    <w:rsid w:val="00C34936"/>
    <w:rsid w:val="00C34C14"/>
    <w:rsid w:val="00C355B9"/>
    <w:rsid w:val="00C37EF1"/>
    <w:rsid w:val="00C401C4"/>
    <w:rsid w:val="00C41680"/>
    <w:rsid w:val="00C60A25"/>
    <w:rsid w:val="00C765C5"/>
    <w:rsid w:val="00C775CE"/>
    <w:rsid w:val="00C82479"/>
    <w:rsid w:val="00C867F0"/>
    <w:rsid w:val="00CA06D8"/>
    <w:rsid w:val="00CA345A"/>
    <w:rsid w:val="00CB49FF"/>
    <w:rsid w:val="00CC02CF"/>
    <w:rsid w:val="00CC086A"/>
    <w:rsid w:val="00CD0E24"/>
    <w:rsid w:val="00CD0F66"/>
    <w:rsid w:val="00CD364B"/>
    <w:rsid w:val="00CE23B8"/>
    <w:rsid w:val="00CE284E"/>
    <w:rsid w:val="00CE50D7"/>
    <w:rsid w:val="00CF4CBE"/>
    <w:rsid w:val="00D00344"/>
    <w:rsid w:val="00D1754D"/>
    <w:rsid w:val="00D2223F"/>
    <w:rsid w:val="00D274A4"/>
    <w:rsid w:val="00D277AF"/>
    <w:rsid w:val="00D31163"/>
    <w:rsid w:val="00D320B1"/>
    <w:rsid w:val="00D33AFD"/>
    <w:rsid w:val="00D36489"/>
    <w:rsid w:val="00D369E9"/>
    <w:rsid w:val="00D42195"/>
    <w:rsid w:val="00D50704"/>
    <w:rsid w:val="00D5760A"/>
    <w:rsid w:val="00D61410"/>
    <w:rsid w:val="00D8181D"/>
    <w:rsid w:val="00D968D8"/>
    <w:rsid w:val="00DA563D"/>
    <w:rsid w:val="00DA7277"/>
    <w:rsid w:val="00DB3627"/>
    <w:rsid w:val="00DB4724"/>
    <w:rsid w:val="00DB6944"/>
    <w:rsid w:val="00DC4746"/>
    <w:rsid w:val="00DE7149"/>
    <w:rsid w:val="00E0314C"/>
    <w:rsid w:val="00E1508F"/>
    <w:rsid w:val="00E261DF"/>
    <w:rsid w:val="00E27240"/>
    <w:rsid w:val="00E27EDD"/>
    <w:rsid w:val="00E30584"/>
    <w:rsid w:val="00E310B9"/>
    <w:rsid w:val="00E37E1B"/>
    <w:rsid w:val="00E54E65"/>
    <w:rsid w:val="00E562C0"/>
    <w:rsid w:val="00E57FAF"/>
    <w:rsid w:val="00E672D6"/>
    <w:rsid w:val="00E76024"/>
    <w:rsid w:val="00E856A2"/>
    <w:rsid w:val="00E967AD"/>
    <w:rsid w:val="00E96884"/>
    <w:rsid w:val="00EA2E3F"/>
    <w:rsid w:val="00EA5435"/>
    <w:rsid w:val="00EA5F47"/>
    <w:rsid w:val="00EB455E"/>
    <w:rsid w:val="00EC79DE"/>
    <w:rsid w:val="00ED4ACE"/>
    <w:rsid w:val="00EE4D35"/>
    <w:rsid w:val="00EF2DA7"/>
    <w:rsid w:val="00F1412B"/>
    <w:rsid w:val="00F15BFA"/>
    <w:rsid w:val="00F34FAB"/>
    <w:rsid w:val="00F435AA"/>
    <w:rsid w:val="00F5738A"/>
    <w:rsid w:val="00F612D4"/>
    <w:rsid w:val="00F628B6"/>
    <w:rsid w:val="00F7389E"/>
    <w:rsid w:val="00F7493D"/>
    <w:rsid w:val="00F750ED"/>
    <w:rsid w:val="00F77F1D"/>
    <w:rsid w:val="00F87CCB"/>
    <w:rsid w:val="00FA48C7"/>
    <w:rsid w:val="00FB51FB"/>
    <w:rsid w:val="00FB73C1"/>
    <w:rsid w:val="00FD6EC4"/>
    <w:rsid w:val="00FE600C"/>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332AB6"/>
    <w:pPr>
      <w:autoSpaceDE w:val="0"/>
      <w:autoSpaceDN w:val="0"/>
      <w:adjustRightInd w:val="0"/>
      <w:spacing w:after="0" w:line="240" w:lineRule="auto"/>
    </w:pPr>
    <w:rPr>
      <w:rFonts w:ascii="Trebuchet MS" w:hAnsi="Trebuchet MS" w:cs="Trebuchet MS"/>
      <w:color w:val="000000"/>
      <w:sz w:val="24"/>
      <w:szCs w:val="24"/>
    </w:rPr>
  </w:style>
  <w:style w:type="table" w:customStyle="1" w:styleId="TableGrid1">
    <w:name w:val="Table Grid1"/>
    <w:basedOn w:val="TableNormal"/>
    <w:next w:val="TableGrid"/>
    <w:uiPriority w:val="59"/>
    <w:rsid w:val="009B32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B32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semiHidden/>
    <w:unhideWhenUsed/>
    <w:qFormat/>
    <w:rsid w:val="009B329D"/>
    <w:pPr>
      <w:keepNext/>
      <w:widowControl w:val="0"/>
      <w:adjustRightInd w:val="0"/>
      <w:spacing w:line="240" w:lineRule="auto"/>
    </w:pPr>
    <w:rPr>
      <w:rFonts w:ascii="Calibri" w:eastAsia="Times New Roman" w:hAnsi="Calibri" w:cs="Calibri"/>
      <w:b/>
      <w:bCs/>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42581">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17ABB107820F42588C88B43439AE71B8"/>
        <w:category>
          <w:name w:val="General"/>
          <w:gallery w:val="placeholder"/>
        </w:category>
        <w:types>
          <w:type w:val="bbPlcHdr"/>
        </w:types>
        <w:behaviors>
          <w:behavior w:val="content"/>
        </w:behaviors>
        <w:guid w:val="{4C1B7896-8F9C-4BBE-AEAB-9648B9CBF246}"/>
      </w:docPartPr>
      <w:docPartBody>
        <w:p w:rsidR="00BA6BCB" w:rsidRDefault="00E33CC7" w:rsidP="00E33CC7">
          <w:pPr>
            <w:pStyle w:val="17ABB107820F42588C88B43439AE71B8"/>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altName w:val="游明朝"/>
    <w:panose1 w:val="00000000000000000000"/>
    <w:charset w:val="80"/>
    <w:family w:val="roman"/>
    <w:notTrueType/>
    <w:pitch w:val="default"/>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223FA3"/>
    <w:rsid w:val="002A288F"/>
    <w:rsid w:val="002C65A7"/>
    <w:rsid w:val="002F052A"/>
    <w:rsid w:val="00350176"/>
    <w:rsid w:val="003840F0"/>
    <w:rsid w:val="00437537"/>
    <w:rsid w:val="004D785E"/>
    <w:rsid w:val="00513FC9"/>
    <w:rsid w:val="0053654E"/>
    <w:rsid w:val="00610196"/>
    <w:rsid w:val="00632A7E"/>
    <w:rsid w:val="00632AB6"/>
    <w:rsid w:val="00730B33"/>
    <w:rsid w:val="00772B2A"/>
    <w:rsid w:val="007C672A"/>
    <w:rsid w:val="007D4368"/>
    <w:rsid w:val="00822666"/>
    <w:rsid w:val="00823ECC"/>
    <w:rsid w:val="00826796"/>
    <w:rsid w:val="00866C97"/>
    <w:rsid w:val="009017AE"/>
    <w:rsid w:val="009C542D"/>
    <w:rsid w:val="00A01A18"/>
    <w:rsid w:val="00A95183"/>
    <w:rsid w:val="00AB4AF7"/>
    <w:rsid w:val="00AD7C4F"/>
    <w:rsid w:val="00B445F5"/>
    <w:rsid w:val="00BA6BCB"/>
    <w:rsid w:val="00BD40CB"/>
    <w:rsid w:val="00C362A2"/>
    <w:rsid w:val="00C90121"/>
    <w:rsid w:val="00C96E73"/>
    <w:rsid w:val="00CA1FE8"/>
    <w:rsid w:val="00CA344F"/>
    <w:rsid w:val="00D1676E"/>
    <w:rsid w:val="00DC0246"/>
    <w:rsid w:val="00E32B00"/>
    <w:rsid w:val="00E33CC7"/>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3CC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17ABB107820F42588C88B43439AE71B8">
    <w:name w:val="17ABB107820F42588C88B43439AE71B8"/>
    <w:rsid w:val="00E33CC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schemas.microsoft.com/office/infopath/2007/PartnerControls"/>
    <ds:schemaRef ds:uri="http://schemas.microsoft.com/office/2006/metadata/properties"/>
    <ds:schemaRef ds:uri="http://schemas.microsoft.com/office/2006/documentManagement/types"/>
    <ds:schemaRef ds:uri="http://purl.org/dc/terms/"/>
    <ds:schemaRef ds:uri="http://purl.org/dc/dcmitype/"/>
    <ds:schemaRef ds:uri="http://www.w3.org/XML/1998/namespace"/>
    <ds:schemaRef ds:uri="http://schemas.openxmlformats.org/package/2006/metadata/core-properties"/>
    <ds:schemaRef ds:uri="836b82f1-340d-495e-85b5-201c5296619a"/>
    <ds:schemaRef ds:uri="http://purl.org/dc/elements/1.1/"/>
  </ds:schemaRefs>
</ds:datastoreItem>
</file>

<file path=customXml/itemProps2.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FBE8EE02-C792-4BA5-876A-29CEAF5A3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7224</Words>
  <Characters>41177</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Esteban Perla</cp:lastModifiedBy>
  <cp:revision>5</cp:revision>
  <cp:lastPrinted>2017-11-07T18:22:00Z</cp:lastPrinted>
  <dcterms:created xsi:type="dcterms:W3CDTF">2017-11-02T21:38:00Z</dcterms:created>
  <dcterms:modified xsi:type="dcterms:W3CDTF">2017-11-27T19:49:00Z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