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5300109"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color w:val="FF0000"/>
          </w:rPr>
          <w:id w:val="1103681744"/>
          <w:placeholder>
            <w:docPart w:val="AB1B0578B87C4E9EA043F449B0E6989F"/>
          </w:placeholder>
        </w:sdtPr>
        <w:sdtEndPr>
          <w:rPr>
            <w:rStyle w:val="DefaultParagraphFont"/>
            <w:rFonts w:cstheme="minorHAnsi"/>
            <w:b/>
            <w:noProof/>
          </w:rPr>
        </w:sdtEndPr>
        <w:sdtContent>
          <w:r w:rsidR="003A53D0" w:rsidRPr="00D61EC9">
            <w:rPr>
              <w:rStyle w:val="Style1"/>
              <w:color w:val="0070C0"/>
            </w:rPr>
            <w:t>0536</w:t>
          </w:r>
        </w:sdtContent>
      </w:sdt>
    </w:p>
    <w:p w14:paraId="55B8DA2F" w14:textId="2815F50B"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401293274"/>
              <w:placeholder>
                <w:docPart w:val="2D421B182F6841EFA1D087341A9A0611"/>
              </w:placeholder>
            </w:sdtPr>
            <w:sdtEndPr>
              <w:rPr>
                <w:rStyle w:val="DefaultParagraphFont"/>
                <w:noProof/>
                <w:color w:val="0070C0"/>
              </w:rPr>
            </w:sdtEndPr>
            <w:sdtContent>
              <w:r w:rsidR="003A53D0" w:rsidRPr="00D61EC9">
                <w:rPr>
                  <w:rFonts w:cs="Times New Roman"/>
                  <w:color w:val="0070C0"/>
                </w:rPr>
                <w:t>30-day all-cause risk-standardized mortality rate following Percutaneous Coronary Intervention (PCI) for patients with ST segment elevation myocardial infarction (STEMI) or cardiogenic shock</w:t>
              </w:r>
            </w:sdtContent>
          </w:sdt>
          <w:r w:rsidR="003A53D0" w:rsidRPr="00D61EC9">
            <w:rPr>
              <w:noProof/>
              <w:color w:val="0070C0"/>
            </w:rPr>
            <w:t xml:space="preserve"> </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18A39322"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7-11-08T00:00:00Z">
            <w:dateFormat w:val="M/d/yyyy"/>
            <w:lid w:val="en-US"/>
            <w:storeMappedDataAs w:val="dateTime"/>
            <w:calendar w:val="gregorian"/>
          </w:date>
        </w:sdtPr>
        <w:sdtEndPr>
          <w:rPr>
            <w:rStyle w:val="DefaultParagraphFont"/>
            <w:noProof/>
            <w:color w:val="auto"/>
            <w:u w:val="none"/>
          </w:rPr>
        </w:sdtEndPr>
        <w:sdtContent>
          <w:r w:rsidR="003A53D0">
            <w:rPr>
              <w:rStyle w:val="Style2"/>
            </w:rPr>
            <w:t>11/8/2017</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lastRenderedPageBreak/>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36C7838D" w:rsidR="00496AF8" w:rsidRPr="003B1CC5" w:rsidRDefault="00F85278"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183A8C">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FF0000"/>
            <w:u w:val="none"/>
          </w:rPr>
        </w:sdtEndPr>
        <w:sdtContent>
          <w:sdt>
            <w:sdtPr>
              <w:rPr>
                <w:rStyle w:val="Style2"/>
                <w:rFonts w:cstheme="minorHAnsi"/>
                <w:color w:val="auto"/>
              </w:rPr>
              <w:id w:val="-2127771579"/>
            </w:sdtPr>
            <w:sdtEndPr>
              <w:rPr>
                <w:rStyle w:val="DefaultParagraphFont"/>
                <w:rFonts w:cstheme="minorBidi"/>
                <w:color w:val="FF0000"/>
                <w:u w:val="none"/>
              </w:rPr>
            </w:sdtEndPr>
            <w:sdtContent>
              <w:r w:rsidR="00183A8C" w:rsidRPr="00D61EC9">
                <w:rPr>
                  <w:rStyle w:val="Style2"/>
                  <w:rFonts w:cstheme="minorHAnsi"/>
                  <w:color w:val="0070C0"/>
                </w:rPr>
                <w:t xml:space="preserve">30-day mortality </w:t>
              </w:r>
            </w:sdtContent>
          </w:sdt>
        </w:sdtContent>
      </w:sdt>
    </w:p>
    <w:p w14:paraId="55B8DA52" w14:textId="77777777" w:rsidR="00236F87" w:rsidRPr="003B1CC5" w:rsidRDefault="00F85278"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F85278"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F85278"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F85278"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F85278"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51C2A310" w:rsidR="002B06BD" w:rsidRPr="00D61EC9" w:rsidRDefault="002B06BD" w:rsidP="002E2177">
      <w:pPr>
        <w:ind w:left="432" w:hanging="432"/>
        <w:rPr>
          <w:color w:val="0070C0"/>
        </w:rPr>
      </w:pPr>
    </w:p>
    <w:p w14:paraId="6E367308" w14:textId="77777777" w:rsidR="00183A8C" w:rsidRPr="00D61EC9" w:rsidRDefault="00183A8C" w:rsidP="00183A8C">
      <w:pPr>
        <w:pStyle w:val="ListParagraph"/>
        <w:pBdr>
          <w:top w:val="single" w:sz="4" w:space="1" w:color="auto"/>
          <w:left w:val="single" w:sz="4" w:space="4" w:color="auto"/>
          <w:bottom w:val="single" w:sz="4" w:space="1" w:color="auto"/>
          <w:right w:val="single" w:sz="4" w:space="4" w:color="auto"/>
        </w:pBdr>
        <w:spacing w:line="240" w:lineRule="auto"/>
        <w:ind w:left="180" w:firstLine="0"/>
        <w:rPr>
          <w:color w:val="0070C0"/>
        </w:rPr>
      </w:pPr>
      <w:r w:rsidRPr="00D61EC9">
        <w:rPr>
          <w:color w:val="0070C0"/>
        </w:rPr>
        <w:t>The goal of this measure is to reduce PCI 30-day mortality rates to best-in-class.  Measurement of patient outcomes, including mortality, allows for a broad view of quality of care that encompasses more than what can be captured by individual process-of-care measures.  As described below, mortality is likely to be influenced by a broad range of clinical activities such as the prevention of complications and the provision of evidenced-based care.</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403CDBB3"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r w:rsidRPr="00D61EC9">
        <w:rPr>
          <w:color w:val="0070C0"/>
        </w:rPr>
        <w:t>Evidence that the outcome measure has been influenced by one or more clinical interventions:</w:t>
      </w:r>
    </w:p>
    <w:p w14:paraId="79C52862"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r w:rsidRPr="00D61EC9">
        <w:rPr>
          <w:color w:val="0070C0"/>
        </w:rPr>
        <w:t xml:space="preserve">Numerous studies have demonstrated the efficacy of interventions designed to improve patient outcomes following PCI. These include pharmacologic interventions such as the use of glycoprotein 2b/3a inhibitors, direct thrombin inhibitors, and pre-procedural thienopyridines such as </w:t>
      </w:r>
      <w:proofErr w:type="spellStart"/>
      <w:r w:rsidRPr="00D61EC9">
        <w:rPr>
          <w:color w:val="0070C0"/>
        </w:rPr>
        <w:t>clopidogrel</w:t>
      </w:r>
      <w:proofErr w:type="spellEnd"/>
      <w:r w:rsidRPr="00D61EC9">
        <w:rPr>
          <w:color w:val="0070C0"/>
        </w:rPr>
        <w:t xml:space="preserve"> and </w:t>
      </w:r>
      <w:proofErr w:type="spellStart"/>
      <w:r w:rsidRPr="00D61EC9">
        <w:rPr>
          <w:color w:val="0070C0"/>
        </w:rPr>
        <w:t>prasugrel</w:t>
      </w:r>
      <w:proofErr w:type="spellEnd"/>
      <w:r w:rsidRPr="00D61EC9">
        <w:rPr>
          <w:color w:val="0070C0"/>
        </w:rPr>
        <w:t xml:space="preserve">, as well as advances in device technology such as use of </w:t>
      </w:r>
      <w:proofErr w:type="gramStart"/>
      <w:r w:rsidRPr="00D61EC9">
        <w:rPr>
          <w:color w:val="0070C0"/>
        </w:rPr>
        <w:t>stents,,</w:t>
      </w:r>
      <w:proofErr w:type="gramEnd"/>
      <w:r w:rsidRPr="00D61EC9">
        <w:rPr>
          <w:color w:val="0070C0"/>
        </w:rPr>
        <w:t xml:space="preserve"> thrombectomy for acute lesions with high thrombus burden, and distal embolic protection for PCI of degenerated saphenous vein grafts. Of note, </w:t>
      </w:r>
      <w:proofErr w:type="gramStart"/>
      <w:r w:rsidRPr="00D61EC9">
        <w:rPr>
          <w:color w:val="0070C0"/>
        </w:rPr>
        <w:t>the majority of</w:t>
      </w:r>
      <w:proofErr w:type="gramEnd"/>
      <w:r w:rsidRPr="00D61EC9">
        <w:rPr>
          <w:color w:val="0070C0"/>
        </w:rPr>
        <w:t xml:space="preserve"> these interventions have been shown to reduce endpoints other than mortality, most commonly rates of periprocedural MI, major bleeding, and target vessel revascularization for in-stent restenosis. Although few individual interventions have been shown to reduce mortality, they may collectively exert a favorable impact on hospital PCI mortality rates when implemented in a coordinated fashion.</w:t>
      </w:r>
    </w:p>
    <w:p w14:paraId="1BAB26F3" w14:textId="77777777" w:rsidR="00183A8C" w:rsidRPr="00183A8C" w:rsidRDefault="00183A8C" w:rsidP="00183A8C">
      <w:pPr>
        <w:pBdr>
          <w:top w:val="single" w:sz="4" w:space="1" w:color="auto"/>
          <w:left w:val="single" w:sz="4" w:space="1" w:color="auto"/>
          <w:bottom w:val="single" w:sz="4" w:space="1" w:color="auto"/>
          <w:right w:val="single" w:sz="4" w:space="1" w:color="auto"/>
        </w:pBdr>
        <w:ind w:left="0" w:firstLine="0"/>
        <w:rPr>
          <w:color w:val="FF0000"/>
        </w:rPr>
      </w:pPr>
    </w:p>
    <w:p w14:paraId="1001E8C2"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r w:rsidRPr="00D61EC9">
        <w:rPr>
          <w:color w:val="0070C0"/>
        </w:rPr>
        <w:lastRenderedPageBreak/>
        <w:t xml:space="preserve">There is a growing body of evidence that quality improvement efforts can improve outcomes of PCI patients, including survival. </w:t>
      </w:r>
      <w:proofErr w:type="spellStart"/>
      <w:r w:rsidRPr="00D61EC9">
        <w:rPr>
          <w:color w:val="0070C0"/>
        </w:rPr>
        <w:t>Rihal</w:t>
      </w:r>
      <w:proofErr w:type="spellEnd"/>
      <w:r w:rsidRPr="00D61EC9">
        <w:rPr>
          <w:color w:val="0070C0"/>
        </w:rPr>
        <w:t xml:space="preserve"> and colleagues examined patient outcomes before and after initiation of a program of continuous quality improvement (CQI) and found a significantly lower in-hospital mortality following PCI despite significant increases in the risk profile of PCI patients. Similar improvements were identified in studies of CQI by Brush et al and </w:t>
      </w:r>
      <w:proofErr w:type="spellStart"/>
      <w:r w:rsidRPr="00D61EC9">
        <w:rPr>
          <w:color w:val="0070C0"/>
        </w:rPr>
        <w:t>Moscucci</w:t>
      </w:r>
      <w:proofErr w:type="spellEnd"/>
      <w:r w:rsidRPr="00D61EC9">
        <w:rPr>
          <w:color w:val="0070C0"/>
        </w:rPr>
        <w:t xml:space="preserve"> et al, and improvements in survival were associated with greater adherence to evidence-based practices including preprocedural </w:t>
      </w:r>
      <w:proofErr w:type="spellStart"/>
      <w:r w:rsidRPr="00D61EC9">
        <w:rPr>
          <w:color w:val="0070C0"/>
        </w:rPr>
        <w:t>clopidogrel</w:t>
      </w:r>
      <w:proofErr w:type="spellEnd"/>
      <w:r w:rsidRPr="00D61EC9">
        <w:rPr>
          <w:color w:val="0070C0"/>
        </w:rPr>
        <w:t>, use of glycoprotein 2b/3a inhibitors, and volume of iodinated contrast. The observational nature of these studies precludes drawing definitive conclusions, but they strongly suggest a</w:t>
      </w:r>
    </w:p>
    <w:p w14:paraId="344B21F6"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r w:rsidRPr="00D61EC9">
        <w:rPr>
          <w:color w:val="0070C0"/>
        </w:rPr>
        <w:t>mechanism through which public reporting of hospital PCI outcomes could promote improvements in the care of PCI patients.</w:t>
      </w:r>
    </w:p>
    <w:p w14:paraId="416298C8"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p>
    <w:p w14:paraId="7E8C1641"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r w:rsidRPr="00D61EC9">
        <w:rPr>
          <w:color w:val="0070C0"/>
        </w:rPr>
        <w:t xml:space="preserve">References: </w:t>
      </w:r>
    </w:p>
    <w:p w14:paraId="5F3EC781"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r w:rsidRPr="00D61EC9">
        <w:rPr>
          <w:color w:val="0070C0"/>
        </w:rPr>
        <w:t xml:space="preserve">Brush JE, Balakrishnan SA, Brough J, Hartman C, Hines G, </w:t>
      </w:r>
      <w:proofErr w:type="spellStart"/>
      <w:r w:rsidRPr="00D61EC9">
        <w:rPr>
          <w:color w:val="0070C0"/>
        </w:rPr>
        <w:t>Liverman</w:t>
      </w:r>
      <w:proofErr w:type="spellEnd"/>
      <w:r w:rsidRPr="00D61EC9">
        <w:rPr>
          <w:color w:val="0070C0"/>
        </w:rPr>
        <w:t xml:space="preserve"> DP, Parker JP, Rich J, Tindall N. (2006). “Implementation of a continuous quality improvement program for percutaneous coronary intervention and cardiac surgery at a large community hospital.” Am Heart J 152 (2):379-85 16875926 (</w:t>
      </w:r>
      <w:proofErr w:type="gramStart"/>
      <w:r w:rsidRPr="00D61EC9">
        <w:rPr>
          <w:color w:val="0070C0"/>
        </w:rPr>
        <w:t>P,S</w:t>
      </w:r>
      <w:proofErr w:type="gramEnd"/>
      <w:r w:rsidRPr="00D61EC9">
        <w:rPr>
          <w:color w:val="0070C0"/>
        </w:rPr>
        <w:t>,E,B).</w:t>
      </w:r>
    </w:p>
    <w:p w14:paraId="06787E80"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p>
    <w:p w14:paraId="5799B7C9"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proofErr w:type="spellStart"/>
      <w:r w:rsidRPr="00D61EC9">
        <w:rPr>
          <w:color w:val="0070C0"/>
        </w:rPr>
        <w:t>Krumholz</w:t>
      </w:r>
      <w:proofErr w:type="spellEnd"/>
      <w:r w:rsidRPr="00D61EC9">
        <w:rPr>
          <w:color w:val="0070C0"/>
        </w:rPr>
        <w:t xml:space="preserve"> HM, </w:t>
      </w:r>
      <w:proofErr w:type="spellStart"/>
      <w:r w:rsidRPr="00D61EC9">
        <w:rPr>
          <w:color w:val="0070C0"/>
        </w:rPr>
        <w:t>Brindis</w:t>
      </w:r>
      <w:proofErr w:type="spellEnd"/>
      <w:r w:rsidRPr="00D61EC9">
        <w:rPr>
          <w:color w:val="0070C0"/>
        </w:rPr>
        <w:t xml:space="preserve"> RG, et al. (2006).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Circulation 113(3): 456-62.</w:t>
      </w:r>
    </w:p>
    <w:p w14:paraId="3F2C7834"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p>
    <w:p w14:paraId="280C4918"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proofErr w:type="spellStart"/>
      <w:r w:rsidRPr="00D61EC9">
        <w:rPr>
          <w:color w:val="0070C0"/>
        </w:rPr>
        <w:t>Moscucci</w:t>
      </w:r>
      <w:proofErr w:type="spellEnd"/>
      <w:r w:rsidRPr="00D61EC9">
        <w:rPr>
          <w:color w:val="0070C0"/>
        </w:rPr>
        <w:t xml:space="preserve"> M, Kline Rogers E, </w:t>
      </w:r>
      <w:proofErr w:type="spellStart"/>
      <w:r w:rsidRPr="00D61EC9">
        <w:rPr>
          <w:color w:val="0070C0"/>
        </w:rPr>
        <w:t>Montoye</w:t>
      </w:r>
      <w:proofErr w:type="spellEnd"/>
      <w:r w:rsidRPr="00D61EC9">
        <w:rPr>
          <w:color w:val="0070C0"/>
        </w:rPr>
        <w:t xml:space="preserve"> C, Smith DE, Share D, O’Donnell M, Maxwell-</w:t>
      </w:r>
      <w:proofErr w:type="spellStart"/>
      <w:r w:rsidRPr="00D61EC9">
        <w:rPr>
          <w:color w:val="0070C0"/>
        </w:rPr>
        <w:t>Eward</w:t>
      </w:r>
      <w:proofErr w:type="spellEnd"/>
      <w:r w:rsidRPr="00D61EC9">
        <w:rPr>
          <w:color w:val="0070C0"/>
        </w:rPr>
        <w:t xml:space="preserve"> A, </w:t>
      </w:r>
      <w:proofErr w:type="spellStart"/>
      <w:r w:rsidRPr="00D61EC9">
        <w:rPr>
          <w:color w:val="0070C0"/>
        </w:rPr>
        <w:t>Meengs</w:t>
      </w:r>
      <w:proofErr w:type="spellEnd"/>
      <w:r w:rsidRPr="00D61EC9">
        <w:rPr>
          <w:color w:val="0070C0"/>
        </w:rPr>
        <w:t xml:space="preserve"> WL, De Franco AC, Patel K, McNamara R, </w:t>
      </w:r>
      <w:proofErr w:type="spellStart"/>
      <w:r w:rsidRPr="00D61EC9">
        <w:rPr>
          <w:color w:val="0070C0"/>
        </w:rPr>
        <w:t>McGinnity</w:t>
      </w:r>
      <w:proofErr w:type="spellEnd"/>
      <w:r w:rsidRPr="00D61EC9">
        <w:rPr>
          <w:color w:val="0070C0"/>
        </w:rPr>
        <w:t xml:space="preserve"> JG, Jani SM, </w:t>
      </w:r>
      <w:proofErr w:type="spellStart"/>
      <w:r w:rsidRPr="00D61EC9">
        <w:rPr>
          <w:color w:val="0070C0"/>
        </w:rPr>
        <w:t>Khanal</w:t>
      </w:r>
      <w:proofErr w:type="spellEnd"/>
      <w:r w:rsidRPr="00D61EC9">
        <w:rPr>
          <w:color w:val="0070C0"/>
        </w:rPr>
        <w:t xml:space="preserve"> S, Eagle KA. (2006). “Association of a Continuous Quality Improvement Initiative </w:t>
      </w:r>
      <w:proofErr w:type="gramStart"/>
      <w:r w:rsidRPr="00D61EC9">
        <w:rPr>
          <w:color w:val="0070C0"/>
        </w:rPr>
        <w:t>With</w:t>
      </w:r>
      <w:proofErr w:type="gramEnd"/>
      <w:r w:rsidRPr="00D61EC9">
        <w:rPr>
          <w:color w:val="0070C0"/>
        </w:rPr>
        <w:t xml:space="preserve"> Practice and Outcome Variations of Contemporary Percutaneous Coronary Interventions.” Circulation. 113:814-822.</w:t>
      </w:r>
    </w:p>
    <w:p w14:paraId="7A5CEE43"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p>
    <w:p w14:paraId="5A2D8AA8" w14:textId="77777777" w:rsidR="00183A8C" w:rsidRPr="00D61EC9" w:rsidRDefault="00183A8C" w:rsidP="00183A8C">
      <w:pPr>
        <w:pBdr>
          <w:top w:val="single" w:sz="4" w:space="1" w:color="auto"/>
          <w:left w:val="single" w:sz="4" w:space="1" w:color="auto"/>
          <w:bottom w:val="single" w:sz="4" w:space="1" w:color="auto"/>
          <w:right w:val="single" w:sz="4" w:space="1" w:color="auto"/>
        </w:pBdr>
        <w:ind w:left="0" w:firstLine="0"/>
        <w:rPr>
          <w:color w:val="0070C0"/>
        </w:rPr>
      </w:pPr>
      <w:proofErr w:type="spellStart"/>
      <w:r w:rsidRPr="00D61EC9">
        <w:rPr>
          <w:color w:val="0070C0"/>
        </w:rPr>
        <w:t>Rihal</w:t>
      </w:r>
      <w:proofErr w:type="spellEnd"/>
      <w:r w:rsidRPr="00D61EC9">
        <w:rPr>
          <w:color w:val="0070C0"/>
        </w:rPr>
        <w:t xml:space="preserve"> C, Kamath C, Holmes D, et al. (2006). “Economic and clinical outcomes of a physician-led continuous quality improvement intervention in the delivery of percutaneous coronary intervention.” Am J </w:t>
      </w:r>
      <w:proofErr w:type="spellStart"/>
      <w:r w:rsidRPr="00D61EC9">
        <w:rPr>
          <w:color w:val="0070C0"/>
        </w:rPr>
        <w:t>Manag</w:t>
      </w:r>
      <w:proofErr w:type="spellEnd"/>
      <w:r w:rsidRPr="00D61EC9">
        <w:rPr>
          <w:color w:val="0070C0"/>
        </w:rPr>
        <w:t xml:space="preserve"> Care 12:445-452.</w:t>
      </w: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bookmarkStart w:id="5" w:name="_GoBack"/>
      <w:bookmarkEnd w:id="5"/>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36F48833" w:rsidR="00D14F0B" w:rsidRPr="00F85278" w:rsidRDefault="00F85278" w:rsidP="002E2177">
      <w:pPr>
        <w:ind w:left="0" w:firstLine="0"/>
        <w:rPr>
          <w:iCs/>
          <w:color w:val="FF0000"/>
        </w:rPr>
      </w:pPr>
      <w:r w:rsidRPr="00F85278">
        <w:rPr>
          <w:iCs/>
          <w:color w:val="FF0000"/>
        </w:rPr>
        <w:t>See evidence/literature described above in 1a3.</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proofErr w:type="gramStart"/>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w:t>
      </w:r>
      <w:proofErr w:type="gramEnd"/>
      <w:r w:rsidR="00C41794" w:rsidRPr="003B1CC5">
        <w:rPr>
          <w:b/>
          <w:iCs/>
          <w:caps/>
        </w:rPr>
        <w:t xml:space="preserv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520681BA"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F85278">
      <w:rPr>
        <w:noProof/>
      </w:rPr>
      <w:t>5</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32070"/>
    <w:rsid w:val="00141875"/>
    <w:rsid w:val="0014347E"/>
    <w:rsid w:val="00154438"/>
    <w:rsid w:val="001551F6"/>
    <w:rsid w:val="0015535B"/>
    <w:rsid w:val="00162036"/>
    <w:rsid w:val="001632DD"/>
    <w:rsid w:val="00176E60"/>
    <w:rsid w:val="00183A8C"/>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A53D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4601F"/>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D6C5F"/>
    <w:rsid w:val="008F1DC6"/>
    <w:rsid w:val="008F6E75"/>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34381"/>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61EC9"/>
    <w:rsid w:val="00D72995"/>
    <w:rsid w:val="00D73685"/>
    <w:rsid w:val="00D753AA"/>
    <w:rsid w:val="00DA7FA2"/>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1BC1"/>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63E8D"/>
    <w:rsid w:val="00F67706"/>
    <w:rsid w:val="00F81FE3"/>
    <w:rsid w:val="00F85278"/>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2D421B182F6841EFA1D087341A9A0611"/>
        <w:category>
          <w:name w:val="General"/>
          <w:gallery w:val="placeholder"/>
        </w:category>
        <w:types>
          <w:type w:val="bbPlcHdr"/>
        </w:types>
        <w:behaviors>
          <w:behavior w:val="content"/>
        </w:behaviors>
        <w:guid w:val="{F6F91538-5FB6-4061-AAE9-C85BC97EFB63}"/>
      </w:docPartPr>
      <w:docPartBody>
        <w:p w:rsidR="00BF5ADA" w:rsidRDefault="00FB447E" w:rsidP="00FB447E">
          <w:pPr>
            <w:pStyle w:val="2D421B182F6841EFA1D087341A9A0611"/>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BF5ADA"/>
    <w:rsid w:val="00C03643"/>
    <w:rsid w:val="00C2797F"/>
    <w:rsid w:val="00C80225"/>
    <w:rsid w:val="00D228C9"/>
    <w:rsid w:val="00D2552B"/>
    <w:rsid w:val="00D75B64"/>
    <w:rsid w:val="00DB5324"/>
    <w:rsid w:val="00E97654"/>
    <w:rsid w:val="00EA555A"/>
    <w:rsid w:val="00F87EB9"/>
    <w:rsid w:val="00FB447E"/>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447E"/>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2D421B182F6841EFA1D087341A9A0611">
    <w:name w:val="2D421B182F6841EFA1D087341A9A0611"/>
    <w:rsid w:val="00FB447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CDBE7-7F08-4F52-B308-EE351D989842}">
  <ds:schemaRefs>
    <ds:schemaRef ds:uri="http://purl.org/dc/elements/1.1/"/>
    <ds:schemaRef ds:uri="http://www.w3.org/XML/1998/namespace"/>
    <ds:schemaRef ds:uri="http://purl.org/dc/dcmitype/"/>
    <ds:schemaRef ds:uri="http://purl.org/dc/terms/"/>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13397338-7FAD-4949-AF14-225AEFE3F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1854</Words>
  <Characters>10570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Esteban Perla</cp:lastModifiedBy>
  <cp:revision>3</cp:revision>
  <dcterms:created xsi:type="dcterms:W3CDTF">2017-11-02T21:38:00Z</dcterms:created>
  <dcterms:modified xsi:type="dcterms:W3CDTF">2017-11-06T15:31:00Z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