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2C6360">
            <w:rPr>
              <w:rStyle w:val="Style1"/>
            </w:rPr>
            <w:t>029</w:t>
          </w:r>
          <w:r w:rsidR="00FA6AB9">
            <w:rPr>
              <w:rStyle w:val="Style1"/>
            </w:rPr>
            <w:t>2</w:t>
          </w:r>
          <w:bookmarkStart w:id="0" w:name="_GoBack"/>
          <w:bookmarkEnd w:id="0"/>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2C6360">
            <w:rPr>
              <w:rStyle w:val="Style1"/>
            </w:rPr>
            <w:t>administrative communication</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1-20T00:00:00Z">
            <w:dateFormat w:val="M/d/yyyy"/>
            <w:lid w:val="en-US"/>
            <w:storeMappedDataAs w:val="dateTime"/>
            <w:calendar w:val="gregorian"/>
          </w:date>
        </w:sdtPr>
        <w:sdtEndPr>
          <w:rPr>
            <w:rStyle w:val="DefaultParagraphFont"/>
            <w:noProof/>
            <w:color w:val="auto"/>
            <w:u w:val="none"/>
          </w:rPr>
        </w:sdtEndPr>
        <w:sdtContent>
          <w:r w:rsidR="002C6360">
            <w:rPr>
              <w:rStyle w:val="Style2"/>
            </w:rPr>
            <w:t>1/20/2014</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1" w:name="Note2"/>
            <w:bookmarkEnd w:id="1"/>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4C6B74"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4C6B74"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4C6B74"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4C6B74"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2C6360">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dtPr>
        <w:sdtEndPr>
          <w:rPr>
            <w:rStyle w:val="DefaultParagraphFont"/>
            <w:rFonts w:cstheme="minorBidi"/>
            <w:bCs/>
            <w:color w:val="auto"/>
            <w:u w:val="none"/>
          </w:rPr>
        </w:sdtEndPr>
        <w:sdtContent>
          <w:r w:rsidR="002C6360">
            <w:rPr>
              <w:rStyle w:val="Style2"/>
              <w:rFonts w:cstheme="minorHAnsi"/>
            </w:rPr>
            <w:t>transfer communication from ED to receiving facility</w:t>
          </w:r>
        </w:sdtContent>
      </w:sdt>
    </w:p>
    <w:p w:rsidR="00496AF8" w:rsidRPr="003B1CC5" w:rsidRDefault="004C6B74"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4C6B74"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7C1887" w:rsidRDefault="007C1887" w:rsidP="002E2177">
      <w:pPr>
        <w:ind w:left="0" w:firstLine="0"/>
      </w:pPr>
    </w:p>
    <w:p w:rsidR="002C6360" w:rsidRDefault="002C6360" w:rsidP="002E2177">
      <w:pPr>
        <w:ind w:left="0" w:firstLine="0"/>
      </w:pPr>
      <w:r>
        <w:t xml:space="preserve">The communication of essential healthcare information is necessary for continuity of care. Continuity of care results in better health outcomes, more efficient use of resources and </w:t>
      </w:r>
      <w:proofErr w:type="gramStart"/>
      <w:r>
        <w:t>improve</w:t>
      </w:r>
      <w:proofErr w:type="gramEnd"/>
      <w:r>
        <w:t xml:space="preserve"> patient satisfaction.</w:t>
      </w:r>
    </w:p>
    <w:p w:rsidR="002C6360" w:rsidRDefault="002C6360" w:rsidP="002E2177">
      <w:pPr>
        <w:ind w:left="0" w:firstLine="0"/>
      </w:pPr>
    </w:p>
    <w:p w:rsidR="002C6360" w:rsidRPr="003B1CC5" w:rsidRDefault="002C6360"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4C6B74"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4C6B74"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4C6B74"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4C6B74"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2C6360">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7" w:name="Section1a4"/>
      <w:bookmarkEnd w:id="7"/>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D53405" w:rsidRPr="003B1CC5" w:rsidRDefault="00D53405" w:rsidP="002E2177">
      <w:pPr>
        <w:ind w:left="0" w:firstLine="0"/>
        <w:rPr>
          <w:rFonts w:cs="Arial"/>
          <w:sz w:val="20"/>
          <w:szCs w:val="20"/>
        </w:rPr>
      </w:pPr>
    </w:p>
    <w:p w:rsidR="006F4B7F" w:rsidRPr="003B1CC5" w:rsidRDefault="006F4B7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496AF8" w:rsidRPr="003B1CC5" w:rsidRDefault="00496AF8" w:rsidP="002E2177">
      <w:pPr>
        <w:ind w:left="0" w:firstLine="0"/>
      </w:pP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Pr="003B1CC5" w:rsidRDefault="008A45F3" w:rsidP="00265702">
      <w:pPr>
        <w:ind w:left="0" w:firstLine="0"/>
      </w:pP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Pr="003B1CC5" w:rsidRDefault="00A12762" w:rsidP="00265702">
      <w:pPr>
        <w:ind w:left="0" w:firstLine="0"/>
        <w:rPr>
          <w:b/>
        </w:rPr>
      </w:pP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4C6B74"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4C6B74"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proofErr w:type="gramStart"/>
      <w:r w:rsidRPr="003B1CC5">
        <w:rPr>
          <w:b/>
        </w:rPr>
        <w:t>What</w:t>
      </w:r>
      <w:proofErr w:type="gramEnd"/>
      <w:r w:rsidRPr="003B1CC5">
        <w:rPr>
          <w:b/>
        </w:rPr>
        <w:t xml:space="preserve"> was the specific structure, treatment, intervention, service, or intermediate outcome addressed in the evidence review?</w:t>
      </w:r>
      <w:r w:rsidRPr="003B1CC5">
        <w:t xml:space="preserve"> </w:t>
      </w:r>
    </w:p>
    <w:p w:rsidR="00EE5AF6" w:rsidRPr="003B1CC5" w:rsidRDefault="00EE5AF6" w:rsidP="00EE5AF6">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Pr="003B1CC5" w:rsidRDefault="00095EC9" w:rsidP="00EA79C9">
      <w:pPr>
        <w:ind w:left="0" w:firstLine="0"/>
      </w:pPr>
    </w:p>
    <w:p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A12762" w:rsidRPr="003B1CC5" w:rsidRDefault="00A12762" w:rsidP="002E2177">
      <w:pPr>
        <w:ind w:left="0" w:firstLine="0"/>
        <w:rPr>
          <w:noProof/>
        </w:rPr>
      </w:pPr>
    </w:p>
    <w:p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097C98">
            <w:rPr>
              <w:rStyle w:val="Style2"/>
            </w:rPr>
            <w:t>2004-2007</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496AF8" w:rsidRPr="003B1CC5" w:rsidRDefault="00496AF8"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3B1CC5" w:rsidRDefault="00496AF8" w:rsidP="002E2177">
      <w:pPr>
        <w:ind w:left="0" w:firstLine="0"/>
      </w:pP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Pr="003B1CC5" w:rsidRDefault="00496AF8" w:rsidP="002E2177">
      <w:pPr>
        <w:ind w:left="0" w:firstLine="0"/>
      </w:pP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3B1CC5" w:rsidRDefault="00496AF8" w:rsidP="002E2177">
      <w:pPr>
        <w:ind w:left="0" w:firstLine="0"/>
      </w:pP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097C98" w:rsidRPr="004B5343" w:rsidRDefault="00097C98" w:rsidP="00097C98">
      <w:pPr>
        <w:spacing w:before="240"/>
        <w:ind w:left="0" w:firstLine="0"/>
        <w:rPr>
          <w:rFonts w:ascii="Cambria" w:hAnsi="Cambria"/>
          <w:b/>
        </w:rPr>
      </w:pPr>
      <w:r w:rsidRPr="004B5343">
        <w:rPr>
          <w:rFonts w:ascii="Cambria" w:hAnsi="Cambria"/>
          <w:b/>
        </w:rPr>
        <w:t xml:space="preserve"> </w:t>
      </w:r>
      <w:proofErr w:type="gramStart"/>
      <w:r w:rsidRPr="004B5343">
        <w:rPr>
          <w:rFonts w:ascii="Cambria" w:hAnsi="Cambria"/>
          <w:b/>
        </w:rPr>
        <w:t>Evidence to support the measurement focus.</w:t>
      </w:r>
      <w:proofErr w:type="gramEnd"/>
    </w:p>
    <w:p w:rsidR="00097C98" w:rsidRDefault="00097C98" w:rsidP="00097C98">
      <w:pPr>
        <w:spacing w:before="240"/>
        <w:rPr>
          <w:rFonts w:ascii="Cambria" w:hAnsi="Cambria"/>
        </w:rPr>
      </w:pPr>
      <w:r w:rsidRPr="00E22352">
        <w:rPr>
          <w:rFonts w:ascii="Cambria" w:hAnsi="Cambria"/>
        </w:rPr>
        <w:t xml:space="preserve">In previous work, a model for measuring rural hospital quality was developed, with a focus on the special issues posed by the rural hospital context </w:t>
      </w:r>
      <w:r w:rsidRPr="00E22352">
        <w:rPr>
          <w:rFonts w:ascii="Cambria" w:hAnsi="Cambria"/>
        </w:rPr>
        <w:fldChar w:fldCharType="begin"/>
      </w:r>
      <w:r w:rsidRPr="00E22352">
        <w:rPr>
          <w:rFonts w:ascii="Cambria" w:hAnsi="Cambria"/>
        </w:rPr>
        <w:instrText xml:space="preserve"> ADDIN EN.CITE &lt;EndNote&gt;&lt;Cite&gt;&lt;Author&gt;Moscovice&lt;/Author&gt;&lt;Year&gt;2004&lt;/Year&gt;&lt;RecNum&gt;1&lt;/RecNum&gt;&lt;MDL&gt;&lt;REFERENCE_TYPE&gt;0&lt;/REFERENCE_TYPE&gt;&lt;REFNUM&gt;1&lt;/REFNUM&gt;&lt;ACCESSION_NUMBER&gt;15551856&lt;/ACCESSION_NUMBER&gt;&lt;VOLUME&gt;20&lt;/VOLUME&gt;&lt;NUMBER&gt;4&lt;/NUMBER&gt;&lt;YEAR&gt;2004&lt;/YEAR&gt;&lt;DATE&gt;Fall&lt;/DATE&gt;&lt;TITLE&gt;Measuring rural hospital quality&lt;/TITLE&gt;&lt;PAGES&gt;383-93&lt;/PAGES&gt;&lt;AUTHOR_ADDRESS&gt;Rural Health Research Center, Division of Health Services Research and Policy, University of Minnesota, Minneapolis, MN 55455, USA. mosco001@umn.edu&lt;/AUTHOR_ADDRESS&gt;&lt;AUTHORS&gt;&lt;AUTHOR&gt;Moscovice, I.&lt;/AUTHOR&gt;&lt;AUTHOR&gt;Wholey, D. R.&lt;/AUTHOR&gt;&lt;AUTHOR&gt;Klingner, J.&lt;/AUTHOR&gt;&lt;AUTHOR&gt;Knott, A.&lt;/AUTHOR&gt;&lt;/AUTHORS&gt;&lt;SECONDARY_TITLE&gt;J Rural Health&lt;/SECONDARY_TITLE&gt;&lt;KEYWORDS&gt;&lt;KEYWORD&gt;Community-Acquired Infections/therapy&lt;/KEYWORD&gt;&lt;KEYWORD&gt;Cross-Sectional Studies&lt;/KEYWORD&gt;&lt;KEYWORD&gt;Heart Failure, Congestive/therapy&lt;/KEYWORD&gt;&lt;KEYWORD&gt;Hospital Bed Capacity, under 100/statistics &amp;amp; numerical data&lt;/KEYWORD&gt;&lt;KEYWORD&gt;Hospitals, Rural/*standards&lt;/KEYWORD&gt;&lt;KEYWORD&gt;Humans&lt;/KEYWORD&gt;&lt;KEYWORD&gt;Joint Commission on Accreditation of Healthcare Organizations&lt;/KEYWORD&gt;&lt;KEYWORD&gt;Logistic Models&lt;/KEYWORD&gt;&lt;KEYWORD&gt;Myocardial Infarction/therapy&lt;/KEYWORD&gt;&lt;KEYWORD&gt;Pneumonia/therapy&lt;/KEYWORD&gt;&lt;KEYWORD&gt;Quality Assurance, Health Care/*organization &amp;amp; administration&lt;/KEYWORD&gt;&lt;KEYWORD&gt;*Quality Indicators, Health Care&lt;/KEYWORD&gt;&lt;KEYWORD&gt;Research Support, U.S. Gov&amp;apos;t, P.H.S.&lt;/KEYWORD&gt;&lt;KEYWORD&gt;Rural Health/statistics &amp;amp; numerical data&lt;/KEYWORD&gt;&lt;KEYWORD&gt;Sentinel Surveillance&lt;/KEYWORD&gt;&lt;KEYWORD&gt;United States/epidemiology&lt;/KEYWORD&gt;&lt;/KEYWORDS&gt;&lt;URL&gt;http://www.ncbi.nlm.nih.gov/entrez/query.fcgi?cmd=Retrieve&amp;amp;db=PubMed&amp;amp;dopt=Citation&amp;amp;list_uids=15551856&lt;/URL&gt;&lt;/MDL&gt;&lt;/Cite&gt;&lt;/EndNote&gt;</w:instrText>
      </w:r>
      <w:r w:rsidRPr="00E22352">
        <w:rPr>
          <w:rFonts w:ascii="Cambria" w:hAnsi="Cambria"/>
        </w:rPr>
        <w:fldChar w:fldCharType="separate"/>
      </w:r>
      <w:r w:rsidRPr="00E22352">
        <w:rPr>
          <w:rFonts w:ascii="Cambria" w:hAnsi="Cambria"/>
        </w:rPr>
        <w:t>(Moscovice et al. 2004)</w:t>
      </w:r>
      <w:r w:rsidRPr="00E22352">
        <w:rPr>
          <w:rFonts w:ascii="Cambria" w:hAnsi="Cambria"/>
        </w:rPr>
        <w:fldChar w:fldCharType="end"/>
      </w:r>
      <w:r w:rsidRPr="00E22352">
        <w:rPr>
          <w:rFonts w:ascii="Cambria" w:hAnsi="Cambria"/>
        </w:rPr>
        <w:t xml:space="preserve">. The development of rural relevant hospital quality measures was completed over several steps.  With the assistance of expert panels consisting of rural hospital and hospital quality measurement experts, an initial </w:t>
      </w:r>
      <w:r w:rsidRPr="00E22352">
        <w:rPr>
          <w:rFonts w:ascii="Cambria" w:hAnsi="Cambria"/>
        </w:rPr>
        <w:lastRenderedPageBreak/>
        <w:t xml:space="preserve">core set of quality measures relevant to rural hospitals with fewer than 50 beds was identified. Established hospital quality measures were examined and the list consolidated. </w:t>
      </w:r>
    </w:p>
    <w:p w:rsidR="00272936" w:rsidRDefault="00272936" w:rsidP="00097C98">
      <w:pPr>
        <w:spacing w:before="240"/>
        <w:rPr>
          <w:rFonts w:ascii="Cambria" w:hAnsi="Cambria"/>
        </w:rPr>
      </w:pPr>
    </w:p>
    <w:p w:rsidR="00097C98" w:rsidRPr="00E22352" w:rsidRDefault="00097C98" w:rsidP="00097C98">
      <w:pPr>
        <w:spacing w:before="240"/>
        <w:rPr>
          <w:rFonts w:ascii="Cambria" w:hAnsi="Cambria"/>
        </w:rPr>
      </w:pPr>
      <w:r w:rsidRPr="00E22352">
        <w:rPr>
          <w:rFonts w:ascii="Cambria" w:hAnsi="Cambria"/>
        </w:rPr>
        <w:t xml:space="preserve">The team evaluated existing quality indicator and performance measurement systems to assess their relevance for rural hospitals. Existing quality indicator and performance measurement systems (e.g., those developed by the Joint Commission on the Accreditation of Healthcare Organizations (JCAHO), Agency for Healthcare Research and Quality (AHRQ), National Quality Forum (NQF), Centers for Medicare and Medicaid Services (CMS) and four rural-oriented performance measurement systems, Apples to Apples, Rural Wisconsin Health Cooperative, Maryland Hospital Association QI Project, Georgia Hospital Association CARE were reviewed. Four criterions were used to evaluate rural hospital quality measures included: </w:t>
      </w:r>
    </w:p>
    <w:p w:rsidR="00097C98" w:rsidRPr="00E22352" w:rsidRDefault="00097C98" w:rsidP="00097C98">
      <w:pPr>
        <w:keepNext/>
        <w:numPr>
          <w:ilvl w:val="0"/>
          <w:numId w:val="10"/>
        </w:numPr>
        <w:rPr>
          <w:rFonts w:ascii="Cambria" w:hAnsi="Cambria"/>
        </w:rPr>
      </w:pPr>
      <w:r w:rsidRPr="00E22352">
        <w:rPr>
          <w:rFonts w:ascii="Cambria" w:hAnsi="Cambria"/>
        </w:rPr>
        <w:t>Prevalence in rural hospitals with less than 50 beds</w:t>
      </w:r>
    </w:p>
    <w:p w:rsidR="00097C98" w:rsidRPr="00E22352" w:rsidRDefault="00097C98" w:rsidP="00097C98">
      <w:pPr>
        <w:keepNext/>
        <w:numPr>
          <w:ilvl w:val="0"/>
          <w:numId w:val="10"/>
        </w:numPr>
        <w:rPr>
          <w:rFonts w:ascii="Cambria" w:hAnsi="Cambria"/>
        </w:rPr>
      </w:pPr>
      <w:r w:rsidRPr="00E22352">
        <w:rPr>
          <w:rFonts w:ascii="Cambria" w:hAnsi="Cambria"/>
        </w:rPr>
        <w:t>Ease of data collection effort in rural hospitals with less than 50 beds</w:t>
      </w:r>
    </w:p>
    <w:p w:rsidR="00097C98" w:rsidRPr="00E22352" w:rsidRDefault="00097C98" w:rsidP="00097C98">
      <w:pPr>
        <w:keepNext/>
        <w:numPr>
          <w:ilvl w:val="0"/>
          <w:numId w:val="10"/>
        </w:numPr>
        <w:rPr>
          <w:rFonts w:ascii="Cambria" w:hAnsi="Cambria"/>
        </w:rPr>
      </w:pPr>
      <w:r w:rsidRPr="00E22352">
        <w:rPr>
          <w:rFonts w:ascii="Cambria" w:hAnsi="Cambria"/>
        </w:rPr>
        <w:t>Internal usefulness for rural hospitals with less than 50 beds</w:t>
      </w:r>
    </w:p>
    <w:p w:rsidR="00097C98" w:rsidRPr="00E22352" w:rsidRDefault="00097C98" w:rsidP="00097C98">
      <w:pPr>
        <w:keepNext/>
        <w:numPr>
          <w:ilvl w:val="0"/>
          <w:numId w:val="10"/>
        </w:numPr>
        <w:rPr>
          <w:rFonts w:ascii="Cambria" w:hAnsi="Cambria"/>
        </w:rPr>
      </w:pPr>
      <w:r w:rsidRPr="00E22352">
        <w:rPr>
          <w:rFonts w:ascii="Cambria" w:hAnsi="Cambria"/>
        </w:rPr>
        <w:t>External usefulness for rural hospitals with less than 50 beds.</w:t>
      </w:r>
    </w:p>
    <w:p w:rsidR="00097C98" w:rsidRPr="00E22352" w:rsidRDefault="00097C98" w:rsidP="00097C98">
      <w:pPr>
        <w:spacing w:after="180"/>
        <w:rPr>
          <w:rFonts w:ascii="Cambria" w:hAnsi="Cambria"/>
        </w:rPr>
      </w:pPr>
    </w:p>
    <w:p w:rsidR="00097C98" w:rsidRDefault="00097C98" w:rsidP="00097C98">
      <w:pPr>
        <w:spacing w:after="180"/>
        <w:rPr>
          <w:rFonts w:ascii="Cambria" w:hAnsi="Cambria"/>
        </w:rPr>
      </w:pPr>
      <w:r w:rsidRPr="00E22352">
        <w:rPr>
          <w:rFonts w:ascii="Cambria" w:hAnsi="Cambria"/>
        </w:rPr>
        <w:t xml:space="preserve">The research partners further refined this draft set of existing quality measures to fit the rural context and identified emergency department care as both an important quality assessment measurement category for rural hospitals and missing from existing measurement sets. </w:t>
      </w:r>
    </w:p>
    <w:p w:rsidR="00272936" w:rsidRDefault="00272936" w:rsidP="00097C98">
      <w:pPr>
        <w:spacing w:after="180"/>
        <w:rPr>
          <w:rFonts w:ascii="Cambria" w:hAnsi="Cambria"/>
        </w:rPr>
      </w:pPr>
      <w:r>
        <w:rPr>
          <w:rFonts w:ascii="Cambria" w:hAnsi="Cambria"/>
        </w:rPr>
        <w:t>The following referenced articles describe the ongoing use of expert panels to review the measures value, structure, elements and results.</w:t>
      </w:r>
    </w:p>
    <w:p w:rsidR="00272936" w:rsidRDefault="00272936" w:rsidP="00272936">
      <w:pPr>
        <w:autoSpaceDE w:val="0"/>
        <w:autoSpaceDN w:val="0"/>
        <w:adjustRightInd w:val="0"/>
        <w:ind w:left="0" w:firstLine="0"/>
        <w:rPr>
          <w:rFonts w:ascii="CongressSans-ExtraBold" w:hAnsi="CongressSans-ExtraBold" w:cs="CongressSans-ExtraBold"/>
          <w:b/>
          <w:bCs/>
          <w:sz w:val="30"/>
          <w:szCs w:val="30"/>
        </w:rPr>
      </w:pPr>
      <w:r>
        <w:rPr>
          <w:rFonts w:ascii="CongressSans-ExtraBold" w:hAnsi="CongressSans-ExtraBold" w:cs="CongressSans-ExtraBold"/>
          <w:b/>
          <w:bCs/>
          <w:sz w:val="30"/>
          <w:szCs w:val="30"/>
        </w:rPr>
        <w:t>Rural Relevant Quality Measures for Critical Access Hospitals</w:t>
      </w:r>
    </w:p>
    <w:p w:rsidR="00272936" w:rsidRDefault="00272936" w:rsidP="00272936">
      <w:pPr>
        <w:autoSpaceDE w:val="0"/>
        <w:autoSpaceDN w:val="0"/>
        <w:adjustRightInd w:val="0"/>
        <w:ind w:left="0" w:firstLine="0"/>
        <w:rPr>
          <w:rFonts w:ascii="CongressSans-ExtraBold" w:hAnsi="CongressSans-ExtraBold" w:cs="CongressSans-ExtraBold"/>
          <w:b/>
          <w:bCs/>
          <w:sz w:val="30"/>
          <w:szCs w:val="30"/>
        </w:rPr>
      </w:pPr>
      <w:r>
        <w:rPr>
          <w:rFonts w:ascii="CongressSans-Light" w:hAnsi="CongressSans-Light" w:cs="CongressSans-Light"/>
          <w:sz w:val="13"/>
          <w:szCs w:val="13"/>
        </w:rPr>
        <w:t xml:space="preserve">The Journal of Rural Health </w:t>
      </w:r>
      <w:r>
        <w:rPr>
          <w:rFonts w:ascii="CongressSans-Bold" w:hAnsi="CongressSans-Bold" w:cs="CongressSans-Bold"/>
          <w:b/>
          <w:bCs/>
          <w:sz w:val="13"/>
          <w:szCs w:val="13"/>
        </w:rPr>
        <w:t xml:space="preserve">29 </w:t>
      </w:r>
      <w:r>
        <w:rPr>
          <w:rFonts w:ascii="CongressSans-Light" w:hAnsi="CongressSans-Light" w:cs="CongressSans-Light"/>
          <w:sz w:val="13"/>
          <w:szCs w:val="13"/>
        </w:rPr>
        <w:t>(2013) 159–171</w:t>
      </w:r>
      <w:r>
        <w:rPr>
          <w:rFonts w:ascii="MTSY" w:hAnsi="MTSY" w:cs="MTSY"/>
          <w:sz w:val="12"/>
          <w:szCs w:val="12"/>
        </w:rPr>
        <w:t>_</w:t>
      </w:r>
      <w:r>
        <w:rPr>
          <w:rFonts w:ascii="CongressSans-Light" w:hAnsi="CongressSans-Light" w:cs="CongressSans-Light"/>
          <w:sz w:val="12"/>
          <w:szCs w:val="12"/>
        </w:rPr>
        <w:t xml:space="preserve">c </w:t>
      </w:r>
      <w:r>
        <w:rPr>
          <w:rFonts w:ascii="CongressSans-Light" w:hAnsi="CongressSans-Light" w:cs="CongressSans-Light"/>
          <w:sz w:val="13"/>
          <w:szCs w:val="13"/>
        </w:rPr>
        <w:t>2012 National Rural Health Association</w:t>
      </w:r>
    </w:p>
    <w:p w:rsidR="00272936" w:rsidRDefault="00272936" w:rsidP="00272936">
      <w:pPr>
        <w:autoSpaceDE w:val="0"/>
        <w:autoSpaceDN w:val="0"/>
        <w:adjustRightInd w:val="0"/>
        <w:ind w:left="0" w:firstLine="0"/>
        <w:rPr>
          <w:rFonts w:ascii="CongressSans-Bold" w:hAnsi="CongressSans-Bold" w:cs="CongressSans-Bold"/>
          <w:b/>
          <w:bCs/>
          <w:sz w:val="14"/>
          <w:szCs w:val="14"/>
        </w:rPr>
      </w:pPr>
      <w:r>
        <w:rPr>
          <w:rFonts w:ascii="CongressSans" w:hAnsi="CongressSans" w:cs="CongressSans"/>
          <w:sz w:val="20"/>
          <w:szCs w:val="20"/>
        </w:rPr>
        <w:t>Michelle M. Casey, MS</w:t>
      </w:r>
      <w:proofErr w:type="gramStart"/>
      <w:r>
        <w:rPr>
          <w:rFonts w:ascii="CongressSans" w:hAnsi="CongressSans" w:cs="CongressSans"/>
          <w:sz w:val="20"/>
          <w:szCs w:val="20"/>
        </w:rPr>
        <w:t>;</w:t>
      </w:r>
      <w:r>
        <w:rPr>
          <w:rFonts w:ascii="CongressSans-Bold" w:hAnsi="CongressSans-Bold" w:cs="CongressSans-Bold"/>
          <w:b/>
          <w:bCs/>
          <w:sz w:val="14"/>
          <w:szCs w:val="14"/>
        </w:rPr>
        <w:t>1</w:t>
      </w:r>
      <w:proofErr w:type="gramEnd"/>
      <w:r>
        <w:rPr>
          <w:rFonts w:ascii="CongressSans-Bold" w:hAnsi="CongressSans-Bold" w:cs="CongressSans-Bold"/>
          <w:b/>
          <w:bCs/>
          <w:sz w:val="14"/>
          <w:szCs w:val="14"/>
        </w:rPr>
        <w:t xml:space="preserve"> </w:t>
      </w:r>
      <w:r>
        <w:rPr>
          <w:rFonts w:ascii="CongressSans" w:hAnsi="CongressSans" w:cs="CongressSans"/>
          <w:sz w:val="20"/>
          <w:szCs w:val="20"/>
        </w:rPr>
        <w:t>Ira Moscovice, PhD;</w:t>
      </w:r>
      <w:r>
        <w:rPr>
          <w:rFonts w:ascii="CongressSans-Bold" w:hAnsi="CongressSans-Bold" w:cs="CongressSans-Bold"/>
          <w:b/>
          <w:bCs/>
          <w:sz w:val="14"/>
          <w:szCs w:val="14"/>
        </w:rPr>
        <w:t xml:space="preserve">1 </w:t>
      </w:r>
      <w:r>
        <w:rPr>
          <w:rFonts w:ascii="CongressSans" w:hAnsi="CongressSans" w:cs="CongressSans"/>
          <w:sz w:val="20"/>
          <w:szCs w:val="20"/>
        </w:rPr>
        <w:t>Jill Klingner, RN, PhD;</w:t>
      </w:r>
      <w:r>
        <w:rPr>
          <w:rFonts w:ascii="CongressSans-Bold" w:hAnsi="CongressSans-Bold" w:cs="CongressSans-Bold"/>
          <w:b/>
          <w:bCs/>
          <w:sz w:val="14"/>
          <w:szCs w:val="14"/>
        </w:rPr>
        <w:t>1</w:t>
      </w:r>
      <w:r>
        <w:rPr>
          <w:rFonts w:ascii="RMTMIB" w:hAnsi="RMTMIB" w:cs="RMTMIB"/>
          <w:b/>
          <w:bCs/>
          <w:i/>
          <w:iCs/>
          <w:sz w:val="14"/>
          <w:szCs w:val="14"/>
        </w:rPr>
        <w:t>,</w:t>
      </w:r>
      <w:r>
        <w:rPr>
          <w:rFonts w:ascii="CongressSans-Bold" w:hAnsi="CongressSans-Bold" w:cs="CongressSans-Bold"/>
          <w:b/>
          <w:bCs/>
          <w:sz w:val="14"/>
          <w:szCs w:val="14"/>
        </w:rPr>
        <w:t xml:space="preserve">2 </w:t>
      </w:r>
      <w:r>
        <w:rPr>
          <w:rFonts w:ascii="CongressSans" w:hAnsi="CongressSans" w:cs="CongressSans"/>
          <w:sz w:val="20"/>
          <w:szCs w:val="20"/>
        </w:rPr>
        <w:t xml:space="preserve">&amp; </w:t>
      </w:r>
      <w:proofErr w:type="spellStart"/>
      <w:r>
        <w:rPr>
          <w:rFonts w:ascii="CongressSans" w:hAnsi="CongressSans" w:cs="CongressSans"/>
          <w:sz w:val="20"/>
          <w:szCs w:val="20"/>
        </w:rPr>
        <w:t>Shailendra</w:t>
      </w:r>
      <w:proofErr w:type="spellEnd"/>
      <w:r>
        <w:rPr>
          <w:rFonts w:ascii="CongressSans" w:hAnsi="CongressSans" w:cs="CongressSans"/>
          <w:sz w:val="20"/>
          <w:szCs w:val="20"/>
        </w:rPr>
        <w:t xml:space="preserve"> Prasad, MBBS, MPH</w:t>
      </w:r>
      <w:r>
        <w:rPr>
          <w:rFonts w:ascii="CongressSans-Bold" w:hAnsi="CongressSans-Bold" w:cs="CongressSans-Bold"/>
          <w:b/>
          <w:bCs/>
          <w:sz w:val="14"/>
          <w:szCs w:val="14"/>
        </w:rPr>
        <w:t>1</w:t>
      </w:r>
      <w:r>
        <w:rPr>
          <w:rFonts w:ascii="RMTMIB" w:hAnsi="RMTMIB" w:cs="RMTMIB"/>
          <w:b/>
          <w:bCs/>
          <w:i/>
          <w:iCs/>
          <w:sz w:val="14"/>
          <w:szCs w:val="14"/>
        </w:rPr>
        <w:t>,</w:t>
      </w:r>
      <w:r>
        <w:rPr>
          <w:rFonts w:ascii="CongressSans-Bold" w:hAnsi="CongressSans-Bold" w:cs="CongressSans-Bold"/>
          <w:b/>
          <w:bCs/>
          <w:sz w:val="14"/>
          <w:szCs w:val="14"/>
        </w:rPr>
        <w:t>3</w:t>
      </w:r>
    </w:p>
    <w:p w:rsidR="00272936" w:rsidRDefault="00272936" w:rsidP="00272936">
      <w:pPr>
        <w:autoSpaceDE w:val="0"/>
        <w:autoSpaceDN w:val="0"/>
        <w:adjustRightInd w:val="0"/>
        <w:ind w:left="0" w:firstLine="0"/>
        <w:rPr>
          <w:rFonts w:ascii="CongressSans-Light" w:hAnsi="CongressSans-Light" w:cs="CongressSans-Light"/>
          <w:sz w:val="15"/>
          <w:szCs w:val="15"/>
        </w:rPr>
      </w:pPr>
      <w:r>
        <w:rPr>
          <w:rFonts w:ascii="CongressSans-Light" w:hAnsi="CongressSans-Light" w:cs="CongressSans-Light"/>
          <w:sz w:val="15"/>
          <w:szCs w:val="15"/>
        </w:rPr>
        <w:t>1 Rural Health Research Center, Division of Health Policy and Management, School of Public Health, University of Minnesota, Minneapolis, Minnesota</w:t>
      </w:r>
    </w:p>
    <w:p w:rsidR="00272936" w:rsidRDefault="00272936" w:rsidP="00272936">
      <w:pPr>
        <w:autoSpaceDE w:val="0"/>
        <w:autoSpaceDN w:val="0"/>
        <w:adjustRightInd w:val="0"/>
        <w:ind w:left="0" w:firstLine="0"/>
        <w:rPr>
          <w:rFonts w:ascii="CongressSans-Light" w:hAnsi="CongressSans-Light" w:cs="CongressSans-Light"/>
          <w:sz w:val="15"/>
          <w:szCs w:val="15"/>
        </w:rPr>
      </w:pPr>
      <w:r>
        <w:rPr>
          <w:rFonts w:ascii="CongressSans-Light" w:hAnsi="CongressSans-Light" w:cs="CongressSans-Light"/>
          <w:sz w:val="15"/>
          <w:szCs w:val="15"/>
        </w:rPr>
        <w:t xml:space="preserve">2 </w:t>
      </w:r>
      <w:proofErr w:type="spellStart"/>
      <w:r>
        <w:rPr>
          <w:rFonts w:ascii="CongressSans-Light" w:hAnsi="CongressSans-Light" w:cs="CongressSans-Light"/>
          <w:sz w:val="15"/>
          <w:szCs w:val="15"/>
        </w:rPr>
        <w:t>Labovitz</w:t>
      </w:r>
      <w:proofErr w:type="spellEnd"/>
      <w:r>
        <w:rPr>
          <w:rFonts w:ascii="CongressSans-Light" w:hAnsi="CongressSans-Light" w:cs="CongressSans-Light"/>
          <w:sz w:val="15"/>
          <w:szCs w:val="15"/>
        </w:rPr>
        <w:t xml:space="preserve"> </w:t>
      </w:r>
      <w:proofErr w:type="gramStart"/>
      <w:r>
        <w:rPr>
          <w:rFonts w:ascii="CongressSans-Light" w:hAnsi="CongressSans-Light" w:cs="CongressSans-Light"/>
          <w:sz w:val="15"/>
          <w:szCs w:val="15"/>
        </w:rPr>
        <w:t>School</w:t>
      </w:r>
      <w:proofErr w:type="gramEnd"/>
      <w:r>
        <w:rPr>
          <w:rFonts w:ascii="CongressSans-Light" w:hAnsi="CongressSans-Light" w:cs="CongressSans-Light"/>
          <w:sz w:val="15"/>
          <w:szCs w:val="15"/>
        </w:rPr>
        <w:t xml:space="preserve"> of Business and Economics, University of Minnesota-Duluth, Duluth, Minnesota</w:t>
      </w:r>
    </w:p>
    <w:p w:rsidR="00272936" w:rsidRDefault="00272936" w:rsidP="00272936">
      <w:pPr>
        <w:spacing w:after="180"/>
        <w:ind w:left="0" w:firstLine="0"/>
        <w:rPr>
          <w:rFonts w:ascii="CongressSans-Light" w:hAnsi="CongressSans-Light" w:cs="CongressSans-Light"/>
          <w:sz w:val="15"/>
          <w:szCs w:val="15"/>
        </w:rPr>
      </w:pPr>
      <w:r>
        <w:rPr>
          <w:rFonts w:ascii="CongressSans-Light" w:hAnsi="CongressSans-Light" w:cs="CongressSans-Light"/>
          <w:sz w:val="15"/>
          <w:szCs w:val="15"/>
        </w:rPr>
        <w:t xml:space="preserve">3 </w:t>
      </w:r>
      <w:proofErr w:type="gramStart"/>
      <w:r>
        <w:rPr>
          <w:rFonts w:ascii="CongressSans-Light" w:hAnsi="CongressSans-Light" w:cs="CongressSans-Light"/>
          <w:sz w:val="15"/>
          <w:szCs w:val="15"/>
        </w:rPr>
        <w:t>Department</w:t>
      </w:r>
      <w:proofErr w:type="gramEnd"/>
      <w:r>
        <w:rPr>
          <w:rFonts w:ascii="CongressSans-Light" w:hAnsi="CongressSans-Light" w:cs="CongressSans-Light"/>
          <w:sz w:val="15"/>
          <w:szCs w:val="15"/>
        </w:rPr>
        <w:t xml:space="preserve"> of Family Medicine and Community Health, University of Minnesota, Minneapolis, Minnesota</w:t>
      </w:r>
    </w:p>
    <w:p w:rsidR="00272936" w:rsidRDefault="00272936" w:rsidP="00272936">
      <w:pPr>
        <w:spacing w:after="180"/>
        <w:ind w:left="0" w:firstLine="0"/>
        <w:rPr>
          <w:rFonts w:ascii="CongressSans-Light" w:hAnsi="CongressSans-Light" w:cs="CongressSans-Light"/>
          <w:sz w:val="15"/>
          <w:szCs w:val="15"/>
        </w:rPr>
      </w:pPr>
    </w:p>
    <w:p w:rsidR="00272936" w:rsidRPr="00272936" w:rsidRDefault="00272936" w:rsidP="00272936">
      <w:pPr>
        <w:spacing w:after="200" w:line="276" w:lineRule="auto"/>
        <w:ind w:left="0" w:firstLine="0"/>
        <w:rPr>
          <w:rFonts w:ascii="Times New Roman" w:hAnsi="Times New Roman" w:cs="Times New Roman"/>
          <w:b/>
          <w:sz w:val="24"/>
          <w:szCs w:val="24"/>
        </w:rPr>
      </w:pPr>
      <w:proofErr w:type="gramStart"/>
      <w:r w:rsidRPr="00272936">
        <w:rPr>
          <w:rFonts w:ascii="Times New Roman" w:hAnsi="Times New Roman" w:cs="Times New Roman"/>
          <w:b/>
          <w:sz w:val="24"/>
          <w:szCs w:val="24"/>
        </w:rPr>
        <w:t>Implementation of Emergency Department Transfer Communication Measures in Minnesota Critical Access Hospitals</w:t>
      </w:r>
      <w:r>
        <w:rPr>
          <w:rFonts w:ascii="Times New Roman" w:hAnsi="Times New Roman" w:cs="Times New Roman"/>
          <w:b/>
          <w:sz w:val="24"/>
          <w:szCs w:val="24"/>
        </w:rPr>
        <w:t xml:space="preserve"> (Currently in revise and resubmit phase for JRH.)</w:t>
      </w:r>
      <w:proofErr w:type="gramEnd"/>
    </w:p>
    <w:p w:rsidR="00272936" w:rsidRPr="00272936" w:rsidRDefault="00272936" w:rsidP="00272936">
      <w:pPr>
        <w:spacing w:after="200" w:line="276" w:lineRule="auto"/>
        <w:ind w:left="0" w:firstLine="0"/>
        <w:rPr>
          <w:rFonts w:ascii="Times New Roman" w:hAnsi="Times New Roman" w:cs="Times New Roman"/>
          <w:sz w:val="24"/>
          <w:szCs w:val="24"/>
          <w:vertAlign w:val="superscript"/>
        </w:rPr>
      </w:pPr>
      <w:r w:rsidRPr="00272936">
        <w:rPr>
          <w:rFonts w:ascii="Times New Roman" w:hAnsi="Times New Roman" w:cs="Times New Roman"/>
          <w:sz w:val="24"/>
          <w:szCs w:val="24"/>
        </w:rPr>
        <w:t>Jill Klingner, RN, PhD</w:t>
      </w:r>
      <w:r w:rsidRPr="00272936">
        <w:rPr>
          <w:rFonts w:ascii="Times New Roman" w:hAnsi="Times New Roman" w:cs="Times New Roman"/>
          <w:sz w:val="24"/>
          <w:szCs w:val="24"/>
          <w:vertAlign w:val="superscript"/>
        </w:rPr>
        <w:t>1,2</w:t>
      </w:r>
      <w:r w:rsidRPr="00272936">
        <w:rPr>
          <w:rFonts w:ascii="Times New Roman" w:hAnsi="Times New Roman" w:cs="Times New Roman"/>
          <w:sz w:val="24"/>
          <w:szCs w:val="24"/>
        </w:rPr>
        <w:t>; Ira Moscovice, PhD</w:t>
      </w:r>
      <w:r w:rsidRPr="00272936">
        <w:rPr>
          <w:rFonts w:ascii="Times New Roman" w:hAnsi="Times New Roman" w:cs="Times New Roman"/>
          <w:sz w:val="24"/>
          <w:szCs w:val="24"/>
          <w:vertAlign w:val="superscript"/>
        </w:rPr>
        <w:t>1</w:t>
      </w:r>
      <w:r w:rsidRPr="00272936">
        <w:rPr>
          <w:rFonts w:ascii="Times New Roman" w:hAnsi="Times New Roman" w:cs="Times New Roman"/>
          <w:sz w:val="24"/>
          <w:szCs w:val="24"/>
        </w:rPr>
        <w:t>; Michelle Casey, MS</w:t>
      </w:r>
      <w:r w:rsidRPr="00272936">
        <w:rPr>
          <w:rFonts w:ascii="Times New Roman" w:hAnsi="Times New Roman" w:cs="Times New Roman"/>
          <w:sz w:val="24"/>
          <w:szCs w:val="24"/>
          <w:vertAlign w:val="superscript"/>
        </w:rPr>
        <w:t>1</w:t>
      </w:r>
      <w:r w:rsidRPr="00272936">
        <w:rPr>
          <w:rFonts w:ascii="Times New Roman" w:hAnsi="Times New Roman" w:cs="Times New Roman"/>
          <w:sz w:val="24"/>
          <w:szCs w:val="24"/>
        </w:rPr>
        <w:t xml:space="preserve">; Alex </w:t>
      </w:r>
      <w:proofErr w:type="spellStart"/>
      <w:r w:rsidRPr="00272936">
        <w:rPr>
          <w:rFonts w:ascii="Times New Roman" w:hAnsi="Times New Roman" w:cs="Times New Roman"/>
          <w:sz w:val="24"/>
          <w:szCs w:val="24"/>
        </w:rPr>
        <w:t>McEllistrem</w:t>
      </w:r>
      <w:proofErr w:type="spellEnd"/>
      <w:r w:rsidRPr="00272936">
        <w:rPr>
          <w:rFonts w:ascii="Times New Roman" w:hAnsi="Times New Roman" w:cs="Times New Roman"/>
          <w:sz w:val="24"/>
          <w:szCs w:val="24"/>
        </w:rPr>
        <w:t xml:space="preserve"> </w:t>
      </w:r>
      <w:proofErr w:type="spellStart"/>
      <w:r w:rsidRPr="00272936">
        <w:rPr>
          <w:rFonts w:ascii="Times New Roman" w:hAnsi="Times New Roman" w:cs="Times New Roman"/>
          <w:sz w:val="24"/>
          <w:szCs w:val="24"/>
        </w:rPr>
        <w:t>Evenson</w:t>
      </w:r>
      <w:proofErr w:type="spellEnd"/>
      <w:r w:rsidRPr="00272936">
        <w:rPr>
          <w:rFonts w:ascii="Times New Roman" w:hAnsi="Times New Roman" w:cs="Times New Roman"/>
          <w:sz w:val="24"/>
          <w:szCs w:val="24"/>
        </w:rPr>
        <w:t>, MA</w:t>
      </w:r>
      <w:r w:rsidRPr="00272936">
        <w:rPr>
          <w:rFonts w:ascii="Times New Roman" w:hAnsi="Times New Roman" w:cs="Times New Roman"/>
          <w:sz w:val="24"/>
          <w:szCs w:val="24"/>
          <w:vertAlign w:val="superscript"/>
        </w:rPr>
        <w:t>1</w:t>
      </w:r>
    </w:p>
    <w:p w:rsidR="00272936" w:rsidRPr="00E22352" w:rsidRDefault="00272936" w:rsidP="00272936">
      <w:pPr>
        <w:spacing w:after="180"/>
        <w:ind w:left="0" w:firstLine="0"/>
        <w:rPr>
          <w:rFonts w:ascii="Cambria" w:hAnsi="Cambria"/>
        </w:rPr>
      </w:pPr>
    </w:p>
    <w:p w:rsidR="00097C98" w:rsidRPr="0065689A" w:rsidRDefault="00097C98" w:rsidP="0065689A">
      <w:pPr>
        <w:spacing w:after="180"/>
        <w:rPr>
          <w:rFonts w:ascii="Cambria" w:hAnsi="Cambria"/>
        </w:rPr>
      </w:pPr>
      <w:r w:rsidRPr="00E22352">
        <w:rPr>
          <w:rFonts w:ascii="Cambria" w:hAnsi="Cambria"/>
        </w:rPr>
        <w:t xml:space="preserve">Throughout the field studies, strong emphasis was placed on obtaining expert and hospital staff </w:t>
      </w:r>
      <w:proofErr w:type="gramStart"/>
      <w:r w:rsidRPr="00E22352">
        <w:rPr>
          <w:rFonts w:ascii="Cambria" w:hAnsi="Cambria"/>
        </w:rPr>
        <w:t>insights</w:t>
      </w:r>
      <w:proofErr w:type="gramEnd"/>
      <w:r w:rsidRPr="00E22352">
        <w:rPr>
          <w:rFonts w:ascii="Cambria" w:hAnsi="Cambria"/>
        </w:rPr>
        <w:t>. Evaluation of the measures, data collection, report usefulness, and the overall process was requested from hospital representatives at many points. Hospital, network, QIO and consulting staff were asked to maintain a log of comments regarding the project including suggestions for improvements. Feedback forms and contact information for participants</w:t>
      </w:r>
      <w:r w:rsidRPr="00E22352">
        <w:rPr>
          <w:rFonts w:ascii="Cambria" w:hAnsi="Cambria"/>
          <w:color w:val="FF0000"/>
        </w:rPr>
        <w:t xml:space="preserve"> invo</w:t>
      </w:r>
      <w:r w:rsidRPr="00E22352">
        <w:rPr>
          <w:rFonts w:ascii="Cambria" w:hAnsi="Cambria"/>
        </w:rPr>
        <w:t>lved in this project</w:t>
      </w:r>
      <w:r w:rsidRPr="00E22352">
        <w:rPr>
          <w:rFonts w:ascii="Cambria" w:hAnsi="Cambria"/>
          <w:color w:val="FF0000"/>
        </w:rPr>
        <w:t xml:space="preserve"> </w:t>
      </w:r>
      <w:r w:rsidRPr="00E22352">
        <w:rPr>
          <w:rFonts w:ascii="Cambria" w:hAnsi="Cambria"/>
        </w:rPr>
        <w:t xml:space="preserve">were provided during training sessions. Each time a hospital was contacted, comments were requested regarding the project. Hospitals were invited to call the QIO, network, consulting or University staff at any time with questions, comments, or concerns. </w:t>
      </w:r>
      <w:r w:rsidRPr="00E22352">
        <w:rPr>
          <w:rFonts w:ascii="Cambria" w:hAnsi="Cambria"/>
        </w:rPr>
        <w:lastRenderedPageBreak/>
        <w:t>Three expert panels were convened to review data and measurement definitions and specifications.</w:t>
      </w:r>
    </w:p>
    <w:p w:rsidR="00097C98" w:rsidRDefault="00097C98" w:rsidP="00097C98">
      <w:pPr>
        <w:spacing w:line="280" w:lineRule="atLeast"/>
        <w:rPr>
          <w:rFonts w:ascii="Verdana" w:hAnsi="Verdana"/>
          <w:b/>
          <w:bCs/>
          <w:color w:val="333333"/>
          <w:sz w:val="20"/>
          <w:szCs w:val="20"/>
        </w:rPr>
      </w:pPr>
      <w:r>
        <w:rPr>
          <w:rFonts w:ascii="Verdana" w:hAnsi="Verdana"/>
          <w:b/>
          <w:bCs/>
          <w:color w:val="333333"/>
          <w:sz w:val="20"/>
          <w:szCs w:val="20"/>
        </w:rPr>
        <w:t>EVIDENCE SUPPORTING THE VALUE OF MONITORING USE OF SERVICE</w:t>
      </w:r>
    </w:p>
    <w:p w:rsidR="00097C98" w:rsidRDefault="00097C98" w:rsidP="00097C98">
      <w:pPr>
        <w:rPr>
          <w:rFonts w:ascii="Cambria" w:hAnsi="Cambria"/>
        </w:rPr>
      </w:pPr>
      <w:r w:rsidRPr="00E22352">
        <w:rPr>
          <w:rFonts w:ascii="Cambria" w:hAnsi="Cambria"/>
        </w:rPr>
        <w:t>Patients who are transferred from an Emergency Department to another acute facility are excluded from the calculation of most national quality measures, such as the Hospital Compare measures. In addition, limited attention has been paid to the development and implementation of quality measures specifically focused on patient transfers between Emergency Departments and other facilities. This type of measure is important for all healthcare facilities, but is especially important for small rural hospitals, which transfer a higher proportion of Emergency Department patients to other hospitals than do larger urban facilities</w:t>
      </w:r>
      <w:r>
        <w:rPr>
          <w:rFonts w:ascii="Cambria" w:hAnsi="Cambria"/>
        </w:rPr>
        <w:t xml:space="preserve"> </w:t>
      </w:r>
      <w:r w:rsidRPr="00E22352">
        <w:rPr>
          <w:rFonts w:ascii="Cambria" w:hAnsi="Cambria"/>
        </w:rPr>
        <w:t>(</w:t>
      </w:r>
      <w:proofErr w:type="spellStart"/>
      <w:r>
        <w:rPr>
          <w:rFonts w:ascii="Cambria" w:hAnsi="Cambria"/>
        </w:rPr>
        <w:t>Newgard</w:t>
      </w:r>
      <w:proofErr w:type="spellEnd"/>
      <w:r>
        <w:rPr>
          <w:rFonts w:ascii="Cambria" w:hAnsi="Cambria"/>
        </w:rPr>
        <w:t xml:space="preserve"> CD 2006, Wakefield DS 2004, </w:t>
      </w:r>
      <w:proofErr w:type="spellStart"/>
      <w:r>
        <w:rPr>
          <w:rFonts w:ascii="Cambria" w:hAnsi="Cambria"/>
        </w:rPr>
        <w:t>Ellerbeck</w:t>
      </w:r>
      <w:proofErr w:type="spellEnd"/>
      <w:r>
        <w:rPr>
          <w:rFonts w:ascii="Cambria" w:hAnsi="Cambria"/>
        </w:rPr>
        <w:t xml:space="preserve"> EF 2004, Baldwin LM 2004, </w:t>
      </w:r>
      <w:proofErr w:type="gramStart"/>
      <w:r>
        <w:rPr>
          <w:rFonts w:ascii="Cambria" w:hAnsi="Cambria"/>
        </w:rPr>
        <w:t>Westfall</w:t>
      </w:r>
      <w:proofErr w:type="gramEnd"/>
      <w:r>
        <w:rPr>
          <w:rFonts w:ascii="Cambria" w:hAnsi="Cambria"/>
        </w:rPr>
        <w:t xml:space="preserve"> JM 2006</w:t>
      </w:r>
      <w:r w:rsidRPr="00E22352">
        <w:rPr>
          <w:rFonts w:ascii="Cambria" w:hAnsi="Cambria"/>
        </w:rPr>
        <w:t>)</w:t>
      </w:r>
      <w:r>
        <w:rPr>
          <w:rFonts w:ascii="Cambria" w:hAnsi="Cambria"/>
        </w:rPr>
        <w:t>.</w:t>
      </w:r>
    </w:p>
    <w:p w:rsidR="00272936" w:rsidRDefault="00272936" w:rsidP="00097C98">
      <w:pPr>
        <w:rPr>
          <w:rFonts w:ascii="Cambria" w:hAnsi="Cambria"/>
        </w:rPr>
      </w:pPr>
    </w:p>
    <w:p w:rsidR="00097C98" w:rsidRPr="00E22352" w:rsidRDefault="00097C98" w:rsidP="00097C98">
      <w:pPr>
        <w:rPr>
          <w:rFonts w:ascii="Cambria" w:hAnsi="Cambria"/>
        </w:rPr>
      </w:pPr>
      <w:r w:rsidRPr="00E22352">
        <w:rPr>
          <w:rFonts w:ascii="Cambria" w:hAnsi="Cambria"/>
        </w:rPr>
        <w:t>Communication problems are a major contributing factor to adverse events in hospitals, accounting for 65% of sentinel events tracked by the Joint Commission</w:t>
      </w:r>
      <w:r>
        <w:rPr>
          <w:rFonts w:ascii="Cambria" w:hAnsi="Cambria"/>
        </w:rPr>
        <w:t xml:space="preserve"> (JCAHO 2007)</w:t>
      </w:r>
      <w:r w:rsidRPr="00E22352">
        <w:rPr>
          <w:rFonts w:ascii="Cambria" w:hAnsi="Cambria"/>
        </w:rPr>
        <w:t>.</w:t>
      </w:r>
      <w:r w:rsidRPr="00E22352">
        <w:rPr>
          <w:rFonts w:ascii="Cambria" w:hAnsi="Cambria"/>
          <w:vertAlign w:val="superscript"/>
        </w:rPr>
        <w:t xml:space="preserve"> </w:t>
      </w:r>
      <w:r w:rsidRPr="00E22352">
        <w:rPr>
          <w:rFonts w:ascii="Cambria" w:hAnsi="Cambria"/>
        </w:rPr>
        <w:t>In addition, research indicates that deficits exist in the transfer of patient information between hospitals and primary care physicians in the community</w:t>
      </w:r>
      <w:r>
        <w:rPr>
          <w:rFonts w:ascii="Cambria" w:hAnsi="Cambria"/>
        </w:rPr>
        <w:t xml:space="preserve"> (</w:t>
      </w:r>
      <w:proofErr w:type="spellStart"/>
      <w:r>
        <w:rPr>
          <w:rFonts w:ascii="Cambria" w:hAnsi="Cambria"/>
        </w:rPr>
        <w:t>Kripalani</w:t>
      </w:r>
      <w:proofErr w:type="spellEnd"/>
      <w:r>
        <w:rPr>
          <w:rFonts w:ascii="Cambria" w:hAnsi="Cambria"/>
        </w:rPr>
        <w:t xml:space="preserve"> S 2007)</w:t>
      </w:r>
      <w:r w:rsidRPr="00E22352">
        <w:rPr>
          <w:rFonts w:ascii="Cambria" w:hAnsi="Cambria"/>
        </w:rPr>
        <w:t>, and between hospitals and long term facilities</w:t>
      </w:r>
      <w:r>
        <w:rPr>
          <w:rFonts w:ascii="Cambria" w:hAnsi="Cambria"/>
        </w:rPr>
        <w:t xml:space="preserve"> (Cortes T 2004)</w:t>
      </w:r>
      <w:r w:rsidRPr="00E22352">
        <w:rPr>
          <w:rFonts w:ascii="Cambria" w:hAnsi="Cambria"/>
        </w:rPr>
        <w:t xml:space="preserve">. The Joint Commission has adopted National Patient Safety Goal #2, “Improve the Effectiveness of Communication </w:t>
      </w:r>
      <w:proofErr w:type="gramStart"/>
      <w:r w:rsidRPr="00E22352">
        <w:rPr>
          <w:rFonts w:ascii="Cambria" w:hAnsi="Cambria"/>
        </w:rPr>
        <w:t>Among</w:t>
      </w:r>
      <w:proofErr w:type="gramEnd"/>
      <w:r w:rsidRPr="00E22352">
        <w:rPr>
          <w:rFonts w:ascii="Cambria" w:hAnsi="Cambria"/>
        </w:rPr>
        <w:t xml:space="preserve"> Caregivers.” Requirement 2E for this goal requires all accredited hospitals to implement a standardized approach to hand-off communications, including nursing and physician hand-offs from the emergency department to inpatient units, other hospitals, and other types of health care facilities. The process must include a method of communicating up-to-date information regarding the patient’s care, treatment and services, condition and any recent or anticipated changes</w:t>
      </w:r>
      <w:r>
        <w:rPr>
          <w:rFonts w:ascii="Cambria" w:hAnsi="Cambria"/>
        </w:rPr>
        <w:t xml:space="preserve"> (JCAHO-2 2007)</w:t>
      </w:r>
      <w:r w:rsidRPr="00E22352">
        <w:rPr>
          <w:rFonts w:ascii="Cambria" w:hAnsi="Cambria"/>
        </w:rPr>
        <w:t>.</w:t>
      </w:r>
    </w:p>
    <w:p w:rsidR="00097C98" w:rsidRPr="00E22352" w:rsidRDefault="00097C98" w:rsidP="00097C98">
      <w:pPr>
        <w:rPr>
          <w:rFonts w:ascii="Cambria" w:hAnsi="Cambria"/>
        </w:rPr>
      </w:pPr>
    </w:p>
    <w:p w:rsidR="00097C98" w:rsidRPr="00E22352" w:rsidRDefault="00097C98" w:rsidP="00097C98">
      <w:pPr>
        <w:rPr>
          <w:rFonts w:ascii="Cambria" w:hAnsi="Cambria"/>
        </w:rPr>
      </w:pPr>
      <w:r w:rsidRPr="00E22352">
        <w:rPr>
          <w:rFonts w:ascii="Cambria" w:hAnsi="Cambria"/>
        </w:rPr>
        <w:t xml:space="preserve">The proposed Emergency Department Transfer Communication measures aim to provide a means of assessing how well key patient information is communicated from an Emergency Department to a referral hospital. They are applicable to patients with a wide range of medical conditions (e.g., acute myocardial infarction, heart failure, pneumonia, respiratory compromise and trauma) and are relevant for both internal quality improvement purposes and external reporting to consumers and purchasers. The results of our field tests described </w:t>
      </w:r>
      <w:r>
        <w:rPr>
          <w:rFonts w:ascii="Cambria" w:hAnsi="Cambria"/>
        </w:rPr>
        <w:t>later</w:t>
      </w:r>
      <w:r w:rsidRPr="00E22352">
        <w:rPr>
          <w:rFonts w:ascii="Cambria" w:hAnsi="Cambria"/>
        </w:rPr>
        <w:t xml:space="preserve"> suggest that significant opportunity exists for improvement on these measures.</w:t>
      </w:r>
    </w:p>
    <w:p w:rsidR="00097C98" w:rsidRPr="00E22352" w:rsidRDefault="00097C98" w:rsidP="00097C98">
      <w:pPr>
        <w:autoSpaceDE w:val="0"/>
        <w:autoSpaceDN w:val="0"/>
        <w:adjustRightInd w:val="0"/>
        <w:ind w:firstLine="720"/>
        <w:rPr>
          <w:rFonts w:ascii="Cambria" w:hAnsi="Cambria"/>
        </w:rPr>
      </w:pPr>
    </w:p>
    <w:p w:rsidR="00097C98" w:rsidRPr="00E22352" w:rsidRDefault="00097C98" w:rsidP="00097C98">
      <w:pPr>
        <w:rPr>
          <w:rFonts w:ascii="Cambria" w:hAnsi="Cambria"/>
        </w:rPr>
      </w:pPr>
      <w:r w:rsidRPr="00E22352">
        <w:rPr>
          <w:rFonts w:ascii="Cambria" w:hAnsi="Cambria"/>
        </w:rPr>
        <w:t>The</w:t>
      </w:r>
      <w:r w:rsidRPr="00E22352">
        <w:rPr>
          <w:rFonts w:ascii="Cambria" w:hAnsi="Cambria"/>
          <w:b/>
          <w:iCs/>
        </w:rPr>
        <w:t xml:space="preserve"> </w:t>
      </w:r>
      <w:r w:rsidRPr="00E22352">
        <w:rPr>
          <w:rFonts w:ascii="Cambria" w:hAnsi="Cambria"/>
        </w:rPr>
        <w:t xml:space="preserve">Emergency Department Transfer Communication Measure Set incorporates conceptual elements from the Federal Emergency Medical Treatment and Active Labor Act (EMTALA) and the Continuity of Care Record (CCR).  This measure was developed by the University </w:t>
      </w:r>
      <w:proofErr w:type="gramStart"/>
      <w:r w:rsidRPr="00E22352">
        <w:rPr>
          <w:rFonts w:ascii="Cambria" w:hAnsi="Cambria"/>
        </w:rPr>
        <w:t>of</w:t>
      </w:r>
      <w:proofErr w:type="gramEnd"/>
      <w:r w:rsidRPr="00E22352">
        <w:rPr>
          <w:rFonts w:ascii="Cambria" w:hAnsi="Cambria"/>
        </w:rPr>
        <w:t xml:space="preserve"> Minnesota Rural Health Research Center working in partnership with Stratis Health, the Minnesota Quality Improvement Organization.</w:t>
      </w:r>
    </w:p>
    <w:p w:rsidR="00097C98" w:rsidRPr="00E22352" w:rsidRDefault="00097C98" w:rsidP="00097C98">
      <w:pPr>
        <w:rPr>
          <w:rFonts w:ascii="Cambria" w:hAnsi="Cambria"/>
          <w:i/>
        </w:rPr>
      </w:pPr>
    </w:p>
    <w:p w:rsidR="00097C98" w:rsidRPr="00E22352" w:rsidRDefault="00097C98" w:rsidP="00097C98">
      <w:pPr>
        <w:ind w:left="720"/>
        <w:rPr>
          <w:rFonts w:ascii="Cambria" w:hAnsi="Cambria"/>
        </w:rPr>
      </w:pPr>
    </w:p>
    <w:p w:rsidR="00097C98" w:rsidRPr="00E22352" w:rsidRDefault="00097C98" w:rsidP="00097C98">
      <w:pPr>
        <w:rPr>
          <w:rFonts w:ascii="Cambria" w:hAnsi="Cambria"/>
        </w:rPr>
      </w:pPr>
      <w:r w:rsidRPr="00E22352">
        <w:rPr>
          <w:rFonts w:ascii="Cambria" w:hAnsi="Cambria"/>
        </w:rPr>
        <w:t>The Emergency Department Transfer Communication Measures are a set of measures that assess whether documentation regarding 27 patient care elements was sent with a transferred patient or within 60 minutes of departure. The set consists of seven measures: 1) administrative communications, 2) patient information, 3) vital signs, 4) medication history and administration, 5) physician documentation, 6) nursing documentation, and 7) tests and procedures. Each element receives a score of 0 when documentation is not available in the patient record and a score of 1 when the documentation is available. Each of the seven measures is scored by summing the 0-1 scores for all elements that are part of the measure.</w:t>
      </w:r>
    </w:p>
    <w:p w:rsidR="00097C98" w:rsidRPr="00E22352" w:rsidRDefault="00097C98" w:rsidP="00097C98">
      <w:pPr>
        <w:rPr>
          <w:rFonts w:ascii="Cambria" w:hAnsi="Cambria"/>
          <w:i/>
        </w:rPr>
      </w:pPr>
    </w:p>
    <w:p w:rsidR="00097C98" w:rsidRPr="00E22352" w:rsidRDefault="00097C98" w:rsidP="00097C98">
      <w:pPr>
        <w:ind w:left="720"/>
        <w:rPr>
          <w:rFonts w:ascii="Cambria" w:hAnsi="Cambria"/>
        </w:rPr>
      </w:pPr>
    </w:p>
    <w:p w:rsidR="00837121" w:rsidRPr="003B1CC5" w:rsidRDefault="00837121" w:rsidP="002E2177">
      <w:pPr>
        <w:ind w:left="0" w:firstLine="0"/>
      </w:pPr>
      <w:r w:rsidRPr="003B1CC5">
        <w:rPr>
          <w:b/>
          <w:color w:val="0000FF"/>
        </w:rPr>
        <w:lastRenderedPageBreak/>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rsidR="00837121" w:rsidRDefault="00097C98" w:rsidP="002E2177">
      <w:pPr>
        <w:ind w:left="0" w:firstLine="0"/>
      </w:pPr>
      <w:r>
        <w:t>Systematic literature review</w:t>
      </w:r>
    </w:p>
    <w:p w:rsidR="00097C98" w:rsidRPr="003B1CC5" w:rsidRDefault="00097C98" w:rsidP="002E2177">
      <w:pPr>
        <w:ind w:left="0" w:firstLine="0"/>
      </w:pPr>
    </w:p>
    <w:p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rsidR="00097C98" w:rsidRPr="00097C98" w:rsidRDefault="00097C98" w:rsidP="00097C98">
      <w:pPr>
        <w:ind w:left="0" w:firstLine="0"/>
        <w:rPr>
          <w:rFonts w:ascii="Arial" w:eastAsia="Times New Roman" w:hAnsi="Arial" w:cs="Arial"/>
          <w:sz w:val="24"/>
          <w:szCs w:val="24"/>
        </w:rPr>
      </w:pPr>
      <w:r w:rsidRPr="00097C98">
        <w:rPr>
          <w:rFonts w:ascii="Arial" w:eastAsia="Times New Roman" w:hAnsi="Arial" w:cs="Arial"/>
          <w:sz w:val="24"/>
          <w:szCs w:val="24"/>
        </w:rPr>
        <w:t>Patient safety studies have identified the Emergency Department as the location within a hospital that has the highest percentage of preventable and negligent adverse events.</w:t>
      </w:r>
      <w:r w:rsidRPr="00097C98">
        <w:rPr>
          <w:rFonts w:ascii="Arial" w:eastAsia="Times New Roman" w:hAnsi="Arial" w:cs="Arial"/>
          <w:sz w:val="24"/>
          <w:szCs w:val="24"/>
          <w:vertAlign w:val="superscript"/>
        </w:rPr>
        <w:t>1-2</w:t>
      </w:r>
      <w:r w:rsidRPr="00097C98">
        <w:rPr>
          <w:rFonts w:ascii="Arial" w:eastAsia="Times New Roman" w:hAnsi="Arial" w:cs="Arial"/>
          <w:sz w:val="24"/>
          <w:szCs w:val="24"/>
        </w:rPr>
        <w:t xml:space="preserve"> Increasing attention is being paid to prevention of medical errors in Emergency Department settings, but considerable work still needs to be done to develop performance measures for Emergency Department care.</w:t>
      </w:r>
      <w:r w:rsidRPr="00097C98">
        <w:rPr>
          <w:rFonts w:ascii="Arial" w:eastAsia="Times New Roman" w:hAnsi="Arial" w:cs="Arial"/>
          <w:sz w:val="24"/>
          <w:szCs w:val="24"/>
          <w:vertAlign w:val="superscript"/>
        </w:rPr>
        <w:t>3-4</w:t>
      </w:r>
    </w:p>
    <w:p w:rsidR="00097C98" w:rsidRPr="00097C98" w:rsidRDefault="00097C98" w:rsidP="00097C98">
      <w:pPr>
        <w:ind w:left="0" w:firstLine="0"/>
        <w:rPr>
          <w:rFonts w:ascii="Arial" w:eastAsia="Times New Roman" w:hAnsi="Arial" w:cs="Arial"/>
          <w:sz w:val="24"/>
          <w:szCs w:val="24"/>
        </w:rPr>
      </w:pPr>
    </w:p>
    <w:p w:rsidR="00097C98" w:rsidRPr="00097C98" w:rsidRDefault="00097C98" w:rsidP="00097C98">
      <w:pPr>
        <w:ind w:left="0" w:firstLine="0"/>
        <w:rPr>
          <w:rFonts w:ascii="Arial" w:eastAsia="Times New Roman" w:hAnsi="Arial" w:cs="Arial"/>
          <w:sz w:val="24"/>
          <w:szCs w:val="24"/>
          <w:vertAlign w:val="superscript"/>
        </w:rPr>
      </w:pPr>
      <w:r w:rsidRPr="00097C98">
        <w:rPr>
          <w:rFonts w:ascii="Arial" w:eastAsia="Times New Roman" w:hAnsi="Arial" w:cs="Arial"/>
          <w:sz w:val="24"/>
          <w:szCs w:val="24"/>
        </w:rPr>
        <w:t xml:space="preserve">Patients who are transferred from an Emergency Department to another facility are excluded from the calculation of most national quality measures, such as the Hospital Compare measures. In addition, limited attention has been paid to the development and implementation of quality measures specifically focused on patient transfers between Emergency Departments and other facilities. This type of measure is important for all healthcare facilities, but is especially important for small rural hospitals, which transfer a higher proportion of Emergency Department patients to other </w:t>
      </w:r>
      <w:r>
        <w:rPr>
          <w:rFonts w:ascii="Arial" w:eastAsia="Times New Roman" w:hAnsi="Arial" w:cs="Arial"/>
          <w:sz w:val="24"/>
          <w:szCs w:val="24"/>
        </w:rPr>
        <w:t>facilities</w:t>
      </w:r>
      <w:r w:rsidRPr="00097C98">
        <w:rPr>
          <w:rFonts w:ascii="Arial" w:eastAsia="Times New Roman" w:hAnsi="Arial" w:cs="Arial"/>
          <w:sz w:val="24"/>
          <w:szCs w:val="24"/>
        </w:rPr>
        <w:t xml:space="preserve"> than do larger urban facilities.</w:t>
      </w:r>
      <w:r w:rsidRPr="00097C98">
        <w:rPr>
          <w:rFonts w:ascii="Arial" w:eastAsia="Times New Roman" w:hAnsi="Arial" w:cs="Arial"/>
          <w:sz w:val="24"/>
          <w:szCs w:val="24"/>
          <w:vertAlign w:val="superscript"/>
        </w:rPr>
        <w:t>5-9</w:t>
      </w:r>
    </w:p>
    <w:p w:rsidR="00097C98" w:rsidRPr="00097C98" w:rsidRDefault="00097C98" w:rsidP="00097C98">
      <w:pPr>
        <w:ind w:left="0" w:firstLine="0"/>
        <w:rPr>
          <w:rFonts w:ascii="Arial" w:eastAsia="Times New Roman" w:hAnsi="Arial" w:cs="Arial"/>
          <w:sz w:val="24"/>
          <w:szCs w:val="24"/>
        </w:rPr>
      </w:pPr>
    </w:p>
    <w:p w:rsidR="00097C98" w:rsidRPr="00097C98" w:rsidRDefault="00097C98" w:rsidP="00097C98">
      <w:pPr>
        <w:spacing w:before="240"/>
        <w:ind w:left="0" w:firstLine="0"/>
        <w:rPr>
          <w:rFonts w:ascii="Arial" w:eastAsia="Times New Roman" w:hAnsi="Arial" w:cs="Arial"/>
          <w:sz w:val="24"/>
          <w:szCs w:val="24"/>
        </w:rPr>
      </w:pPr>
      <w:r w:rsidRPr="00097C98">
        <w:rPr>
          <w:rFonts w:ascii="Arial" w:eastAsia="Times New Roman" w:hAnsi="Arial" w:cs="Arial"/>
          <w:sz w:val="24"/>
          <w:szCs w:val="24"/>
          <w:vertAlign w:val="superscript"/>
          <w:lang w:val="fr-FR"/>
        </w:rPr>
        <w:t>1</w:t>
      </w:r>
      <w:r w:rsidRPr="00097C98">
        <w:rPr>
          <w:rFonts w:ascii="Arial" w:eastAsia="Times New Roman" w:hAnsi="Arial" w:cs="Arial"/>
          <w:sz w:val="24"/>
          <w:szCs w:val="24"/>
          <w:lang w:val="fr-FR"/>
        </w:rPr>
        <w:t>Leape, L., Brennan, T., Laird, N.</w:t>
      </w:r>
      <w:r w:rsidRPr="00097C98">
        <w:rPr>
          <w:rFonts w:ascii="Arial" w:eastAsia="Times New Roman" w:hAnsi="Arial" w:cs="Arial"/>
          <w:sz w:val="24"/>
          <w:szCs w:val="24"/>
        </w:rPr>
        <w:t xml:space="preserve"> et al. </w:t>
      </w:r>
      <w:proofErr w:type="gramStart"/>
      <w:r w:rsidRPr="00097C98">
        <w:rPr>
          <w:rFonts w:ascii="Arial" w:eastAsia="Times New Roman" w:hAnsi="Arial" w:cs="Arial"/>
          <w:sz w:val="24"/>
          <w:szCs w:val="24"/>
        </w:rPr>
        <w:t>The Nature of Adverse Events in Hospitalized Patients.</w:t>
      </w:r>
      <w:proofErr w:type="gramEnd"/>
      <w:r w:rsidRPr="00097C98">
        <w:rPr>
          <w:rFonts w:ascii="Arial" w:eastAsia="Times New Roman" w:hAnsi="Arial" w:cs="Arial"/>
          <w:sz w:val="24"/>
          <w:szCs w:val="24"/>
        </w:rPr>
        <w:t xml:space="preserve"> </w:t>
      </w:r>
      <w:proofErr w:type="gramStart"/>
      <w:r w:rsidRPr="00097C98">
        <w:rPr>
          <w:rFonts w:ascii="Arial" w:eastAsia="Times New Roman" w:hAnsi="Arial" w:cs="Arial"/>
          <w:sz w:val="24"/>
          <w:szCs w:val="24"/>
        </w:rPr>
        <w:t>Results of the Harvard Medical Practice Study II.</w:t>
      </w:r>
      <w:proofErr w:type="gramEnd"/>
      <w:r w:rsidRPr="00097C98">
        <w:rPr>
          <w:rFonts w:ascii="Arial" w:eastAsia="Times New Roman" w:hAnsi="Arial" w:cs="Arial"/>
          <w:sz w:val="24"/>
          <w:szCs w:val="24"/>
        </w:rPr>
        <w:t xml:space="preserve">  </w:t>
      </w:r>
      <w:smartTag w:uri="urn:schemas-microsoft-com:office:smarttags" w:element="place">
        <w:r w:rsidRPr="00097C98">
          <w:rPr>
            <w:rFonts w:ascii="Arial" w:eastAsia="Times New Roman" w:hAnsi="Arial" w:cs="Arial"/>
            <w:i/>
            <w:sz w:val="24"/>
            <w:szCs w:val="24"/>
          </w:rPr>
          <w:t>New England</w:t>
        </w:r>
      </w:smartTag>
      <w:r w:rsidRPr="00097C98">
        <w:rPr>
          <w:rFonts w:ascii="Arial" w:eastAsia="Times New Roman" w:hAnsi="Arial" w:cs="Arial"/>
          <w:i/>
          <w:sz w:val="24"/>
          <w:szCs w:val="24"/>
        </w:rPr>
        <w:t xml:space="preserve"> Journal of Medicine</w:t>
      </w:r>
      <w:r w:rsidRPr="00097C98">
        <w:rPr>
          <w:rFonts w:ascii="Arial" w:eastAsia="Times New Roman" w:hAnsi="Arial" w:cs="Arial"/>
          <w:sz w:val="24"/>
          <w:szCs w:val="24"/>
        </w:rPr>
        <w:t xml:space="preserve"> 324:377-384, 1991.</w:t>
      </w:r>
    </w:p>
    <w:p w:rsidR="00097C98" w:rsidRPr="00097C98" w:rsidRDefault="00097C98" w:rsidP="00097C98">
      <w:pPr>
        <w:spacing w:before="240"/>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t>2</w:t>
      </w:r>
      <w:r w:rsidRPr="00097C98">
        <w:rPr>
          <w:rFonts w:ascii="Arial" w:eastAsia="Times New Roman" w:hAnsi="Arial" w:cs="Arial"/>
          <w:sz w:val="24"/>
          <w:szCs w:val="24"/>
        </w:rPr>
        <w:t xml:space="preserve">Thomas, E., </w:t>
      </w:r>
      <w:proofErr w:type="spellStart"/>
      <w:r w:rsidRPr="00097C98">
        <w:rPr>
          <w:rFonts w:ascii="Arial" w:eastAsia="Times New Roman" w:hAnsi="Arial" w:cs="Arial"/>
          <w:sz w:val="24"/>
          <w:szCs w:val="24"/>
        </w:rPr>
        <w:t>Studdert</w:t>
      </w:r>
      <w:proofErr w:type="spellEnd"/>
      <w:r w:rsidRPr="00097C98">
        <w:rPr>
          <w:rFonts w:ascii="Arial" w:eastAsia="Times New Roman" w:hAnsi="Arial" w:cs="Arial"/>
          <w:sz w:val="24"/>
          <w:szCs w:val="24"/>
        </w:rPr>
        <w:t xml:space="preserve">, D., </w:t>
      </w:r>
      <w:proofErr w:type="spellStart"/>
      <w:r w:rsidRPr="00097C98">
        <w:rPr>
          <w:rFonts w:ascii="Arial" w:eastAsia="Times New Roman" w:hAnsi="Arial" w:cs="Arial"/>
          <w:sz w:val="24"/>
          <w:szCs w:val="24"/>
        </w:rPr>
        <w:t>Burstin</w:t>
      </w:r>
      <w:proofErr w:type="spellEnd"/>
      <w:r w:rsidRPr="00097C98">
        <w:rPr>
          <w:rFonts w:ascii="Arial" w:eastAsia="Times New Roman" w:hAnsi="Arial" w:cs="Arial"/>
          <w:sz w:val="24"/>
          <w:szCs w:val="24"/>
        </w:rPr>
        <w:t>, H. et al. Incidence and Types of Adverse Events and Negligent Care in Utah and Colorado.</w:t>
      </w:r>
      <w:proofErr w:type="gramEnd"/>
      <w:r w:rsidRPr="00097C98">
        <w:rPr>
          <w:rFonts w:ascii="Arial" w:eastAsia="Times New Roman" w:hAnsi="Arial" w:cs="Arial"/>
          <w:sz w:val="24"/>
          <w:szCs w:val="24"/>
        </w:rPr>
        <w:t xml:space="preserve"> </w:t>
      </w:r>
      <w:r w:rsidRPr="00097C98">
        <w:rPr>
          <w:rFonts w:ascii="Arial" w:eastAsia="Times New Roman" w:hAnsi="Arial" w:cs="Arial"/>
          <w:i/>
          <w:sz w:val="24"/>
          <w:szCs w:val="24"/>
        </w:rPr>
        <w:t>Medical Care</w:t>
      </w:r>
      <w:r w:rsidRPr="00097C98">
        <w:rPr>
          <w:rFonts w:ascii="Arial" w:eastAsia="Times New Roman" w:hAnsi="Arial" w:cs="Arial"/>
          <w:sz w:val="24"/>
          <w:szCs w:val="24"/>
        </w:rPr>
        <w:t xml:space="preserve"> 38:261-271, 2000. </w:t>
      </w:r>
    </w:p>
    <w:p w:rsidR="00097C98" w:rsidRPr="00097C98" w:rsidRDefault="00097C98" w:rsidP="00097C98">
      <w:pPr>
        <w:spacing w:before="240"/>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t>3</w:t>
      </w:r>
      <w:r w:rsidRPr="00097C98">
        <w:rPr>
          <w:rFonts w:ascii="Arial" w:eastAsia="Times New Roman" w:hAnsi="Arial" w:cs="Arial"/>
          <w:sz w:val="24"/>
          <w:szCs w:val="24"/>
        </w:rPr>
        <w:t>Schenkel, S. Promoting Patient Safety and Preventing Medical Error in Emergency Departments.</w:t>
      </w:r>
      <w:proofErr w:type="gramEnd"/>
      <w:r w:rsidRPr="00097C98">
        <w:rPr>
          <w:rFonts w:ascii="Arial" w:eastAsia="Times New Roman" w:hAnsi="Arial" w:cs="Arial"/>
          <w:sz w:val="24"/>
          <w:szCs w:val="24"/>
        </w:rPr>
        <w:t xml:space="preserve"> </w:t>
      </w:r>
      <w:r w:rsidRPr="00097C98">
        <w:rPr>
          <w:rFonts w:ascii="Arial" w:eastAsia="Times New Roman" w:hAnsi="Arial" w:cs="Arial"/>
          <w:i/>
          <w:sz w:val="24"/>
          <w:szCs w:val="24"/>
        </w:rPr>
        <w:t>Academic Emergency Medicine</w:t>
      </w:r>
      <w:r w:rsidRPr="00097C98">
        <w:rPr>
          <w:rFonts w:ascii="Arial" w:eastAsia="Times New Roman" w:hAnsi="Arial" w:cs="Arial"/>
          <w:sz w:val="24"/>
          <w:szCs w:val="24"/>
        </w:rPr>
        <w:t xml:space="preserve"> 7:1204-1222, 2000.</w:t>
      </w:r>
    </w:p>
    <w:p w:rsidR="00097C98" w:rsidRPr="00097C98" w:rsidRDefault="00097C98" w:rsidP="00097C98">
      <w:pPr>
        <w:spacing w:before="240"/>
        <w:ind w:left="0" w:firstLine="0"/>
        <w:rPr>
          <w:rFonts w:ascii="Arial" w:eastAsia="Times New Roman" w:hAnsi="Arial" w:cs="Arial"/>
          <w:sz w:val="24"/>
          <w:szCs w:val="24"/>
        </w:rPr>
      </w:pPr>
      <w:r w:rsidRPr="00097C98">
        <w:rPr>
          <w:rFonts w:ascii="Arial" w:eastAsia="Times New Roman" w:hAnsi="Arial" w:cs="Arial"/>
          <w:sz w:val="24"/>
          <w:szCs w:val="24"/>
          <w:vertAlign w:val="superscript"/>
        </w:rPr>
        <w:t>4</w:t>
      </w:r>
      <w:r w:rsidRPr="00097C98">
        <w:rPr>
          <w:rFonts w:ascii="Arial" w:eastAsia="Times New Roman" w:hAnsi="Arial" w:cs="Arial"/>
          <w:sz w:val="24"/>
          <w:szCs w:val="24"/>
        </w:rPr>
        <w:t xml:space="preserve">Welch, S., Augustine, J., </w:t>
      </w:r>
      <w:proofErr w:type="spellStart"/>
      <w:r w:rsidRPr="00097C98">
        <w:rPr>
          <w:rFonts w:ascii="Arial" w:eastAsia="Times New Roman" w:hAnsi="Arial" w:cs="Arial"/>
          <w:sz w:val="24"/>
          <w:szCs w:val="24"/>
        </w:rPr>
        <w:t>Camago</w:t>
      </w:r>
      <w:proofErr w:type="spellEnd"/>
      <w:r w:rsidRPr="00097C98">
        <w:rPr>
          <w:rFonts w:ascii="Arial" w:eastAsia="Times New Roman" w:hAnsi="Arial" w:cs="Arial"/>
          <w:sz w:val="24"/>
          <w:szCs w:val="24"/>
        </w:rPr>
        <w:t xml:space="preserve">, C. and Reese, C. Emergency Department Performance Measures and Benchmarking Summit.  </w:t>
      </w:r>
      <w:r w:rsidRPr="00097C98">
        <w:rPr>
          <w:rFonts w:ascii="Arial" w:eastAsia="Times New Roman" w:hAnsi="Arial" w:cs="Arial"/>
          <w:i/>
          <w:sz w:val="24"/>
          <w:szCs w:val="24"/>
        </w:rPr>
        <w:t>Academic Emergency Medicine</w:t>
      </w:r>
      <w:r w:rsidRPr="00097C98">
        <w:rPr>
          <w:rFonts w:ascii="Arial" w:eastAsia="Times New Roman" w:hAnsi="Arial" w:cs="Arial"/>
          <w:sz w:val="24"/>
          <w:szCs w:val="24"/>
        </w:rPr>
        <w:t xml:space="preserve">, 13(10):1074-1080, 2006. </w:t>
      </w:r>
    </w:p>
    <w:p w:rsidR="00097C98" w:rsidRPr="00097C98" w:rsidRDefault="00097C98" w:rsidP="00097C98">
      <w:pPr>
        <w:spacing w:before="240"/>
        <w:ind w:left="0" w:firstLine="0"/>
        <w:rPr>
          <w:rFonts w:ascii="Arial" w:eastAsia="Times New Roman" w:hAnsi="Arial" w:cs="Arial"/>
          <w:sz w:val="24"/>
          <w:szCs w:val="24"/>
        </w:rPr>
      </w:pPr>
      <w:r w:rsidRPr="00097C98">
        <w:rPr>
          <w:rFonts w:ascii="Arial" w:eastAsia="Times New Roman" w:hAnsi="Arial" w:cs="Arial"/>
          <w:sz w:val="24"/>
          <w:szCs w:val="24"/>
          <w:vertAlign w:val="superscript"/>
        </w:rPr>
        <w:t>5</w:t>
      </w:r>
      <w:r w:rsidRPr="00097C98">
        <w:rPr>
          <w:rFonts w:ascii="Arial" w:eastAsia="Times New Roman" w:hAnsi="Arial" w:cs="Arial"/>
          <w:sz w:val="24"/>
          <w:szCs w:val="24"/>
        </w:rPr>
        <w:t xml:space="preserve">Newgard CD, McConnell KJ, Hedges JR. Variability of trauma transfer practices among non-tertiary care hospital emergency departments. . </w:t>
      </w:r>
      <w:r w:rsidRPr="00097C98">
        <w:rPr>
          <w:rFonts w:ascii="Arial" w:eastAsia="Times New Roman" w:hAnsi="Arial" w:cs="Arial"/>
          <w:i/>
          <w:sz w:val="24"/>
          <w:szCs w:val="24"/>
        </w:rPr>
        <w:t>Academic Emergency Medicine</w:t>
      </w:r>
      <w:r w:rsidRPr="00097C98">
        <w:rPr>
          <w:rFonts w:ascii="Arial" w:eastAsia="Times New Roman" w:hAnsi="Arial" w:cs="Arial"/>
          <w:sz w:val="24"/>
          <w:szCs w:val="24"/>
        </w:rPr>
        <w:t xml:space="preserve"> 13:746-754, 2006.</w:t>
      </w:r>
    </w:p>
    <w:p w:rsidR="00097C98" w:rsidRPr="00097C98" w:rsidRDefault="00097C98" w:rsidP="00097C98">
      <w:pPr>
        <w:spacing w:before="240"/>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t>6</w:t>
      </w:r>
      <w:r w:rsidRPr="00097C98">
        <w:rPr>
          <w:rFonts w:ascii="Arial" w:eastAsia="Times New Roman" w:hAnsi="Arial" w:cs="Arial"/>
          <w:sz w:val="24"/>
          <w:szCs w:val="24"/>
        </w:rPr>
        <w:t xml:space="preserve">Wakefield DS, Ward M, Miller T, et al. Intensive care unit utilization and </w:t>
      </w:r>
      <w:proofErr w:type="spellStart"/>
      <w:r w:rsidRPr="00097C98">
        <w:rPr>
          <w:rFonts w:ascii="Arial" w:eastAsia="Times New Roman" w:hAnsi="Arial" w:cs="Arial"/>
          <w:sz w:val="24"/>
          <w:szCs w:val="24"/>
        </w:rPr>
        <w:t>interhospital</w:t>
      </w:r>
      <w:proofErr w:type="spellEnd"/>
      <w:r w:rsidRPr="00097C98">
        <w:rPr>
          <w:rFonts w:ascii="Arial" w:eastAsia="Times New Roman" w:hAnsi="Arial" w:cs="Arial"/>
          <w:sz w:val="24"/>
          <w:szCs w:val="24"/>
        </w:rPr>
        <w:t xml:space="preserve"> transfers as potential indicators of rural hospital quality.</w:t>
      </w:r>
      <w:proofErr w:type="gramEnd"/>
      <w:r w:rsidRPr="00097C98">
        <w:rPr>
          <w:rFonts w:ascii="Arial" w:eastAsia="Times New Roman" w:hAnsi="Arial" w:cs="Arial"/>
          <w:sz w:val="24"/>
          <w:szCs w:val="24"/>
        </w:rPr>
        <w:t xml:space="preserve"> </w:t>
      </w:r>
      <w:proofErr w:type="gramStart"/>
      <w:r w:rsidRPr="00097C98">
        <w:rPr>
          <w:rFonts w:ascii="Arial" w:eastAsia="Times New Roman" w:hAnsi="Arial" w:cs="Arial"/>
          <w:i/>
          <w:sz w:val="24"/>
          <w:szCs w:val="24"/>
        </w:rPr>
        <w:t>Journal of Rural Health</w:t>
      </w:r>
      <w:r w:rsidRPr="00097C98">
        <w:rPr>
          <w:rFonts w:ascii="Arial" w:eastAsia="Times New Roman" w:hAnsi="Arial" w:cs="Arial"/>
          <w:sz w:val="24"/>
          <w:szCs w:val="24"/>
        </w:rPr>
        <w:t>.</w:t>
      </w:r>
      <w:proofErr w:type="gramEnd"/>
      <w:r w:rsidRPr="00097C98">
        <w:rPr>
          <w:rFonts w:ascii="Arial" w:eastAsia="Times New Roman" w:hAnsi="Arial" w:cs="Arial"/>
          <w:sz w:val="24"/>
          <w:szCs w:val="24"/>
        </w:rPr>
        <w:t xml:space="preserve"> 20:394-400, 2004.</w:t>
      </w:r>
    </w:p>
    <w:p w:rsidR="00097C98" w:rsidRPr="00097C98" w:rsidRDefault="00097C98" w:rsidP="00097C98">
      <w:pPr>
        <w:ind w:left="0" w:firstLine="0"/>
        <w:rPr>
          <w:rFonts w:ascii="Arial" w:eastAsia="Times New Roman" w:hAnsi="Arial" w:cs="Arial"/>
          <w:sz w:val="24"/>
          <w:szCs w:val="24"/>
        </w:rPr>
      </w:pPr>
    </w:p>
    <w:p w:rsidR="00097C98" w:rsidRPr="00097C98" w:rsidRDefault="00097C98" w:rsidP="00097C98">
      <w:pPr>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t>7</w:t>
      </w:r>
      <w:r w:rsidRPr="00097C98">
        <w:rPr>
          <w:rFonts w:ascii="Arial" w:eastAsia="Times New Roman" w:hAnsi="Arial" w:cs="Arial"/>
          <w:sz w:val="24"/>
          <w:szCs w:val="24"/>
        </w:rPr>
        <w:t xml:space="preserve">Ellerbeck EF, </w:t>
      </w:r>
      <w:proofErr w:type="spellStart"/>
      <w:r w:rsidRPr="00097C98">
        <w:rPr>
          <w:rFonts w:ascii="Arial" w:eastAsia="Times New Roman" w:hAnsi="Arial" w:cs="Arial"/>
          <w:sz w:val="24"/>
          <w:szCs w:val="24"/>
        </w:rPr>
        <w:t>Bhimaraj</w:t>
      </w:r>
      <w:proofErr w:type="spellEnd"/>
      <w:r w:rsidRPr="00097C98">
        <w:rPr>
          <w:rFonts w:ascii="Arial" w:eastAsia="Times New Roman" w:hAnsi="Arial" w:cs="Arial"/>
          <w:sz w:val="24"/>
          <w:szCs w:val="24"/>
        </w:rPr>
        <w:t xml:space="preserve"> A, </w:t>
      </w:r>
      <w:proofErr w:type="spellStart"/>
      <w:r w:rsidRPr="00097C98">
        <w:rPr>
          <w:rFonts w:ascii="Arial" w:eastAsia="Times New Roman" w:hAnsi="Arial" w:cs="Arial"/>
          <w:sz w:val="24"/>
          <w:szCs w:val="24"/>
        </w:rPr>
        <w:t>Perpich</w:t>
      </w:r>
      <w:proofErr w:type="spellEnd"/>
      <w:r w:rsidRPr="00097C98">
        <w:rPr>
          <w:rFonts w:ascii="Arial" w:eastAsia="Times New Roman" w:hAnsi="Arial" w:cs="Arial"/>
          <w:sz w:val="24"/>
          <w:szCs w:val="24"/>
        </w:rPr>
        <w:t xml:space="preserve"> D. Organization of care for acute myocardial infarction in rural and urban hospitals in Kansas.</w:t>
      </w:r>
      <w:proofErr w:type="gramEnd"/>
      <w:r w:rsidRPr="00097C98">
        <w:rPr>
          <w:rFonts w:ascii="Arial" w:eastAsia="Times New Roman" w:hAnsi="Arial" w:cs="Arial"/>
          <w:sz w:val="24"/>
          <w:szCs w:val="24"/>
        </w:rPr>
        <w:t xml:space="preserve"> </w:t>
      </w:r>
      <w:proofErr w:type="gramStart"/>
      <w:r w:rsidRPr="00097C98">
        <w:rPr>
          <w:rFonts w:ascii="Arial" w:eastAsia="Times New Roman" w:hAnsi="Arial" w:cs="Arial"/>
          <w:i/>
          <w:sz w:val="24"/>
          <w:szCs w:val="24"/>
        </w:rPr>
        <w:t>Journal of Rural Health</w:t>
      </w:r>
      <w:r w:rsidRPr="00097C98">
        <w:rPr>
          <w:rFonts w:ascii="Arial" w:eastAsia="Times New Roman" w:hAnsi="Arial" w:cs="Arial"/>
          <w:sz w:val="24"/>
          <w:szCs w:val="24"/>
        </w:rPr>
        <w:t>.</w:t>
      </w:r>
      <w:proofErr w:type="gramEnd"/>
      <w:r w:rsidRPr="00097C98">
        <w:rPr>
          <w:rFonts w:ascii="Arial" w:eastAsia="Times New Roman" w:hAnsi="Arial" w:cs="Arial"/>
          <w:sz w:val="24"/>
          <w:szCs w:val="24"/>
        </w:rPr>
        <w:t xml:space="preserve"> 20:363-367, 2004.</w:t>
      </w:r>
    </w:p>
    <w:p w:rsidR="00097C98" w:rsidRPr="00097C98" w:rsidRDefault="00097C98" w:rsidP="00097C98">
      <w:pPr>
        <w:ind w:left="0" w:firstLine="0"/>
        <w:rPr>
          <w:rFonts w:ascii="Arial" w:eastAsia="Times New Roman" w:hAnsi="Arial" w:cs="Arial"/>
          <w:sz w:val="24"/>
          <w:szCs w:val="24"/>
        </w:rPr>
      </w:pPr>
    </w:p>
    <w:p w:rsidR="00097C98" w:rsidRPr="00097C98" w:rsidRDefault="00097C98" w:rsidP="00097C98">
      <w:pPr>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lastRenderedPageBreak/>
        <w:t>8</w:t>
      </w:r>
      <w:r w:rsidRPr="00097C98">
        <w:rPr>
          <w:rFonts w:ascii="Arial" w:eastAsia="Times New Roman" w:hAnsi="Arial" w:cs="Arial"/>
          <w:sz w:val="24"/>
          <w:szCs w:val="24"/>
        </w:rPr>
        <w:t xml:space="preserve">Baldwin LM, </w:t>
      </w:r>
      <w:proofErr w:type="spellStart"/>
      <w:r w:rsidRPr="00097C98">
        <w:rPr>
          <w:rFonts w:ascii="Arial" w:eastAsia="Times New Roman" w:hAnsi="Arial" w:cs="Arial"/>
          <w:sz w:val="24"/>
          <w:szCs w:val="24"/>
        </w:rPr>
        <w:t>MacLehose</w:t>
      </w:r>
      <w:proofErr w:type="spellEnd"/>
      <w:r w:rsidRPr="00097C98">
        <w:rPr>
          <w:rFonts w:ascii="Arial" w:eastAsia="Times New Roman" w:hAnsi="Arial" w:cs="Arial"/>
          <w:sz w:val="24"/>
          <w:szCs w:val="24"/>
        </w:rPr>
        <w:t xml:space="preserve"> RF, Hart LG et al. Quality of care for acute myocardial infarction in rural and urban US hospitals.</w:t>
      </w:r>
      <w:proofErr w:type="gramEnd"/>
      <w:r w:rsidRPr="00097C98">
        <w:rPr>
          <w:rFonts w:ascii="Arial" w:eastAsia="Times New Roman" w:hAnsi="Arial" w:cs="Arial"/>
          <w:sz w:val="24"/>
          <w:szCs w:val="24"/>
        </w:rPr>
        <w:t xml:space="preserve"> </w:t>
      </w:r>
      <w:r w:rsidRPr="00097C98">
        <w:rPr>
          <w:rFonts w:ascii="Arial" w:eastAsia="Times New Roman" w:hAnsi="Arial" w:cs="Arial"/>
          <w:i/>
          <w:sz w:val="24"/>
          <w:szCs w:val="24"/>
        </w:rPr>
        <w:t>Journal of Rural Health</w:t>
      </w:r>
      <w:r w:rsidRPr="00097C98">
        <w:rPr>
          <w:rFonts w:ascii="Arial" w:eastAsia="Times New Roman" w:hAnsi="Arial" w:cs="Arial"/>
          <w:sz w:val="24"/>
          <w:szCs w:val="24"/>
        </w:rPr>
        <w:t>, 20:99-108, 2004.</w:t>
      </w:r>
    </w:p>
    <w:p w:rsidR="00097C98" w:rsidRPr="00097C98" w:rsidRDefault="00097C98" w:rsidP="00097C98">
      <w:pPr>
        <w:ind w:left="0" w:firstLine="0"/>
        <w:rPr>
          <w:rFonts w:ascii="Arial" w:eastAsia="Times New Roman" w:hAnsi="Arial" w:cs="Arial"/>
          <w:sz w:val="24"/>
          <w:szCs w:val="24"/>
        </w:rPr>
      </w:pPr>
    </w:p>
    <w:p w:rsidR="00097C98" w:rsidRPr="00097C98" w:rsidRDefault="00097C98" w:rsidP="00097C98">
      <w:pPr>
        <w:ind w:left="0" w:firstLine="0"/>
        <w:rPr>
          <w:rFonts w:ascii="Arial" w:eastAsia="Times New Roman" w:hAnsi="Arial" w:cs="Arial"/>
          <w:sz w:val="24"/>
          <w:szCs w:val="24"/>
        </w:rPr>
      </w:pPr>
      <w:r w:rsidRPr="00097C98">
        <w:rPr>
          <w:rFonts w:ascii="Arial" w:eastAsia="Times New Roman" w:hAnsi="Arial" w:cs="Arial"/>
          <w:sz w:val="24"/>
          <w:szCs w:val="24"/>
          <w:vertAlign w:val="superscript"/>
          <w:lang w:val="de-DE"/>
        </w:rPr>
        <w:t>9</w:t>
      </w:r>
      <w:r w:rsidRPr="00097C98">
        <w:rPr>
          <w:rFonts w:ascii="Arial" w:eastAsia="Times New Roman" w:hAnsi="Arial" w:cs="Arial"/>
          <w:sz w:val="24"/>
          <w:szCs w:val="24"/>
          <w:lang w:val="de-DE"/>
        </w:rPr>
        <w:t xml:space="preserve">Westfall JM, Van Vorst RF, McGloin J, Selker HP. </w:t>
      </w:r>
      <w:r w:rsidRPr="00097C98">
        <w:rPr>
          <w:rFonts w:ascii="Arial" w:eastAsia="Times New Roman" w:hAnsi="Arial" w:cs="Arial"/>
          <w:sz w:val="24"/>
          <w:szCs w:val="24"/>
        </w:rPr>
        <w:t xml:space="preserve">Triage and diagnosis of chest pain in rural hospitals: Implementation of the ACI-TIPI in the High Plains Research Network. </w:t>
      </w:r>
      <w:proofErr w:type="gramStart"/>
      <w:r w:rsidRPr="00097C98">
        <w:rPr>
          <w:rFonts w:ascii="Arial" w:eastAsia="Times New Roman" w:hAnsi="Arial" w:cs="Arial"/>
          <w:i/>
          <w:sz w:val="24"/>
          <w:szCs w:val="24"/>
        </w:rPr>
        <w:t>Annals of Family Medicine</w:t>
      </w:r>
      <w:r w:rsidRPr="00097C98">
        <w:rPr>
          <w:rFonts w:ascii="Arial" w:eastAsia="Times New Roman" w:hAnsi="Arial" w:cs="Arial"/>
          <w:sz w:val="24"/>
          <w:szCs w:val="24"/>
        </w:rPr>
        <w:t>.</w:t>
      </w:r>
      <w:proofErr w:type="gramEnd"/>
      <w:r w:rsidRPr="00097C98">
        <w:rPr>
          <w:rFonts w:ascii="Arial" w:eastAsia="Times New Roman" w:hAnsi="Arial" w:cs="Arial"/>
          <w:sz w:val="24"/>
          <w:szCs w:val="24"/>
        </w:rPr>
        <w:t xml:space="preserve"> 4:153-158, 2006.</w:t>
      </w:r>
    </w:p>
    <w:p w:rsidR="00097C98" w:rsidRPr="00097C98" w:rsidRDefault="00097C98" w:rsidP="00097C98">
      <w:pPr>
        <w:spacing w:before="240"/>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t>10</w:t>
      </w:r>
      <w:r w:rsidRPr="00097C98">
        <w:rPr>
          <w:rFonts w:ascii="Arial" w:eastAsia="Times New Roman" w:hAnsi="Arial" w:cs="Arial"/>
          <w:sz w:val="24"/>
          <w:szCs w:val="24"/>
        </w:rPr>
        <w:t>Joint Commission on Accreditation of Healthcare Organizations.</w:t>
      </w:r>
      <w:proofErr w:type="gramEnd"/>
      <w:r w:rsidRPr="00097C98">
        <w:rPr>
          <w:rFonts w:ascii="Arial" w:eastAsia="Times New Roman" w:hAnsi="Arial" w:cs="Arial"/>
          <w:sz w:val="24"/>
          <w:szCs w:val="24"/>
        </w:rPr>
        <w:t xml:space="preserve"> Sentinel Events Statistics. Available at: </w:t>
      </w:r>
      <w:hyperlink r:id="rId15" w:history="1">
        <w:r w:rsidRPr="00097C98">
          <w:rPr>
            <w:rFonts w:ascii="Arial" w:eastAsia="Times New Roman" w:hAnsi="Arial" w:cs="Arial"/>
            <w:color w:val="0000FF"/>
            <w:sz w:val="24"/>
            <w:szCs w:val="24"/>
            <w:u w:val="single"/>
          </w:rPr>
          <w:t>http://www.jointcommission.org/SentinelEvents /Statistics/</w:t>
        </w:r>
      </w:hyperlink>
      <w:r w:rsidRPr="00097C98">
        <w:rPr>
          <w:rFonts w:ascii="Arial" w:eastAsia="Times New Roman" w:hAnsi="Arial" w:cs="Arial"/>
          <w:sz w:val="24"/>
          <w:szCs w:val="24"/>
        </w:rPr>
        <w:t xml:space="preserve">. </w:t>
      </w:r>
      <w:proofErr w:type="gramStart"/>
      <w:r w:rsidRPr="00097C98">
        <w:rPr>
          <w:rFonts w:ascii="Arial" w:eastAsia="Times New Roman" w:hAnsi="Arial" w:cs="Arial"/>
          <w:sz w:val="24"/>
          <w:szCs w:val="24"/>
        </w:rPr>
        <w:t>Accessed July 18, 2007.</w:t>
      </w:r>
      <w:proofErr w:type="gramEnd"/>
    </w:p>
    <w:p w:rsidR="00097C98" w:rsidRPr="00097C98" w:rsidRDefault="00097C98" w:rsidP="00097C98">
      <w:pPr>
        <w:spacing w:before="240"/>
        <w:ind w:left="0" w:firstLine="0"/>
        <w:rPr>
          <w:rFonts w:ascii="Arial" w:eastAsia="Times New Roman" w:hAnsi="Arial" w:cs="Arial"/>
          <w:sz w:val="24"/>
          <w:szCs w:val="24"/>
        </w:rPr>
      </w:pPr>
      <w:r w:rsidRPr="00097C98">
        <w:rPr>
          <w:rFonts w:ascii="Arial" w:eastAsia="Times New Roman" w:hAnsi="Arial" w:cs="Arial"/>
          <w:sz w:val="24"/>
          <w:szCs w:val="24"/>
          <w:vertAlign w:val="superscript"/>
          <w:lang w:val="fr-FR"/>
        </w:rPr>
        <w:t>11</w:t>
      </w:r>
      <w:r w:rsidRPr="00097C98">
        <w:rPr>
          <w:rFonts w:ascii="Arial" w:eastAsia="Times New Roman" w:hAnsi="Arial" w:cs="Arial"/>
          <w:sz w:val="24"/>
          <w:szCs w:val="24"/>
          <w:lang w:val="fr-FR"/>
        </w:rPr>
        <w:t xml:space="preserve">Kripalani, S., LeFevre, F., Phillips, C. et al. </w:t>
      </w:r>
      <w:r w:rsidRPr="00097C98">
        <w:rPr>
          <w:rFonts w:ascii="Arial" w:eastAsia="Times New Roman" w:hAnsi="Arial" w:cs="Arial"/>
          <w:sz w:val="24"/>
          <w:szCs w:val="24"/>
        </w:rPr>
        <w:t>Deficits in Communication and Information Transfer between Hospital-Based and Primary Care Physicians: Implications for Patient Safety and Continuity of Care</w:t>
      </w:r>
      <w:r w:rsidRPr="00097C98">
        <w:rPr>
          <w:rFonts w:ascii="Arial" w:eastAsia="Times New Roman" w:hAnsi="Arial" w:cs="Arial"/>
          <w:i/>
          <w:sz w:val="24"/>
          <w:szCs w:val="24"/>
        </w:rPr>
        <w:t>. JAMA</w:t>
      </w:r>
      <w:r w:rsidRPr="00097C98">
        <w:rPr>
          <w:rFonts w:ascii="Arial" w:eastAsia="Times New Roman" w:hAnsi="Arial" w:cs="Arial"/>
          <w:sz w:val="24"/>
          <w:szCs w:val="24"/>
        </w:rPr>
        <w:t xml:space="preserve"> 297(8):831-841, 2007.</w:t>
      </w:r>
    </w:p>
    <w:p w:rsidR="00097C98" w:rsidRPr="00097C98" w:rsidRDefault="00097C98" w:rsidP="00097C98">
      <w:pPr>
        <w:spacing w:before="240"/>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t>12</w:t>
      </w:r>
      <w:r w:rsidRPr="00097C98">
        <w:rPr>
          <w:rFonts w:ascii="Arial" w:eastAsia="Times New Roman" w:hAnsi="Arial" w:cs="Arial"/>
          <w:sz w:val="24"/>
          <w:szCs w:val="24"/>
        </w:rPr>
        <w:t>Cortes T., Wexler S.</w:t>
      </w:r>
      <w:proofErr w:type="gramEnd"/>
      <w:r w:rsidRPr="00097C98">
        <w:rPr>
          <w:rFonts w:ascii="Arial" w:eastAsia="Times New Roman" w:hAnsi="Arial" w:cs="Arial"/>
          <w:sz w:val="24"/>
          <w:szCs w:val="24"/>
        </w:rPr>
        <w:t xml:space="preserve">  </w:t>
      </w:r>
      <w:proofErr w:type="gramStart"/>
      <w:r w:rsidRPr="00097C98">
        <w:rPr>
          <w:rFonts w:ascii="Arial" w:eastAsia="Times New Roman" w:hAnsi="Arial" w:cs="Arial"/>
          <w:sz w:val="24"/>
          <w:szCs w:val="24"/>
        </w:rPr>
        <w:t>and</w:t>
      </w:r>
      <w:proofErr w:type="gramEnd"/>
      <w:r w:rsidRPr="00097C98">
        <w:rPr>
          <w:rFonts w:ascii="Arial" w:eastAsia="Times New Roman" w:hAnsi="Arial" w:cs="Arial"/>
          <w:sz w:val="24"/>
          <w:szCs w:val="24"/>
        </w:rPr>
        <w:t xml:space="preserve"> Fitzpatrick J. </w:t>
      </w:r>
      <w:proofErr w:type="gramStart"/>
      <w:r w:rsidRPr="00097C98">
        <w:rPr>
          <w:rFonts w:ascii="Arial" w:eastAsia="Times New Roman" w:hAnsi="Arial" w:cs="Arial"/>
          <w:sz w:val="24"/>
          <w:szCs w:val="24"/>
        </w:rPr>
        <w:t>The transition of elderly patients between hospitals and nursing homes.</w:t>
      </w:r>
      <w:proofErr w:type="gramEnd"/>
      <w:r w:rsidRPr="00097C98">
        <w:rPr>
          <w:rFonts w:ascii="Arial" w:eastAsia="Times New Roman" w:hAnsi="Arial" w:cs="Arial"/>
          <w:sz w:val="24"/>
          <w:szCs w:val="24"/>
        </w:rPr>
        <w:t xml:space="preserve"> Improving nurse-to-nurse communication. </w:t>
      </w:r>
      <w:proofErr w:type="gramStart"/>
      <w:r w:rsidRPr="00097C98">
        <w:rPr>
          <w:rFonts w:ascii="Arial" w:eastAsia="Times New Roman" w:hAnsi="Arial" w:cs="Arial"/>
          <w:i/>
          <w:sz w:val="24"/>
          <w:szCs w:val="24"/>
        </w:rPr>
        <w:t xml:space="preserve">Journal of </w:t>
      </w:r>
      <w:proofErr w:type="spellStart"/>
      <w:r w:rsidRPr="00097C98">
        <w:rPr>
          <w:rFonts w:ascii="Arial" w:eastAsia="Times New Roman" w:hAnsi="Arial" w:cs="Arial"/>
          <w:i/>
          <w:sz w:val="24"/>
          <w:szCs w:val="24"/>
        </w:rPr>
        <w:t>Gerontological</w:t>
      </w:r>
      <w:proofErr w:type="spellEnd"/>
      <w:r w:rsidRPr="00097C98">
        <w:rPr>
          <w:rFonts w:ascii="Arial" w:eastAsia="Times New Roman" w:hAnsi="Arial" w:cs="Arial"/>
          <w:i/>
          <w:sz w:val="24"/>
          <w:szCs w:val="24"/>
        </w:rPr>
        <w:t xml:space="preserve"> Nursing.</w:t>
      </w:r>
      <w:proofErr w:type="gramEnd"/>
      <w:r w:rsidRPr="00097C98">
        <w:rPr>
          <w:rFonts w:ascii="Arial" w:eastAsia="Times New Roman" w:hAnsi="Arial" w:cs="Arial"/>
          <w:i/>
          <w:sz w:val="24"/>
          <w:szCs w:val="24"/>
        </w:rPr>
        <w:t xml:space="preserve"> </w:t>
      </w:r>
      <w:r w:rsidRPr="00097C98">
        <w:rPr>
          <w:rFonts w:ascii="Arial" w:eastAsia="Times New Roman" w:hAnsi="Arial" w:cs="Arial"/>
          <w:sz w:val="24"/>
          <w:szCs w:val="24"/>
        </w:rPr>
        <w:t>30(6):10-5, 2004.</w:t>
      </w:r>
    </w:p>
    <w:p w:rsidR="00097C98" w:rsidRPr="00097C98" w:rsidRDefault="00097C98" w:rsidP="00097C98">
      <w:pPr>
        <w:widowControl w:val="0"/>
        <w:autoSpaceDE w:val="0"/>
        <w:autoSpaceDN w:val="0"/>
        <w:adjustRightInd w:val="0"/>
        <w:ind w:left="0" w:firstLine="0"/>
        <w:rPr>
          <w:rFonts w:ascii="Arial" w:eastAsia="Times New Roman" w:hAnsi="Arial" w:cs="Arial"/>
          <w:iCs/>
          <w:sz w:val="24"/>
          <w:szCs w:val="24"/>
          <w:vertAlign w:val="superscript"/>
        </w:rPr>
      </w:pPr>
    </w:p>
    <w:p w:rsidR="00097C98" w:rsidRPr="00097C98" w:rsidRDefault="00097C98" w:rsidP="00097C98">
      <w:pPr>
        <w:widowControl w:val="0"/>
        <w:autoSpaceDE w:val="0"/>
        <w:autoSpaceDN w:val="0"/>
        <w:adjustRightInd w:val="0"/>
        <w:ind w:left="0" w:firstLine="0"/>
        <w:rPr>
          <w:rFonts w:ascii="Arial" w:eastAsia="Times New Roman" w:hAnsi="Arial" w:cs="Arial"/>
          <w:iCs/>
          <w:sz w:val="24"/>
          <w:szCs w:val="24"/>
        </w:rPr>
      </w:pPr>
      <w:proofErr w:type="gramStart"/>
      <w:r w:rsidRPr="00097C98">
        <w:rPr>
          <w:rFonts w:ascii="Arial" w:eastAsia="Times New Roman" w:hAnsi="Arial" w:cs="Arial"/>
          <w:iCs/>
          <w:sz w:val="24"/>
          <w:szCs w:val="24"/>
          <w:vertAlign w:val="superscript"/>
        </w:rPr>
        <w:t>13</w:t>
      </w:r>
      <w:r w:rsidRPr="00097C98">
        <w:rPr>
          <w:rFonts w:ascii="Arial" w:eastAsia="Times New Roman" w:hAnsi="Arial" w:cs="Arial"/>
          <w:iCs/>
          <w:sz w:val="24"/>
          <w:szCs w:val="24"/>
        </w:rPr>
        <w:t>Joint Commission on Accreditation of Healthcare Organizations.</w:t>
      </w:r>
      <w:proofErr w:type="gramEnd"/>
      <w:r w:rsidRPr="00097C98">
        <w:rPr>
          <w:rFonts w:ascii="Arial" w:eastAsia="Times New Roman" w:hAnsi="Arial" w:cs="Arial"/>
          <w:iCs/>
          <w:sz w:val="24"/>
          <w:szCs w:val="24"/>
        </w:rPr>
        <w:t xml:space="preserve"> </w:t>
      </w:r>
      <w:proofErr w:type="gramStart"/>
      <w:r w:rsidRPr="00097C98">
        <w:rPr>
          <w:rFonts w:ascii="Arial" w:eastAsia="Times New Roman" w:hAnsi="Arial" w:cs="Arial"/>
          <w:iCs/>
          <w:sz w:val="24"/>
          <w:szCs w:val="24"/>
        </w:rPr>
        <w:t>2008 National Patient Safety Goals.</w:t>
      </w:r>
      <w:proofErr w:type="gramEnd"/>
      <w:r w:rsidRPr="00097C98">
        <w:rPr>
          <w:rFonts w:ascii="Arial" w:eastAsia="Times New Roman" w:hAnsi="Arial" w:cs="Arial"/>
          <w:iCs/>
          <w:sz w:val="24"/>
          <w:szCs w:val="24"/>
        </w:rPr>
        <w:t xml:space="preserve"> Available at: </w:t>
      </w:r>
      <w:hyperlink r:id="rId16" w:history="1">
        <w:r w:rsidRPr="00097C98">
          <w:rPr>
            <w:rFonts w:ascii="Arial" w:eastAsia="Times New Roman" w:hAnsi="Arial" w:cs="Arial"/>
            <w:iCs/>
            <w:color w:val="0000FF"/>
            <w:sz w:val="24"/>
            <w:szCs w:val="24"/>
            <w:u w:val="single"/>
          </w:rPr>
          <w:t>http://www.jointcommission.org/PatientSafety/ NationalPatientSafetyGoals/08_hap_npsgs.htm</w:t>
        </w:r>
      </w:hyperlink>
      <w:r w:rsidRPr="00097C98">
        <w:rPr>
          <w:rFonts w:ascii="Arial" w:eastAsia="Times New Roman" w:hAnsi="Arial" w:cs="Arial"/>
          <w:iCs/>
          <w:sz w:val="24"/>
          <w:szCs w:val="24"/>
        </w:rPr>
        <w:t xml:space="preserve">. </w:t>
      </w:r>
      <w:proofErr w:type="gramStart"/>
      <w:r w:rsidRPr="00097C98">
        <w:rPr>
          <w:rFonts w:ascii="Arial" w:eastAsia="Times New Roman" w:hAnsi="Arial" w:cs="Arial"/>
          <w:iCs/>
          <w:sz w:val="24"/>
          <w:szCs w:val="24"/>
        </w:rPr>
        <w:t>Accessed July 18, 2007.</w:t>
      </w:r>
      <w:proofErr w:type="gramEnd"/>
    </w:p>
    <w:p w:rsidR="00097C98" w:rsidRPr="00097C98" w:rsidRDefault="00097C98" w:rsidP="00097C98">
      <w:pPr>
        <w:widowControl w:val="0"/>
        <w:autoSpaceDE w:val="0"/>
        <w:autoSpaceDN w:val="0"/>
        <w:adjustRightInd w:val="0"/>
        <w:ind w:left="0" w:firstLine="0"/>
        <w:rPr>
          <w:rFonts w:ascii="Arial" w:eastAsia="Times New Roman" w:hAnsi="Arial" w:cs="Arial"/>
          <w:iCs/>
          <w:sz w:val="24"/>
          <w:szCs w:val="24"/>
        </w:rPr>
      </w:pPr>
    </w:p>
    <w:p w:rsidR="00097C98" w:rsidRDefault="00097C98" w:rsidP="002E2177">
      <w:pPr>
        <w:ind w:left="0" w:firstLine="0"/>
      </w:pPr>
    </w:p>
    <w:p w:rsidR="0065689A" w:rsidRPr="0065689A" w:rsidRDefault="0065689A" w:rsidP="0065689A">
      <w:pPr>
        <w:autoSpaceDE w:val="0"/>
        <w:autoSpaceDN w:val="0"/>
        <w:adjustRightInd w:val="0"/>
        <w:spacing w:line="360" w:lineRule="auto"/>
        <w:rPr>
          <w:rFonts w:asciiTheme="majorHAnsi" w:hAnsiTheme="majorHAnsi" w:cs="Times New Roman"/>
          <w:sz w:val="24"/>
          <w:szCs w:val="24"/>
        </w:rPr>
      </w:pPr>
      <w:r w:rsidRPr="0065689A">
        <w:rPr>
          <w:rFonts w:asciiTheme="majorHAnsi" w:hAnsiTheme="majorHAnsi"/>
          <w:sz w:val="24"/>
          <w:szCs w:val="24"/>
        </w:rPr>
        <w:t>The following paragraphs describe three of the current projects which use these measures:</w:t>
      </w:r>
    </w:p>
    <w:p w:rsidR="0065689A" w:rsidRPr="00262FFF" w:rsidRDefault="0065689A" w:rsidP="0065689A">
      <w:pPr>
        <w:pStyle w:val="ListParagraph"/>
        <w:numPr>
          <w:ilvl w:val="1"/>
          <w:numId w:val="11"/>
        </w:numPr>
        <w:autoSpaceDE w:val="0"/>
        <w:autoSpaceDN w:val="0"/>
        <w:adjustRightInd w:val="0"/>
        <w:spacing w:after="0" w:line="360" w:lineRule="auto"/>
        <w:rPr>
          <w:rFonts w:asciiTheme="majorHAnsi" w:hAnsiTheme="majorHAnsi"/>
          <w:sz w:val="24"/>
          <w:szCs w:val="24"/>
        </w:rPr>
      </w:pPr>
      <w:r w:rsidRPr="00262FFF">
        <w:rPr>
          <w:rFonts w:asciiTheme="majorHAnsi" w:hAnsiTheme="majorHAnsi"/>
          <w:sz w:val="24"/>
          <w:szCs w:val="24"/>
        </w:rPr>
        <w:t xml:space="preserve"> </w:t>
      </w:r>
      <w:r w:rsidRPr="00262FFF">
        <w:rPr>
          <w:rFonts w:asciiTheme="majorHAnsi" w:hAnsiTheme="majorHAnsi" w:cs="Times New Roman"/>
          <w:sz w:val="24"/>
          <w:szCs w:val="24"/>
        </w:rPr>
        <w:t>As part of the Minnesota Statewide Quality Reporting and Measurement System established by state health care reform legislation in 2008,</w:t>
      </w:r>
      <w:r w:rsidRPr="00262FFF">
        <w:rPr>
          <w:rStyle w:val="EndnoteReference"/>
          <w:rFonts w:asciiTheme="majorHAnsi" w:hAnsiTheme="majorHAnsi" w:cs="Times New Roman"/>
          <w:sz w:val="24"/>
          <w:szCs w:val="24"/>
        </w:rPr>
        <w:endnoteReference w:id="1"/>
      </w:r>
      <w:r w:rsidRPr="00262FFF">
        <w:rPr>
          <w:rFonts w:asciiTheme="majorHAnsi" w:hAnsiTheme="majorHAnsi" w:cs="Times New Roman"/>
          <w:sz w:val="24"/>
          <w:szCs w:val="24"/>
        </w:rPr>
        <w:t xml:space="preserve"> the Critical Access Hospitals (CAHs) in Minnesota were required to report data on the ED patient transfer communication measures to the Minnesota Department of Health starting in February 2012.</w:t>
      </w:r>
      <w:r w:rsidRPr="00262FFF">
        <w:rPr>
          <w:rFonts w:asciiTheme="majorHAnsi" w:hAnsiTheme="majorHAnsi" w:cs="Times New Roman"/>
          <w:sz w:val="24"/>
          <w:szCs w:val="24"/>
          <w:vertAlign w:val="superscript"/>
        </w:rPr>
        <w:t>10</w:t>
      </w:r>
      <w:r w:rsidRPr="00262FFF">
        <w:rPr>
          <w:rFonts w:asciiTheme="majorHAnsi" w:hAnsiTheme="majorHAnsi" w:cs="Times New Roman"/>
          <w:sz w:val="24"/>
          <w:szCs w:val="24"/>
        </w:rPr>
        <w:t xml:space="preserve"> This study examines the implementation of the ED patient transfer communications measures in the 79 CAHs in Minnesota in 2011-2013. Attached is an abstract of a submitted article describing the </w:t>
      </w:r>
      <w:proofErr w:type="gramStart"/>
      <w:r w:rsidRPr="00262FFF">
        <w:rPr>
          <w:rFonts w:asciiTheme="majorHAnsi" w:hAnsiTheme="majorHAnsi" w:cs="Times New Roman"/>
          <w:sz w:val="24"/>
          <w:szCs w:val="24"/>
        </w:rPr>
        <w:t>project.</w:t>
      </w:r>
      <w:proofErr w:type="gramEnd"/>
    </w:p>
    <w:p w:rsidR="0065689A" w:rsidRPr="00262FFF" w:rsidRDefault="0065689A" w:rsidP="0065689A">
      <w:pPr>
        <w:pStyle w:val="ListParagraph"/>
        <w:numPr>
          <w:ilvl w:val="1"/>
          <w:numId w:val="11"/>
        </w:numPr>
        <w:autoSpaceDE w:val="0"/>
        <w:autoSpaceDN w:val="0"/>
        <w:adjustRightInd w:val="0"/>
        <w:spacing w:after="0" w:line="360" w:lineRule="auto"/>
        <w:rPr>
          <w:rFonts w:asciiTheme="majorHAnsi" w:hAnsiTheme="majorHAnsi"/>
          <w:sz w:val="24"/>
          <w:szCs w:val="24"/>
        </w:rPr>
      </w:pPr>
      <w:r w:rsidRPr="00262FFF">
        <w:rPr>
          <w:rFonts w:asciiTheme="majorHAnsi" w:hAnsiTheme="majorHAnsi"/>
          <w:sz w:val="24"/>
          <w:szCs w:val="24"/>
        </w:rPr>
        <w:t xml:space="preserve"> The measures are currently being used in 8 states as a pilot prior to inclusion in the Phase 3 of the Medicare Beneficiary Quality Improvement project (MBQIP). </w:t>
      </w:r>
      <w:r>
        <w:rPr>
          <w:rFonts w:asciiTheme="majorHAnsi" w:hAnsiTheme="majorHAnsi"/>
          <w:sz w:val="24"/>
          <w:szCs w:val="24"/>
        </w:rPr>
        <w:t xml:space="preserve"> </w:t>
      </w:r>
    </w:p>
    <w:p w:rsidR="0065689A" w:rsidRPr="00262FFF" w:rsidRDefault="0065689A" w:rsidP="0065689A">
      <w:pPr>
        <w:autoSpaceDE w:val="0"/>
        <w:autoSpaceDN w:val="0"/>
        <w:adjustRightInd w:val="0"/>
        <w:spacing w:line="360" w:lineRule="auto"/>
        <w:ind w:left="1440"/>
        <w:rPr>
          <w:rFonts w:asciiTheme="majorHAnsi" w:hAnsiTheme="majorHAnsi"/>
          <w:sz w:val="24"/>
          <w:szCs w:val="24"/>
        </w:rPr>
      </w:pPr>
      <w:r w:rsidRPr="00262FFF">
        <w:rPr>
          <w:rFonts w:asciiTheme="majorHAnsi" w:hAnsiTheme="majorHAnsi"/>
          <w:sz w:val="24"/>
          <w:szCs w:val="24"/>
        </w:rPr>
        <w:t xml:space="preserve">Project Overview: The Critical Access Hospital (CAH) Emergency Department Transfer </w:t>
      </w:r>
    </w:p>
    <w:p w:rsidR="0065689A" w:rsidRPr="00262FFF" w:rsidRDefault="0065689A" w:rsidP="0065689A">
      <w:pPr>
        <w:autoSpaceDE w:val="0"/>
        <w:autoSpaceDN w:val="0"/>
        <w:adjustRightInd w:val="0"/>
        <w:spacing w:line="360" w:lineRule="auto"/>
        <w:ind w:left="1440"/>
        <w:rPr>
          <w:rFonts w:asciiTheme="majorHAnsi" w:hAnsiTheme="majorHAnsi"/>
          <w:sz w:val="24"/>
          <w:szCs w:val="24"/>
        </w:rPr>
      </w:pPr>
      <w:r w:rsidRPr="00262FFF">
        <w:rPr>
          <w:rFonts w:asciiTheme="majorHAnsi" w:hAnsiTheme="majorHAnsi"/>
          <w:sz w:val="24"/>
          <w:szCs w:val="24"/>
        </w:rPr>
        <w:lastRenderedPageBreak/>
        <w:t xml:space="preserve">Communication QIO special project is intended to build QIO capacity to support and improve the care delivered by CAHs focusing on transfer communication from the CAH emergency department. </w:t>
      </w:r>
    </w:p>
    <w:p w:rsidR="0065689A" w:rsidRPr="00262FFF" w:rsidRDefault="0065689A" w:rsidP="0065689A">
      <w:pPr>
        <w:autoSpaceDE w:val="0"/>
        <w:autoSpaceDN w:val="0"/>
        <w:adjustRightInd w:val="0"/>
        <w:spacing w:line="360" w:lineRule="auto"/>
        <w:ind w:left="1440"/>
        <w:rPr>
          <w:rFonts w:asciiTheme="majorHAnsi" w:hAnsiTheme="majorHAnsi"/>
          <w:sz w:val="24"/>
          <w:szCs w:val="24"/>
        </w:rPr>
      </w:pPr>
      <w:r w:rsidRPr="00262FFF">
        <w:rPr>
          <w:rFonts w:asciiTheme="majorHAnsi" w:hAnsiTheme="majorHAnsi"/>
          <w:sz w:val="24"/>
          <w:szCs w:val="24"/>
        </w:rPr>
        <w:t>This 12-month QIO special innovation project will provide and pilot test QIO resources for supporting CAHs to be trained to collect and report the ED Transfer Communication measures, identify gaps and opportunities for improvement, and begin planning for improving the transfer communication process and results. Eight QIOs are participating, supporting CAH participation in the following states: Iowa, Missouri, Nebraska, Maine, Oklahoma, West Virginia, Wisconsin, Wyoming.  Stratis Health, the Minnesota QIO, is coordinating and providing tools, training, and resources for each QIO to utilize in working with the participating CAHs in their respective states.  The project timeline is 8/1/13</w:t>
      </w:r>
      <w:proofErr w:type="gramStart"/>
      <w:r w:rsidRPr="00262FFF">
        <w:rPr>
          <w:rFonts w:asciiTheme="majorHAnsi" w:hAnsiTheme="majorHAnsi"/>
          <w:sz w:val="24"/>
          <w:szCs w:val="24"/>
        </w:rPr>
        <w:t>  -</w:t>
      </w:r>
      <w:proofErr w:type="gramEnd"/>
      <w:r w:rsidRPr="00262FFF">
        <w:rPr>
          <w:rFonts w:asciiTheme="majorHAnsi" w:hAnsiTheme="majorHAnsi"/>
          <w:sz w:val="24"/>
          <w:szCs w:val="24"/>
        </w:rPr>
        <w:t xml:space="preserve"> 7/31/14.  CAHs will begin collecting data in late 2013.</w:t>
      </w:r>
    </w:p>
    <w:p w:rsidR="0065689A" w:rsidRPr="00262FFF" w:rsidRDefault="0065689A" w:rsidP="0065689A">
      <w:pPr>
        <w:pStyle w:val="ListParagraph"/>
        <w:numPr>
          <w:ilvl w:val="1"/>
          <w:numId w:val="11"/>
        </w:numPr>
        <w:autoSpaceDE w:val="0"/>
        <w:autoSpaceDN w:val="0"/>
        <w:adjustRightInd w:val="0"/>
        <w:spacing w:after="0" w:line="360" w:lineRule="auto"/>
        <w:rPr>
          <w:rFonts w:asciiTheme="majorHAnsi" w:hAnsiTheme="majorHAnsi"/>
          <w:sz w:val="24"/>
          <w:szCs w:val="24"/>
        </w:rPr>
      </w:pPr>
      <w:r w:rsidRPr="00262FFF">
        <w:rPr>
          <w:rFonts w:asciiTheme="majorHAnsi" w:hAnsiTheme="majorHAnsi"/>
          <w:sz w:val="24"/>
          <w:szCs w:val="24"/>
        </w:rPr>
        <w:t xml:space="preserve"> The project aligns with the HRSA funded federal Office of Rural Health Policy's (ORHP) Medicare Rural Hospital Flexibility Program (Flex) priorities in the Medicare Beneficiary Quality Improvement Project (MBQIP).  The ED Transfer Communication measure will be included in phase three of MBQIP, which launches in 2014.   QIOs are expected to work collaboratively with their state Flex offices.</w:t>
      </w:r>
    </w:p>
    <w:p w:rsidR="0065689A" w:rsidRPr="001B772D" w:rsidRDefault="0065689A" w:rsidP="002E2177">
      <w:pPr>
        <w:ind w:left="0" w:firstLine="0"/>
      </w:pPr>
    </w:p>
    <w:sectPr w:rsidR="0065689A" w:rsidRPr="001B772D">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B74" w:rsidRDefault="004C6B74" w:rsidP="007E37A5">
      <w:r>
        <w:separator/>
      </w:r>
    </w:p>
  </w:endnote>
  <w:endnote w:type="continuationSeparator" w:id="0">
    <w:p w:rsidR="004C6B74" w:rsidRDefault="004C6B74" w:rsidP="007E37A5">
      <w:r>
        <w:continuationSeparator/>
      </w:r>
    </w:p>
  </w:endnote>
  <w:endnote w:id="1">
    <w:p w:rsidR="0065689A" w:rsidRPr="004A5130" w:rsidRDefault="0065689A" w:rsidP="0065689A">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ngressSans-ExtraBold">
    <w:panose1 w:val="00000000000000000000"/>
    <w:charset w:val="00"/>
    <w:family w:val="swiss"/>
    <w:notTrueType/>
    <w:pitch w:val="default"/>
    <w:sig w:usb0="00000003" w:usb1="00000000" w:usb2="00000000" w:usb3="00000000" w:csb0="00000001" w:csb1="00000000"/>
  </w:font>
  <w:font w:name="CongressSans-Light">
    <w:panose1 w:val="00000000000000000000"/>
    <w:charset w:val="00"/>
    <w:family w:val="swiss"/>
    <w:notTrueType/>
    <w:pitch w:val="default"/>
    <w:sig w:usb0="00000003" w:usb1="00000000" w:usb2="00000000" w:usb3="00000000" w:csb0="00000001" w:csb1="00000000"/>
  </w:font>
  <w:font w:name="CongressSans-Bold">
    <w:panose1 w:val="00000000000000000000"/>
    <w:charset w:val="00"/>
    <w:family w:val="swiss"/>
    <w:notTrueType/>
    <w:pitch w:val="default"/>
    <w:sig w:usb0="00000003" w:usb1="00000000" w:usb2="00000000" w:usb3="00000000" w:csb0="00000001" w:csb1="00000000"/>
  </w:font>
  <w:font w:name="MTSY">
    <w:panose1 w:val="00000000000000000000"/>
    <w:charset w:val="00"/>
    <w:family w:val="auto"/>
    <w:notTrueType/>
    <w:pitch w:val="default"/>
    <w:sig w:usb0="00000003" w:usb1="00000000" w:usb2="00000000" w:usb3="00000000" w:csb0="00000001" w:csb1="00000000"/>
  </w:font>
  <w:font w:name="CongressSans">
    <w:panose1 w:val="00000000000000000000"/>
    <w:charset w:val="00"/>
    <w:family w:val="swiss"/>
    <w:notTrueType/>
    <w:pitch w:val="default"/>
    <w:sig w:usb0="00000003" w:usb1="00000000" w:usb2="00000000" w:usb3="00000000" w:csb0="00000001" w:csb1="00000000"/>
  </w:font>
  <w:font w:name="RMTMIB">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FA6AB9">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B74" w:rsidRDefault="004C6B74" w:rsidP="007E37A5">
      <w:r>
        <w:separator/>
      </w:r>
    </w:p>
  </w:footnote>
  <w:footnote w:type="continuationSeparator" w:id="0">
    <w:p w:rsidR="004C6B74" w:rsidRDefault="004C6B74"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319D0"/>
    <w:multiLevelType w:val="hybridMultilevel"/>
    <w:tmpl w:val="293648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305C95"/>
    <w:multiLevelType w:val="hybridMultilevel"/>
    <w:tmpl w:val="22ACAC98"/>
    <w:lvl w:ilvl="0" w:tplc="F45C1F3A">
      <w:start w:val="1"/>
      <w:numFmt w:val="bullet"/>
      <w:lvlText w:val=""/>
      <w:lvlJc w:val="left"/>
      <w:pPr>
        <w:tabs>
          <w:tab w:val="num" w:pos="720"/>
        </w:tabs>
        <w:ind w:left="720" w:hanging="360"/>
      </w:pPr>
      <w:rPr>
        <w:rFonts w:ascii="Wingdings" w:hAnsi="Wingdings" w:hint="default"/>
      </w:rPr>
    </w:lvl>
    <w:lvl w:ilvl="1" w:tplc="77427912" w:tentative="1">
      <w:start w:val="1"/>
      <w:numFmt w:val="bullet"/>
      <w:lvlText w:val=""/>
      <w:lvlJc w:val="left"/>
      <w:pPr>
        <w:tabs>
          <w:tab w:val="num" w:pos="1440"/>
        </w:tabs>
        <w:ind w:left="1440" w:hanging="360"/>
      </w:pPr>
      <w:rPr>
        <w:rFonts w:ascii="Wingdings" w:hAnsi="Wingdings" w:hint="default"/>
      </w:rPr>
    </w:lvl>
    <w:lvl w:ilvl="2" w:tplc="2340AB96" w:tentative="1">
      <w:start w:val="1"/>
      <w:numFmt w:val="bullet"/>
      <w:lvlText w:val=""/>
      <w:lvlJc w:val="left"/>
      <w:pPr>
        <w:tabs>
          <w:tab w:val="num" w:pos="2160"/>
        </w:tabs>
        <w:ind w:left="2160" w:hanging="360"/>
      </w:pPr>
      <w:rPr>
        <w:rFonts w:ascii="Wingdings" w:hAnsi="Wingdings" w:hint="default"/>
      </w:rPr>
    </w:lvl>
    <w:lvl w:ilvl="3" w:tplc="38129BDC" w:tentative="1">
      <w:start w:val="1"/>
      <w:numFmt w:val="bullet"/>
      <w:lvlText w:val=""/>
      <w:lvlJc w:val="left"/>
      <w:pPr>
        <w:tabs>
          <w:tab w:val="num" w:pos="2880"/>
        </w:tabs>
        <w:ind w:left="2880" w:hanging="360"/>
      </w:pPr>
      <w:rPr>
        <w:rFonts w:ascii="Wingdings" w:hAnsi="Wingdings" w:hint="default"/>
      </w:rPr>
    </w:lvl>
    <w:lvl w:ilvl="4" w:tplc="BC5805DA" w:tentative="1">
      <w:start w:val="1"/>
      <w:numFmt w:val="bullet"/>
      <w:lvlText w:val=""/>
      <w:lvlJc w:val="left"/>
      <w:pPr>
        <w:tabs>
          <w:tab w:val="num" w:pos="3600"/>
        </w:tabs>
        <w:ind w:left="3600" w:hanging="360"/>
      </w:pPr>
      <w:rPr>
        <w:rFonts w:ascii="Wingdings" w:hAnsi="Wingdings" w:hint="default"/>
      </w:rPr>
    </w:lvl>
    <w:lvl w:ilvl="5" w:tplc="C83E6F3A" w:tentative="1">
      <w:start w:val="1"/>
      <w:numFmt w:val="bullet"/>
      <w:lvlText w:val=""/>
      <w:lvlJc w:val="left"/>
      <w:pPr>
        <w:tabs>
          <w:tab w:val="num" w:pos="4320"/>
        </w:tabs>
        <w:ind w:left="4320" w:hanging="360"/>
      </w:pPr>
      <w:rPr>
        <w:rFonts w:ascii="Wingdings" w:hAnsi="Wingdings" w:hint="default"/>
      </w:rPr>
    </w:lvl>
    <w:lvl w:ilvl="6" w:tplc="9684C372" w:tentative="1">
      <w:start w:val="1"/>
      <w:numFmt w:val="bullet"/>
      <w:lvlText w:val=""/>
      <w:lvlJc w:val="left"/>
      <w:pPr>
        <w:tabs>
          <w:tab w:val="num" w:pos="5040"/>
        </w:tabs>
        <w:ind w:left="5040" w:hanging="360"/>
      </w:pPr>
      <w:rPr>
        <w:rFonts w:ascii="Wingdings" w:hAnsi="Wingdings" w:hint="default"/>
      </w:rPr>
    </w:lvl>
    <w:lvl w:ilvl="7" w:tplc="9E94FDC8" w:tentative="1">
      <w:start w:val="1"/>
      <w:numFmt w:val="bullet"/>
      <w:lvlText w:val=""/>
      <w:lvlJc w:val="left"/>
      <w:pPr>
        <w:tabs>
          <w:tab w:val="num" w:pos="5760"/>
        </w:tabs>
        <w:ind w:left="5760" w:hanging="360"/>
      </w:pPr>
      <w:rPr>
        <w:rFonts w:ascii="Wingdings" w:hAnsi="Wingdings" w:hint="default"/>
      </w:rPr>
    </w:lvl>
    <w:lvl w:ilvl="8" w:tplc="78C0DC1E" w:tentative="1">
      <w:start w:val="1"/>
      <w:numFmt w:val="bullet"/>
      <w:lvlText w:val=""/>
      <w:lvlJc w:val="left"/>
      <w:pPr>
        <w:tabs>
          <w:tab w:val="num" w:pos="6480"/>
        </w:tabs>
        <w:ind w:left="6480" w:hanging="360"/>
      </w:pPr>
      <w:rPr>
        <w:rFonts w:ascii="Wingdings" w:hAnsi="Wingdings" w:hint="default"/>
      </w:rPr>
    </w:lvl>
  </w:abstractNum>
  <w:abstractNum w:abstractNumId="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88E60FE"/>
    <w:multiLevelType w:val="multilevel"/>
    <w:tmpl w:val="56BCB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1"/>
  </w:num>
  <w:num w:numId="4">
    <w:abstractNumId w:val="2"/>
  </w:num>
  <w:num w:numId="5">
    <w:abstractNumId w:val="5"/>
  </w:num>
  <w:num w:numId="6">
    <w:abstractNumId w:val="4"/>
  </w:num>
  <w:num w:numId="7">
    <w:abstractNumId w:val="10"/>
  </w:num>
  <w:num w:numId="8">
    <w:abstractNumId w:val="9"/>
  </w:num>
  <w:num w:numId="9">
    <w:abstractNumId w:val="7"/>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97C98"/>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72936"/>
    <w:rsid w:val="002875E9"/>
    <w:rsid w:val="00287EB3"/>
    <w:rsid w:val="002A47BA"/>
    <w:rsid w:val="002A6777"/>
    <w:rsid w:val="002B06BD"/>
    <w:rsid w:val="002C0E48"/>
    <w:rsid w:val="002C6360"/>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57E46"/>
    <w:rsid w:val="00496AF8"/>
    <w:rsid w:val="004A575D"/>
    <w:rsid w:val="004B65C6"/>
    <w:rsid w:val="004C6B74"/>
    <w:rsid w:val="004D1DC7"/>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01081"/>
    <w:rsid w:val="00617390"/>
    <w:rsid w:val="00623420"/>
    <w:rsid w:val="00634768"/>
    <w:rsid w:val="0063596F"/>
    <w:rsid w:val="0065689A"/>
    <w:rsid w:val="006709EB"/>
    <w:rsid w:val="00672824"/>
    <w:rsid w:val="0068184A"/>
    <w:rsid w:val="006B5C51"/>
    <w:rsid w:val="006C7F30"/>
    <w:rsid w:val="006E2A02"/>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B058A6"/>
    <w:rsid w:val="00B117D0"/>
    <w:rsid w:val="00B13998"/>
    <w:rsid w:val="00B439DD"/>
    <w:rsid w:val="00B52E0F"/>
    <w:rsid w:val="00B74629"/>
    <w:rsid w:val="00B91F58"/>
    <w:rsid w:val="00BA579E"/>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6AB9"/>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65689A"/>
    <w:pPr>
      <w:ind w:left="0" w:firstLine="0"/>
    </w:pPr>
    <w:rPr>
      <w:sz w:val="20"/>
      <w:szCs w:val="20"/>
    </w:rPr>
  </w:style>
  <w:style w:type="character" w:customStyle="1" w:styleId="EndnoteTextChar">
    <w:name w:val="Endnote Text Char"/>
    <w:basedOn w:val="DefaultParagraphFont"/>
    <w:link w:val="EndnoteText"/>
    <w:uiPriority w:val="99"/>
    <w:semiHidden/>
    <w:rsid w:val="0065689A"/>
    <w:rPr>
      <w:sz w:val="20"/>
      <w:szCs w:val="20"/>
    </w:rPr>
  </w:style>
  <w:style w:type="character" w:styleId="EndnoteReference">
    <w:name w:val="endnote reference"/>
    <w:basedOn w:val="DefaultParagraphFont"/>
    <w:uiPriority w:val="99"/>
    <w:semiHidden/>
    <w:unhideWhenUsed/>
    <w:rsid w:val="0065689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65689A"/>
    <w:pPr>
      <w:ind w:left="0" w:firstLine="0"/>
    </w:pPr>
    <w:rPr>
      <w:sz w:val="20"/>
      <w:szCs w:val="20"/>
    </w:rPr>
  </w:style>
  <w:style w:type="character" w:customStyle="1" w:styleId="EndnoteTextChar">
    <w:name w:val="Endnote Text Char"/>
    <w:basedOn w:val="DefaultParagraphFont"/>
    <w:link w:val="EndnoteText"/>
    <w:uiPriority w:val="99"/>
    <w:semiHidden/>
    <w:rsid w:val="0065689A"/>
    <w:rPr>
      <w:sz w:val="20"/>
      <w:szCs w:val="20"/>
    </w:rPr>
  </w:style>
  <w:style w:type="character" w:styleId="EndnoteReference">
    <w:name w:val="endnote reference"/>
    <w:basedOn w:val="DefaultParagraphFont"/>
    <w:uiPriority w:val="99"/>
    <w:semiHidden/>
    <w:unhideWhenUsed/>
    <w:rsid w:val="006568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jointcommission.org/PatientSafety/%20NationalPatientSafetyGoals/08_hap_npsgs.htm"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yperlink" Target="http://www.jointcommission.org/SentinelEvents%20/Statistics/" TargetMode="External"/><Relationship Id="rId10" Type="http://schemas.openxmlformats.org/officeDocument/2006/relationships/hyperlink" Target="http://www.uspreventiveservicestaskforce.org/uspstf/grades.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B87BB7"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ngressSans-ExtraBold">
    <w:panose1 w:val="00000000000000000000"/>
    <w:charset w:val="00"/>
    <w:family w:val="swiss"/>
    <w:notTrueType/>
    <w:pitch w:val="default"/>
    <w:sig w:usb0="00000003" w:usb1="00000000" w:usb2="00000000" w:usb3="00000000" w:csb0="00000001" w:csb1="00000000"/>
  </w:font>
  <w:font w:name="CongressSans-Light">
    <w:panose1 w:val="00000000000000000000"/>
    <w:charset w:val="00"/>
    <w:family w:val="swiss"/>
    <w:notTrueType/>
    <w:pitch w:val="default"/>
    <w:sig w:usb0="00000003" w:usb1="00000000" w:usb2="00000000" w:usb3="00000000" w:csb0="00000001" w:csb1="00000000"/>
  </w:font>
  <w:font w:name="CongressSans-Bold">
    <w:panose1 w:val="00000000000000000000"/>
    <w:charset w:val="00"/>
    <w:family w:val="swiss"/>
    <w:notTrueType/>
    <w:pitch w:val="default"/>
    <w:sig w:usb0="00000003" w:usb1="00000000" w:usb2="00000000" w:usb3="00000000" w:csb0="00000001" w:csb1="00000000"/>
  </w:font>
  <w:font w:name="MTSY">
    <w:panose1 w:val="00000000000000000000"/>
    <w:charset w:val="00"/>
    <w:family w:val="auto"/>
    <w:notTrueType/>
    <w:pitch w:val="default"/>
    <w:sig w:usb0="00000003" w:usb1="00000000" w:usb2="00000000" w:usb3="00000000" w:csb0="00000001" w:csb1="00000000"/>
  </w:font>
  <w:font w:name="CongressSans">
    <w:panose1 w:val="00000000000000000000"/>
    <w:charset w:val="00"/>
    <w:family w:val="swiss"/>
    <w:notTrueType/>
    <w:pitch w:val="default"/>
    <w:sig w:usb0="00000003" w:usb1="00000000" w:usb2="00000000" w:usb3="00000000" w:csb0="00000001" w:csb1="00000000"/>
  </w:font>
  <w:font w:name="RMTMIB">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2C14"/>
    <w:rsid w:val="002B5F47"/>
    <w:rsid w:val="003A1E4B"/>
    <w:rsid w:val="00455EB5"/>
    <w:rsid w:val="00461C1C"/>
    <w:rsid w:val="004E2027"/>
    <w:rsid w:val="005F21F3"/>
    <w:rsid w:val="008F6A9B"/>
    <w:rsid w:val="00B87BB7"/>
    <w:rsid w:val="00BE0F2D"/>
    <w:rsid w:val="00BE1412"/>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29BBA-4E7B-4FF8-9F32-7AA26B485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3971</Words>
  <Characters>22641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26559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klin0089</cp:lastModifiedBy>
  <cp:revision>2</cp:revision>
  <cp:lastPrinted>2014-01-17T20:13:00Z</cp:lastPrinted>
  <dcterms:created xsi:type="dcterms:W3CDTF">2014-03-07T19:24:00Z</dcterms:created>
  <dcterms:modified xsi:type="dcterms:W3CDTF">2014-03-07T19:24:00Z</dcterms:modified>
</cp:coreProperties>
</file>