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jc w:val="center"/>
      </w:pPr>
    </w:p>
    <w:p>
      <w:pPr>
        <w:pStyle w:val="Body"/>
        <w:jc w:val="center"/>
        <w:rPr>
          <w:rFonts w:ascii="Calibri" w:cs="Calibri" w:hAnsi="Calibri" w:eastAsia="Calibri"/>
          <w:b w:val="1"/>
          <w:bCs w:val="1"/>
          <w:color w:val="0000ff"/>
          <w:sz w:val="20"/>
          <w:szCs w:val="20"/>
          <w:u w:color="0000ff"/>
        </w:rPr>
      </w:pPr>
      <w:r>
        <w:rPr>
          <w:rFonts w:ascii="Calibri" w:cs="Calibri" w:hAnsi="Calibri" w:eastAsia="Calibri"/>
          <w:b w:val="1"/>
          <w:bCs w:val="1"/>
          <w:color w:val="0000ff"/>
          <w:sz w:val="20"/>
          <w:szCs w:val="20"/>
          <w:u w:color="0000ff"/>
          <w:rtl w:val="0"/>
          <w:lang w:val="en-US"/>
        </w:rPr>
        <w:t>Ap</w:t>
      </w:r>
      <w:r>
        <w:rPr>
          <w:rFonts w:ascii="Calibri" w:cs="Calibri" w:hAnsi="Calibri" w:eastAsia="Calibri"/>
          <w:b w:val="1"/>
          <w:bCs w:val="1"/>
          <w:color w:val="0000ff"/>
          <w:sz w:val="20"/>
          <w:szCs w:val="20"/>
          <w:u w:color="0000ff"/>
          <w:rtl w:val="0"/>
          <w:lang w:val="en-US"/>
        </w:rPr>
        <w:t>pendix A: Regression Results by Measure Strata</w:t>
      </w:r>
    </w:p>
    <w:tbl>
      <w:tblPr>
        <w:tblW w:w="11100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700"/>
        <w:gridCol w:w="1050"/>
        <w:gridCol w:w="1050"/>
        <w:gridCol w:w="1050"/>
        <w:gridCol w:w="1050"/>
        <w:gridCol w:w="1050"/>
        <w:gridCol w:w="1050"/>
        <w:gridCol w:w="1050"/>
        <w:gridCol w:w="1050"/>
      </w:tblGrid>
      <w:tr>
        <w:tblPrEx>
          <w:shd w:val="clear" w:color="auto" w:fill="ced7e7"/>
        </w:tblPrEx>
        <w:trPr>
          <w:trHeight w:val="649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b w:val="1"/>
                <w:b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Overall rate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 xml:space="preserve">Reporting </w:t>
            </w:r>
            <w:r>
              <w:rPr>
                <w:rFonts w:ascii="Calibri" w:cs="Calibri" w:hAnsi="Calibri" w:eastAsia="Calibri"/>
                <w:b w:val="1"/>
                <w:b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Rate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Psychiatric/</w:t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lang w:val="en-US"/>
              </w:rPr>
              <w:br w:type="textWrapping"/>
            </w: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 xml:space="preserve">Mental Health </w:t>
            </w:r>
            <w:r>
              <w:rPr>
                <w:rFonts w:ascii="Calibri" w:cs="Calibri" w:hAnsi="Calibri" w:eastAsia="Calibri"/>
                <w:b w:val="1"/>
                <w:b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 xml:space="preserve">Rate 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b w:val="1"/>
                <w:bCs w:val="1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 xml:space="preserve">Transfer </w:t>
            </w:r>
            <w:r>
              <w:rPr>
                <w:rFonts w:ascii="Calibri" w:cs="Calibri" w:hAnsi="Calibri" w:eastAsia="Calibri"/>
                <w:b w:val="1"/>
                <w:b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Rate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Case count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1,853,526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1,777,381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4,319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72,161</w:t>
            </w:r>
          </w:p>
        </w:tc>
      </w:tr>
      <w:tr>
        <w:tblPrEx>
          <w:shd w:val="clear" w:color="auto" w:fill="ced7e7"/>
        </w:tblPrEx>
        <w:trPr>
          <w:trHeight w:val="235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Clusters (Facilities)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3,756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3,755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1,526</w:t>
            </w:r>
          </w:p>
        </w:tc>
        <w:tc>
          <w:tcPr>
            <w:tcW w:type="dxa" w:w="2100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3,451</w:t>
            </w:r>
          </w:p>
        </w:tc>
      </w:tr>
      <w:tr>
        <w:tblPrEx>
          <w:shd w:val="clear" w:color="auto" w:fill="ced7e7"/>
        </w:tblPrEx>
        <w:trPr>
          <w:trHeight w:val="235" w:hRule="atLeast"/>
        </w:trPr>
        <w:tc>
          <w:tcPr>
            <w:tcW w:type="dxa" w:w="270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Coef.</w:t>
            </w:r>
          </w:p>
        </w:tc>
        <w:tc>
          <w:tcPr>
            <w:tcW w:type="dxa" w:w="105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P-value</w:t>
            </w:r>
          </w:p>
        </w:tc>
        <w:tc>
          <w:tcPr>
            <w:tcW w:type="dxa" w:w="105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Coef.</w:t>
            </w:r>
          </w:p>
        </w:tc>
        <w:tc>
          <w:tcPr>
            <w:tcW w:type="dxa" w:w="105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P-value</w:t>
            </w:r>
          </w:p>
        </w:tc>
        <w:tc>
          <w:tcPr>
            <w:tcW w:type="dxa" w:w="105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Coef.</w:t>
            </w:r>
          </w:p>
        </w:tc>
        <w:tc>
          <w:tcPr>
            <w:tcW w:type="dxa" w:w="105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P-value</w:t>
            </w:r>
          </w:p>
        </w:tc>
        <w:tc>
          <w:tcPr>
            <w:tcW w:type="dxa" w:w="105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Coef.</w:t>
            </w:r>
          </w:p>
        </w:tc>
        <w:tc>
          <w:tcPr>
            <w:tcW w:type="dxa" w:w="1050"/>
            <w:tcBorders>
              <w:top w:val="nil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center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P-value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Patient Age Group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18 to 30 (1)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31.9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31.4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141.1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35.8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30 to 40 (2)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42.1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41.1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194.9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53.8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40 to 50 (3)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54.9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53.2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185.8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42.0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50 to 60 (4)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65.5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62.9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237.4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33.0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60 to 70 (5)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73.5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70.1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171.7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27.8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70 to 80 (6)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80.8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77.3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136.1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0.055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26.7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80 to 90 (7)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88.0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84.9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-62.2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0.294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28.0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90+ (8)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93.4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91.6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299.9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0.125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19.7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Sex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Female (2)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6.1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7.3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-47.6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0.116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13.3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UTD (9)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18.2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0.193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11.1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0.266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bfbfbf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115.3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0.311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Race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Black (2)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0.120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5.5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0.126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137.3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27.1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45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512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left="432" w:firstLine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American Indian/Alaska Native (3)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5.6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0.142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6.1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0.103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181.6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0.326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-18.4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0.317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Asian (4)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10.2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10.3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-17.7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0.849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-4.2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0.646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UTD (9)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0.802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0.805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210.1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0.863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Ethnicity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Hispanic (1)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12.0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12.0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-18.5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0.758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22.0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0.001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Facility Bed Count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51 to 100 (1)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9.1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0.017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10.7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71.7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0.325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18.2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0.002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101 to 250 (2)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34.0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35.8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184.9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0.014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68.4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251 to 500 (3)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51.1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53.8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292.0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78.6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500+ (4)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61.8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64.7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140.2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0.144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97.8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Facility Location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Urban (1)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5.2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0.316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6.5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0.195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52.6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0.453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13.8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0.032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Teaching Status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nil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 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Teaching (1)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9.3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0.275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9.0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0.298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-61.6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0.476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20.2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0.082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ind w:firstLine="400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Major Teaching (2)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56.5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54.7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60.5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0.449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177.4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0.003</w:t>
            </w:r>
          </w:p>
        </w:tc>
      </w:tr>
      <w:tr>
        <w:tblPrEx>
          <w:shd w:val="clear" w:color="auto" w:fill="ced7e7"/>
        </w:tblPrEx>
        <w:trPr>
          <w:trHeight w:val="230" w:hRule="atLeast"/>
        </w:trPr>
        <w:tc>
          <w:tcPr>
            <w:tcW w:type="dxa" w:w="270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</w:pPr>
            <w:r>
              <w:rPr>
                <w:rFonts w:ascii="Calibri" w:cs="Calibri" w:hAnsi="Calibri" w:eastAsia="Calibri"/>
                <w:i w:val="1"/>
                <w:iCs w:val="1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Constant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89.1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83.4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317.2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185.3</w:t>
            </w:r>
          </w:p>
        </w:tc>
        <w:tc>
          <w:tcPr>
            <w:tcW w:type="dxa" w:w="10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Body"/>
              <w:suppressAutoHyphens w:val="0"/>
              <w:jc w:val="right"/>
            </w:pPr>
            <w:r>
              <w:rPr>
                <w:rFonts w:ascii="Calibri" w:cs="Calibri" w:hAnsi="Calibri" w:eastAsia="Calibri"/>
                <w:color w:val="0000ff"/>
                <w:kern w:val="0"/>
                <w:sz w:val="20"/>
                <w:szCs w:val="20"/>
                <w:u w:color="0000ff"/>
                <w:rtl w:val="0"/>
                <w:lang w:val="en-US"/>
              </w:rPr>
              <w:t>0.000</w:t>
            </w:r>
          </w:p>
        </w:tc>
      </w:tr>
    </w:tbl>
    <w:p>
      <w:pPr>
        <w:pStyle w:val="Body"/>
        <w:widowControl w:val="0"/>
        <w:jc w:val="both"/>
      </w:pPr>
      <w:r>
        <w:rPr>
          <w:rFonts w:ascii="Calibri" w:cs="Calibri" w:hAnsi="Calibri" w:eastAsia="Calibri"/>
          <w:b w:val="1"/>
          <w:bCs w:val="1"/>
          <w:color w:val="0000ff"/>
          <w:sz w:val="20"/>
          <w:szCs w:val="20"/>
          <w:u w:color="0000ff"/>
        </w:rPr>
      </w:r>
    </w:p>
    <w:sectPr>
      <w:headerReference w:type="default" r:id="rId4"/>
      <w:footerReference w:type="default" r:id="rId5"/>
      <w:pgSz w:w="12240" w:h="15840" w:orient="portrait"/>
      <w:pgMar w:top="720" w:right="720" w:bottom="720" w:left="72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"/>
      <w:tabs>
        <w:tab w:val="right" w:pos="9360"/>
      </w:tabs>
      <w:suppressAutoHyphens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  <w:spacing w:after="120"/>
      <w:jc w:val="center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trackRevisions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