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D29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A0B830E" w14:textId="77777777" w:rsidR="00496AF8" w:rsidRPr="00496AF8" w:rsidRDefault="00496AF8" w:rsidP="002E2177">
      <w:pPr>
        <w:ind w:left="0" w:firstLine="0"/>
        <w:rPr>
          <w:noProof/>
        </w:rPr>
      </w:pPr>
    </w:p>
    <w:p w14:paraId="56AFA3A0" w14:textId="303D7E43"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A7B71">
            <w:rPr>
              <w:rStyle w:val="Style1"/>
            </w:rPr>
            <w:t>0213</w:t>
          </w:r>
        </w:sdtContent>
      </w:sdt>
    </w:p>
    <w:p w14:paraId="2B250E6A" w14:textId="06796C94"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A7B71">
            <w:rPr>
              <w:rStyle w:val="Style1"/>
            </w:rPr>
            <w:t>Proportion of patients who died from cancer admitted to the ICU in the last 30 days of life</w:t>
          </w:r>
        </w:sdtContent>
      </w:sdt>
    </w:p>
    <w:p w14:paraId="47A6B17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0F28AC7" w14:textId="77777777" w:rsidR="00114848" w:rsidRPr="003B1CC5" w:rsidRDefault="00114848" w:rsidP="002E2177">
      <w:pPr>
        <w:ind w:left="0" w:firstLine="0"/>
        <w:rPr>
          <w:b/>
          <w:noProof/>
        </w:rPr>
      </w:pPr>
    </w:p>
    <w:p w14:paraId="53C2D3C0" w14:textId="58CDB654"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2-29T00:00:00Z">
            <w:dateFormat w:val="M/d/yyyy"/>
            <w:lid w:val="en-US"/>
            <w:storeMappedDataAs w:val="dateTime"/>
            <w:calendar w:val="gregorian"/>
          </w:date>
        </w:sdtPr>
        <w:sdtEndPr>
          <w:rPr>
            <w:rStyle w:val="DefaultParagraphFont"/>
            <w:noProof/>
            <w:color w:val="auto"/>
            <w:u w:val="none"/>
          </w:rPr>
        </w:sdtEndPr>
        <w:sdtContent>
          <w:r w:rsidR="009A7B71">
            <w:rPr>
              <w:rStyle w:val="Style2"/>
            </w:rPr>
            <w:t>2/29/2016</w:t>
          </w:r>
        </w:sdtContent>
      </w:sdt>
    </w:p>
    <w:p w14:paraId="7442565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F6F303E" w14:textId="77777777" w:rsidTr="00176E60">
        <w:trPr>
          <w:jc w:val="center"/>
        </w:trPr>
        <w:tc>
          <w:tcPr>
            <w:tcW w:w="9576" w:type="dxa"/>
          </w:tcPr>
          <w:p w14:paraId="2FF6855F"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F67517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9AD5F2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B275C7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0131526"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71F3D6D"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4846AA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6FC12EF"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779A970F"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7D7635D7" w14:textId="77777777" w:rsidTr="00176E60">
        <w:trPr>
          <w:jc w:val="center"/>
        </w:trPr>
        <w:tc>
          <w:tcPr>
            <w:tcW w:w="9576" w:type="dxa"/>
          </w:tcPr>
          <w:p w14:paraId="00A200C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205971B" w14:textId="77777777" w:rsidR="008659ED" w:rsidRPr="003B1CC5" w:rsidRDefault="008659ED" w:rsidP="008659ED">
            <w:pPr>
              <w:ind w:left="90" w:hanging="90"/>
              <w:rPr>
                <w:sz w:val="20"/>
                <w:szCs w:val="20"/>
              </w:rPr>
            </w:pPr>
            <w:bookmarkStart w:id="0" w:name="Note2"/>
            <w:bookmarkEnd w:id="0"/>
          </w:p>
          <w:p w14:paraId="0B82D076"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4840227"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753705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70A12E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0883D21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4201366"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D9515BC"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B6F936D" w14:textId="77777777" w:rsidR="00CB1E41" w:rsidRPr="003B1CC5" w:rsidRDefault="00CB1E41" w:rsidP="008659ED">
            <w:pPr>
              <w:autoSpaceDE w:val="0"/>
              <w:autoSpaceDN w:val="0"/>
              <w:adjustRightInd w:val="0"/>
              <w:rPr>
                <w:rFonts w:eastAsia="Calibri" w:cs="Calibri"/>
                <w:b/>
                <w:bCs/>
                <w:iCs/>
                <w:sz w:val="18"/>
              </w:rPr>
            </w:pPr>
          </w:p>
          <w:p w14:paraId="0277BD6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6A9D52F"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C6451D3"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FA4161F"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4F17083"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AFC7AA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2FA5B1F"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98670CD" w14:textId="77777777" w:rsidR="00496AF8" w:rsidRPr="003B1CC5" w:rsidRDefault="00E36769"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15A25FB0" w14:textId="77777777" w:rsidR="00236F87" w:rsidRPr="003B1CC5" w:rsidRDefault="00E36769"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113DAD0B"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6244B21" w14:textId="441D731C" w:rsidR="00496AF8" w:rsidRPr="003B1CC5" w:rsidRDefault="00E36769"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572FA6">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r w:rsidR="00727E2D">
        <w:rPr>
          <w:rStyle w:val="Style2"/>
          <w:rFonts w:cstheme="minorHAnsi"/>
        </w:rPr>
        <w:t>Rate of ICU admissions in the last 30 days of life</w:t>
      </w:r>
      <w:sdt>
        <w:sdtPr>
          <w:rPr>
            <w:rStyle w:val="Style2"/>
            <w:rFonts w:cstheme="minorHAnsi"/>
          </w:rPr>
          <w:id w:val="322628782"/>
          <w:showingPlcHdr/>
        </w:sdtPr>
        <w:sdtEndPr>
          <w:rPr>
            <w:rStyle w:val="DefaultParagraphFont"/>
            <w:rFonts w:cstheme="minorBidi"/>
            <w:bCs/>
            <w:color w:val="auto"/>
            <w:u w:val="none"/>
          </w:rPr>
        </w:sdtEndPr>
        <w:sdtContent>
          <w:r w:rsidR="00727E2D">
            <w:rPr>
              <w:rStyle w:val="Style2"/>
              <w:rFonts w:cstheme="minorHAnsi"/>
            </w:rPr>
            <w:t xml:space="preserve">     </w:t>
          </w:r>
        </w:sdtContent>
      </w:sdt>
    </w:p>
    <w:p w14:paraId="3962D315" w14:textId="77777777" w:rsidR="00496AF8" w:rsidRPr="003B1CC5" w:rsidRDefault="00E36769"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1F4898E9" w14:textId="77777777" w:rsidR="00496AF8" w:rsidRPr="003B1CC5" w:rsidRDefault="00E3676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F1ED2AD" w14:textId="77777777" w:rsidR="00496AF8" w:rsidRPr="003B1CC5" w:rsidRDefault="00E3676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1C84FAE3" w14:textId="77777777" w:rsidR="00496AF8" w:rsidRPr="003B1CC5" w:rsidRDefault="00496AF8" w:rsidP="002E2177">
      <w:pPr>
        <w:ind w:left="0" w:firstLine="0"/>
        <w:rPr>
          <w:bCs/>
        </w:rPr>
      </w:pPr>
    </w:p>
    <w:p w14:paraId="3499873F" w14:textId="77777777" w:rsidR="00850C35" w:rsidRPr="003B1CC5" w:rsidRDefault="00925F11" w:rsidP="002E2177">
      <w:pPr>
        <w:ind w:left="0" w:firstLine="0"/>
        <w:rPr>
          <w:b/>
          <w:bCs/>
        </w:rPr>
      </w:pPr>
      <w:r w:rsidRPr="003B1CC5">
        <w:rPr>
          <w:b/>
          <w:iCs/>
          <w:caps/>
        </w:rPr>
        <w:t>_________________________</w:t>
      </w:r>
    </w:p>
    <w:p w14:paraId="00E638E2"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B20E409"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57D8EE02" w14:textId="77777777" w:rsidR="002B06BD" w:rsidRPr="003B1CC5" w:rsidRDefault="002B06BD" w:rsidP="002E2177">
      <w:pPr>
        <w:ind w:left="432" w:hanging="432"/>
        <w:rPr>
          <w:color w:val="0000FF"/>
        </w:rPr>
      </w:pPr>
    </w:p>
    <w:p w14:paraId="382FA5AC"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16F378AD" w14:textId="77777777" w:rsidR="00D14F0B" w:rsidRPr="003B1CC5" w:rsidRDefault="00D14F0B" w:rsidP="002E2177">
      <w:pPr>
        <w:ind w:left="0" w:firstLine="0"/>
        <w:rPr>
          <w:iCs/>
        </w:rPr>
      </w:pPr>
    </w:p>
    <w:p w14:paraId="15693960"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00CAD805" w14:textId="77777777" w:rsidR="002B06BD" w:rsidRPr="003B1CC5" w:rsidRDefault="00925F11" w:rsidP="002E2177">
      <w:pPr>
        <w:ind w:left="0" w:firstLine="0"/>
        <w:rPr>
          <w:b/>
          <w:iCs/>
          <w:caps/>
        </w:rPr>
      </w:pPr>
      <w:r w:rsidRPr="003B1CC5">
        <w:rPr>
          <w:b/>
          <w:iCs/>
          <w:caps/>
        </w:rPr>
        <w:t>_________________________</w:t>
      </w:r>
    </w:p>
    <w:p w14:paraId="00CDD784"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73D1900F" w14:textId="77777777"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3644CFC1" w14:textId="64C8D1CC" w:rsidR="00572FA6" w:rsidRDefault="00572FA6" w:rsidP="002E2177">
      <w:pPr>
        <w:ind w:left="0" w:firstLine="0"/>
        <w:rPr>
          <w:i/>
          <w:iCs/>
        </w:rPr>
      </w:pPr>
      <w:bookmarkStart w:id="6" w:name="_GoBack"/>
      <w:r>
        <w:rPr>
          <w:noProof/>
        </w:rPr>
        <w:drawing>
          <wp:inline distT="0" distB="0" distL="0" distR="0" wp14:anchorId="445E3404" wp14:editId="5999A3AE">
            <wp:extent cx="5943600" cy="3124835"/>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bookmarkEnd w:id="6"/>
    </w:p>
    <w:p w14:paraId="48D4642A" w14:textId="77777777" w:rsidR="009A7B71" w:rsidRPr="00BF75D7" w:rsidRDefault="009A7B71" w:rsidP="009A7B71">
      <w:pPr>
        <w:spacing w:before="100" w:beforeAutospacing="1" w:after="100" w:afterAutospacing="1"/>
        <w:ind w:firstLine="0"/>
        <w:rPr>
          <w:rFonts w:ascii="Calibri" w:hAnsi="Calibri"/>
          <w:color w:val="FF0000"/>
        </w:rPr>
      </w:pPr>
      <w:r w:rsidRPr="00BF75D7">
        <w:rPr>
          <w:rFonts w:ascii="Calibri" w:hAnsi="Calibri" w:cs="Calibri"/>
          <w:color w:val="FF0000"/>
        </w:rPr>
        <w:t xml:space="preserve">Studies suggest that over time, cancer care is becoming more aggressive near the end of life. Intensive care unit (ICU) admissions in the last 30 days of life are deemed as “aggressive care” and often used as an indicator of lower quality of care (Barbera, 2015).  A higher quality of life has been predicted in patients who avoid aggressive measures such as ICU stays in the last week of life (Zhang, 2012). Furthermore, a longitudinal population-based study found patients who enrolled in hospice (long-or short-term) vs. those who did not receive hospice services had a reduced likelihood of being admitted to an ICU in the last 30 days of life by approximately 75% (Kao, 2015). ICU admissions, particularly those that result in a patient dying in the ICU, are more likely to result in physical and emotional distress as well as a less positive death experience (Wright, 2010). </w:t>
      </w:r>
    </w:p>
    <w:p w14:paraId="1713852A" w14:textId="2ACB90BA" w:rsidR="009A7B71" w:rsidRPr="00BF75D7" w:rsidRDefault="009A7B71" w:rsidP="009A7B71">
      <w:pPr>
        <w:spacing w:before="100" w:beforeAutospacing="1" w:after="100" w:afterAutospacing="1"/>
        <w:ind w:firstLine="0"/>
        <w:rPr>
          <w:rFonts w:ascii="Calibri" w:hAnsi="Calibri"/>
          <w:color w:val="FF0000"/>
        </w:rPr>
      </w:pPr>
      <w:r w:rsidRPr="00BF75D7">
        <w:rPr>
          <w:rFonts w:ascii="Calibri" w:hAnsi="Calibri" w:cs="Calibri"/>
          <w:color w:val="FF0000"/>
        </w:rPr>
        <w:t>Despite limited evidence of improved patient outcomes, nearly 25% of Me</w:t>
      </w:r>
      <w:r w:rsidR="00751EE4" w:rsidRPr="00BF75D7">
        <w:rPr>
          <w:rFonts w:ascii="Calibri" w:hAnsi="Calibri" w:cs="Calibri"/>
          <w:color w:val="FF0000"/>
        </w:rPr>
        <w:t>dicare expenditures are spent on</w:t>
      </w:r>
      <w:r w:rsidRPr="00BF75D7">
        <w:rPr>
          <w:rFonts w:ascii="Calibri" w:hAnsi="Calibri" w:cs="Calibri"/>
          <w:color w:val="FF0000"/>
        </w:rPr>
        <w:t xml:space="preserve"> intensive care in the final month of life (Wright, 2010). A reduction in health care expenditures can be achieved by reduced utilization of hospital services including ICU stays and a greater focus on palliative care and hospice services (Langton, 2014).</w:t>
      </w:r>
    </w:p>
    <w:p w14:paraId="62E850EE" w14:textId="77777777" w:rsidR="009A7B71" w:rsidRPr="009A7B71" w:rsidRDefault="009A7B71" w:rsidP="009A7B71">
      <w:pPr>
        <w:ind w:right="835"/>
        <w:rPr>
          <w:rFonts w:ascii="Calibri" w:eastAsia="Trebuchet MS" w:hAnsi="Calibri" w:cs="Trebuchet MS"/>
          <w:w w:val="102"/>
        </w:rPr>
      </w:pPr>
    </w:p>
    <w:p w14:paraId="0575AEE7" w14:textId="4B217A8B" w:rsidR="009A7B71" w:rsidRPr="00727E2D" w:rsidRDefault="009A7B71" w:rsidP="00727E2D">
      <w:pPr>
        <w:autoSpaceDE w:val="0"/>
        <w:autoSpaceDN w:val="0"/>
        <w:adjustRightInd w:val="0"/>
        <w:rPr>
          <w:rStyle w:val="Hyperlink"/>
          <w:rFonts w:ascii="Calibri" w:eastAsia="ArialMT" w:hAnsi="Calibri" w:cs="ArialMT"/>
          <w:color w:val="auto"/>
        </w:rPr>
      </w:pPr>
      <w:r w:rsidRPr="00BF75D7">
        <w:rPr>
          <w:rFonts w:ascii="Calibri" w:eastAsia="ArialMT" w:hAnsi="Calibri" w:cs="ArialMT"/>
          <w:color w:val="FF0000"/>
        </w:rPr>
        <w:t>Zhang B, Nilsson ME, Prigerson HG. Factors important to patients'quality o</w:t>
      </w:r>
      <w:r w:rsidR="00727E2D" w:rsidRPr="00BF75D7">
        <w:rPr>
          <w:rFonts w:ascii="Calibri" w:eastAsia="ArialMT" w:hAnsi="Calibri" w:cs="ArialMT"/>
          <w:color w:val="FF0000"/>
        </w:rPr>
        <w:t>f life at the end of life. Arch</w:t>
      </w:r>
      <w:r w:rsidRPr="00BF75D7">
        <w:rPr>
          <w:rFonts w:ascii="Calibri" w:eastAsia="ArialMT" w:hAnsi="Calibri" w:cs="ArialMT"/>
          <w:color w:val="FF0000"/>
        </w:rPr>
        <w:t xml:space="preserve">Intern Med 2012;172:1133-1142.Available at: </w:t>
      </w:r>
      <w:hyperlink r:id="rId23" w:history="1">
        <w:r w:rsidRPr="00727E2D">
          <w:rPr>
            <w:rStyle w:val="Hyperlink"/>
            <w:rFonts w:ascii="Calibri" w:eastAsia="ArialMT" w:hAnsi="Calibri" w:cs="ArialMT"/>
            <w:color w:val="auto"/>
          </w:rPr>
          <w:t>http://www.ncbi.nlm.nih.gov/pmc/articles/PMC3806298/</w:t>
        </w:r>
      </w:hyperlink>
    </w:p>
    <w:p w14:paraId="0EC391BD" w14:textId="77777777" w:rsidR="009A7B71" w:rsidRPr="00BF75D7" w:rsidRDefault="009A7B71" w:rsidP="009A7B71">
      <w:pPr>
        <w:autoSpaceDE w:val="0"/>
        <w:autoSpaceDN w:val="0"/>
        <w:adjustRightInd w:val="0"/>
        <w:rPr>
          <w:rStyle w:val="Hyperlink"/>
          <w:rFonts w:ascii="Calibri" w:eastAsia="ArialMT" w:hAnsi="Calibri" w:cs="ArialMT"/>
          <w:color w:val="FF0000"/>
        </w:rPr>
      </w:pPr>
    </w:p>
    <w:p w14:paraId="7FBAAD83" w14:textId="77777777" w:rsidR="009A7B71" w:rsidRPr="00727E2D" w:rsidRDefault="009A7B71" w:rsidP="00727E2D">
      <w:pPr>
        <w:rPr>
          <w:rStyle w:val="Hyperlink"/>
          <w:rFonts w:ascii="Calibri" w:eastAsia="ArialMT" w:hAnsi="Calibri" w:cs="ArialMT"/>
          <w:color w:val="auto"/>
        </w:rPr>
      </w:pPr>
      <w:r w:rsidRPr="00BF75D7">
        <w:rPr>
          <w:rFonts w:ascii="Calibri" w:hAnsi="Calibri"/>
          <w:color w:val="FF0000"/>
          <w:shd w:val="clear" w:color="auto" w:fill="FFFFFF"/>
        </w:rPr>
        <w:t>Wright AA, Keating NL, Balboni TA, et al.</w:t>
      </w:r>
      <w:r w:rsidRPr="00BF75D7">
        <w:rPr>
          <w:rStyle w:val="apple-converted-space"/>
          <w:rFonts w:ascii="Calibri" w:hAnsi="Calibri"/>
          <w:color w:val="FF0000"/>
          <w:shd w:val="clear" w:color="auto" w:fill="FFFFFF"/>
        </w:rPr>
        <w:t> </w:t>
      </w:r>
      <w:r w:rsidRPr="00BF75D7">
        <w:rPr>
          <w:rStyle w:val="ref-title"/>
          <w:rFonts w:ascii="Calibri" w:hAnsi="Calibri"/>
          <w:color w:val="FF0000"/>
          <w:shd w:val="clear" w:color="auto" w:fill="FFFFFF"/>
        </w:rPr>
        <w:t>Place of death: correlations with quality of life of patients with cancer and predictors of bereaved caregivers’ mental health</w:t>
      </w:r>
      <w:r w:rsidRPr="00BF75D7">
        <w:rPr>
          <w:rFonts w:ascii="Calibri" w:hAnsi="Calibri"/>
          <w:color w:val="FF0000"/>
          <w:shd w:val="clear" w:color="auto" w:fill="FFFFFF"/>
        </w:rPr>
        <w:t>.</w:t>
      </w:r>
      <w:r w:rsidRPr="00BF75D7">
        <w:rPr>
          <w:rStyle w:val="apple-converted-space"/>
          <w:rFonts w:ascii="Calibri" w:hAnsi="Calibri"/>
          <w:color w:val="FF0000"/>
          <w:shd w:val="clear" w:color="auto" w:fill="FFFFFF"/>
        </w:rPr>
        <w:t> </w:t>
      </w:r>
      <w:r w:rsidRPr="00BF75D7">
        <w:rPr>
          <w:rStyle w:val="Emphasis"/>
          <w:rFonts w:ascii="Calibri" w:hAnsi="Calibri"/>
          <w:color w:val="FF0000"/>
          <w:shd w:val="clear" w:color="auto" w:fill="FFFFFF"/>
        </w:rPr>
        <w:t>J Clin Oncol</w:t>
      </w:r>
      <w:r w:rsidRPr="00BF75D7">
        <w:rPr>
          <w:rStyle w:val="apple-converted-space"/>
          <w:rFonts w:ascii="Calibri" w:hAnsi="Calibri"/>
          <w:color w:val="FF0000"/>
          <w:shd w:val="clear" w:color="auto" w:fill="FFFFFF"/>
        </w:rPr>
        <w:t> </w:t>
      </w:r>
      <w:r w:rsidRPr="00BF75D7">
        <w:rPr>
          <w:rFonts w:ascii="Calibri" w:hAnsi="Calibri"/>
          <w:color w:val="FF0000"/>
          <w:shd w:val="clear" w:color="auto" w:fill="FFFFFF"/>
        </w:rPr>
        <w:t>2010;</w:t>
      </w:r>
      <w:r w:rsidRPr="00BF75D7">
        <w:rPr>
          <w:rStyle w:val="apple-converted-space"/>
          <w:rFonts w:ascii="Calibri" w:hAnsi="Calibri"/>
          <w:color w:val="FF0000"/>
          <w:shd w:val="clear" w:color="auto" w:fill="FFFFFF"/>
        </w:rPr>
        <w:t> </w:t>
      </w:r>
      <w:r w:rsidRPr="00BF75D7">
        <w:rPr>
          <w:rStyle w:val="ref-vol"/>
          <w:rFonts w:ascii="Calibri" w:hAnsi="Calibri"/>
          <w:color w:val="FF0000"/>
          <w:shd w:val="clear" w:color="auto" w:fill="FFFFFF"/>
        </w:rPr>
        <w:t>28</w:t>
      </w:r>
      <w:r w:rsidRPr="00BF75D7">
        <w:rPr>
          <w:rFonts w:ascii="Calibri" w:hAnsi="Calibri"/>
          <w:color w:val="FF0000"/>
          <w:shd w:val="clear" w:color="auto" w:fill="FFFFFF"/>
        </w:rPr>
        <w:t xml:space="preserve">:4457–4464. Available at: </w:t>
      </w:r>
      <w:hyperlink r:id="rId24" w:history="1">
        <w:r w:rsidRPr="00727E2D">
          <w:rPr>
            <w:rStyle w:val="Hyperlink"/>
            <w:rFonts w:ascii="Calibri" w:hAnsi="Calibri"/>
            <w:color w:val="auto"/>
            <w:shd w:val="clear" w:color="auto" w:fill="FFFFFF"/>
          </w:rPr>
          <w:t>http://www.ncbi.nlm.nih.gov/pmc/articles/PMC2988637/</w:t>
        </w:r>
      </w:hyperlink>
    </w:p>
    <w:p w14:paraId="379F8116" w14:textId="77777777" w:rsidR="009A7B71" w:rsidRPr="009A7B71" w:rsidRDefault="009A7B71" w:rsidP="009A7B71">
      <w:pPr>
        <w:pStyle w:val="ListParagraph"/>
        <w:ind w:left="1080"/>
        <w:rPr>
          <w:rFonts w:ascii="Calibri" w:eastAsia="ArialMT" w:hAnsi="Calibri" w:cs="ArialMT"/>
        </w:rPr>
      </w:pPr>
    </w:p>
    <w:p w14:paraId="7D2804A0" w14:textId="77777777" w:rsidR="009A7B71" w:rsidRPr="00727E2D" w:rsidRDefault="009A7B71" w:rsidP="00727E2D">
      <w:pPr>
        <w:autoSpaceDE w:val="0"/>
        <w:autoSpaceDN w:val="0"/>
        <w:adjustRightInd w:val="0"/>
        <w:rPr>
          <w:rFonts w:ascii="Calibri" w:eastAsia="ArialMT" w:hAnsi="Calibri" w:cs="ArialMT"/>
        </w:rPr>
      </w:pPr>
      <w:r w:rsidRPr="00BF75D7">
        <w:rPr>
          <w:rFonts w:ascii="Calibri" w:eastAsia="ArialMT" w:hAnsi="Calibri" w:cs="ArialMT"/>
          <w:color w:val="FF0000"/>
        </w:rPr>
        <w:t xml:space="preserve">Langton JM, Blanch B, Drew AK, et al. Retrospective studies of end of-life resource utilization and costs in cancer care using health administrative data: a systematic review. Palliat Med 2014;28:1167-1196. Available at: </w:t>
      </w:r>
      <w:hyperlink r:id="rId25" w:history="1">
        <w:r w:rsidRPr="00727E2D">
          <w:rPr>
            <w:rStyle w:val="Hyperlink"/>
            <w:rFonts w:ascii="Calibri" w:eastAsia="ArialMT" w:hAnsi="Calibri" w:cs="ArialMT"/>
            <w:color w:val="auto"/>
          </w:rPr>
          <w:t>http://www.ncbi.nlm.nih.gov/pubmed/24866758</w:t>
        </w:r>
      </w:hyperlink>
      <w:r w:rsidRPr="00727E2D">
        <w:rPr>
          <w:rFonts w:ascii="Calibri" w:eastAsia="ArialMT" w:hAnsi="Calibri" w:cs="ArialMT"/>
        </w:rPr>
        <w:t>.</w:t>
      </w:r>
    </w:p>
    <w:p w14:paraId="034673F3" w14:textId="77777777" w:rsidR="009A7B71" w:rsidRPr="009A7B71" w:rsidRDefault="009A7B71" w:rsidP="009A7B71">
      <w:pPr>
        <w:pStyle w:val="ListParagraph"/>
        <w:ind w:left="1080"/>
        <w:rPr>
          <w:rFonts w:ascii="Calibri" w:eastAsia="ArialMT" w:hAnsi="Calibri" w:cs="ArialMT"/>
        </w:rPr>
      </w:pPr>
    </w:p>
    <w:p w14:paraId="40DAF4A3" w14:textId="77777777" w:rsidR="009A7B71" w:rsidRPr="00727E2D" w:rsidRDefault="009A7B71" w:rsidP="00727E2D">
      <w:pPr>
        <w:autoSpaceDE w:val="0"/>
        <w:autoSpaceDN w:val="0"/>
        <w:adjustRightInd w:val="0"/>
        <w:rPr>
          <w:rFonts w:ascii="Calibri" w:eastAsia="ArialMT" w:hAnsi="Calibri" w:cs="ArialMT"/>
        </w:rPr>
      </w:pPr>
      <w:r w:rsidRPr="00BF75D7">
        <w:rPr>
          <w:rFonts w:ascii="Calibri" w:eastAsia="ArialMT" w:hAnsi="Calibri" w:cs="ArialMT"/>
          <w:color w:val="FF0000"/>
        </w:rPr>
        <w:t xml:space="preserve">Kao YH, Chiang JK. Effect of hospice care on quality indicators of end-of-life care among patients with liver cancer: a national longitudinal population based study in Taiwan 2000-2011. BMC Palliat Care 2015: 14:39. Available at: </w:t>
      </w:r>
      <w:hyperlink r:id="rId26" w:anchor="CR5" w:history="1">
        <w:r w:rsidRPr="00727E2D">
          <w:rPr>
            <w:rStyle w:val="Hyperlink"/>
            <w:rFonts w:ascii="Calibri" w:eastAsia="ArialMT" w:hAnsi="Calibri" w:cs="ArialMT"/>
            <w:color w:val="auto"/>
          </w:rPr>
          <w:t>http://www.ncbi.nlm.nih.gov/pmc/articles/PMC4545784/#CR5</w:t>
        </w:r>
      </w:hyperlink>
    </w:p>
    <w:p w14:paraId="2AE7F65F" w14:textId="77777777" w:rsidR="009A7B71" w:rsidRPr="009A7B71" w:rsidRDefault="009A7B71" w:rsidP="009A7B71">
      <w:pPr>
        <w:pStyle w:val="ListParagraph"/>
        <w:ind w:left="1080"/>
        <w:rPr>
          <w:rFonts w:ascii="Calibri" w:eastAsia="ArialMT" w:hAnsi="Calibri" w:cs="ArialMT"/>
        </w:rPr>
      </w:pPr>
    </w:p>
    <w:p w14:paraId="1FE36D3C" w14:textId="77777777" w:rsidR="009A7B71" w:rsidRDefault="009A7B71" w:rsidP="00727E2D">
      <w:pPr>
        <w:autoSpaceDE w:val="0"/>
        <w:autoSpaceDN w:val="0"/>
        <w:adjustRightInd w:val="0"/>
        <w:rPr>
          <w:rStyle w:val="Hyperlink"/>
          <w:rFonts w:ascii="Calibri" w:eastAsia="ArialMT" w:hAnsi="Calibri" w:cs="ArialMT"/>
          <w:color w:val="auto"/>
        </w:rPr>
      </w:pPr>
      <w:r w:rsidRPr="00BF75D7">
        <w:rPr>
          <w:rFonts w:ascii="Calibri" w:eastAsia="ArialMT" w:hAnsi="Calibri" w:cs="ArialMT"/>
          <w:color w:val="FF0000"/>
        </w:rPr>
        <w:t xml:space="preserve">Barbera L, Seow H, et al. Quality of end-of-life cancer care in Canada: a retrospective four-province study using administrative health care data. Curr Oncol 2015 Oct: 22(5): 341-355. Available at: </w:t>
      </w:r>
      <w:hyperlink r:id="rId27" w:history="1">
        <w:r w:rsidRPr="00727E2D">
          <w:rPr>
            <w:rStyle w:val="Hyperlink"/>
            <w:rFonts w:ascii="Calibri" w:eastAsia="ArialMT" w:hAnsi="Calibri" w:cs="ArialMT"/>
            <w:color w:val="auto"/>
          </w:rPr>
          <w:t>http://www.ncbi.nlm.nih.gov/pmc/articles/PMC4608400/</w:t>
        </w:r>
      </w:hyperlink>
    </w:p>
    <w:p w14:paraId="6002583D" w14:textId="249C7F27" w:rsidR="00BF75D7" w:rsidRDefault="00BF75D7" w:rsidP="00727E2D">
      <w:pPr>
        <w:autoSpaceDE w:val="0"/>
        <w:autoSpaceDN w:val="0"/>
        <w:adjustRightInd w:val="0"/>
        <w:rPr>
          <w:rFonts w:ascii="Calibri" w:eastAsia="ArialMT" w:hAnsi="Calibri" w:cs="ArialMT"/>
        </w:rPr>
      </w:pPr>
    </w:p>
    <w:p w14:paraId="0811D89D" w14:textId="77777777" w:rsidR="00BF75D7" w:rsidRPr="00BF75D7" w:rsidRDefault="00BF75D7" w:rsidP="00BF75D7">
      <w:pPr>
        <w:rPr>
          <w:rFonts w:ascii="Arial Narrow" w:eastAsia="Times New Roman" w:hAnsi="Arial Narrow" w:cs="Arial"/>
          <w:b/>
        </w:rPr>
      </w:pPr>
      <w:r>
        <w:rPr>
          <w:rFonts w:ascii="Calibri" w:eastAsia="ArialMT" w:hAnsi="Calibri" w:cs="ArialMT"/>
        </w:rPr>
        <w:t xml:space="preserve">2012 Submission:  </w:t>
      </w:r>
      <w:r w:rsidRPr="00BF75D7">
        <w:rPr>
          <w:rFonts w:ascii="Arial Narrow" w:eastAsia="Times New Roman" w:hAnsi="Arial Narrow" w:cs="Arial"/>
        </w:rPr>
        <w:t>A structural feature: regional availability of hospice, has been shown to correlate with a composite measure of the aggressiveness of cancer care near the end of life that contains this measure. Mostly it is a process measure indicating a possible inadequate focus on palliation and supportive care, that can affect quality of life.</w:t>
      </w:r>
    </w:p>
    <w:p w14:paraId="55C2935F" w14:textId="45EE2508" w:rsidR="00BF75D7" w:rsidRPr="00727E2D" w:rsidRDefault="00BF75D7" w:rsidP="00727E2D">
      <w:pPr>
        <w:autoSpaceDE w:val="0"/>
        <w:autoSpaceDN w:val="0"/>
        <w:adjustRightInd w:val="0"/>
        <w:rPr>
          <w:rFonts w:ascii="Calibri" w:eastAsia="ArialMT" w:hAnsi="Calibri" w:cs="ArialMT"/>
        </w:rPr>
      </w:pPr>
    </w:p>
    <w:p w14:paraId="4D6EE40E" w14:textId="77777777" w:rsidR="00572FA6" w:rsidRPr="00572FA6" w:rsidRDefault="00572FA6" w:rsidP="002E2177">
      <w:pPr>
        <w:ind w:left="0" w:firstLine="0"/>
        <w:rPr>
          <w:i/>
          <w:iCs/>
        </w:rPr>
      </w:pPr>
    </w:p>
    <w:p w14:paraId="47DCDBB8"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7EE5F05D" w14:textId="77777777" w:rsidR="00FD4D82" w:rsidRPr="003B1CC5" w:rsidRDefault="00E36769"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6432DC6" w14:textId="77777777" w:rsidR="00FD4D82" w:rsidRPr="003B1CC5" w:rsidRDefault="00E36769"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A3FE6DC" w14:textId="72398759" w:rsidR="007573F0" w:rsidRPr="003B1CC5" w:rsidRDefault="00E36769"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572FA6">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0886F46" w14:textId="77777777" w:rsidR="00FD4D82" w:rsidRDefault="00E36769" w:rsidP="002E2177">
      <w:pPr>
        <w:ind w:left="0" w:firstLine="0"/>
        <w:rPr>
          <w:rStyle w:val="Hyperlink"/>
          <w:b/>
          <w:i/>
        </w:rPr>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3F2CDFDF" w14:textId="7E81096F" w:rsidR="00BF75D7" w:rsidRDefault="00BF75D7" w:rsidP="002E2177">
      <w:pPr>
        <w:ind w:left="0" w:firstLine="0"/>
      </w:pPr>
    </w:p>
    <w:p w14:paraId="29CC9214" w14:textId="77777777" w:rsidR="00E36769" w:rsidRPr="00E36769" w:rsidRDefault="00BF75D7" w:rsidP="00E36769">
      <w:pPr>
        <w:rPr>
          <w:rFonts w:ascii="Arial Narrow" w:eastAsia="Times New Roman" w:hAnsi="Arial Narrow" w:cs="Arial"/>
          <w:color w:val="0000FF"/>
        </w:rPr>
      </w:pPr>
      <w:r>
        <w:t xml:space="preserve">2012 Submission: </w:t>
      </w:r>
      <w:r w:rsidR="00E36769" w:rsidRPr="00E36769">
        <w:rPr>
          <w:rFonts w:ascii="Arial Narrow" w:eastAsia="Times New Roman" w:hAnsi="Arial Narrow" w:cs="Arial"/>
        </w:rPr>
        <w:t xml:space="preserve">Selected individual studies (rather than entire body of evidence) </w:t>
      </w:r>
    </w:p>
    <w:p w14:paraId="64E34954" w14:textId="782285A9" w:rsidR="00BF75D7" w:rsidRPr="003B1CC5" w:rsidRDefault="00BF75D7" w:rsidP="002E2177">
      <w:pPr>
        <w:ind w:left="0" w:firstLine="0"/>
      </w:pPr>
    </w:p>
    <w:p w14:paraId="7D2192BD" w14:textId="77777777" w:rsidR="00FD4D82" w:rsidRPr="003B1CC5" w:rsidRDefault="00FD4D82" w:rsidP="002E2177">
      <w:pPr>
        <w:ind w:left="0" w:firstLine="0"/>
      </w:pPr>
    </w:p>
    <w:p w14:paraId="0C07535A"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10154C62"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1C20174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629EA2B"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1093242" w14:textId="77777777" w:rsidR="00D53405" w:rsidRPr="003B1CC5" w:rsidRDefault="00D53405" w:rsidP="002E2177">
      <w:pPr>
        <w:ind w:left="0" w:firstLine="0"/>
        <w:rPr>
          <w:rFonts w:cs="Arial"/>
          <w:sz w:val="20"/>
          <w:szCs w:val="20"/>
        </w:rPr>
      </w:pPr>
    </w:p>
    <w:p w14:paraId="38DA087C" w14:textId="77777777" w:rsidR="006F4B7F" w:rsidRPr="003B1CC5" w:rsidRDefault="006F4B7F" w:rsidP="002E2177">
      <w:pPr>
        <w:ind w:left="0" w:firstLine="0"/>
        <w:rPr>
          <w:color w:val="0000FF"/>
        </w:rPr>
      </w:pPr>
    </w:p>
    <w:p w14:paraId="1F845637"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2EC354D" w14:textId="77777777" w:rsidR="00496AF8" w:rsidRPr="003B1CC5" w:rsidRDefault="00496AF8" w:rsidP="002E2177">
      <w:pPr>
        <w:ind w:left="0" w:firstLine="0"/>
      </w:pPr>
    </w:p>
    <w:p w14:paraId="2AC5A317" w14:textId="77777777" w:rsidR="00496AF8" w:rsidRPr="003B1CC5" w:rsidRDefault="00496AF8" w:rsidP="002E2177">
      <w:pPr>
        <w:ind w:left="0" w:firstLine="0"/>
      </w:pPr>
    </w:p>
    <w:p w14:paraId="7B0E743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48D00B3" w14:textId="77777777" w:rsidR="008A45F3" w:rsidRPr="003B1CC5" w:rsidRDefault="008A45F3" w:rsidP="00265702">
      <w:pPr>
        <w:ind w:left="0" w:firstLine="0"/>
      </w:pPr>
    </w:p>
    <w:p w14:paraId="6060BF26" w14:textId="77777777" w:rsidR="008A45F3" w:rsidRPr="003B1CC5" w:rsidRDefault="008A45F3" w:rsidP="00265702">
      <w:pPr>
        <w:ind w:left="0" w:firstLine="0"/>
      </w:pPr>
    </w:p>
    <w:p w14:paraId="7A91F2D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C1DFA5F" w14:textId="77777777" w:rsidR="00A12762" w:rsidRPr="003B1CC5" w:rsidRDefault="00A12762" w:rsidP="00265702">
      <w:pPr>
        <w:ind w:left="0" w:firstLine="0"/>
        <w:rPr>
          <w:b/>
        </w:rPr>
      </w:pPr>
    </w:p>
    <w:p w14:paraId="351AE774" w14:textId="77777777" w:rsidR="00850C35" w:rsidRPr="003B1CC5" w:rsidRDefault="00850C35" w:rsidP="00265702">
      <w:pPr>
        <w:ind w:left="0" w:firstLine="0"/>
        <w:rPr>
          <w:b/>
        </w:rPr>
      </w:pPr>
    </w:p>
    <w:p w14:paraId="642E17EB"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575876D9" w14:textId="77777777" w:rsidR="00736AEC" w:rsidRPr="003B1CC5" w:rsidRDefault="00736AEC" w:rsidP="002E2177">
      <w:pPr>
        <w:ind w:left="432" w:hanging="432"/>
        <w:rPr>
          <w:color w:val="0000FF"/>
        </w:rPr>
      </w:pPr>
    </w:p>
    <w:p w14:paraId="77D452E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277E1DC0" w14:textId="77777777" w:rsidR="00FC32D3" w:rsidRPr="003B1CC5" w:rsidRDefault="00E36769"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C480586" w14:textId="77777777" w:rsidR="00736AEC" w:rsidRPr="003B1CC5" w:rsidRDefault="00E36769"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208B70D" w14:textId="77777777" w:rsidR="00736AEC" w:rsidRPr="003B1CC5" w:rsidRDefault="00736AEC" w:rsidP="00736AEC">
      <w:pPr>
        <w:rPr>
          <w:b/>
        </w:rPr>
      </w:pPr>
    </w:p>
    <w:p w14:paraId="0363519B" w14:textId="77777777" w:rsidR="00EE5AF6" w:rsidRPr="003B1CC5" w:rsidRDefault="00925F11" w:rsidP="00307FA5">
      <w:pPr>
        <w:ind w:left="0" w:firstLine="0"/>
        <w:rPr>
          <w:color w:val="0000FF"/>
        </w:rPr>
      </w:pPr>
      <w:r w:rsidRPr="003B1CC5">
        <w:rPr>
          <w:b/>
          <w:iCs/>
          <w:caps/>
        </w:rPr>
        <w:t>_________________________</w:t>
      </w:r>
    </w:p>
    <w:p w14:paraId="143E5FA8"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7E87A49"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A81C95" w14:textId="77777777" w:rsidR="00307FA5" w:rsidRPr="003B1CC5" w:rsidRDefault="00307FA5" w:rsidP="00307FA5">
      <w:pPr>
        <w:ind w:left="0" w:firstLine="0"/>
        <w:rPr>
          <w:rFonts w:cs="Arial"/>
          <w:sz w:val="20"/>
          <w:szCs w:val="20"/>
        </w:rPr>
      </w:pPr>
    </w:p>
    <w:p w14:paraId="085D66B6" w14:textId="77777777" w:rsidR="00307FA5" w:rsidRPr="003B1CC5" w:rsidRDefault="00307FA5" w:rsidP="00307FA5">
      <w:pPr>
        <w:ind w:left="0" w:firstLine="0"/>
      </w:pPr>
    </w:p>
    <w:p w14:paraId="0239FADC"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55979E1" w14:textId="77777777" w:rsidR="00307FA5" w:rsidRPr="003B1CC5" w:rsidRDefault="00307FA5" w:rsidP="00307FA5">
      <w:pPr>
        <w:ind w:left="0" w:firstLine="0"/>
      </w:pPr>
    </w:p>
    <w:p w14:paraId="54A569CE" w14:textId="77777777" w:rsidR="00307FA5" w:rsidRPr="003B1CC5" w:rsidRDefault="00307FA5" w:rsidP="00307FA5">
      <w:pPr>
        <w:ind w:left="0" w:firstLine="0"/>
      </w:pPr>
    </w:p>
    <w:p w14:paraId="68D8F617"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665C158" w14:textId="77777777" w:rsidR="008A45F3" w:rsidRPr="003B1CC5" w:rsidRDefault="008A45F3" w:rsidP="00307FA5">
      <w:pPr>
        <w:ind w:left="0" w:firstLine="0"/>
      </w:pPr>
    </w:p>
    <w:p w14:paraId="68B749DF"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99E858" w14:textId="77777777" w:rsidR="00307FA5" w:rsidRPr="003B1CC5" w:rsidRDefault="00307FA5" w:rsidP="00307FA5">
      <w:pPr>
        <w:ind w:left="0" w:firstLine="0"/>
        <w:rPr>
          <w:b/>
          <w:color w:val="0000FF"/>
        </w:rPr>
      </w:pPr>
    </w:p>
    <w:p w14:paraId="5D736D3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2548A" w14:textId="77777777" w:rsidR="00736AEC" w:rsidRPr="003B1CC5" w:rsidRDefault="00736AEC" w:rsidP="002E2177">
      <w:pPr>
        <w:ind w:left="432" w:hanging="432"/>
        <w:rPr>
          <w:b/>
        </w:rPr>
      </w:pPr>
    </w:p>
    <w:p w14:paraId="15E1FF63" w14:textId="77777777" w:rsidR="00EE5AF6" w:rsidRDefault="00923295" w:rsidP="002E2177">
      <w:pPr>
        <w:ind w:left="432" w:hanging="432"/>
        <w:rPr>
          <w:rStyle w:val="Hyperlink"/>
          <w:b/>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07C92E81" w14:textId="25FE8B17" w:rsidR="009A7B71" w:rsidRPr="003B1CC5" w:rsidRDefault="009A7B71" w:rsidP="009A7B71">
      <w:pPr>
        <w:ind w:left="432" w:hanging="432"/>
        <w:rPr>
          <w:i/>
        </w:rPr>
      </w:pPr>
    </w:p>
    <w:p w14:paraId="28A08C1C" w14:textId="6F85BC86" w:rsidR="009A7B71" w:rsidRPr="009A7B71" w:rsidRDefault="00925F11" w:rsidP="009A7B71">
      <w:pPr>
        <w:rPr>
          <w:b/>
          <w:iCs/>
          <w:caps/>
        </w:rPr>
      </w:pPr>
      <w:r w:rsidRPr="003B1CC5">
        <w:rPr>
          <w:b/>
          <w:iCs/>
          <w:caps/>
        </w:rPr>
        <w:t>_________________________</w:t>
      </w:r>
    </w:p>
    <w:p w14:paraId="54B84ABF"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D185D66" w14:textId="77777777" w:rsidR="00EA79C9"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749978EB" w14:textId="77777777" w:rsidR="00727E2D" w:rsidRDefault="00727E2D" w:rsidP="00EA79C9">
      <w:pPr>
        <w:ind w:left="0" w:firstLine="0"/>
      </w:pPr>
    </w:p>
    <w:p w14:paraId="4ED525C3" w14:textId="77777777" w:rsidR="008E5AEE" w:rsidRPr="008E5AEE" w:rsidRDefault="008E5AEE" w:rsidP="008E5AEE">
      <w:pPr>
        <w:autoSpaceDE w:val="0"/>
        <w:autoSpaceDN w:val="0"/>
        <w:ind w:firstLine="0"/>
        <w:rPr>
          <w:rFonts w:eastAsia="Calibri" w:cs="Times New Roman"/>
          <w:color w:val="000000"/>
        </w:rPr>
      </w:pPr>
      <w:r w:rsidRPr="00BF75D7">
        <w:rPr>
          <w:rFonts w:eastAsia="Calibri" w:cs="Times New Roman"/>
          <w:color w:val="FF0000"/>
        </w:rPr>
        <w:t xml:space="preserve">Smith TJ, Temin S, Alesi ER, et al. American Society of Clinical Oncology Provisional Clinical Opinion: The Integration of Palliative Care into Standard Oncology Care. J Clin Oncol 2012;30:880-887. Available at: </w:t>
      </w:r>
      <w:hyperlink r:id="rId28" w:history="1">
        <w:r w:rsidRPr="008E5AEE">
          <w:rPr>
            <w:rFonts w:eastAsia="Calibri" w:cs="Times New Roman"/>
            <w:color w:val="0000FF"/>
            <w:u w:val="single"/>
          </w:rPr>
          <w:t>http://www.instituteforquality.org/asco-provisional-clinical-opinion-integration-palliative-care-standard-oncology-care</w:t>
        </w:r>
      </w:hyperlink>
      <w:r w:rsidRPr="008E5AEE">
        <w:rPr>
          <w:rFonts w:eastAsia="Calibri" w:cs="Times New Roman"/>
          <w:color w:val="005B9B"/>
        </w:rPr>
        <w:t>.</w:t>
      </w:r>
    </w:p>
    <w:p w14:paraId="62167D50" w14:textId="77777777" w:rsidR="008E5AEE" w:rsidRPr="008E5AEE" w:rsidRDefault="008E5AEE" w:rsidP="008E5AEE">
      <w:pPr>
        <w:ind w:left="0" w:firstLine="0"/>
      </w:pPr>
    </w:p>
    <w:p w14:paraId="13D23DE2" w14:textId="384B2ED0" w:rsidR="008E5AEE" w:rsidRDefault="008E5AEE" w:rsidP="008E5AEE">
      <w:pPr>
        <w:rPr>
          <w:rFonts w:eastAsia="Calibri" w:cs="Arial"/>
        </w:rPr>
      </w:pPr>
      <w:r w:rsidRPr="008E5AEE">
        <w:tab/>
      </w:r>
      <w:r w:rsidRPr="00BF75D7">
        <w:rPr>
          <w:rFonts w:eastAsia="Calibri" w:cs="Arial"/>
          <w:color w:val="FF0000"/>
        </w:rPr>
        <w:t xml:space="preserve">Gomes, B., N. Calanzani, et al. (2013). "Effectiveness and cost-effectiveness of home palliative care services for adults with advanced illness and their caregivers." </w:t>
      </w:r>
      <w:r w:rsidRPr="00BF75D7">
        <w:rPr>
          <w:rFonts w:eastAsia="Calibri" w:cs="Arial"/>
          <w:color w:val="FF0000"/>
          <w:u w:val="single"/>
        </w:rPr>
        <w:t>Cochrane Database Syst Rev</w:t>
      </w:r>
      <w:r w:rsidRPr="00BF75D7">
        <w:rPr>
          <w:rFonts w:eastAsia="Calibri" w:cs="Arial"/>
          <w:color w:val="FF0000"/>
        </w:rPr>
        <w:t xml:space="preserve"> </w:t>
      </w:r>
      <w:r w:rsidRPr="00BF75D7">
        <w:rPr>
          <w:rFonts w:eastAsia="Calibri" w:cs="Arial"/>
          <w:b/>
          <w:bCs/>
          <w:color w:val="FF0000"/>
        </w:rPr>
        <w:t>6</w:t>
      </w:r>
      <w:r w:rsidRPr="00BF75D7">
        <w:rPr>
          <w:rFonts w:eastAsia="Calibri" w:cs="Arial"/>
          <w:color w:val="FF0000"/>
        </w:rPr>
        <w:t xml:space="preserve">: CD007760  Available at: </w:t>
      </w:r>
      <w:hyperlink r:id="rId29" w:history="1">
        <w:r w:rsidRPr="00357E1F">
          <w:rPr>
            <w:rStyle w:val="Hyperlink"/>
            <w:rFonts w:eastAsia="Calibri" w:cs="Arial"/>
          </w:rPr>
          <w:t>http://onlinelibrary.wiley.com/doi/10.1002/14651858.CD007760.pub2/pdf</w:t>
        </w:r>
      </w:hyperlink>
      <w:r w:rsidRPr="008E5AEE">
        <w:rPr>
          <w:rFonts w:eastAsia="Calibri" w:cs="Arial"/>
        </w:rPr>
        <w:t>.</w:t>
      </w:r>
    </w:p>
    <w:p w14:paraId="798DFE3D" w14:textId="374FA35A" w:rsidR="00EE5AF6" w:rsidRDefault="00EE5AF6" w:rsidP="008E5AEE">
      <w:pPr>
        <w:autoSpaceDE w:val="0"/>
        <w:autoSpaceDN w:val="0"/>
        <w:ind w:left="0" w:firstLine="0"/>
      </w:pPr>
    </w:p>
    <w:p w14:paraId="109C9E0E" w14:textId="323C2B3D" w:rsidR="00E36769" w:rsidRPr="00E36769" w:rsidRDefault="00E36769" w:rsidP="008E5AEE">
      <w:pPr>
        <w:autoSpaceDE w:val="0"/>
        <w:autoSpaceDN w:val="0"/>
        <w:ind w:left="0" w:firstLine="0"/>
      </w:pPr>
      <w:r>
        <w:t xml:space="preserve">2012 Submission: </w:t>
      </w:r>
      <w:r w:rsidRPr="00E36769">
        <w:rPr>
          <w:rFonts w:ascii="Arial Narrow" w:hAnsi="Arial Narrow" w:cs="Arial"/>
        </w:rPr>
        <w:t>The underlying evidence was obtained by expert consensus, as described in Earle CC, Park ER, Lai B, Weeks JC, Ayanian JZ, Block S. Identifying potential indicators of the quality of end of life cancer care from administrative data. J Clin Oncol. 2003;21(6):1133-8. The panel consisted of oncologists, nurses, palliative care specialists, etc, and used a modified Delphi process to evaluate measures.</w:t>
      </w:r>
    </w:p>
    <w:p w14:paraId="109B5370" w14:textId="77777777" w:rsidR="00E36769" w:rsidRPr="008E5AEE" w:rsidRDefault="00E36769" w:rsidP="008E5AEE">
      <w:pPr>
        <w:autoSpaceDE w:val="0"/>
        <w:autoSpaceDN w:val="0"/>
        <w:ind w:left="0" w:firstLine="0"/>
      </w:pPr>
    </w:p>
    <w:p w14:paraId="575F699D"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26384D4" w14:textId="77777777" w:rsidR="005D0FDB" w:rsidRPr="003B1CC5" w:rsidRDefault="005D0FDB" w:rsidP="00EE5AF6">
      <w:pPr>
        <w:ind w:left="0" w:firstLine="0"/>
      </w:pPr>
    </w:p>
    <w:p w14:paraId="3EEB75DC"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A153F48" w14:textId="77777777" w:rsidR="00C84623" w:rsidRPr="003B1CC5" w:rsidRDefault="00925F11" w:rsidP="00EE5AF6">
      <w:pPr>
        <w:ind w:left="0" w:firstLine="0"/>
        <w:rPr>
          <w:b/>
          <w:color w:val="0000FF"/>
        </w:rPr>
      </w:pPr>
      <w:r w:rsidRPr="003B1CC5">
        <w:rPr>
          <w:b/>
          <w:iCs/>
          <w:caps/>
        </w:rPr>
        <w:t>_________________________</w:t>
      </w:r>
    </w:p>
    <w:p w14:paraId="4C298D2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1186BB3"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0E8B91F" w14:textId="77777777" w:rsidR="00CB1E41" w:rsidRPr="003B1CC5" w:rsidRDefault="00CB1E41" w:rsidP="00EE5AF6">
      <w:pPr>
        <w:ind w:left="0" w:firstLine="0"/>
        <w:rPr>
          <w:b/>
          <w:color w:val="0000FF"/>
        </w:rPr>
      </w:pPr>
    </w:p>
    <w:p w14:paraId="0B12C749"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450B3101" w14:textId="7C0EFE4D" w:rsidR="008E5AEE" w:rsidRPr="00BF75D7" w:rsidRDefault="008E5AEE" w:rsidP="00727E2D">
      <w:pPr>
        <w:widowControl w:val="0"/>
        <w:autoSpaceDE w:val="0"/>
        <w:autoSpaceDN w:val="0"/>
        <w:adjustRightInd w:val="0"/>
        <w:spacing w:after="240" w:line="300" w:lineRule="atLeast"/>
        <w:ind w:left="0" w:firstLine="0"/>
        <w:rPr>
          <w:rFonts w:cs="Times"/>
          <w:color w:val="FF0000"/>
        </w:rPr>
      </w:pPr>
      <w:r w:rsidRPr="00BF75D7">
        <w:rPr>
          <w:color w:val="FF0000"/>
        </w:rPr>
        <w:t xml:space="preserve">A 2012 American Society of Clinical Oncology (ASCO) Provisional Clinical Opinion (PCO) </w:t>
      </w:r>
      <w:r w:rsidRPr="00BF75D7">
        <w:rPr>
          <w:rFonts w:cs="Times"/>
          <w:color w:val="FF0000"/>
        </w:rPr>
        <w:t xml:space="preserve">addresses the integration of palliative care (PC) services into standard oncology care at the time a person is diagnosed with metastatic cancer and/or high symptom burden. </w:t>
      </w:r>
    </w:p>
    <w:p w14:paraId="1A66793C" w14:textId="6625A5A7" w:rsidR="008E5AEE" w:rsidRPr="00BF75D7" w:rsidRDefault="008E5AEE" w:rsidP="00EE5AF6">
      <w:pPr>
        <w:ind w:left="0" w:firstLine="0"/>
        <w:rPr>
          <w:color w:val="FF0000"/>
        </w:rPr>
      </w:pPr>
      <w:r w:rsidRPr="00BF75D7">
        <w:rPr>
          <w:color w:val="FF0000"/>
        </w:rPr>
        <w:t>A 2013 Cochrane Review, ‘Effectiveness and cost-effectiveness of home palliative care services for adults with advanced illness and their caregivers’, evaluated the impact of home palliative care services on outcomes for adults with advanced illness or their family caregivers, or both.  The aim of the review was to quantify the effect of home palliative care services on a patients’ odds of dying at home, examine the clinical effectiveness of home palliative care services on other outcomes such as symptom control, quality of life, caregiver distress and satisfaction with care, and comparing resource use and costs associated with these services.</w:t>
      </w:r>
    </w:p>
    <w:p w14:paraId="6A73FA02" w14:textId="77777777" w:rsidR="00EE5AF6" w:rsidRDefault="00EE5AF6" w:rsidP="00EE5AF6">
      <w:pPr>
        <w:ind w:left="0" w:firstLine="0"/>
      </w:pPr>
    </w:p>
    <w:p w14:paraId="20B68585" w14:textId="7E41BEE9" w:rsidR="00E36769" w:rsidRDefault="00E36769" w:rsidP="00EE5AF6">
      <w:pPr>
        <w:ind w:left="0" w:firstLine="0"/>
      </w:pPr>
      <w:r>
        <w:t xml:space="preserve">2012 Submission: </w:t>
      </w:r>
      <w:r w:rsidRPr="00E36769">
        <w:rPr>
          <w:rFonts w:ascii="Arial Narrow" w:hAnsi="Arial Narrow" w:cs="Arial"/>
        </w:rPr>
        <w:t>The argument is made that because providers cannot predict the future, measures based on decedent cohorts are unfair. However, as described above in 1a.a, the idea is for the measure to be seen as an overall indication of practice style and/or available palliative resources. An individual patient experiencing this process of care has not necessarily received poor quality care. If explanations other than practice style and resource availability, such as unusually poor prognostic ability on the part of the provider or unexpected toxic deaths (whether unavoidable, from overly aggressive treatment, or poor patient selection) are enough to influence the overall aggregate rates, it is still justifiable to consider it a ‘red flag’ that should prompt examination of the care provided.</w:t>
      </w:r>
    </w:p>
    <w:p w14:paraId="135C2DD4" w14:textId="77777777" w:rsidR="00E36769" w:rsidRPr="003B1CC5" w:rsidRDefault="00E36769" w:rsidP="00EE5AF6">
      <w:pPr>
        <w:ind w:left="0" w:firstLine="0"/>
      </w:pPr>
    </w:p>
    <w:p w14:paraId="7E4B0B4B"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04421F5F" w14:textId="35F260C2" w:rsidR="00727E2D" w:rsidRPr="00BF75D7" w:rsidRDefault="008E5AEE" w:rsidP="008E5AEE">
      <w:pPr>
        <w:ind w:left="0" w:firstLine="0"/>
        <w:rPr>
          <w:color w:val="FF0000"/>
        </w:rPr>
      </w:pPr>
      <w:r w:rsidRPr="00BF75D7">
        <w:rPr>
          <w:color w:val="FF0000"/>
        </w:rPr>
        <w:t>2012 ASCO PCO (p. 881):</w:t>
      </w:r>
    </w:p>
    <w:p w14:paraId="4B2A6655" w14:textId="77777777" w:rsidR="008E5AEE" w:rsidRPr="00BF75D7" w:rsidRDefault="008E5AEE" w:rsidP="008E5AEE">
      <w:pPr>
        <w:widowControl w:val="0"/>
        <w:autoSpaceDE w:val="0"/>
        <w:autoSpaceDN w:val="0"/>
        <w:adjustRightInd w:val="0"/>
        <w:spacing w:after="240" w:line="300" w:lineRule="atLeast"/>
        <w:ind w:left="0" w:firstLine="0"/>
        <w:rPr>
          <w:rFonts w:cs="Times"/>
          <w:color w:val="FF0000"/>
          <w:szCs w:val="26"/>
        </w:rPr>
      </w:pPr>
      <w:r w:rsidRPr="00BF75D7">
        <w:rPr>
          <w:rFonts w:cs="Times"/>
          <w:color w:val="FF0000"/>
          <w:szCs w:val="26"/>
        </w:rPr>
        <w:t>The American Society of Clinical Oncology (ASCO) has established a rigorous, evidence-based approach—the provisional clinical opinion (PCO)—to offer a rapid response to emerging data in clinical oncology. The PCO is intended to offer timely clinical direction to ASCO’s oncologists after publication or presentation of potentially practice- changing data from major studies.</w:t>
      </w:r>
    </w:p>
    <w:p w14:paraId="34A49D3A" w14:textId="77777777" w:rsidR="008E5AEE" w:rsidRPr="00BF75D7" w:rsidRDefault="008E5AEE" w:rsidP="008E5AEE">
      <w:pPr>
        <w:ind w:left="0" w:firstLine="0"/>
        <w:rPr>
          <w:rFonts w:eastAsia="Times New Roman" w:cs="Times New Roman"/>
          <w:color w:val="FF0000"/>
        </w:rPr>
      </w:pPr>
      <w:r w:rsidRPr="00BF75D7">
        <w:rPr>
          <w:rFonts w:cs="Times"/>
          <w:color w:val="FF0000"/>
        </w:rPr>
        <w:t>The PCO</w:t>
      </w:r>
      <w:r w:rsidRPr="00BF75D7">
        <w:rPr>
          <w:rFonts w:eastAsia="Times New Roman" w:cs="Times New Roman"/>
          <w:color w:val="FF0000"/>
        </w:rPr>
        <w:t xml:space="preserve"> may serve in some cases as interim direction to the membership pending the development or updating of an ASCO clinical practice guideline. As such, the evidence is not graded in a PCO and is a result of expert consensus.  A clinical guideline on palliative care integration with recommendations and the associated grading is under development,</w:t>
      </w:r>
    </w:p>
    <w:p w14:paraId="2A308573" w14:textId="77777777" w:rsidR="008E5AEE" w:rsidRPr="00BF75D7" w:rsidRDefault="008E5AEE" w:rsidP="008E5AEE">
      <w:pPr>
        <w:ind w:left="0" w:firstLine="0"/>
        <w:rPr>
          <w:color w:val="FF0000"/>
        </w:rPr>
      </w:pPr>
    </w:p>
    <w:p w14:paraId="227C5C47" w14:textId="77777777" w:rsidR="008E5AEE" w:rsidRPr="00BF75D7" w:rsidRDefault="008E5AEE" w:rsidP="008E5AEE">
      <w:pPr>
        <w:ind w:left="0" w:firstLine="0"/>
        <w:rPr>
          <w:color w:val="FF0000"/>
        </w:rPr>
      </w:pPr>
    </w:p>
    <w:p w14:paraId="17ECDEEC" w14:textId="77777777" w:rsidR="008E5AEE" w:rsidRPr="00BF75D7" w:rsidRDefault="008E5AEE" w:rsidP="008E5AEE">
      <w:pPr>
        <w:ind w:left="0" w:firstLine="0"/>
        <w:rPr>
          <w:color w:val="FF0000"/>
        </w:rPr>
      </w:pPr>
      <w:r w:rsidRPr="00BF75D7">
        <w:rPr>
          <w:color w:val="FF0000"/>
        </w:rPr>
        <w:t>2013 Cochrane Review (p. 12):</w:t>
      </w:r>
    </w:p>
    <w:p w14:paraId="7530B004" w14:textId="77777777" w:rsidR="008E5AEE" w:rsidRPr="00BF75D7" w:rsidRDefault="008E5AEE" w:rsidP="008E5AEE">
      <w:pPr>
        <w:ind w:left="0" w:firstLine="0"/>
        <w:rPr>
          <w:color w:val="FF0000"/>
        </w:rPr>
      </w:pPr>
      <w:r w:rsidRPr="00BF75D7">
        <w:rPr>
          <w:color w:val="FF0000"/>
        </w:rPr>
        <w:t xml:space="preserve">Two independent reviewers assessed all included studies for methodological quality using the standard criteria developed by the Cochrane EPOC Review Group for RCTs/CCTs, CBAs and ITSs. The checklist for RCTs/CCTs contains seven items qualified as done, unclear and not done for concealment of allocation, follow-up of professionals, follow up of patients or episodes of care, blinded assessment of primary outcome(s), baseline assessment, reliable primary outcome measure(s) and protection against contamination. Blinding and reliability of all outcomes were also assessed. </w:t>
      </w:r>
    </w:p>
    <w:p w14:paraId="67DD70B4" w14:textId="77777777" w:rsidR="008E5AEE" w:rsidRPr="00BF75D7" w:rsidRDefault="008E5AEE" w:rsidP="008E5AEE">
      <w:pPr>
        <w:ind w:left="0" w:firstLine="0"/>
        <w:rPr>
          <w:color w:val="FF0000"/>
        </w:rPr>
      </w:pPr>
    </w:p>
    <w:p w14:paraId="6005D4FC" w14:textId="7C2CABED" w:rsidR="008E5AEE" w:rsidRPr="00BF75D7" w:rsidRDefault="008E5AEE" w:rsidP="00EA79C9">
      <w:pPr>
        <w:ind w:left="0" w:firstLine="0"/>
        <w:rPr>
          <w:color w:val="FF0000"/>
        </w:rPr>
      </w:pPr>
      <w:r w:rsidRPr="00BF75D7">
        <w:rPr>
          <w:color w:val="FF0000"/>
        </w:rPr>
        <w:t>Each criterion was scored zero (not done), 0.5 (not clear or when scores varied across outcomes) and one (done). Total scores for RCTs/ CCTs ranged from zero to six; studies with a score of 3.5 or above were considered of high quality. Integration of the results of the quality assessment in data analysis was done in addition to meta-analyses with sensitivity analyses including only high quality studies.</w:t>
      </w:r>
    </w:p>
    <w:p w14:paraId="1FFD4405" w14:textId="77777777" w:rsidR="00095EC9" w:rsidRPr="003B1CC5" w:rsidRDefault="00095EC9" w:rsidP="00EA79C9">
      <w:pPr>
        <w:ind w:left="0" w:firstLine="0"/>
      </w:pPr>
    </w:p>
    <w:p w14:paraId="52272C63" w14:textId="77777777"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EF4C376" w14:textId="4BD55D9E" w:rsidR="008E5AEE" w:rsidRPr="00BF75D7" w:rsidRDefault="008E5AEE" w:rsidP="00EA79C9">
      <w:pPr>
        <w:ind w:left="0" w:firstLine="0"/>
        <w:rPr>
          <w:color w:val="FF0000"/>
        </w:rPr>
      </w:pPr>
      <w:r w:rsidRPr="00BF75D7">
        <w:rPr>
          <w:color w:val="FF0000"/>
        </w:rPr>
        <w:t>See 1a.7.2 for this information.</w:t>
      </w:r>
    </w:p>
    <w:p w14:paraId="43DEB120" w14:textId="77777777" w:rsidR="00A12762" w:rsidRPr="003B1CC5" w:rsidRDefault="00A12762" w:rsidP="002E2177">
      <w:pPr>
        <w:ind w:left="0" w:firstLine="0"/>
        <w:rPr>
          <w:noProof/>
        </w:rPr>
      </w:pPr>
    </w:p>
    <w:p w14:paraId="513DE653"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12924E9D" w14:textId="77777777" w:rsidR="008E5AEE" w:rsidRDefault="008E5AEE" w:rsidP="008E5AEE">
      <w:pPr>
        <w:ind w:left="0" w:firstLine="0"/>
        <w:rPr>
          <w:noProof/>
        </w:rPr>
      </w:pPr>
    </w:p>
    <w:p w14:paraId="3DD32F9F" w14:textId="11DE89B2" w:rsidR="008E5AEE" w:rsidRPr="00BF75D7" w:rsidRDefault="008E5AEE" w:rsidP="008E5AEE">
      <w:pPr>
        <w:ind w:left="0" w:firstLine="0"/>
        <w:rPr>
          <w:noProof/>
          <w:color w:val="FF0000"/>
        </w:rPr>
      </w:pPr>
      <w:r w:rsidRPr="00BF75D7">
        <w:rPr>
          <w:noProof/>
          <w:color w:val="FF0000"/>
        </w:rPr>
        <w:t>2012 ASCO PCO: 2004-2012</w:t>
      </w:r>
    </w:p>
    <w:p w14:paraId="69D6A8EC" w14:textId="77777777" w:rsidR="008E5AEE" w:rsidRPr="00BF75D7" w:rsidRDefault="008E5AEE" w:rsidP="008E5AEE">
      <w:pPr>
        <w:ind w:left="0" w:firstLine="0"/>
        <w:rPr>
          <w:noProof/>
          <w:color w:val="FF0000"/>
        </w:rPr>
      </w:pPr>
      <w:r w:rsidRPr="00BF75D7">
        <w:rPr>
          <w:noProof/>
          <w:color w:val="FF0000"/>
        </w:rPr>
        <w:t xml:space="preserve">2013 Cochrane Review: 1950 – November 2012 </w:t>
      </w:r>
    </w:p>
    <w:p w14:paraId="4CB3C505" w14:textId="77777777" w:rsidR="0039020B" w:rsidRPr="003B1CC5" w:rsidRDefault="0039020B" w:rsidP="002E2177">
      <w:pPr>
        <w:ind w:left="0" w:firstLine="0"/>
        <w:rPr>
          <w:b/>
          <w:noProof/>
        </w:rPr>
      </w:pPr>
    </w:p>
    <w:p w14:paraId="279A2F14" w14:textId="77777777" w:rsidR="00496AF8" w:rsidRPr="003B1CC5" w:rsidRDefault="00C5180E" w:rsidP="002E2177">
      <w:pPr>
        <w:ind w:left="0" w:firstLine="0"/>
        <w:rPr>
          <w:b/>
        </w:rPr>
      </w:pPr>
      <w:r w:rsidRPr="003B1CC5">
        <w:rPr>
          <w:b/>
          <w:noProof/>
        </w:rPr>
        <w:t>QUANTITY AND QUALITY OF BODY OF EVIDENCE</w:t>
      </w:r>
    </w:p>
    <w:p w14:paraId="610CD912"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3E696986" w14:textId="77777777" w:rsidR="00727E2D" w:rsidRDefault="00727E2D" w:rsidP="002E2177">
      <w:pPr>
        <w:ind w:left="432" w:hanging="432"/>
        <w:rPr>
          <w:noProof/>
        </w:rPr>
      </w:pPr>
    </w:p>
    <w:p w14:paraId="4D8CDDB2" w14:textId="77777777" w:rsidR="008E5AEE" w:rsidRPr="00BF75D7" w:rsidRDefault="008E5AEE" w:rsidP="008E5AEE">
      <w:pPr>
        <w:ind w:left="0" w:firstLine="0"/>
        <w:rPr>
          <w:color w:val="FF0000"/>
        </w:rPr>
      </w:pPr>
      <w:r w:rsidRPr="00BF75D7">
        <w:rPr>
          <w:color w:val="FF0000"/>
        </w:rPr>
        <w:t>2012 ASCO PCO: 7 randomized controlled trials</w:t>
      </w:r>
    </w:p>
    <w:p w14:paraId="3021C7B6" w14:textId="77777777" w:rsidR="008E5AEE" w:rsidRPr="00BF75D7" w:rsidRDefault="008E5AEE" w:rsidP="008E5AEE">
      <w:pPr>
        <w:ind w:left="0" w:firstLine="0"/>
        <w:rPr>
          <w:rFonts w:cs="Minion-Regular"/>
          <w:color w:val="FF0000"/>
        </w:rPr>
      </w:pPr>
    </w:p>
    <w:p w14:paraId="69E9F781" w14:textId="5FAC761B" w:rsidR="008E5AEE" w:rsidRDefault="008E5AEE" w:rsidP="008E5AEE">
      <w:pPr>
        <w:ind w:left="0" w:firstLine="0"/>
        <w:rPr>
          <w:rFonts w:cs="Minion-Regular"/>
          <w:color w:val="FF0000"/>
        </w:rPr>
      </w:pPr>
      <w:r w:rsidRPr="00BF75D7">
        <w:rPr>
          <w:rFonts w:cs="Minion-Regular"/>
          <w:color w:val="FF0000"/>
        </w:rPr>
        <w:t>2013 Cochrane Review: 5 randomized controlled trials and 2 controlled clinical trials</w:t>
      </w:r>
    </w:p>
    <w:p w14:paraId="3B45F378" w14:textId="768B512D" w:rsidR="00E36769" w:rsidRDefault="00E36769" w:rsidP="008E5AEE">
      <w:pPr>
        <w:ind w:left="0" w:firstLine="0"/>
        <w:rPr>
          <w:rFonts w:cs="AGaramond-Regular"/>
          <w:color w:val="FF0000"/>
        </w:rPr>
      </w:pPr>
    </w:p>
    <w:p w14:paraId="218B42B8" w14:textId="292020AA" w:rsidR="00E36769" w:rsidRPr="00BF75D7" w:rsidRDefault="00E36769" w:rsidP="008E5AEE">
      <w:pPr>
        <w:ind w:left="0" w:firstLine="0"/>
        <w:rPr>
          <w:rFonts w:cs="AGaramond-Regular"/>
          <w:color w:val="FF0000"/>
        </w:rPr>
      </w:pPr>
      <w:r>
        <w:rPr>
          <w:rFonts w:cs="AGaramond-Regular"/>
        </w:rPr>
        <w:t xml:space="preserve">2012 Submission: </w:t>
      </w:r>
      <w:r>
        <w:rPr>
          <w:rFonts w:ascii="Arial Narrow" w:hAnsi="Arial Narrow" w:cs="Arial"/>
        </w:rPr>
        <w:t>4</w:t>
      </w:r>
    </w:p>
    <w:p w14:paraId="44F07A54" w14:textId="77777777" w:rsidR="00496AF8" w:rsidRPr="003B1CC5" w:rsidRDefault="00496AF8" w:rsidP="002E2177">
      <w:pPr>
        <w:ind w:left="0" w:firstLine="0"/>
      </w:pPr>
    </w:p>
    <w:p w14:paraId="5891CCD8"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4BCA60A1" w14:textId="77777777" w:rsidR="00727E2D" w:rsidRDefault="00727E2D" w:rsidP="002E2177">
      <w:pPr>
        <w:ind w:left="432" w:hanging="432"/>
        <w:rPr>
          <w:iCs/>
        </w:rPr>
      </w:pPr>
    </w:p>
    <w:p w14:paraId="3ABF506F" w14:textId="77777777" w:rsidR="008E5AEE" w:rsidRPr="00BF75D7" w:rsidRDefault="008E5AEE" w:rsidP="008E5AEE">
      <w:pPr>
        <w:ind w:left="0" w:firstLine="0"/>
        <w:rPr>
          <w:color w:val="FF0000"/>
        </w:rPr>
      </w:pPr>
      <w:r w:rsidRPr="00BF75D7">
        <w:rPr>
          <w:color w:val="FF0000"/>
        </w:rPr>
        <w:t>2012 ASCO PCO:</w:t>
      </w:r>
    </w:p>
    <w:p w14:paraId="587D7622" w14:textId="77777777" w:rsidR="008E5AEE" w:rsidRPr="00BF75D7" w:rsidRDefault="008E5AEE" w:rsidP="008E5AEE">
      <w:pPr>
        <w:ind w:left="0" w:firstLine="0"/>
        <w:rPr>
          <w:color w:val="FF0000"/>
        </w:rPr>
      </w:pPr>
      <w:r w:rsidRPr="00BF75D7">
        <w:rPr>
          <w:color w:val="FF0000"/>
        </w:rPr>
        <w:t>This PCO did not provide an assessment of the overall quality of evidence across the studies.  This analysis will be completed during the development of the upcoming clinical guideline.</w:t>
      </w:r>
    </w:p>
    <w:p w14:paraId="6029EA6A" w14:textId="77777777" w:rsidR="008E5AEE" w:rsidRPr="00BF75D7" w:rsidRDefault="008E5AEE" w:rsidP="008E5AEE">
      <w:pPr>
        <w:ind w:left="0" w:firstLine="0"/>
        <w:rPr>
          <w:color w:val="FF0000"/>
        </w:rPr>
      </w:pPr>
    </w:p>
    <w:p w14:paraId="4312CC35" w14:textId="2923D793" w:rsidR="008E5AEE" w:rsidRPr="00BF75D7" w:rsidRDefault="00727E2D" w:rsidP="008E5AEE">
      <w:pPr>
        <w:ind w:left="0" w:firstLine="0"/>
        <w:rPr>
          <w:color w:val="FF0000"/>
        </w:rPr>
      </w:pPr>
      <w:r w:rsidRPr="00BF75D7">
        <w:rPr>
          <w:color w:val="FF0000"/>
        </w:rPr>
        <w:t>2013 Cochrane Review</w:t>
      </w:r>
      <w:r w:rsidR="008E5AEE" w:rsidRPr="00BF75D7">
        <w:rPr>
          <w:color w:val="FF0000"/>
        </w:rPr>
        <w:t>:</w:t>
      </w:r>
    </w:p>
    <w:p w14:paraId="4330F614" w14:textId="77777777" w:rsidR="008E5AEE" w:rsidRPr="00BF75D7" w:rsidRDefault="008E5AEE" w:rsidP="008E5AEE">
      <w:pPr>
        <w:widowControl w:val="0"/>
        <w:autoSpaceDE w:val="0"/>
        <w:autoSpaceDN w:val="0"/>
        <w:adjustRightInd w:val="0"/>
        <w:spacing w:after="240" w:line="280" w:lineRule="atLeast"/>
        <w:ind w:left="0" w:firstLine="0"/>
        <w:rPr>
          <w:rFonts w:cs="Times"/>
          <w:color w:val="FF0000"/>
        </w:rPr>
      </w:pPr>
      <w:r w:rsidRPr="00BF75D7">
        <w:rPr>
          <w:color w:val="FF0000"/>
        </w:rPr>
        <w:t xml:space="preserve">p. 3: </w:t>
      </w:r>
      <w:r w:rsidRPr="00BF75D7">
        <w:rPr>
          <w:rFonts w:cs="Times"/>
          <w:color w:val="FF0000"/>
        </w:rPr>
        <w:t xml:space="preserve">The direction of the effect was consistent across all studies but did not reach statistical significance in 3; ORs ranged from 1. 36 (95% CI 0.80 to 2.31) to 2. 86 (95% CI 0.78 to 10.53) Sensitivity analyses showed that exclusion of the 2 CCTs (both of Swedish hospital-based services with a pooled OR 3.44, 95% CI 0.60 to 19.57) and inclusion of only high quality RCTs resulted in a reduction of the OR to 1.28 (95% CI 1.28 to 2.33) and 1.75 (95% CI 1.24 to 2. 47) respectively, with more precision and less heterogeneity. </w:t>
      </w:r>
    </w:p>
    <w:p w14:paraId="485D3B86" w14:textId="77777777" w:rsidR="008E5AEE" w:rsidRPr="00BF75D7" w:rsidRDefault="008E5AEE" w:rsidP="008E5AEE">
      <w:pPr>
        <w:ind w:left="0" w:firstLine="0"/>
        <w:rPr>
          <w:color w:val="FF0000"/>
        </w:rPr>
      </w:pPr>
      <w:r w:rsidRPr="00BF75D7">
        <w:rPr>
          <w:color w:val="FF0000"/>
        </w:rPr>
        <w:t>p. 22:</w:t>
      </w:r>
    </w:p>
    <w:p w14:paraId="7BD3A835" w14:textId="77777777" w:rsidR="00E36769" w:rsidRDefault="008E5AEE" w:rsidP="00E36769">
      <w:pPr>
        <w:widowControl w:val="0"/>
        <w:autoSpaceDE w:val="0"/>
        <w:autoSpaceDN w:val="0"/>
        <w:adjustRightInd w:val="0"/>
        <w:spacing w:after="240" w:line="280" w:lineRule="atLeast"/>
        <w:ind w:left="0" w:firstLine="0"/>
        <w:rPr>
          <w:rFonts w:cs="Times"/>
          <w:color w:val="FF0000"/>
        </w:rPr>
      </w:pPr>
      <w:r w:rsidRPr="00BF75D7">
        <w:rPr>
          <w:rFonts w:cs="Times"/>
          <w:color w:val="FF0000"/>
        </w:rPr>
        <w:t>Pooled data from seven studies (five RCTs, three of high quality, and two CCTs with 1222 participants) showed that those receiving home palliative care had statistically significantly higher odds of dying at home than those receiving usual care (OR 2.21, 95% CI 1.31 to 3.71; Z = 2.98, P value = 0.003; Chi</w:t>
      </w:r>
      <w:r w:rsidRPr="00BF75D7">
        <w:rPr>
          <w:rFonts w:cs="Times"/>
          <w:color w:val="FF0000"/>
          <w:position w:val="8"/>
        </w:rPr>
        <w:t xml:space="preserve">2 </w:t>
      </w:r>
      <w:r w:rsidRPr="00BF75D7">
        <w:rPr>
          <w:rFonts w:cs="Times"/>
          <w:color w:val="FF0000"/>
        </w:rPr>
        <w:t>= 20.57, degrees of freedom (df ) = 6, P value = 0.002; I</w:t>
      </w:r>
      <w:r w:rsidRPr="00BF75D7">
        <w:rPr>
          <w:rFonts w:cs="Times"/>
          <w:color w:val="FF0000"/>
          <w:position w:val="8"/>
        </w:rPr>
        <w:t xml:space="preserve">2 </w:t>
      </w:r>
      <w:r w:rsidRPr="00BF75D7">
        <w:rPr>
          <w:rFonts w:cs="Times"/>
          <w:color w:val="FF0000"/>
        </w:rPr>
        <w:t xml:space="preserve">= 71%). 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73BA9A60" w14:textId="22D062FC" w:rsidR="00E36769" w:rsidRPr="00E36769" w:rsidRDefault="00E36769" w:rsidP="00E36769">
      <w:pPr>
        <w:widowControl w:val="0"/>
        <w:autoSpaceDE w:val="0"/>
        <w:autoSpaceDN w:val="0"/>
        <w:adjustRightInd w:val="0"/>
        <w:spacing w:after="240" w:line="280" w:lineRule="atLeast"/>
        <w:ind w:left="0" w:firstLine="0"/>
        <w:rPr>
          <w:rFonts w:cs="Times"/>
        </w:rPr>
      </w:pPr>
      <w:r>
        <w:rPr>
          <w:rFonts w:cs="Times"/>
        </w:rPr>
        <w:t>2012 Submission:</w:t>
      </w:r>
      <w:r w:rsidRPr="00E36769">
        <w:rPr>
          <w:rFonts w:ascii="Arial Narrow" w:hAnsi="Arial Narrow" w:cs="Arial"/>
          <w:color w:val="0000FF"/>
        </w:rPr>
        <w:t xml:space="preserve"> </w:t>
      </w:r>
      <w:r w:rsidRPr="00E36769">
        <w:rPr>
          <w:rFonts w:ascii="Arial Narrow" w:hAnsi="Arial Narrow" w:cs="Arial"/>
        </w:rPr>
        <w:t>The studies are qualitative and observational using administrative data, consequently there are limitations to the quality of the data.</w:t>
      </w:r>
    </w:p>
    <w:p w14:paraId="3399FBD7" w14:textId="01E903F3" w:rsidR="00496AF8" w:rsidRPr="003B1CC5" w:rsidRDefault="008E5AEE" w:rsidP="00E36769">
      <w:pPr>
        <w:widowControl w:val="0"/>
        <w:autoSpaceDE w:val="0"/>
        <w:autoSpaceDN w:val="0"/>
        <w:adjustRightInd w:val="0"/>
        <w:spacing w:after="240" w:line="280" w:lineRule="atLeast"/>
        <w:ind w:left="0" w:firstLine="0"/>
        <w:rPr>
          <w:b/>
        </w:rPr>
      </w:pPr>
      <w:r>
        <w:rPr>
          <w:b/>
        </w:rPr>
        <w:t>ESTIMATES OF B</w:t>
      </w:r>
      <w:r w:rsidR="00C5180E" w:rsidRPr="003B1CC5">
        <w:rPr>
          <w:b/>
        </w:rPr>
        <w:t>ENEFIT AND CONSISTENCY ACROSS STUDIES IN BODY OF EVIDENCE</w:t>
      </w:r>
    </w:p>
    <w:p w14:paraId="355F3F86"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7278E34C" w14:textId="77777777" w:rsidR="008E5AEE" w:rsidRPr="00BF75D7" w:rsidRDefault="008E5AEE" w:rsidP="008E5AEE">
      <w:pPr>
        <w:ind w:left="0" w:firstLine="0"/>
        <w:rPr>
          <w:color w:val="FF0000"/>
        </w:rPr>
      </w:pPr>
      <w:r w:rsidRPr="00BF75D7">
        <w:rPr>
          <w:color w:val="FF0000"/>
        </w:rPr>
        <w:t>2012 ASCO PCO (p. 884):</w:t>
      </w:r>
    </w:p>
    <w:p w14:paraId="22B4CEE6" w14:textId="77777777" w:rsidR="008E5AEE" w:rsidRPr="00BF75D7" w:rsidRDefault="008E5AEE" w:rsidP="008E5AEE">
      <w:pPr>
        <w:ind w:left="0" w:firstLine="0"/>
        <w:rPr>
          <w:color w:val="FF0000"/>
          <w:sz w:val="18"/>
        </w:rPr>
      </w:pPr>
    </w:p>
    <w:p w14:paraId="0D7223CD" w14:textId="77777777" w:rsidR="008E5AEE" w:rsidRPr="00BF75D7" w:rsidRDefault="008E5AEE" w:rsidP="008E5AEE">
      <w:pPr>
        <w:widowControl w:val="0"/>
        <w:autoSpaceDE w:val="0"/>
        <w:autoSpaceDN w:val="0"/>
        <w:adjustRightInd w:val="0"/>
        <w:spacing w:after="240" w:line="300" w:lineRule="atLeast"/>
        <w:ind w:left="0" w:firstLine="0"/>
        <w:rPr>
          <w:rFonts w:cs="Times"/>
          <w:color w:val="FF0000"/>
          <w:sz w:val="20"/>
          <w:szCs w:val="24"/>
        </w:rPr>
      </w:pPr>
      <w:r w:rsidRPr="00BF75D7">
        <w:rPr>
          <w:rFonts w:cs="Times"/>
          <w:color w:val="FF0000"/>
          <w:szCs w:val="26"/>
        </w:rPr>
        <w:t xml:space="preserve">Seven published randomized trials demonstrate the feasibility of providing various components of PC alongside usual oncology care. There is, however, a dearth of data evaluating the integration of modern PC practices into standard oncology care, especially in concert with ongoing antitumor therapy. Overall, the addition of PC interventions to standard oncology care delivered via different models to patients with cancer provided evidence of benefit. </w:t>
      </w:r>
    </w:p>
    <w:p w14:paraId="6ED42591" w14:textId="77777777" w:rsidR="008E5AEE" w:rsidRPr="00BF75D7" w:rsidRDefault="008E5AEE" w:rsidP="008E5AEE">
      <w:pPr>
        <w:ind w:left="0" w:firstLine="0"/>
        <w:rPr>
          <w:color w:val="FF0000"/>
        </w:rPr>
      </w:pPr>
    </w:p>
    <w:p w14:paraId="5BB2316C" w14:textId="55FA9074" w:rsidR="008E5AEE" w:rsidRPr="00BF75D7" w:rsidRDefault="008E5AEE" w:rsidP="008E5AEE">
      <w:pPr>
        <w:ind w:left="0" w:firstLine="0"/>
        <w:rPr>
          <w:color w:val="FF0000"/>
        </w:rPr>
      </w:pPr>
      <w:r w:rsidRPr="00BF75D7">
        <w:rPr>
          <w:color w:val="FF0000"/>
        </w:rPr>
        <w:t>2013 Cochran</w:t>
      </w:r>
      <w:r w:rsidR="00727E2D" w:rsidRPr="00BF75D7">
        <w:rPr>
          <w:color w:val="FF0000"/>
        </w:rPr>
        <w:t>e</w:t>
      </w:r>
      <w:r w:rsidRPr="00BF75D7">
        <w:rPr>
          <w:color w:val="FF0000"/>
        </w:rPr>
        <w:t xml:space="preserve"> Review (p. 22):</w:t>
      </w:r>
    </w:p>
    <w:p w14:paraId="5E1EDEEA" w14:textId="77777777" w:rsidR="008E5AEE" w:rsidRPr="00BF75D7" w:rsidRDefault="008E5AEE" w:rsidP="008E5AEE">
      <w:pPr>
        <w:ind w:left="0" w:firstLine="0"/>
        <w:rPr>
          <w:color w:val="FF0000"/>
        </w:rPr>
      </w:pPr>
    </w:p>
    <w:p w14:paraId="0FE558F6" w14:textId="4AD9FAC3" w:rsidR="009B5BEA" w:rsidRDefault="008E5AEE" w:rsidP="008E5AEE">
      <w:pPr>
        <w:widowControl w:val="0"/>
        <w:autoSpaceDE w:val="0"/>
        <w:autoSpaceDN w:val="0"/>
        <w:adjustRightInd w:val="0"/>
        <w:spacing w:after="240" w:line="280" w:lineRule="atLeast"/>
        <w:ind w:left="0" w:firstLine="0"/>
        <w:rPr>
          <w:rFonts w:cs="Times"/>
          <w:color w:val="FF0000"/>
        </w:rPr>
      </w:pPr>
      <w:r w:rsidRPr="00BF75D7">
        <w:rPr>
          <w:rFonts w:cs="Times"/>
          <w:color w:val="FF0000"/>
        </w:rPr>
        <w:t>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w:t>
      </w:r>
    </w:p>
    <w:p w14:paraId="37E62A05" w14:textId="7C9BF125" w:rsidR="00E36769" w:rsidRPr="00BF75D7" w:rsidRDefault="00E36769" w:rsidP="008E5AEE">
      <w:pPr>
        <w:widowControl w:val="0"/>
        <w:autoSpaceDE w:val="0"/>
        <w:autoSpaceDN w:val="0"/>
        <w:adjustRightInd w:val="0"/>
        <w:spacing w:after="240" w:line="280" w:lineRule="atLeast"/>
        <w:ind w:left="0" w:firstLine="0"/>
        <w:rPr>
          <w:rFonts w:cs="Times"/>
          <w:color w:val="FF0000"/>
        </w:rPr>
      </w:pPr>
      <w:r>
        <w:rPr>
          <w:rFonts w:cs="Times"/>
        </w:rPr>
        <w:t xml:space="preserve">2012 Submission: </w:t>
      </w:r>
      <w:r w:rsidRPr="00E36769">
        <w:rPr>
          <w:rFonts w:ascii="Arial Narrow" w:hAnsi="Arial Narrow" w:cs="Arial"/>
        </w:rPr>
        <w:t>All studies have shown similar results. As per Ho TH, Barbera L, Saskin R, Lu H, Neville BA, Earle CC.Trends in the Aggressiveness of End-of-Life Cancer Care in the Universal Health Care System of Ontario, Canada. J Clin Oncol April 20, 2011 vol. 29 no. 12 1587-1591, although rates in Canada were lower, trends were similar over time in a comparison with U.S. Medicare patients.</w:t>
      </w:r>
    </w:p>
    <w:p w14:paraId="6C929C7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092D17BD" w14:textId="77777777" w:rsidR="008E5AEE" w:rsidRPr="00BF75D7" w:rsidRDefault="008E5AEE" w:rsidP="008E5AEE">
      <w:pPr>
        <w:ind w:left="0" w:firstLine="0"/>
        <w:rPr>
          <w:color w:val="FF0000"/>
        </w:rPr>
      </w:pPr>
      <w:r w:rsidRPr="00BF75D7">
        <w:rPr>
          <w:color w:val="FF0000"/>
        </w:rPr>
        <w:t xml:space="preserve">2012 ASCO PCO (p. 884-885): </w:t>
      </w:r>
    </w:p>
    <w:p w14:paraId="21F4682E" w14:textId="77777777" w:rsidR="008E5AEE" w:rsidRPr="00BF75D7" w:rsidRDefault="008E5AEE" w:rsidP="008E5AEE">
      <w:pPr>
        <w:widowControl w:val="0"/>
        <w:autoSpaceDE w:val="0"/>
        <w:autoSpaceDN w:val="0"/>
        <w:adjustRightInd w:val="0"/>
        <w:spacing w:after="240" w:line="300" w:lineRule="atLeast"/>
        <w:ind w:left="0" w:firstLine="0"/>
        <w:rPr>
          <w:rFonts w:cs="Times"/>
          <w:color w:val="FF0000"/>
          <w:sz w:val="20"/>
          <w:szCs w:val="24"/>
        </w:rPr>
      </w:pPr>
      <w:r w:rsidRPr="00BF75D7">
        <w:rPr>
          <w:rFonts w:cs="Times"/>
          <w:color w:val="FF0000"/>
          <w:szCs w:val="26"/>
        </w:rPr>
        <w:t xml:space="preserve">No harm to any patient was observed in any trial, even with discussions of EOL planning, such as hospice and ADs. Two of five trials measuring change in symptoms, two of five studies measuring QOL, two of three studies measuring patient/caregiver satisfaction, and one of three studies measuring survival found statistically significant improvements with PC. Three of six studies measuring mood, two of five studies measuring resource use, and one of four studies measuring outcomes of advance care planning found statistically significant differences, and one outcome of borderline significance was also found in each of these three areas, Therefore, most trials showed benefits ranging from equal to improved overall survival, reduced depression, improved caregiver and/or patient QOL, and overall lower resource use and cost because EOL hospitalizations were avoided. </w:t>
      </w:r>
    </w:p>
    <w:p w14:paraId="384D813B" w14:textId="77777777" w:rsidR="008E5AEE" w:rsidRPr="00BF75D7" w:rsidRDefault="008E5AEE" w:rsidP="008E5AEE">
      <w:pPr>
        <w:ind w:left="0" w:firstLine="0"/>
        <w:rPr>
          <w:color w:val="FF0000"/>
        </w:rPr>
      </w:pPr>
      <w:r w:rsidRPr="00BF75D7">
        <w:rPr>
          <w:color w:val="FF0000"/>
        </w:rPr>
        <w:t>2013 Cochrane Review:  Discussion of harms was not addressed.</w:t>
      </w:r>
    </w:p>
    <w:p w14:paraId="4F89B642" w14:textId="77777777" w:rsidR="00496AF8" w:rsidRDefault="00496AF8" w:rsidP="002E2177">
      <w:pPr>
        <w:ind w:left="0" w:firstLine="0"/>
      </w:pPr>
    </w:p>
    <w:p w14:paraId="057F1B6C" w14:textId="2BFDCAD6" w:rsidR="00E36769" w:rsidRPr="00E36769" w:rsidRDefault="00E36769" w:rsidP="00E36769">
      <w:pPr>
        <w:rPr>
          <w:rFonts w:ascii="Arial Narrow" w:eastAsia="Times New Roman" w:hAnsi="Arial Narrow" w:cs="Arial"/>
          <w:bCs/>
          <w:color w:val="0000FF"/>
        </w:rPr>
      </w:pPr>
      <w:r>
        <w:t xml:space="preserve">2012 Submission: </w:t>
      </w:r>
      <w:r w:rsidRPr="00E36769">
        <w:rPr>
          <w:rFonts w:ascii="Arial Narrow" w:eastAsia="Times New Roman" w:hAnsi="Arial Narrow" w:cs="Arial"/>
          <w:bCs/>
        </w:rPr>
        <w:t>Less use of ICU near death can result in better quality of life (death) as well as resource savings.</w:t>
      </w:r>
    </w:p>
    <w:p w14:paraId="7121D5D2" w14:textId="77777777" w:rsidR="00496AF8" w:rsidRPr="003B1CC5" w:rsidRDefault="00496AF8" w:rsidP="002E2177">
      <w:pPr>
        <w:ind w:left="0" w:firstLine="0"/>
      </w:pPr>
    </w:p>
    <w:p w14:paraId="3A14BCF2" w14:textId="77777777" w:rsidR="00496AF8" w:rsidRPr="003B1CC5" w:rsidRDefault="00C5180E" w:rsidP="002E2177">
      <w:pPr>
        <w:ind w:left="0" w:firstLine="0"/>
        <w:rPr>
          <w:b/>
          <w:noProof/>
        </w:rPr>
      </w:pPr>
      <w:r w:rsidRPr="003B1CC5">
        <w:rPr>
          <w:b/>
          <w:noProof/>
        </w:rPr>
        <w:t>UPDATE TO THE SYSTEMATIC REVIEW(S) OF THE BODY OF EVIDENCE</w:t>
      </w:r>
    </w:p>
    <w:p w14:paraId="48A159DE" w14:textId="77777777" w:rsidR="00496AF8"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1A74B25C" w14:textId="6740F734" w:rsidR="00FF366A" w:rsidRPr="00CE66B9" w:rsidRDefault="00FF366A" w:rsidP="00CE66B9">
      <w:pPr>
        <w:autoSpaceDE w:val="0"/>
        <w:autoSpaceDN w:val="0"/>
        <w:adjustRightInd w:val="0"/>
        <w:ind w:left="0" w:firstLine="0"/>
        <w:rPr>
          <w:rFonts w:eastAsia="ArialMT" w:cs="ArialMT"/>
          <w:color w:val="000000"/>
        </w:rPr>
      </w:pPr>
    </w:p>
    <w:p w14:paraId="186A832F" w14:textId="77777777" w:rsidR="008E5AEE" w:rsidRDefault="008E5AEE" w:rsidP="008E5AEE">
      <w:pPr>
        <w:ind w:left="0" w:firstLine="0"/>
        <w:rPr>
          <w:b/>
          <w:color w:val="0070C0"/>
        </w:rPr>
      </w:pPr>
      <w:r w:rsidRPr="00BF75D7">
        <w:rPr>
          <w:color w:val="FF0000"/>
        </w:rPr>
        <w:t xml:space="preserve">No relevant studies have been conducted and published since the systematic reviews. </w:t>
      </w:r>
    </w:p>
    <w:p w14:paraId="71017E33" w14:textId="58B609C5" w:rsidR="00837121" w:rsidRPr="008E5AEE" w:rsidRDefault="00837121" w:rsidP="008E5AEE">
      <w:pPr>
        <w:spacing w:before="70" w:line="291" w:lineRule="auto"/>
        <w:ind w:right="165"/>
        <w:jc w:val="both"/>
        <w:rPr>
          <w:rFonts w:ascii="Lucida Sans" w:eastAsia="Lucida Sans" w:hAnsi="Lucida Sans" w:cs="Lucida Sans"/>
          <w:sz w:val="14"/>
          <w:szCs w:val="14"/>
        </w:rPr>
      </w:pPr>
    </w:p>
    <w:p w14:paraId="61536196" w14:textId="77777777" w:rsidR="0094689F" w:rsidRPr="003B1CC5" w:rsidRDefault="00925F11" w:rsidP="002E2177">
      <w:pPr>
        <w:ind w:left="0" w:firstLine="0"/>
        <w:rPr>
          <w:b/>
          <w:color w:val="0070C0"/>
        </w:rPr>
      </w:pPr>
      <w:r w:rsidRPr="003B1CC5">
        <w:rPr>
          <w:b/>
          <w:iCs/>
          <w:caps/>
        </w:rPr>
        <w:t>_________________________</w:t>
      </w:r>
    </w:p>
    <w:p w14:paraId="56D3A975"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1118D1E9"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0399A69" w14:textId="77777777" w:rsidR="00837121" w:rsidRPr="003B1CC5" w:rsidRDefault="00837121" w:rsidP="002E2177">
      <w:pPr>
        <w:ind w:left="0" w:firstLine="0"/>
      </w:pPr>
    </w:p>
    <w:p w14:paraId="3CE55B8D"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45F60CE9" w14:textId="77777777" w:rsidR="00837121" w:rsidRPr="003B1CC5" w:rsidRDefault="00837121" w:rsidP="002E2177">
      <w:pPr>
        <w:ind w:left="0" w:firstLine="0"/>
      </w:pPr>
    </w:p>
    <w:p w14:paraId="0B5A22F6"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30"/>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DB7B6" w14:textId="77777777" w:rsidR="00440687" w:rsidRDefault="00440687" w:rsidP="007E37A5">
      <w:r>
        <w:separator/>
      </w:r>
    </w:p>
  </w:endnote>
  <w:endnote w:type="continuationSeparator" w:id="0">
    <w:p w14:paraId="5F6345FC" w14:textId="77777777"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AEE3"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36769">
      <w:rPr>
        <w:noProof/>
      </w:rPr>
      <w:t>2</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BE274" w14:textId="77777777" w:rsidR="00440687" w:rsidRDefault="00440687" w:rsidP="007E37A5">
      <w:r>
        <w:separator/>
      </w:r>
    </w:p>
  </w:footnote>
  <w:footnote w:type="continuationSeparator" w:id="0">
    <w:p w14:paraId="7B5B14B6" w14:textId="77777777"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E70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32B2D"/>
    <w:multiLevelType w:val="hybridMultilevel"/>
    <w:tmpl w:val="4574D5F8"/>
    <w:lvl w:ilvl="0" w:tplc="72046CD2">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2BF594D"/>
    <w:multiLevelType w:val="hybridMultilevel"/>
    <w:tmpl w:val="CAF4A634"/>
    <w:lvl w:ilvl="0" w:tplc="A3CC5166">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8"/>
  </w:num>
  <w:num w:numId="8">
    <w:abstractNumId w:val="7"/>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87560"/>
    <w:rsid w:val="00095EC9"/>
    <w:rsid w:val="00096A37"/>
    <w:rsid w:val="00097FF2"/>
    <w:rsid w:val="000A0810"/>
    <w:rsid w:val="000B627F"/>
    <w:rsid w:val="000D649E"/>
    <w:rsid w:val="000D6D06"/>
    <w:rsid w:val="00114848"/>
    <w:rsid w:val="00120934"/>
    <w:rsid w:val="00132070"/>
    <w:rsid w:val="00141875"/>
    <w:rsid w:val="0014347E"/>
    <w:rsid w:val="00146C20"/>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024F"/>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72FA6"/>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A5DB9"/>
    <w:rsid w:val="006B5C51"/>
    <w:rsid w:val="006C7F30"/>
    <w:rsid w:val="006D0C47"/>
    <w:rsid w:val="006E6FDD"/>
    <w:rsid w:val="006F4B7F"/>
    <w:rsid w:val="006F760B"/>
    <w:rsid w:val="00701CC3"/>
    <w:rsid w:val="00724801"/>
    <w:rsid w:val="007279EA"/>
    <w:rsid w:val="00727E2D"/>
    <w:rsid w:val="00734949"/>
    <w:rsid w:val="00736AEC"/>
    <w:rsid w:val="00736E0F"/>
    <w:rsid w:val="007434FA"/>
    <w:rsid w:val="00751EE4"/>
    <w:rsid w:val="007573F0"/>
    <w:rsid w:val="00765156"/>
    <w:rsid w:val="00767669"/>
    <w:rsid w:val="00773485"/>
    <w:rsid w:val="00776E8F"/>
    <w:rsid w:val="00776F6D"/>
    <w:rsid w:val="007C0297"/>
    <w:rsid w:val="007C1887"/>
    <w:rsid w:val="007D4466"/>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E5AEE"/>
    <w:rsid w:val="008F1DC6"/>
    <w:rsid w:val="00905C5B"/>
    <w:rsid w:val="00923295"/>
    <w:rsid w:val="00925F11"/>
    <w:rsid w:val="00935265"/>
    <w:rsid w:val="0094689F"/>
    <w:rsid w:val="009477D6"/>
    <w:rsid w:val="00953ED3"/>
    <w:rsid w:val="00965FF6"/>
    <w:rsid w:val="009846D6"/>
    <w:rsid w:val="0098657F"/>
    <w:rsid w:val="009A3236"/>
    <w:rsid w:val="009A7B71"/>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22970"/>
    <w:rsid w:val="00B439DD"/>
    <w:rsid w:val="00B52E0F"/>
    <w:rsid w:val="00B74629"/>
    <w:rsid w:val="00B91F58"/>
    <w:rsid w:val="00BA579E"/>
    <w:rsid w:val="00BD54BD"/>
    <w:rsid w:val="00BE2295"/>
    <w:rsid w:val="00BE6373"/>
    <w:rsid w:val="00BF533A"/>
    <w:rsid w:val="00BF75D7"/>
    <w:rsid w:val="00C46677"/>
    <w:rsid w:val="00C5180E"/>
    <w:rsid w:val="00C54E40"/>
    <w:rsid w:val="00C55F56"/>
    <w:rsid w:val="00C57BA4"/>
    <w:rsid w:val="00C613EB"/>
    <w:rsid w:val="00C84623"/>
    <w:rsid w:val="00CB06C9"/>
    <w:rsid w:val="00CB1E41"/>
    <w:rsid w:val="00CB271C"/>
    <w:rsid w:val="00CE4F96"/>
    <w:rsid w:val="00CE66B9"/>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24333"/>
    <w:rsid w:val="00E30D12"/>
    <w:rsid w:val="00E3394E"/>
    <w:rsid w:val="00E35241"/>
    <w:rsid w:val="00E36769"/>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 w:val="00FF3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32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6D0C47"/>
  </w:style>
  <w:style w:type="character" w:customStyle="1" w:styleId="ref-title">
    <w:name w:val="ref-title"/>
    <w:basedOn w:val="DefaultParagraphFont"/>
    <w:rsid w:val="006D0C47"/>
  </w:style>
  <w:style w:type="character" w:styleId="Emphasis">
    <w:name w:val="Emphasis"/>
    <w:basedOn w:val="DefaultParagraphFont"/>
    <w:uiPriority w:val="20"/>
    <w:qFormat/>
    <w:rsid w:val="006D0C47"/>
    <w:rPr>
      <w:i/>
      <w:iCs/>
    </w:rPr>
  </w:style>
  <w:style w:type="character" w:customStyle="1" w:styleId="ref-vol">
    <w:name w:val="ref-vol"/>
    <w:basedOn w:val="DefaultParagraphFont"/>
    <w:rsid w:val="006D0C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6D0C47"/>
  </w:style>
  <w:style w:type="character" w:customStyle="1" w:styleId="ref-title">
    <w:name w:val="ref-title"/>
    <w:basedOn w:val="DefaultParagraphFont"/>
    <w:rsid w:val="006D0C47"/>
  </w:style>
  <w:style w:type="character" w:styleId="Emphasis">
    <w:name w:val="Emphasis"/>
    <w:basedOn w:val="DefaultParagraphFont"/>
    <w:uiPriority w:val="20"/>
    <w:qFormat/>
    <w:rsid w:val="006D0C47"/>
    <w:rPr>
      <w:i/>
      <w:iCs/>
    </w:rPr>
  </w:style>
  <w:style w:type="character" w:customStyle="1" w:styleId="ref-vol">
    <w:name w:val="ref-vol"/>
    <w:basedOn w:val="DefaultParagraphFont"/>
    <w:rsid w:val="006D0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spreventiveservicestaskforce.org/uspstf/grades.htm" TargetMode="External"/><Relationship Id="rId18" Type="http://schemas.openxmlformats.org/officeDocument/2006/relationships/diagramData" Target="diagrams/data1.xml"/><Relationship Id="rId26" Type="http://schemas.openxmlformats.org/officeDocument/2006/relationships/hyperlink" Target="http://www.ncbi.nlm.nih.gov/pmc/articles/PMC4545784/" TargetMode="External"/><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hyperlink" Target="http://www.ncbi.nlm.nih.gov/pubmed/24866758"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diagramQuickStyle" Target="diagrams/quickStyle1.xml"/><Relationship Id="rId29" Type="http://schemas.openxmlformats.org/officeDocument/2006/relationships/hyperlink" Target="http://onlinelibrary.wiley.com/doi/10.1002/14651858.CD007760.pub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ncbi.nlm.nih.gov/pmc/articles/PMC2988637/"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hyperlink" Target="http://www.ncbi.nlm.nih.gov/pmc/articles/PMC3806298/" TargetMode="External"/><Relationship Id="rId28" Type="http://schemas.openxmlformats.org/officeDocument/2006/relationships/hyperlink" Target="http://www.instituteforquality.org/asco-provisional-clinical-opinion-integration-palliative-care-standard-oncology-care" TargetMode="External"/><Relationship Id="rId10" Type="http://schemas.openxmlformats.org/officeDocument/2006/relationships/footnotes" Target="footnotes.xml"/><Relationship Id="rId19" Type="http://schemas.openxmlformats.org/officeDocument/2006/relationships/diagramLayout" Target="diagrams/layout1.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microsoft.com/office/2007/relationships/diagramDrawing" Target="diagrams/drawing1.xml"/><Relationship Id="rId27" Type="http://schemas.openxmlformats.org/officeDocument/2006/relationships/hyperlink" Target="http://www.ncbi.nlm.nih.gov/pmc/articles/PMC4608400/" TargetMode="External"/><Relationship Id="rId30" Type="http://schemas.openxmlformats.org/officeDocument/2006/relationships/header" Target="header1.xml"/><Relationship Id="rId8" Type="http://schemas.openxmlformats.org/officeDocument/2006/relationships/settings" Target="setting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5BBE9C-B2EC-4F87-A3DF-3172B1D5F08C}"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100177F5-651B-4EA5-A4DC-A346B9DDEC7F}">
      <dgm:prSet phldrT="[Text]"/>
      <dgm:spPr/>
      <dgm:t>
        <a:bodyPr/>
        <a:lstStyle/>
        <a:p>
          <a:r>
            <a:rPr lang="en-US"/>
            <a:t>Cancer patients at the end of life </a:t>
          </a:r>
        </a:p>
      </dgm:t>
    </dgm:pt>
    <dgm:pt modelId="{54F561CF-38C7-402F-BFA5-711B92D37427}" type="parTrans" cxnId="{0B7DD541-7ACE-4D04-AAC3-E2FE271A117D}">
      <dgm:prSet/>
      <dgm:spPr/>
      <dgm:t>
        <a:bodyPr/>
        <a:lstStyle/>
        <a:p>
          <a:endParaRPr lang="en-US"/>
        </a:p>
      </dgm:t>
    </dgm:pt>
    <dgm:pt modelId="{77E00BDE-26A5-49A3-B826-89EE61DA21F6}" type="sibTrans" cxnId="{0B7DD541-7ACE-4D04-AAC3-E2FE271A117D}">
      <dgm:prSet/>
      <dgm:spPr/>
      <dgm:t>
        <a:bodyPr/>
        <a:lstStyle/>
        <a:p>
          <a:endParaRPr lang="en-US"/>
        </a:p>
      </dgm:t>
    </dgm:pt>
    <dgm:pt modelId="{C3A205A1-AEBB-4D3A-870D-5C097735791F}">
      <dgm:prSet phldrT="[Text]"/>
      <dgm:spPr/>
      <dgm:t>
        <a:bodyPr/>
        <a:lstStyle/>
        <a:p>
          <a:r>
            <a:rPr lang="en-US"/>
            <a:t>Process</a:t>
          </a:r>
        </a:p>
      </dgm:t>
    </dgm:pt>
    <dgm:pt modelId="{8FD9A7E0-2C27-451A-9F81-2ADAAC6DB82A}" type="parTrans" cxnId="{4826D17D-9A82-45C4-8369-7EFCDA8DE0D6}">
      <dgm:prSet/>
      <dgm:spPr/>
      <dgm:t>
        <a:bodyPr/>
        <a:lstStyle/>
        <a:p>
          <a:endParaRPr lang="en-US"/>
        </a:p>
      </dgm:t>
    </dgm:pt>
    <dgm:pt modelId="{2D8BD42C-C665-4545-9BE4-2870F5A0F39F}" type="sibTrans" cxnId="{4826D17D-9A82-45C4-8369-7EFCDA8DE0D6}">
      <dgm:prSet/>
      <dgm:spPr/>
      <dgm:t>
        <a:bodyPr/>
        <a:lstStyle/>
        <a:p>
          <a:endParaRPr lang="en-US"/>
        </a:p>
      </dgm:t>
    </dgm:pt>
    <dgm:pt modelId="{67714FBA-78C7-460A-8B1E-11DADE0FB872}">
      <dgm:prSet phldrT="[Text]"/>
      <dgm:spPr/>
      <dgm:t>
        <a:bodyPr/>
        <a:lstStyle/>
        <a:p>
          <a:r>
            <a:rPr lang="en-US"/>
            <a:t>Target Population</a:t>
          </a:r>
        </a:p>
      </dgm:t>
    </dgm:pt>
    <dgm:pt modelId="{F98C82AB-A821-4B3D-9101-779435AC5C2D}" type="sibTrans" cxnId="{61B8176F-5E9F-4608-BA65-1814650FF9A8}">
      <dgm:prSet/>
      <dgm:spPr/>
      <dgm:t>
        <a:bodyPr/>
        <a:lstStyle/>
        <a:p>
          <a:endParaRPr lang="en-US"/>
        </a:p>
      </dgm:t>
    </dgm:pt>
    <dgm:pt modelId="{01880FCA-07A0-4D91-8663-BB85D0CAFFFD}" type="parTrans" cxnId="{61B8176F-5E9F-4608-BA65-1814650FF9A8}">
      <dgm:prSet/>
      <dgm:spPr/>
      <dgm:t>
        <a:bodyPr/>
        <a:lstStyle/>
        <a:p>
          <a:endParaRPr lang="en-US"/>
        </a:p>
      </dgm:t>
    </dgm:pt>
    <dgm:pt modelId="{A7092C24-D297-4C7A-A6D7-4046EBCB9F2E}">
      <dgm:prSet phldrT="[Text]"/>
      <dgm:spPr/>
      <dgm:t>
        <a:bodyPr/>
        <a:lstStyle/>
        <a:p>
          <a:r>
            <a:rPr lang="en-US"/>
            <a:t>Enrollment in palliative care/hospice</a:t>
          </a:r>
        </a:p>
      </dgm:t>
    </dgm:pt>
    <dgm:pt modelId="{101B51E0-BB6F-4412-AD0B-DDCFF06D583C}" type="sibTrans" cxnId="{C373657A-3A4F-4E91-9A79-B3C925839C5B}">
      <dgm:prSet/>
      <dgm:spPr/>
      <dgm:t>
        <a:bodyPr/>
        <a:lstStyle/>
        <a:p>
          <a:endParaRPr lang="en-US"/>
        </a:p>
      </dgm:t>
    </dgm:pt>
    <dgm:pt modelId="{55573EC5-3F1A-4443-82E1-D7470B507387}" type="parTrans" cxnId="{C373657A-3A4F-4E91-9A79-B3C925839C5B}">
      <dgm:prSet/>
      <dgm:spPr/>
      <dgm:t>
        <a:bodyPr/>
        <a:lstStyle/>
        <a:p>
          <a:endParaRPr lang="en-US"/>
        </a:p>
      </dgm:t>
    </dgm:pt>
    <dgm:pt modelId="{E98F78F6-7C9D-44B9-93EC-D294CBCA1E97}">
      <dgm:prSet phldrT="[Text]"/>
      <dgm:spPr/>
      <dgm:t>
        <a:bodyPr/>
        <a:lstStyle/>
        <a:p>
          <a:r>
            <a:rPr lang="en-US"/>
            <a:t>Intermediate Outcome</a:t>
          </a:r>
        </a:p>
      </dgm:t>
    </dgm:pt>
    <dgm:pt modelId="{3B041469-E05A-4411-B10F-4A407BA5CE09}" type="sibTrans" cxnId="{B9499A07-6B33-492B-8577-F38E19EC0AB1}">
      <dgm:prSet/>
      <dgm:spPr/>
      <dgm:t>
        <a:bodyPr/>
        <a:lstStyle/>
        <a:p>
          <a:endParaRPr lang="en-US"/>
        </a:p>
      </dgm:t>
    </dgm:pt>
    <dgm:pt modelId="{A63BA0ED-545E-4005-B209-F648A89F4601}" type="parTrans" cxnId="{B9499A07-6B33-492B-8577-F38E19EC0AB1}">
      <dgm:prSet/>
      <dgm:spPr/>
      <dgm:t>
        <a:bodyPr/>
        <a:lstStyle/>
        <a:p>
          <a:endParaRPr lang="en-US"/>
        </a:p>
      </dgm:t>
    </dgm:pt>
    <dgm:pt modelId="{159095B5-0EB1-4DA5-BFD0-26EE09EE74B6}">
      <dgm:prSet phldrT="[Text]"/>
      <dgm:spPr/>
      <dgm:t>
        <a:bodyPr/>
        <a:lstStyle/>
        <a:p>
          <a:r>
            <a:rPr lang="en-US"/>
            <a:t>Outcome	</a:t>
          </a:r>
        </a:p>
      </dgm:t>
    </dgm:pt>
    <dgm:pt modelId="{88C08753-6265-497C-A833-5B350472D582}" type="sibTrans" cxnId="{4C57EC0B-430E-4ECB-96B1-8102EB57F48A}">
      <dgm:prSet/>
      <dgm:spPr/>
      <dgm:t>
        <a:bodyPr/>
        <a:lstStyle/>
        <a:p>
          <a:endParaRPr lang="en-US"/>
        </a:p>
      </dgm:t>
    </dgm:pt>
    <dgm:pt modelId="{9B485AAC-4A7F-4789-AF2B-33A0CC440E5D}" type="parTrans" cxnId="{4C57EC0B-430E-4ECB-96B1-8102EB57F48A}">
      <dgm:prSet/>
      <dgm:spPr/>
      <dgm:t>
        <a:bodyPr/>
        <a:lstStyle/>
        <a:p>
          <a:endParaRPr lang="en-US"/>
        </a:p>
      </dgm:t>
    </dgm:pt>
    <dgm:pt modelId="{500D0A91-5A18-4FCC-BF40-C17A640662F9}">
      <dgm:prSet/>
      <dgm:spPr/>
      <dgm:t>
        <a:bodyPr/>
        <a:lstStyle/>
        <a:p>
          <a:r>
            <a:rPr lang="en-US"/>
            <a:t>Reduction of deaths that occur in hospital</a:t>
          </a:r>
        </a:p>
      </dgm:t>
    </dgm:pt>
    <dgm:pt modelId="{E3184BD4-AB47-448F-A2FB-4D0025486581}" type="sibTrans" cxnId="{CBB85E4A-8680-4E59-9422-3DF80C3BC5A9}">
      <dgm:prSet/>
      <dgm:spPr/>
      <dgm:t>
        <a:bodyPr/>
        <a:lstStyle/>
        <a:p>
          <a:endParaRPr lang="en-US"/>
        </a:p>
      </dgm:t>
    </dgm:pt>
    <dgm:pt modelId="{E18C0ACB-5C66-46AE-A436-F746E5ED4458}" type="parTrans" cxnId="{CBB85E4A-8680-4E59-9422-3DF80C3BC5A9}">
      <dgm:prSet/>
      <dgm:spPr/>
      <dgm:t>
        <a:bodyPr/>
        <a:lstStyle/>
        <a:p>
          <a:endParaRPr lang="en-US"/>
        </a:p>
      </dgm:t>
    </dgm:pt>
    <dgm:pt modelId="{3F834E6C-9050-49BB-B261-075AF7CB6FA4}">
      <dgm:prSet/>
      <dgm:spPr/>
      <dgm:t>
        <a:bodyPr/>
        <a:lstStyle/>
        <a:p>
          <a:r>
            <a:rPr lang="en-US"/>
            <a:t>Reduction in  ICU visits</a:t>
          </a:r>
        </a:p>
      </dgm:t>
    </dgm:pt>
    <dgm:pt modelId="{7DC5B3A0-427E-4A58-9907-24CF14F54B3F}" type="sibTrans" cxnId="{DD2787E5-D515-4B66-99C9-E3F84E9179EA}">
      <dgm:prSet/>
      <dgm:spPr/>
      <dgm:t>
        <a:bodyPr/>
        <a:lstStyle/>
        <a:p>
          <a:endParaRPr lang="en-US"/>
        </a:p>
      </dgm:t>
    </dgm:pt>
    <dgm:pt modelId="{282FA513-3B74-4975-8EAD-7C9F7AF99DF3}" type="parTrans" cxnId="{DD2787E5-D515-4B66-99C9-E3F84E9179EA}">
      <dgm:prSet/>
      <dgm:spPr/>
      <dgm:t>
        <a:bodyPr/>
        <a:lstStyle/>
        <a:p>
          <a:endParaRPr lang="en-US"/>
        </a:p>
      </dgm:t>
    </dgm:pt>
    <dgm:pt modelId="{5A9A5102-CEFB-4F67-B9B6-066F18551051}">
      <dgm:prSet phldrT="[Text]"/>
      <dgm:spPr/>
      <dgm:t>
        <a:bodyPr/>
        <a:lstStyle/>
        <a:p>
          <a:r>
            <a:rPr lang="en-US"/>
            <a:t>Reduction in ED visits</a:t>
          </a:r>
        </a:p>
      </dgm:t>
    </dgm:pt>
    <dgm:pt modelId="{08AE07C9-912D-4924-B891-5AD4AAD3FBD1}" type="sibTrans" cxnId="{FEF6157F-A6C7-42BC-A5F9-81DCE946009E}">
      <dgm:prSet/>
      <dgm:spPr/>
      <dgm:t>
        <a:bodyPr/>
        <a:lstStyle/>
        <a:p>
          <a:endParaRPr lang="en-US"/>
        </a:p>
      </dgm:t>
    </dgm:pt>
    <dgm:pt modelId="{5D8C5012-B379-4080-A406-8AC788165C3F}" type="parTrans" cxnId="{FEF6157F-A6C7-42BC-A5F9-81DCE946009E}">
      <dgm:prSet/>
      <dgm:spPr/>
      <dgm:t>
        <a:bodyPr/>
        <a:lstStyle/>
        <a:p>
          <a:endParaRPr lang="en-US"/>
        </a:p>
      </dgm:t>
    </dgm:pt>
    <dgm:pt modelId="{19A498A8-C595-4B0B-99E1-ED75986991D2}">
      <dgm:prSet/>
      <dgm:spPr/>
      <dgm:t>
        <a:bodyPr/>
        <a:lstStyle/>
        <a:p>
          <a:r>
            <a:rPr lang="en-US"/>
            <a:t>Improved patient and caregiver/family satisfaction</a:t>
          </a:r>
        </a:p>
      </dgm:t>
    </dgm:pt>
    <dgm:pt modelId="{87E595E7-3C8E-40BD-BC4D-CFBA4F2135D3}" type="parTrans" cxnId="{9A212FE0-67B7-4191-84AA-CD368FEBCD23}">
      <dgm:prSet/>
      <dgm:spPr/>
      <dgm:t>
        <a:bodyPr/>
        <a:lstStyle/>
        <a:p>
          <a:endParaRPr lang="en-US"/>
        </a:p>
      </dgm:t>
    </dgm:pt>
    <dgm:pt modelId="{19E85984-6C95-4849-875D-9CBA005ECF58}" type="sibTrans" cxnId="{9A212FE0-67B7-4191-84AA-CD368FEBCD23}">
      <dgm:prSet/>
      <dgm:spPr/>
      <dgm:t>
        <a:bodyPr/>
        <a:lstStyle/>
        <a:p>
          <a:endParaRPr lang="en-US"/>
        </a:p>
      </dgm:t>
    </dgm:pt>
    <dgm:pt modelId="{76487B72-476E-4582-9426-ED84CD6E0DC9}">
      <dgm:prSet/>
      <dgm:spPr/>
      <dgm:t>
        <a:bodyPr/>
        <a:lstStyle/>
        <a:p>
          <a:r>
            <a:rPr lang="en-US"/>
            <a:t>Reduced resource utlization costs </a:t>
          </a:r>
        </a:p>
      </dgm:t>
    </dgm:pt>
    <dgm:pt modelId="{18954098-E855-49C9-B7DF-4231062A0596}" type="parTrans" cxnId="{1D85C403-53D9-47DB-86DD-9548654E97E5}">
      <dgm:prSet/>
      <dgm:spPr/>
      <dgm:t>
        <a:bodyPr/>
        <a:lstStyle/>
        <a:p>
          <a:endParaRPr lang="en-US"/>
        </a:p>
      </dgm:t>
    </dgm:pt>
    <dgm:pt modelId="{6EC2C431-1788-4600-8BBD-30E3052F839C}" type="sibTrans" cxnId="{1D85C403-53D9-47DB-86DD-9548654E97E5}">
      <dgm:prSet/>
      <dgm:spPr/>
      <dgm:t>
        <a:bodyPr/>
        <a:lstStyle/>
        <a:p>
          <a:endParaRPr lang="en-US"/>
        </a:p>
      </dgm:t>
    </dgm:pt>
    <dgm:pt modelId="{32E8267A-C6B2-4C3E-BB0C-EA49D4DBB0F1}">
      <dgm:prSet phldrT="[Text]"/>
      <dgm:spPr/>
      <dgm:t>
        <a:bodyPr/>
        <a:lstStyle/>
        <a:p>
          <a:r>
            <a:rPr lang="en-US"/>
            <a:t>Reduction in aggressive end of life care (no chemotherapy administration in last 14 days of life)</a:t>
          </a:r>
        </a:p>
      </dgm:t>
    </dgm:pt>
    <dgm:pt modelId="{9BFBD57D-B353-405D-B4FE-70CA05494326}" type="parTrans" cxnId="{85EDC066-77A7-44A6-9AAE-7B58FA4BF3FF}">
      <dgm:prSet/>
      <dgm:spPr/>
      <dgm:t>
        <a:bodyPr/>
        <a:lstStyle/>
        <a:p>
          <a:endParaRPr lang="en-US"/>
        </a:p>
      </dgm:t>
    </dgm:pt>
    <dgm:pt modelId="{98D65DE1-8945-4252-B56D-00DB718DB80E}" type="sibTrans" cxnId="{85EDC066-77A7-44A6-9AAE-7B58FA4BF3FF}">
      <dgm:prSet/>
      <dgm:spPr/>
      <dgm:t>
        <a:bodyPr/>
        <a:lstStyle/>
        <a:p>
          <a:endParaRPr lang="en-US"/>
        </a:p>
      </dgm:t>
    </dgm:pt>
    <dgm:pt modelId="{6C02059C-6616-46A2-B165-56F0ED822E84}">
      <dgm:prSet/>
      <dgm:spPr/>
      <dgm:t>
        <a:bodyPr/>
        <a:lstStyle/>
        <a:p>
          <a:r>
            <a:rPr lang="en-US"/>
            <a:t>Positive death experience</a:t>
          </a:r>
        </a:p>
      </dgm:t>
    </dgm:pt>
    <dgm:pt modelId="{925CF7F5-CED6-467C-ACAF-A7066312FFFA}" type="parTrans" cxnId="{DF9DB67F-D8AB-4404-B749-7FFA308C1209}">
      <dgm:prSet/>
      <dgm:spPr/>
      <dgm:t>
        <a:bodyPr/>
        <a:lstStyle/>
        <a:p>
          <a:endParaRPr lang="en-US"/>
        </a:p>
      </dgm:t>
    </dgm:pt>
    <dgm:pt modelId="{3866609F-35D0-479F-9483-75583C2F5D69}" type="sibTrans" cxnId="{DF9DB67F-D8AB-4404-B749-7FFA308C1209}">
      <dgm:prSet/>
      <dgm:spPr/>
      <dgm:t>
        <a:bodyPr/>
        <a:lstStyle/>
        <a:p>
          <a:endParaRPr lang="en-US"/>
        </a:p>
      </dgm:t>
    </dgm:pt>
    <dgm:pt modelId="{394C06CF-FDB1-4DA4-AB28-CDFA3A983268}" type="pres">
      <dgm:prSet presAssocID="{F75BBE9C-B2EC-4F87-A3DF-3172B1D5F08C}" presName="linearFlow" presStyleCnt="0">
        <dgm:presLayoutVars>
          <dgm:dir/>
          <dgm:animLvl val="lvl"/>
          <dgm:resizeHandles val="exact"/>
        </dgm:presLayoutVars>
      </dgm:prSet>
      <dgm:spPr/>
      <dgm:t>
        <a:bodyPr/>
        <a:lstStyle/>
        <a:p>
          <a:endParaRPr lang="en-US"/>
        </a:p>
      </dgm:t>
    </dgm:pt>
    <dgm:pt modelId="{7BA6296D-D0DE-4224-9FDA-1B289A56386E}" type="pres">
      <dgm:prSet presAssocID="{67714FBA-78C7-460A-8B1E-11DADE0FB872}" presName="composite" presStyleCnt="0"/>
      <dgm:spPr/>
    </dgm:pt>
    <dgm:pt modelId="{8A23D808-A2A0-4CC4-9ECD-2F8EFA3A7906}" type="pres">
      <dgm:prSet presAssocID="{67714FBA-78C7-460A-8B1E-11DADE0FB872}" presName="parTx" presStyleLbl="node1" presStyleIdx="0" presStyleCnt="4">
        <dgm:presLayoutVars>
          <dgm:chMax val="0"/>
          <dgm:chPref val="0"/>
          <dgm:bulletEnabled val="1"/>
        </dgm:presLayoutVars>
      </dgm:prSet>
      <dgm:spPr/>
      <dgm:t>
        <a:bodyPr/>
        <a:lstStyle/>
        <a:p>
          <a:endParaRPr lang="en-US"/>
        </a:p>
      </dgm:t>
    </dgm:pt>
    <dgm:pt modelId="{670D8F94-42F6-4E53-8BF5-33BE84756559}" type="pres">
      <dgm:prSet presAssocID="{67714FBA-78C7-460A-8B1E-11DADE0FB872}" presName="parSh" presStyleLbl="node1" presStyleIdx="0" presStyleCnt="4"/>
      <dgm:spPr/>
      <dgm:t>
        <a:bodyPr/>
        <a:lstStyle/>
        <a:p>
          <a:endParaRPr lang="en-US"/>
        </a:p>
      </dgm:t>
    </dgm:pt>
    <dgm:pt modelId="{2FD07B06-DF6F-4C81-B26A-35E3B0211249}" type="pres">
      <dgm:prSet presAssocID="{67714FBA-78C7-460A-8B1E-11DADE0FB872}" presName="desTx" presStyleLbl="fgAcc1" presStyleIdx="0" presStyleCnt="4">
        <dgm:presLayoutVars>
          <dgm:bulletEnabled val="1"/>
        </dgm:presLayoutVars>
      </dgm:prSet>
      <dgm:spPr/>
      <dgm:t>
        <a:bodyPr/>
        <a:lstStyle/>
        <a:p>
          <a:endParaRPr lang="en-US"/>
        </a:p>
      </dgm:t>
    </dgm:pt>
    <dgm:pt modelId="{B6E60CF2-80AD-41EC-8779-C730C76F5A17}" type="pres">
      <dgm:prSet presAssocID="{F98C82AB-A821-4B3D-9101-779435AC5C2D}" presName="sibTrans" presStyleLbl="sibTrans2D1" presStyleIdx="0" presStyleCnt="3"/>
      <dgm:spPr/>
      <dgm:t>
        <a:bodyPr/>
        <a:lstStyle/>
        <a:p>
          <a:endParaRPr lang="en-US"/>
        </a:p>
      </dgm:t>
    </dgm:pt>
    <dgm:pt modelId="{FFF0229D-F4BD-467C-9923-7AEF3C55BE5E}" type="pres">
      <dgm:prSet presAssocID="{F98C82AB-A821-4B3D-9101-779435AC5C2D}" presName="connTx" presStyleLbl="sibTrans2D1" presStyleIdx="0" presStyleCnt="3"/>
      <dgm:spPr/>
      <dgm:t>
        <a:bodyPr/>
        <a:lstStyle/>
        <a:p>
          <a:endParaRPr lang="en-US"/>
        </a:p>
      </dgm:t>
    </dgm:pt>
    <dgm:pt modelId="{4FEFFE99-2B16-4713-910E-B68E3EA170DA}" type="pres">
      <dgm:prSet presAssocID="{C3A205A1-AEBB-4D3A-870D-5C097735791F}" presName="composite" presStyleCnt="0"/>
      <dgm:spPr/>
    </dgm:pt>
    <dgm:pt modelId="{90CAE4C4-E432-4D26-BEEB-74AD8250A088}" type="pres">
      <dgm:prSet presAssocID="{C3A205A1-AEBB-4D3A-870D-5C097735791F}" presName="parTx" presStyleLbl="node1" presStyleIdx="0" presStyleCnt="4">
        <dgm:presLayoutVars>
          <dgm:chMax val="0"/>
          <dgm:chPref val="0"/>
          <dgm:bulletEnabled val="1"/>
        </dgm:presLayoutVars>
      </dgm:prSet>
      <dgm:spPr/>
      <dgm:t>
        <a:bodyPr/>
        <a:lstStyle/>
        <a:p>
          <a:endParaRPr lang="en-US"/>
        </a:p>
      </dgm:t>
    </dgm:pt>
    <dgm:pt modelId="{841306F8-2B95-4175-9885-7A5378A40F6A}" type="pres">
      <dgm:prSet presAssocID="{C3A205A1-AEBB-4D3A-870D-5C097735791F}" presName="parSh" presStyleLbl="node1" presStyleIdx="1" presStyleCnt="4"/>
      <dgm:spPr/>
      <dgm:t>
        <a:bodyPr/>
        <a:lstStyle/>
        <a:p>
          <a:endParaRPr lang="en-US"/>
        </a:p>
      </dgm:t>
    </dgm:pt>
    <dgm:pt modelId="{82632FFD-D84C-45F8-8BB7-245E4674634A}" type="pres">
      <dgm:prSet presAssocID="{C3A205A1-AEBB-4D3A-870D-5C097735791F}" presName="desTx" presStyleLbl="fgAcc1" presStyleIdx="1" presStyleCnt="4" custLinFactNeighborX="2092">
        <dgm:presLayoutVars>
          <dgm:bulletEnabled val="1"/>
        </dgm:presLayoutVars>
      </dgm:prSet>
      <dgm:spPr/>
      <dgm:t>
        <a:bodyPr/>
        <a:lstStyle/>
        <a:p>
          <a:endParaRPr lang="en-US"/>
        </a:p>
      </dgm:t>
    </dgm:pt>
    <dgm:pt modelId="{3AF46324-EC1E-44AB-A32A-7083CFDC79AD}" type="pres">
      <dgm:prSet presAssocID="{2D8BD42C-C665-4545-9BE4-2870F5A0F39F}" presName="sibTrans" presStyleLbl="sibTrans2D1" presStyleIdx="1" presStyleCnt="3"/>
      <dgm:spPr/>
      <dgm:t>
        <a:bodyPr/>
        <a:lstStyle/>
        <a:p>
          <a:endParaRPr lang="en-US"/>
        </a:p>
      </dgm:t>
    </dgm:pt>
    <dgm:pt modelId="{E2EC9211-1D09-4392-A8FA-3D8D7B314C05}" type="pres">
      <dgm:prSet presAssocID="{2D8BD42C-C665-4545-9BE4-2870F5A0F39F}" presName="connTx" presStyleLbl="sibTrans2D1" presStyleIdx="1" presStyleCnt="3"/>
      <dgm:spPr/>
      <dgm:t>
        <a:bodyPr/>
        <a:lstStyle/>
        <a:p>
          <a:endParaRPr lang="en-US"/>
        </a:p>
      </dgm:t>
    </dgm:pt>
    <dgm:pt modelId="{47923405-CE35-4C69-9632-9DF11B772106}" type="pres">
      <dgm:prSet presAssocID="{E98F78F6-7C9D-44B9-93EC-D294CBCA1E97}" presName="composite" presStyleCnt="0"/>
      <dgm:spPr/>
    </dgm:pt>
    <dgm:pt modelId="{021C829E-1D97-4BBA-A917-581FAC4576AD}" type="pres">
      <dgm:prSet presAssocID="{E98F78F6-7C9D-44B9-93EC-D294CBCA1E97}" presName="parTx" presStyleLbl="node1" presStyleIdx="1" presStyleCnt="4">
        <dgm:presLayoutVars>
          <dgm:chMax val="0"/>
          <dgm:chPref val="0"/>
          <dgm:bulletEnabled val="1"/>
        </dgm:presLayoutVars>
      </dgm:prSet>
      <dgm:spPr/>
      <dgm:t>
        <a:bodyPr/>
        <a:lstStyle/>
        <a:p>
          <a:endParaRPr lang="en-US"/>
        </a:p>
      </dgm:t>
    </dgm:pt>
    <dgm:pt modelId="{9DB07F60-C3D9-49E8-A03F-E04D7FFB1870}" type="pres">
      <dgm:prSet presAssocID="{E98F78F6-7C9D-44B9-93EC-D294CBCA1E97}" presName="parSh" presStyleLbl="node1" presStyleIdx="2" presStyleCnt="4"/>
      <dgm:spPr/>
      <dgm:t>
        <a:bodyPr/>
        <a:lstStyle/>
        <a:p>
          <a:endParaRPr lang="en-US"/>
        </a:p>
      </dgm:t>
    </dgm:pt>
    <dgm:pt modelId="{85533683-E71A-4291-AB5D-8033AE22F0E4}" type="pres">
      <dgm:prSet presAssocID="{E98F78F6-7C9D-44B9-93EC-D294CBCA1E97}" presName="desTx" presStyleLbl="fgAcc1" presStyleIdx="2" presStyleCnt="4">
        <dgm:presLayoutVars>
          <dgm:bulletEnabled val="1"/>
        </dgm:presLayoutVars>
      </dgm:prSet>
      <dgm:spPr/>
      <dgm:t>
        <a:bodyPr/>
        <a:lstStyle/>
        <a:p>
          <a:endParaRPr lang="en-US"/>
        </a:p>
      </dgm:t>
    </dgm:pt>
    <dgm:pt modelId="{09E906E6-DD47-4518-B6FD-E27BC050ED11}" type="pres">
      <dgm:prSet presAssocID="{3B041469-E05A-4411-B10F-4A407BA5CE09}" presName="sibTrans" presStyleLbl="sibTrans2D1" presStyleIdx="2" presStyleCnt="3"/>
      <dgm:spPr/>
      <dgm:t>
        <a:bodyPr/>
        <a:lstStyle/>
        <a:p>
          <a:endParaRPr lang="en-US"/>
        </a:p>
      </dgm:t>
    </dgm:pt>
    <dgm:pt modelId="{A96E8F49-9494-4EFA-8DF8-6C7923528BF5}" type="pres">
      <dgm:prSet presAssocID="{3B041469-E05A-4411-B10F-4A407BA5CE09}" presName="connTx" presStyleLbl="sibTrans2D1" presStyleIdx="2" presStyleCnt="3"/>
      <dgm:spPr/>
      <dgm:t>
        <a:bodyPr/>
        <a:lstStyle/>
        <a:p>
          <a:endParaRPr lang="en-US"/>
        </a:p>
      </dgm:t>
    </dgm:pt>
    <dgm:pt modelId="{B290C8F1-B7C0-4B9F-AB2F-12AD6DEDB836}" type="pres">
      <dgm:prSet presAssocID="{159095B5-0EB1-4DA5-BFD0-26EE09EE74B6}" presName="composite" presStyleCnt="0"/>
      <dgm:spPr/>
    </dgm:pt>
    <dgm:pt modelId="{0878F931-B542-4188-894F-965A5F015C21}" type="pres">
      <dgm:prSet presAssocID="{159095B5-0EB1-4DA5-BFD0-26EE09EE74B6}" presName="parTx" presStyleLbl="node1" presStyleIdx="2" presStyleCnt="4">
        <dgm:presLayoutVars>
          <dgm:chMax val="0"/>
          <dgm:chPref val="0"/>
          <dgm:bulletEnabled val="1"/>
        </dgm:presLayoutVars>
      </dgm:prSet>
      <dgm:spPr/>
      <dgm:t>
        <a:bodyPr/>
        <a:lstStyle/>
        <a:p>
          <a:endParaRPr lang="en-US"/>
        </a:p>
      </dgm:t>
    </dgm:pt>
    <dgm:pt modelId="{2D13A5CF-B1C4-49D7-961F-789C81B67F51}" type="pres">
      <dgm:prSet presAssocID="{159095B5-0EB1-4DA5-BFD0-26EE09EE74B6}" presName="parSh" presStyleLbl="node1" presStyleIdx="3" presStyleCnt="4"/>
      <dgm:spPr/>
      <dgm:t>
        <a:bodyPr/>
        <a:lstStyle/>
        <a:p>
          <a:endParaRPr lang="en-US"/>
        </a:p>
      </dgm:t>
    </dgm:pt>
    <dgm:pt modelId="{B9E4B143-DC36-4EC8-BE0A-DC8B58DCBEF3}" type="pres">
      <dgm:prSet presAssocID="{159095B5-0EB1-4DA5-BFD0-26EE09EE74B6}" presName="desTx" presStyleLbl="fgAcc1" presStyleIdx="3" presStyleCnt="4">
        <dgm:presLayoutVars>
          <dgm:bulletEnabled val="1"/>
        </dgm:presLayoutVars>
      </dgm:prSet>
      <dgm:spPr/>
      <dgm:t>
        <a:bodyPr/>
        <a:lstStyle/>
        <a:p>
          <a:endParaRPr lang="en-US"/>
        </a:p>
      </dgm:t>
    </dgm:pt>
  </dgm:ptLst>
  <dgm:cxnLst>
    <dgm:cxn modelId="{1862751C-BAE4-4201-9F2F-CF81AEC84C9E}" type="presOf" srcId="{F75BBE9C-B2EC-4F87-A3DF-3172B1D5F08C}" destId="{394C06CF-FDB1-4DA4-AB28-CDFA3A983268}" srcOrd="0" destOrd="0" presId="urn:microsoft.com/office/officeart/2005/8/layout/process3"/>
    <dgm:cxn modelId="{81925853-FB97-440C-A247-E4A4E5EDF01C}" type="presOf" srcId="{6C02059C-6616-46A2-B165-56F0ED822E84}" destId="{B9E4B143-DC36-4EC8-BE0A-DC8B58DCBEF3}" srcOrd="0" destOrd="0" presId="urn:microsoft.com/office/officeart/2005/8/layout/process3"/>
    <dgm:cxn modelId="{4C796BD7-7569-472B-A885-C691739A428E}" type="presOf" srcId="{159095B5-0EB1-4DA5-BFD0-26EE09EE74B6}" destId="{0878F931-B542-4188-894F-965A5F015C21}" srcOrd="0" destOrd="0" presId="urn:microsoft.com/office/officeart/2005/8/layout/process3"/>
    <dgm:cxn modelId="{E36AFC23-86F2-4C9F-A57F-57964A6444C1}" type="presOf" srcId="{500D0A91-5A18-4FCC-BF40-C17A640662F9}" destId="{85533683-E71A-4291-AB5D-8033AE22F0E4}" srcOrd="0" destOrd="2" presId="urn:microsoft.com/office/officeart/2005/8/layout/process3"/>
    <dgm:cxn modelId="{C373657A-3A4F-4E91-9A79-B3C925839C5B}" srcId="{C3A205A1-AEBB-4D3A-870D-5C097735791F}" destId="{A7092C24-D297-4C7A-A6D7-4046EBCB9F2E}" srcOrd="0" destOrd="0" parTransId="{55573EC5-3F1A-4443-82E1-D7470B507387}" sibTransId="{101B51E0-BB6F-4412-AD0B-DDCFF06D583C}"/>
    <dgm:cxn modelId="{317508E5-EDE0-49C0-8571-358CAA2C3BE7}" type="presOf" srcId="{100177F5-651B-4EA5-A4DC-A346B9DDEC7F}" destId="{2FD07B06-DF6F-4C81-B26A-35E3B0211249}" srcOrd="0" destOrd="0" presId="urn:microsoft.com/office/officeart/2005/8/layout/process3"/>
    <dgm:cxn modelId="{1D85C403-53D9-47DB-86DD-9548654E97E5}" srcId="{159095B5-0EB1-4DA5-BFD0-26EE09EE74B6}" destId="{76487B72-476E-4582-9426-ED84CD6E0DC9}" srcOrd="2" destOrd="0" parTransId="{18954098-E855-49C9-B7DF-4231062A0596}" sibTransId="{6EC2C431-1788-4600-8BBD-30E3052F839C}"/>
    <dgm:cxn modelId="{5349D320-0B76-486D-996E-4BA0484C3BA8}" type="presOf" srcId="{E98F78F6-7C9D-44B9-93EC-D294CBCA1E97}" destId="{9DB07F60-C3D9-49E8-A03F-E04D7FFB1870}" srcOrd="1" destOrd="0" presId="urn:microsoft.com/office/officeart/2005/8/layout/process3"/>
    <dgm:cxn modelId="{F74820D1-88E1-460F-B514-093BCD4A3641}" type="presOf" srcId="{F98C82AB-A821-4B3D-9101-779435AC5C2D}" destId="{FFF0229D-F4BD-467C-9923-7AEF3C55BE5E}" srcOrd="1" destOrd="0" presId="urn:microsoft.com/office/officeart/2005/8/layout/process3"/>
    <dgm:cxn modelId="{188A4542-6FB8-476B-BB98-7A672BF184D5}" type="presOf" srcId="{159095B5-0EB1-4DA5-BFD0-26EE09EE74B6}" destId="{2D13A5CF-B1C4-49D7-961F-789C81B67F51}" srcOrd="1" destOrd="0" presId="urn:microsoft.com/office/officeart/2005/8/layout/process3"/>
    <dgm:cxn modelId="{DD2787E5-D515-4B66-99C9-E3F84E9179EA}" srcId="{E98F78F6-7C9D-44B9-93EC-D294CBCA1E97}" destId="{3F834E6C-9050-49BB-B261-075AF7CB6FA4}" srcOrd="1" destOrd="0" parTransId="{282FA513-3B74-4975-8EAD-7C9F7AF99DF3}" sibTransId="{7DC5B3A0-427E-4A58-9907-24CF14F54B3F}"/>
    <dgm:cxn modelId="{0B7DD541-7ACE-4D04-AAC3-E2FE271A117D}" srcId="{67714FBA-78C7-460A-8B1E-11DADE0FB872}" destId="{100177F5-651B-4EA5-A4DC-A346B9DDEC7F}" srcOrd="0" destOrd="0" parTransId="{54F561CF-38C7-402F-BFA5-711B92D37427}" sibTransId="{77E00BDE-26A5-49A3-B826-89EE61DA21F6}"/>
    <dgm:cxn modelId="{47E142C7-5F47-4F70-AEB4-1E9551FD8C74}" type="presOf" srcId="{32E8267A-C6B2-4C3E-BB0C-EA49D4DBB0F1}" destId="{82632FFD-D84C-45F8-8BB7-245E4674634A}" srcOrd="0" destOrd="1" presId="urn:microsoft.com/office/officeart/2005/8/layout/process3"/>
    <dgm:cxn modelId="{85EDC066-77A7-44A6-9AAE-7B58FA4BF3FF}" srcId="{C3A205A1-AEBB-4D3A-870D-5C097735791F}" destId="{32E8267A-C6B2-4C3E-BB0C-EA49D4DBB0F1}" srcOrd="1" destOrd="0" parTransId="{9BFBD57D-B353-405D-B4FE-70CA05494326}" sibTransId="{98D65DE1-8945-4252-B56D-00DB718DB80E}"/>
    <dgm:cxn modelId="{FEF6157F-A6C7-42BC-A5F9-81DCE946009E}" srcId="{E98F78F6-7C9D-44B9-93EC-D294CBCA1E97}" destId="{5A9A5102-CEFB-4F67-B9B6-066F18551051}" srcOrd="0" destOrd="0" parTransId="{5D8C5012-B379-4080-A406-8AC788165C3F}" sibTransId="{08AE07C9-912D-4924-B891-5AD4AAD3FBD1}"/>
    <dgm:cxn modelId="{C88DAB25-C596-495C-8E1F-ADEB0B99AC71}" type="presOf" srcId="{F98C82AB-A821-4B3D-9101-779435AC5C2D}" destId="{B6E60CF2-80AD-41EC-8779-C730C76F5A17}" srcOrd="0" destOrd="0" presId="urn:microsoft.com/office/officeart/2005/8/layout/process3"/>
    <dgm:cxn modelId="{704EEBEE-7B6C-4945-BF6A-B5A482F0A2F9}" type="presOf" srcId="{C3A205A1-AEBB-4D3A-870D-5C097735791F}" destId="{90CAE4C4-E432-4D26-BEEB-74AD8250A088}" srcOrd="0" destOrd="0" presId="urn:microsoft.com/office/officeart/2005/8/layout/process3"/>
    <dgm:cxn modelId="{61B8176F-5E9F-4608-BA65-1814650FF9A8}" srcId="{F75BBE9C-B2EC-4F87-A3DF-3172B1D5F08C}" destId="{67714FBA-78C7-460A-8B1E-11DADE0FB872}" srcOrd="0" destOrd="0" parTransId="{01880FCA-07A0-4D91-8663-BB85D0CAFFFD}" sibTransId="{F98C82AB-A821-4B3D-9101-779435AC5C2D}"/>
    <dgm:cxn modelId="{3417B903-C120-4226-96BE-B86FF4742BFE}" type="presOf" srcId="{5A9A5102-CEFB-4F67-B9B6-066F18551051}" destId="{85533683-E71A-4291-AB5D-8033AE22F0E4}" srcOrd="0" destOrd="0" presId="urn:microsoft.com/office/officeart/2005/8/layout/process3"/>
    <dgm:cxn modelId="{B9499A07-6B33-492B-8577-F38E19EC0AB1}" srcId="{F75BBE9C-B2EC-4F87-A3DF-3172B1D5F08C}" destId="{E98F78F6-7C9D-44B9-93EC-D294CBCA1E97}" srcOrd="2" destOrd="0" parTransId="{A63BA0ED-545E-4005-B209-F648A89F4601}" sibTransId="{3B041469-E05A-4411-B10F-4A407BA5CE09}"/>
    <dgm:cxn modelId="{CBB85E4A-8680-4E59-9422-3DF80C3BC5A9}" srcId="{E98F78F6-7C9D-44B9-93EC-D294CBCA1E97}" destId="{500D0A91-5A18-4FCC-BF40-C17A640662F9}" srcOrd="2" destOrd="0" parTransId="{E18C0ACB-5C66-46AE-A436-F746E5ED4458}" sibTransId="{E3184BD4-AB47-448F-A2FB-4D0025486581}"/>
    <dgm:cxn modelId="{329D0FDA-2E51-450C-8A88-DF40EB15409F}" type="presOf" srcId="{3B041469-E05A-4411-B10F-4A407BA5CE09}" destId="{A96E8F49-9494-4EFA-8DF8-6C7923528BF5}" srcOrd="1" destOrd="0" presId="urn:microsoft.com/office/officeart/2005/8/layout/process3"/>
    <dgm:cxn modelId="{534E153B-5863-4CA3-9649-8D6FB7B6EC4F}" type="presOf" srcId="{76487B72-476E-4582-9426-ED84CD6E0DC9}" destId="{B9E4B143-DC36-4EC8-BE0A-DC8B58DCBEF3}" srcOrd="0" destOrd="2" presId="urn:microsoft.com/office/officeart/2005/8/layout/process3"/>
    <dgm:cxn modelId="{0DDDC371-2C1C-4C58-8B86-09AF6CB041F9}" type="presOf" srcId="{3B041469-E05A-4411-B10F-4A407BA5CE09}" destId="{09E906E6-DD47-4518-B6FD-E27BC050ED11}" srcOrd="0" destOrd="0" presId="urn:microsoft.com/office/officeart/2005/8/layout/process3"/>
    <dgm:cxn modelId="{94963D69-22FF-46E6-8F7A-745A4F7EB8D4}" type="presOf" srcId="{E98F78F6-7C9D-44B9-93EC-D294CBCA1E97}" destId="{021C829E-1D97-4BBA-A917-581FAC4576AD}" srcOrd="0" destOrd="0" presId="urn:microsoft.com/office/officeart/2005/8/layout/process3"/>
    <dgm:cxn modelId="{4A09CF68-EC63-4248-86C8-87CF95CA641B}" type="presOf" srcId="{C3A205A1-AEBB-4D3A-870D-5C097735791F}" destId="{841306F8-2B95-4175-9885-7A5378A40F6A}" srcOrd="1" destOrd="0" presId="urn:microsoft.com/office/officeart/2005/8/layout/process3"/>
    <dgm:cxn modelId="{EB446882-03F0-4A7C-8F03-563E21FE5C6E}" type="presOf" srcId="{2D8BD42C-C665-4545-9BE4-2870F5A0F39F}" destId="{E2EC9211-1D09-4392-A8FA-3D8D7B314C05}" srcOrd="1" destOrd="0" presId="urn:microsoft.com/office/officeart/2005/8/layout/process3"/>
    <dgm:cxn modelId="{5668C9E9-97D4-4DC3-B140-FF86CDA845BC}" type="presOf" srcId="{2D8BD42C-C665-4545-9BE4-2870F5A0F39F}" destId="{3AF46324-EC1E-44AB-A32A-7083CFDC79AD}" srcOrd="0" destOrd="0" presId="urn:microsoft.com/office/officeart/2005/8/layout/process3"/>
    <dgm:cxn modelId="{E282BBA6-E4F4-47A2-8E98-BED8398AD7EE}" type="presOf" srcId="{A7092C24-D297-4C7A-A6D7-4046EBCB9F2E}" destId="{82632FFD-D84C-45F8-8BB7-245E4674634A}" srcOrd="0" destOrd="0" presId="urn:microsoft.com/office/officeart/2005/8/layout/process3"/>
    <dgm:cxn modelId="{35DA9F89-DF5D-409B-BABD-6CE70AC09D49}" type="presOf" srcId="{3F834E6C-9050-49BB-B261-075AF7CB6FA4}" destId="{85533683-E71A-4291-AB5D-8033AE22F0E4}" srcOrd="0" destOrd="1" presId="urn:microsoft.com/office/officeart/2005/8/layout/process3"/>
    <dgm:cxn modelId="{4826D17D-9A82-45C4-8369-7EFCDA8DE0D6}" srcId="{F75BBE9C-B2EC-4F87-A3DF-3172B1D5F08C}" destId="{C3A205A1-AEBB-4D3A-870D-5C097735791F}" srcOrd="1" destOrd="0" parTransId="{8FD9A7E0-2C27-451A-9F81-2ADAAC6DB82A}" sibTransId="{2D8BD42C-C665-4545-9BE4-2870F5A0F39F}"/>
    <dgm:cxn modelId="{C5B5717C-5786-461E-A894-EE1511426A8A}" type="presOf" srcId="{19A498A8-C595-4B0B-99E1-ED75986991D2}" destId="{B9E4B143-DC36-4EC8-BE0A-DC8B58DCBEF3}" srcOrd="0" destOrd="1" presId="urn:microsoft.com/office/officeart/2005/8/layout/process3"/>
    <dgm:cxn modelId="{9A212FE0-67B7-4191-84AA-CD368FEBCD23}" srcId="{159095B5-0EB1-4DA5-BFD0-26EE09EE74B6}" destId="{19A498A8-C595-4B0B-99E1-ED75986991D2}" srcOrd="1" destOrd="0" parTransId="{87E595E7-3C8E-40BD-BC4D-CFBA4F2135D3}" sibTransId="{19E85984-6C95-4849-875D-9CBA005ECF58}"/>
    <dgm:cxn modelId="{DF9DB67F-D8AB-4404-B749-7FFA308C1209}" srcId="{159095B5-0EB1-4DA5-BFD0-26EE09EE74B6}" destId="{6C02059C-6616-46A2-B165-56F0ED822E84}" srcOrd="0" destOrd="0" parTransId="{925CF7F5-CED6-467C-ACAF-A7066312FFFA}" sibTransId="{3866609F-35D0-479F-9483-75583C2F5D69}"/>
    <dgm:cxn modelId="{4C57EC0B-430E-4ECB-96B1-8102EB57F48A}" srcId="{F75BBE9C-B2EC-4F87-A3DF-3172B1D5F08C}" destId="{159095B5-0EB1-4DA5-BFD0-26EE09EE74B6}" srcOrd="3" destOrd="0" parTransId="{9B485AAC-4A7F-4789-AF2B-33A0CC440E5D}" sibTransId="{88C08753-6265-497C-A833-5B350472D582}"/>
    <dgm:cxn modelId="{035AE356-E529-4D3A-A4CF-7E2BA7A83D64}" type="presOf" srcId="{67714FBA-78C7-460A-8B1E-11DADE0FB872}" destId="{8A23D808-A2A0-4CC4-9ECD-2F8EFA3A7906}" srcOrd="0" destOrd="0" presId="urn:microsoft.com/office/officeart/2005/8/layout/process3"/>
    <dgm:cxn modelId="{7855628D-F341-4478-9700-0C07D974DD64}" type="presOf" srcId="{67714FBA-78C7-460A-8B1E-11DADE0FB872}" destId="{670D8F94-42F6-4E53-8BF5-33BE84756559}" srcOrd="1" destOrd="0" presId="urn:microsoft.com/office/officeart/2005/8/layout/process3"/>
    <dgm:cxn modelId="{B4DE55F2-2065-4788-8DF5-4A690B6B29FA}" type="presParOf" srcId="{394C06CF-FDB1-4DA4-AB28-CDFA3A983268}" destId="{7BA6296D-D0DE-4224-9FDA-1B289A56386E}" srcOrd="0" destOrd="0" presId="urn:microsoft.com/office/officeart/2005/8/layout/process3"/>
    <dgm:cxn modelId="{74840B68-DEC3-47FC-AC13-0AF6FED5B15F}" type="presParOf" srcId="{7BA6296D-D0DE-4224-9FDA-1B289A56386E}" destId="{8A23D808-A2A0-4CC4-9ECD-2F8EFA3A7906}" srcOrd="0" destOrd="0" presId="urn:microsoft.com/office/officeart/2005/8/layout/process3"/>
    <dgm:cxn modelId="{4218DE0A-C23C-4595-B66A-E7F485BEC2D5}" type="presParOf" srcId="{7BA6296D-D0DE-4224-9FDA-1B289A56386E}" destId="{670D8F94-42F6-4E53-8BF5-33BE84756559}" srcOrd="1" destOrd="0" presId="urn:microsoft.com/office/officeart/2005/8/layout/process3"/>
    <dgm:cxn modelId="{CC6E5756-B341-466D-B5E6-88A8ABD6FE8C}" type="presParOf" srcId="{7BA6296D-D0DE-4224-9FDA-1B289A56386E}" destId="{2FD07B06-DF6F-4C81-B26A-35E3B0211249}" srcOrd="2" destOrd="0" presId="urn:microsoft.com/office/officeart/2005/8/layout/process3"/>
    <dgm:cxn modelId="{A658E108-CE32-44C3-9FA5-12DB23871283}" type="presParOf" srcId="{394C06CF-FDB1-4DA4-AB28-CDFA3A983268}" destId="{B6E60CF2-80AD-41EC-8779-C730C76F5A17}" srcOrd="1" destOrd="0" presId="urn:microsoft.com/office/officeart/2005/8/layout/process3"/>
    <dgm:cxn modelId="{094BAF7C-DC24-4C93-8A53-A9F91682D846}" type="presParOf" srcId="{B6E60CF2-80AD-41EC-8779-C730C76F5A17}" destId="{FFF0229D-F4BD-467C-9923-7AEF3C55BE5E}" srcOrd="0" destOrd="0" presId="urn:microsoft.com/office/officeart/2005/8/layout/process3"/>
    <dgm:cxn modelId="{8DC90043-9113-46A7-A550-86AF0A55B3BB}" type="presParOf" srcId="{394C06CF-FDB1-4DA4-AB28-CDFA3A983268}" destId="{4FEFFE99-2B16-4713-910E-B68E3EA170DA}" srcOrd="2" destOrd="0" presId="urn:microsoft.com/office/officeart/2005/8/layout/process3"/>
    <dgm:cxn modelId="{9C3BB231-94F9-4D57-B7AA-B422D944386B}" type="presParOf" srcId="{4FEFFE99-2B16-4713-910E-B68E3EA170DA}" destId="{90CAE4C4-E432-4D26-BEEB-74AD8250A088}" srcOrd="0" destOrd="0" presId="urn:microsoft.com/office/officeart/2005/8/layout/process3"/>
    <dgm:cxn modelId="{5E942456-5045-4A84-B566-2092D1EB13B9}" type="presParOf" srcId="{4FEFFE99-2B16-4713-910E-B68E3EA170DA}" destId="{841306F8-2B95-4175-9885-7A5378A40F6A}" srcOrd="1" destOrd="0" presId="urn:microsoft.com/office/officeart/2005/8/layout/process3"/>
    <dgm:cxn modelId="{C5C05A2F-7B3D-47AF-8416-943B4A4F2C29}" type="presParOf" srcId="{4FEFFE99-2B16-4713-910E-B68E3EA170DA}" destId="{82632FFD-D84C-45F8-8BB7-245E4674634A}" srcOrd="2" destOrd="0" presId="urn:microsoft.com/office/officeart/2005/8/layout/process3"/>
    <dgm:cxn modelId="{ACB1D7BC-187C-4A99-9085-A3F02EE8E626}" type="presParOf" srcId="{394C06CF-FDB1-4DA4-AB28-CDFA3A983268}" destId="{3AF46324-EC1E-44AB-A32A-7083CFDC79AD}" srcOrd="3" destOrd="0" presId="urn:microsoft.com/office/officeart/2005/8/layout/process3"/>
    <dgm:cxn modelId="{613AD111-9B89-4AEC-B491-290DBCA1CF28}" type="presParOf" srcId="{3AF46324-EC1E-44AB-A32A-7083CFDC79AD}" destId="{E2EC9211-1D09-4392-A8FA-3D8D7B314C05}" srcOrd="0" destOrd="0" presId="urn:microsoft.com/office/officeart/2005/8/layout/process3"/>
    <dgm:cxn modelId="{A90086D0-517F-417D-99E9-B889933BE85A}" type="presParOf" srcId="{394C06CF-FDB1-4DA4-AB28-CDFA3A983268}" destId="{47923405-CE35-4C69-9632-9DF11B772106}" srcOrd="4" destOrd="0" presId="urn:microsoft.com/office/officeart/2005/8/layout/process3"/>
    <dgm:cxn modelId="{43642A22-D1C2-44FE-8248-32522734B64D}" type="presParOf" srcId="{47923405-CE35-4C69-9632-9DF11B772106}" destId="{021C829E-1D97-4BBA-A917-581FAC4576AD}" srcOrd="0" destOrd="0" presId="urn:microsoft.com/office/officeart/2005/8/layout/process3"/>
    <dgm:cxn modelId="{A1D876B9-3F95-4413-AD46-91C5567E6159}" type="presParOf" srcId="{47923405-CE35-4C69-9632-9DF11B772106}" destId="{9DB07F60-C3D9-49E8-A03F-E04D7FFB1870}" srcOrd="1" destOrd="0" presId="urn:microsoft.com/office/officeart/2005/8/layout/process3"/>
    <dgm:cxn modelId="{01CAEFA7-2BD6-4EBA-B029-3BA697D5CC5D}" type="presParOf" srcId="{47923405-CE35-4C69-9632-9DF11B772106}" destId="{85533683-E71A-4291-AB5D-8033AE22F0E4}" srcOrd="2" destOrd="0" presId="urn:microsoft.com/office/officeart/2005/8/layout/process3"/>
    <dgm:cxn modelId="{D7F89EBC-00A0-4CDA-B4A9-8CE892AA3B4D}" type="presParOf" srcId="{394C06CF-FDB1-4DA4-AB28-CDFA3A983268}" destId="{09E906E6-DD47-4518-B6FD-E27BC050ED11}" srcOrd="5" destOrd="0" presId="urn:microsoft.com/office/officeart/2005/8/layout/process3"/>
    <dgm:cxn modelId="{FDBEA1BE-D98A-42E9-A589-7F99705539B6}" type="presParOf" srcId="{09E906E6-DD47-4518-B6FD-E27BC050ED11}" destId="{A96E8F49-9494-4EFA-8DF8-6C7923528BF5}" srcOrd="0" destOrd="0" presId="urn:microsoft.com/office/officeart/2005/8/layout/process3"/>
    <dgm:cxn modelId="{F0D9C141-C61C-4A02-8751-B8A266A94166}" type="presParOf" srcId="{394C06CF-FDB1-4DA4-AB28-CDFA3A983268}" destId="{B290C8F1-B7C0-4B9F-AB2F-12AD6DEDB836}" srcOrd="6" destOrd="0" presId="urn:microsoft.com/office/officeart/2005/8/layout/process3"/>
    <dgm:cxn modelId="{6928AEA4-8496-4F09-AC18-2111FA64CA71}" type="presParOf" srcId="{B290C8F1-B7C0-4B9F-AB2F-12AD6DEDB836}" destId="{0878F931-B542-4188-894F-965A5F015C21}" srcOrd="0" destOrd="0" presId="urn:microsoft.com/office/officeart/2005/8/layout/process3"/>
    <dgm:cxn modelId="{58C761CF-F333-4F02-940F-55A26B73D795}" type="presParOf" srcId="{B290C8F1-B7C0-4B9F-AB2F-12AD6DEDB836}" destId="{2D13A5CF-B1C4-49D7-961F-789C81B67F51}" srcOrd="1" destOrd="0" presId="urn:microsoft.com/office/officeart/2005/8/layout/process3"/>
    <dgm:cxn modelId="{FCF2D78D-6FFF-4904-9C4E-6FE38248D14C}" type="presParOf" srcId="{B290C8F1-B7C0-4B9F-AB2F-12AD6DEDB836}" destId="{B9E4B143-DC36-4EC8-BE0A-DC8B58DCBEF3}" srcOrd="2" destOrd="0" presId="urn:microsoft.com/office/officeart/2005/8/layout/process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0D8F94-42F6-4E53-8BF5-33BE84756559}">
      <dsp:nvSpPr>
        <dsp:cNvPr id="0" name=""/>
        <dsp:cNvSpPr/>
      </dsp:nvSpPr>
      <dsp:spPr>
        <a:xfrm>
          <a:off x="784" y="743777"/>
          <a:ext cx="986396" cy="46871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n-US" sz="800" kern="1200"/>
            <a:t>Target Population</a:t>
          </a:r>
        </a:p>
      </dsp:txBody>
      <dsp:txXfrm>
        <a:off x="784" y="743777"/>
        <a:ext cx="986396" cy="312479"/>
      </dsp:txXfrm>
    </dsp:sp>
    <dsp:sp modelId="{2FD07B06-DF6F-4C81-B26A-35E3B0211249}">
      <dsp:nvSpPr>
        <dsp:cNvPr id="0" name=""/>
        <dsp:cNvSpPr/>
      </dsp:nvSpPr>
      <dsp:spPr>
        <a:xfrm>
          <a:off x="202818" y="1056257"/>
          <a:ext cx="986396" cy="13248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t>Cancer patients at the end of life </a:t>
          </a:r>
        </a:p>
      </dsp:txBody>
      <dsp:txXfrm>
        <a:off x="231709" y="1085148"/>
        <a:ext cx="928614" cy="1267018"/>
      </dsp:txXfrm>
    </dsp:sp>
    <dsp:sp modelId="{B6E60CF2-80AD-41EC-8779-C730C76F5A17}">
      <dsp:nvSpPr>
        <dsp:cNvPr id="0" name=""/>
        <dsp:cNvSpPr/>
      </dsp:nvSpPr>
      <dsp:spPr>
        <a:xfrm>
          <a:off x="1136715" y="777225"/>
          <a:ext cx="317012" cy="24558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1136715" y="826342"/>
        <a:ext cx="243337" cy="147350"/>
      </dsp:txXfrm>
    </dsp:sp>
    <dsp:sp modelId="{841306F8-2B95-4175-9885-7A5378A40F6A}">
      <dsp:nvSpPr>
        <dsp:cNvPr id="0" name=""/>
        <dsp:cNvSpPr/>
      </dsp:nvSpPr>
      <dsp:spPr>
        <a:xfrm>
          <a:off x="1585318" y="743777"/>
          <a:ext cx="986396" cy="46871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n-US" sz="800" kern="1200"/>
            <a:t>Process</a:t>
          </a:r>
        </a:p>
      </dsp:txBody>
      <dsp:txXfrm>
        <a:off x="1585318" y="743777"/>
        <a:ext cx="986396" cy="312479"/>
      </dsp:txXfrm>
    </dsp:sp>
    <dsp:sp modelId="{82632FFD-D84C-45F8-8BB7-245E4674634A}">
      <dsp:nvSpPr>
        <dsp:cNvPr id="0" name=""/>
        <dsp:cNvSpPr/>
      </dsp:nvSpPr>
      <dsp:spPr>
        <a:xfrm>
          <a:off x="1807986" y="1056257"/>
          <a:ext cx="986396" cy="13248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t>Enrollment in palliative care/hospice</a:t>
          </a:r>
        </a:p>
        <a:p>
          <a:pPr marL="57150" lvl="1" indent="-57150" algn="l" defTabSz="355600">
            <a:lnSpc>
              <a:spcPct val="90000"/>
            </a:lnSpc>
            <a:spcBef>
              <a:spcPct val="0"/>
            </a:spcBef>
            <a:spcAft>
              <a:spcPct val="15000"/>
            </a:spcAft>
            <a:buChar char="••"/>
          </a:pPr>
          <a:r>
            <a:rPr lang="en-US" sz="800" kern="1200"/>
            <a:t>Reduction in aggressive end of life care (no chemotherapy administration in last 14 days of life)</a:t>
          </a:r>
        </a:p>
      </dsp:txBody>
      <dsp:txXfrm>
        <a:off x="1836877" y="1085148"/>
        <a:ext cx="928614" cy="1267018"/>
      </dsp:txXfrm>
    </dsp:sp>
    <dsp:sp modelId="{3AF46324-EC1E-44AB-A32A-7083CFDC79AD}">
      <dsp:nvSpPr>
        <dsp:cNvPr id="0" name=""/>
        <dsp:cNvSpPr/>
      </dsp:nvSpPr>
      <dsp:spPr>
        <a:xfrm>
          <a:off x="2721249" y="777225"/>
          <a:ext cx="317012" cy="24558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721249" y="826342"/>
        <a:ext cx="243337" cy="147350"/>
      </dsp:txXfrm>
    </dsp:sp>
    <dsp:sp modelId="{9DB07F60-C3D9-49E8-A03F-E04D7FFB1870}">
      <dsp:nvSpPr>
        <dsp:cNvPr id="0" name=""/>
        <dsp:cNvSpPr/>
      </dsp:nvSpPr>
      <dsp:spPr>
        <a:xfrm>
          <a:off x="3169851" y="743777"/>
          <a:ext cx="986396" cy="46871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n-US" sz="800" kern="1200"/>
            <a:t>Intermediate Outcome</a:t>
          </a:r>
        </a:p>
      </dsp:txBody>
      <dsp:txXfrm>
        <a:off x="3169851" y="743777"/>
        <a:ext cx="986396" cy="312479"/>
      </dsp:txXfrm>
    </dsp:sp>
    <dsp:sp modelId="{85533683-E71A-4291-AB5D-8033AE22F0E4}">
      <dsp:nvSpPr>
        <dsp:cNvPr id="0" name=""/>
        <dsp:cNvSpPr/>
      </dsp:nvSpPr>
      <dsp:spPr>
        <a:xfrm>
          <a:off x="3371884" y="1056257"/>
          <a:ext cx="986396" cy="13248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t>Reduction in ED visits</a:t>
          </a:r>
        </a:p>
        <a:p>
          <a:pPr marL="57150" lvl="1" indent="-57150" algn="l" defTabSz="355600">
            <a:lnSpc>
              <a:spcPct val="90000"/>
            </a:lnSpc>
            <a:spcBef>
              <a:spcPct val="0"/>
            </a:spcBef>
            <a:spcAft>
              <a:spcPct val="15000"/>
            </a:spcAft>
            <a:buChar char="••"/>
          </a:pPr>
          <a:r>
            <a:rPr lang="en-US" sz="800" kern="1200"/>
            <a:t>Reduction in  ICU visits</a:t>
          </a:r>
        </a:p>
        <a:p>
          <a:pPr marL="57150" lvl="1" indent="-57150" algn="l" defTabSz="355600">
            <a:lnSpc>
              <a:spcPct val="90000"/>
            </a:lnSpc>
            <a:spcBef>
              <a:spcPct val="0"/>
            </a:spcBef>
            <a:spcAft>
              <a:spcPct val="15000"/>
            </a:spcAft>
            <a:buChar char="••"/>
          </a:pPr>
          <a:r>
            <a:rPr lang="en-US" sz="800" kern="1200"/>
            <a:t>Reduction of deaths that occur in hospital</a:t>
          </a:r>
        </a:p>
      </dsp:txBody>
      <dsp:txXfrm>
        <a:off x="3400775" y="1085148"/>
        <a:ext cx="928614" cy="1267018"/>
      </dsp:txXfrm>
    </dsp:sp>
    <dsp:sp modelId="{09E906E6-DD47-4518-B6FD-E27BC050ED11}">
      <dsp:nvSpPr>
        <dsp:cNvPr id="0" name=""/>
        <dsp:cNvSpPr/>
      </dsp:nvSpPr>
      <dsp:spPr>
        <a:xfrm>
          <a:off x="4305782" y="777225"/>
          <a:ext cx="317012" cy="24558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4305782" y="826342"/>
        <a:ext cx="243337" cy="147350"/>
      </dsp:txXfrm>
    </dsp:sp>
    <dsp:sp modelId="{2D13A5CF-B1C4-49D7-961F-789C81B67F51}">
      <dsp:nvSpPr>
        <dsp:cNvPr id="0" name=""/>
        <dsp:cNvSpPr/>
      </dsp:nvSpPr>
      <dsp:spPr>
        <a:xfrm>
          <a:off x="4754385" y="743777"/>
          <a:ext cx="986396" cy="46871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lvl="0" algn="l" defTabSz="355600">
            <a:lnSpc>
              <a:spcPct val="90000"/>
            </a:lnSpc>
            <a:spcBef>
              <a:spcPct val="0"/>
            </a:spcBef>
            <a:spcAft>
              <a:spcPct val="35000"/>
            </a:spcAft>
          </a:pPr>
          <a:r>
            <a:rPr lang="en-US" sz="800" kern="1200"/>
            <a:t>Outcome	</a:t>
          </a:r>
        </a:p>
      </dsp:txBody>
      <dsp:txXfrm>
        <a:off x="4754385" y="743777"/>
        <a:ext cx="986396" cy="312479"/>
      </dsp:txXfrm>
    </dsp:sp>
    <dsp:sp modelId="{B9E4B143-DC36-4EC8-BE0A-DC8B58DCBEF3}">
      <dsp:nvSpPr>
        <dsp:cNvPr id="0" name=""/>
        <dsp:cNvSpPr/>
      </dsp:nvSpPr>
      <dsp:spPr>
        <a:xfrm>
          <a:off x="4956418" y="1056257"/>
          <a:ext cx="986396" cy="13248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56896" rIns="56896" bIns="56896" numCol="1" spcCol="1270" anchor="t" anchorCtr="0">
          <a:noAutofit/>
        </a:bodyPr>
        <a:lstStyle/>
        <a:p>
          <a:pPr marL="57150" lvl="1" indent="-57150" algn="l" defTabSz="355600">
            <a:lnSpc>
              <a:spcPct val="90000"/>
            </a:lnSpc>
            <a:spcBef>
              <a:spcPct val="0"/>
            </a:spcBef>
            <a:spcAft>
              <a:spcPct val="15000"/>
            </a:spcAft>
            <a:buChar char="••"/>
          </a:pPr>
          <a:r>
            <a:rPr lang="en-US" sz="800" kern="1200"/>
            <a:t>Positive death experience</a:t>
          </a:r>
        </a:p>
        <a:p>
          <a:pPr marL="57150" lvl="1" indent="-57150" algn="l" defTabSz="355600">
            <a:lnSpc>
              <a:spcPct val="90000"/>
            </a:lnSpc>
            <a:spcBef>
              <a:spcPct val="0"/>
            </a:spcBef>
            <a:spcAft>
              <a:spcPct val="15000"/>
            </a:spcAft>
            <a:buChar char="••"/>
          </a:pPr>
          <a:r>
            <a:rPr lang="en-US" sz="800" kern="1200"/>
            <a:t>Improved patient and caregiver/family satisfaction</a:t>
          </a:r>
        </a:p>
        <a:p>
          <a:pPr marL="57150" lvl="1" indent="-57150" algn="l" defTabSz="355600">
            <a:lnSpc>
              <a:spcPct val="90000"/>
            </a:lnSpc>
            <a:spcBef>
              <a:spcPct val="0"/>
            </a:spcBef>
            <a:spcAft>
              <a:spcPct val="15000"/>
            </a:spcAft>
            <a:buChar char="••"/>
          </a:pPr>
          <a:r>
            <a:rPr lang="en-US" sz="800" kern="1200"/>
            <a:t>Reduced resource utlization costs </a:t>
          </a:r>
        </a:p>
      </dsp:txBody>
      <dsp:txXfrm>
        <a:off x="4985309" y="1085148"/>
        <a:ext cx="928614" cy="126701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6934FAA9" w14:textId="77777777"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6934FAAA" w14:textId="77777777"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6934FAAB" w14:textId="77777777"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14:paraId="6934FAAC" w14:textId="77777777"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125B2"/>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34FAA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1C61-BA8F-4A6E-BB37-2F6A002E3BAF}">
  <ds:schemaRefs>
    <ds:schemaRef ds:uri="http://purl.org/dc/elements/1.1/"/>
    <ds:schemaRef ds:uri="http://purl.org/dc/terms/"/>
    <ds:schemaRef ds:uri="93d0d3b6-2a2c-4156-bf38-5b1686ab0e9f"/>
    <ds:schemaRef ds:uri="http://www.w3.org/XML/1998/namespace"/>
    <ds:schemaRef ds:uri="http://purl.org/dc/dcmitype/"/>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21DF2323-2FB5-4370-94F8-3D29781FB4D0}">
  <ds:schemaRefs>
    <ds:schemaRef ds:uri="http://schemas.microsoft.com/sharepoint/v3/contenttype/forms"/>
  </ds:schemaRefs>
</ds:datastoreItem>
</file>

<file path=customXml/itemProps3.xml><?xml version="1.0" encoding="utf-8"?>
<ds:datastoreItem xmlns:ds="http://schemas.openxmlformats.org/officeDocument/2006/customXml" ds:itemID="{2FBEF4CD-0762-47AD-8490-3CBD056D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8E846E-DDB6-47AF-9B20-BA6F4DE16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3765</Words>
  <Characters>21462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Jamie Koslosky</cp:lastModifiedBy>
  <cp:revision>2</cp:revision>
  <dcterms:created xsi:type="dcterms:W3CDTF">2016-03-16T14:11:00Z</dcterms:created>
  <dcterms:modified xsi:type="dcterms:W3CDTF">2016-03-16T14:11:00Z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