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BCF53" w14:textId="11B98013"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4F7D4F49"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424F18">
            <w:rPr>
              <w:rStyle w:val="Style1"/>
            </w:rPr>
            <w:t>0676</w:t>
          </w:r>
        </w:sdtContent>
      </w:sdt>
    </w:p>
    <w:p w14:paraId="0CABCF56" w14:textId="69F42299"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424F18">
            <w:rPr>
              <w:rStyle w:val="Style1"/>
              <w:rFonts w:cstheme="minorHAnsi"/>
            </w:rPr>
            <w:t xml:space="preserve">Percent of Residents Who Self-Report Moderate to </w:t>
          </w:r>
          <w:r w:rsidR="004E3AE3">
            <w:rPr>
              <w:rStyle w:val="Style1"/>
              <w:rFonts w:cstheme="minorHAnsi"/>
            </w:rPr>
            <w:t>Severe Pain (Short S</w:t>
          </w:r>
          <w:r w:rsidR="00424F18">
            <w:rPr>
              <w:rStyle w:val="Style1"/>
              <w:rFonts w:cstheme="minorHAnsi"/>
            </w:rPr>
            <w:t>tay)</w:t>
          </w:r>
        </w:sdtContent>
      </w:sdt>
    </w:p>
    <w:p w14:paraId="0CABCF57" w14:textId="317ECD03"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rPr>
          <w:id w:val="-1689821638"/>
          <w:placeholder>
            <w:docPart w:val="D0A5AE3409394D21BA5FA5F27780E302"/>
          </w:placeholder>
          <w:date w:fullDate="2018-04-16T00:00:00Z">
            <w:dateFormat w:val="M/d/yyyy"/>
            <w:lid w:val="en-US"/>
            <w:storeMappedDataAs w:val="dateTime"/>
            <w:calendar w:val="gregorian"/>
          </w:date>
        </w:sdtPr>
        <w:sdtEndPr>
          <w:rPr>
            <w:rStyle w:val="DefaultParagraphFont"/>
            <w:noProof/>
            <w:color w:val="auto"/>
            <w:u w:val="none"/>
          </w:rPr>
        </w:sdtEndPr>
        <w:sdtContent>
          <w:r w:rsidR="00495203">
            <w:rPr>
              <w:rStyle w:val="Style2"/>
              <w:rFonts w:cstheme="minorHAnsi"/>
            </w:rPr>
            <w:t>4/16/2018</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08E12C77" w:rsidR="000B7D57" w:rsidRPr="00C775CE" w:rsidRDefault="001D4EB8" w:rsidP="00CD364B">
            <w:pPr>
              <w:autoSpaceDE w:val="0"/>
              <w:autoSpaceDN w:val="0"/>
              <w:adjustRightInd w:val="0"/>
              <w:rPr>
                <w:rFonts w:cstheme="minorHAnsi"/>
                <w:bCs/>
              </w:rPr>
            </w:pPr>
            <w:sdt>
              <w:sdtPr>
                <w:rPr>
                  <w:rFonts w:cstheme="minorHAnsi"/>
                  <w:bCs/>
                  <w:color w:val="0000FF"/>
                  <w:highlight w:val="yellow"/>
                </w:rPr>
                <w:id w:val="40960739"/>
                <w14:checkbox>
                  <w14:checked w14:val="1"/>
                  <w14:checkedState w14:val="2612" w14:font="MS Gothic"/>
                  <w14:uncheckedState w14:val="2610" w14:font="MS Gothic"/>
                </w14:checkbox>
              </w:sdtPr>
              <w:sdtContent>
                <w:r w:rsidR="00424F18" w:rsidRPr="00FE2F21">
                  <w:rPr>
                    <w:rFonts w:ascii="MS Gothic" w:eastAsia="MS Gothic" w:hAnsi="MS Gothic" w:cstheme="minorHAnsi" w:hint="eastAsia"/>
                    <w:bCs/>
                    <w:color w:val="0000FF"/>
                    <w:highlight w:val="yellow"/>
                  </w:rPr>
                  <w:t>☒</w:t>
                </w:r>
              </w:sdtContent>
            </w:sdt>
            <w:r w:rsidR="000B7D57" w:rsidRPr="00FE2F21">
              <w:rPr>
                <w:rFonts w:cstheme="minorHAnsi"/>
                <w:bCs/>
                <w:highlight w:val="yellow"/>
              </w:rPr>
              <w:t xml:space="preserve"> Outcome (</w:t>
            </w:r>
            <w:r w:rsidR="000B7D57" w:rsidRPr="00FE2F21">
              <w:rPr>
                <w:rFonts w:cstheme="minorHAnsi"/>
                <w:bCs/>
                <w:i/>
                <w:highlight w:val="yellow"/>
              </w:rPr>
              <w:t>including PRO-PM</w:t>
            </w:r>
            <w:r w:rsidR="000B7D57" w:rsidRPr="00FE2F21">
              <w:rPr>
                <w:rFonts w:cstheme="minorHAnsi"/>
                <w:bCs/>
                <w:highlight w:val="yellow"/>
              </w:rPr>
              <w:t>)</w:t>
            </w:r>
          </w:p>
        </w:tc>
        <w:tc>
          <w:tcPr>
            <w:tcW w:w="2487" w:type="pct"/>
          </w:tcPr>
          <w:p w14:paraId="0CABCF5A" w14:textId="77777777" w:rsidR="000B7D57" w:rsidRPr="00C775CE" w:rsidRDefault="001D4EB8"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1D4EB8"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1D4EB8"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55B36514" w:rsidR="000B7D57" w:rsidRPr="00C775CE" w:rsidRDefault="001D4EB8"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1D4EB8"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1D4EB8"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747647">
            <w:pPr>
              <w:pStyle w:val="ListParagraph"/>
              <w:numPr>
                <w:ilvl w:val="0"/>
                <w:numId w:val="1"/>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747647">
            <w:pPr>
              <w:pStyle w:val="ListParagraph"/>
              <w:numPr>
                <w:ilvl w:val="0"/>
                <w:numId w:val="1"/>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747647">
            <w:pPr>
              <w:pStyle w:val="ListParagraph"/>
              <w:numPr>
                <w:ilvl w:val="0"/>
                <w:numId w:val="1"/>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074D80AF" w:rsidR="00702C73" w:rsidRDefault="00702C73" w:rsidP="00747647">
            <w:pPr>
              <w:pStyle w:val="ListParagraph"/>
              <w:numPr>
                <w:ilvl w:val="0"/>
                <w:numId w:val="1"/>
              </w:numPr>
              <w:rPr>
                <w:rFonts w:cstheme="minorHAnsi"/>
                <w:noProof/>
              </w:rPr>
            </w:pPr>
            <w:r>
              <w:rPr>
                <w:rFonts w:cstheme="minorHAnsi"/>
                <w:noProof/>
              </w:rPr>
              <w:t xml:space="preserve">If specified for </w:t>
            </w:r>
            <w:r w:rsidRPr="00483E94">
              <w:rPr>
                <w:rFonts w:cstheme="minorHAnsi"/>
                <w:b/>
                <w:noProof/>
                <w:u w:val="single"/>
              </w:rPr>
              <w:t>multiple data sources</w:t>
            </w:r>
            <w:r w:rsidR="00B003A2">
              <w:rPr>
                <w:rFonts w:cstheme="minorHAnsi"/>
                <w:b/>
                <w:noProof/>
                <w:u w:val="single"/>
              </w:rPr>
              <w:t>/sets of specificati</w:t>
            </w:r>
            <w:r w:rsidR="004D4D8A">
              <w:rPr>
                <w:rFonts w:cstheme="minorHAnsi"/>
                <w:b/>
                <w:noProof/>
                <w:u w:val="single"/>
              </w:rPr>
              <w: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747647">
            <w:pPr>
              <w:pStyle w:val="ListParagraph"/>
              <w:numPr>
                <w:ilvl w:val="0"/>
                <w:numId w:val="1"/>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747647">
            <w:pPr>
              <w:pStyle w:val="ListParagraph"/>
              <w:numPr>
                <w:ilvl w:val="0"/>
                <w:numId w:val="1"/>
              </w:numPr>
              <w:rPr>
                <w:rFonts w:cstheme="minorHAnsi"/>
                <w:noProof/>
              </w:rPr>
            </w:pPr>
            <w:r>
              <w:t>If you are unable to check a</w:t>
            </w:r>
            <w:r w:rsidR="009D7E38">
              <w:t xml:space="preserve"> box, please highlight or </w:t>
            </w:r>
            <w:r w:rsidR="00C14CCC">
              <w:t>shade the box for your response.</w:t>
            </w:r>
          </w:p>
          <w:p w14:paraId="0CABCF6D" w14:textId="0A4E9EB5" w:rsidR="00904E91" w:rsidRPr="008F589F" w:rsidRDefault="009D7E38" w:rsidP="00747647">
            <w:pPr>
              <w:pStyle w:val="ListParagraph"/>
              <w:numPr>
                <w:ilvl w:val="0"/>
                <w:numId w:val="1"/>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w:t>
            </w:r>
            <w:r w:rsidR="00783DFF">
              <w:rPr>
                <w:rFonts w:cstheme="minorHAnsi"/>
                <w:i/>
                <w:noProof/>
              </w:rPr>
              <w:t>l</w:t>
            </w:r>
            <w:r w:rsidR="00702C73">
              <w:rPr>
                <w:rFonts w:cstheme="minorHAnsi"/>
                <w:i/>
                <w:noProof/>
              </w:rPr>
              <w:t>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747647">
            <w:pPr>
              <w:pStyle w:val="ListParagraph"/>
              <w:numPr>
                <w:ilvl w:val="0"/>
                <w:numId w:val="1"/>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p w14:paraId="0CABCF6F" w14:textId="6C90AAB9" w:rsidR="00A64EBF" w:rsidRDefault="00A64EBF" w:rsidP="00747647">
            <w:pPr>
              <w:pStyle w:val="ListParagraph"/>
              <w:numPr>
                <w:ilvl w:val="0"/>
                <w:numId w:val="1"/>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w:t>
            </w:r>
            <w:proofErr w:type="gramStart"/>
            <w:r w:rsidRPr="000F034A">
              <w:rPr>
                <w:rFonts w:cstheme="minorHAnsi"/>
                <w:bCs/>
                <w:iCs/>
              </w:rPr>
              <w:t>time period</w:t>
            </w:r>
            <w:proofErr w:type="gramEnd"/>
            <w:r w:rsidRPr="000F034A">
              <w:rPr>
                <w:rFonts w:cstheme="minorHAnsi"/>
                <w:bCs/>
                <w:iCs/>
              </w:rPr>
              <w:t xml:space="preserve">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w:t>
            </w:r>
            <w:proofErr w:type="gramStart"/>
            <w:r w:rsidRPr="000F034A">
              <w:rPr>
                <w:rFonts w:cstheme="minorHAnsi"/>
                <w:bCs/>
                <w:iCs/>
              </w:rPr>
              <w:t>correct</w:t>
            </w:r>
            <w:proofErr w:type="gramEnd"/>
            <w:r w:rsidRPr="000F034A">
              <w:rPr>
                <w:rFonts w:cstheme="minorHAnsi"/>
                <w:bCs/>
                <w:iCs/>
              </w:rPr>
              <w:t xml:space="preserve">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0"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lastRenderedPageBreak/>
              <w:t xml:space="preserve">AND </w:t>
            </w:r>
          </w:p>
          <w:p w14:paraId="0CABCF7A" w14:textId="4448C1D9" w:rsidR="00145149" w:rsidRPr="000F034A" w:rsidRDefault="00145149" w:rsidP="00145149">
            <w:pPr>
              <w:rPr>
                <w:rFonts w:cstheme="minorHAnsi"/>
              </w:rPr>
            </w:pPr>
            <w:r w:rsidRPr="000F034A">
              <w:rPr>
                <w:rFonts w:cstheme="minorHAnsi"/>
              </w:rPr>
              <w:t xml:space="preserve">If patient preference (e.g., informed </w:t>
            </w:r>
            <w:r w:rsidR="00410B78" w:rsidRPr="000F034A">
              <w:rPr>
                <w:rFonts w:cstheme="minorHAnsi"/>
              </w:rPr>
              <w:t>decision-making</w:t>
            </w:r>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747647">
            <w:pPr>
              <w:numPr>
                <w:ilvl w:val="0"/>
                <w:numId w:val="2"/>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747647">
            <w:pPr>
              <w:numPr>
                <w:ilvl w:val="0"/>
                <w:numId w:val="2"/>
              </w:numPr>
              <w:ind w:left="0" w:firstLine="0"/>
              <w:rPr>
                <w:rFonts w:cstheme="minorHAnsi"/>
              </w:rPr>
            </w:pPr>
            <w:r w:rsidRPr="000F034A">
              <w:rPr>
                <w:rFonts w:cstheme="minorHAnsi"/>
              </w:rPr>
              <w:t xml:space="preserve">rationale/data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w:t>
            </w:r>
            <w:proofErr w:type="spellStart"/>
            <w:r w:rsidR="00E30584" w:rsidRPr="000F034A">
              <w:rPr>
                <w:rFonts w:ascii="Calibri" w:eastAsia="Calibri" w:hAnsi="Calibri" w:cs="Calibri"/>
              </w:rPr>
              <w:t>nonresponders</w:t>
            </w:r>
            <w:proofErr w:type="spellEnd"/>
            <w:r w:rsidR="00E30584" w:rsidRPr="000F034A">
              <w:rPr>
                <w:rFonts w:ascii="Calibri" w:eastAsia="Calibri" w:hAnsi="Calibri" w:cs="Calibri"/>
              </w:rPr>
              <w:t>)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w:t>
            </w:r>
            <w:proofErr w:type="gramStart"/>
            <w:r w:rsidRPr="00A831B4">
              <w:rPr>
                <w:rFonts w:cstheme="minorHAnsi"/>
                <w:sz w:val="20"/>
                <w:szCs w:val="20"/>
              </w:rPr>
              <w:t>include, but</w:t>
            </w:r>
            <w:proofErr w:type="gramEnd"/>
            <w:r w:rsidRPr="00A831B4">
              <w:rPr>
                <w:rFonts w:cstheme="minorHAnsi"/>
                <w:sz w:val="20"/>
                <w:szCs w:val="20"/>
              </w:rPr>
              <w:t xml:space="preserve">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2FAA9CDF"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w:t>
            </w:r>
            <w:r w:rsidR="00410B78" w:rsidRPr="00A831B4">
              <w:rPr>
                <w:rFonts w:cstheme="minorHAnsi"/>
                <w:sz w:val="20"/>
                <w:szCs w:val="20"/>
              </w:rPr>
              <w:t>received smoking</w:t>
            </w:r>
            <w:r w:rsidR="00145149" w:rsidRPr="00A831B4">
              <w:rPr>
                <w:rFonts w:cstheme="minorHAnsi"/>
                <w:sz w:val="20"/>
                <w:szCs w:val="20"/>
              </w:rPr>
              <w:t xml:space="preserve">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77777777" w:rsidR="00A01494" w:rsidRPr="00A01494" w:rsidRDefault="001D4EB8"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77777777" w:rsidR="00A01494" w:rsidRPr="00A01494" w:rsidRDefault="001D4EB8"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07A77AD8" w:rsidR="00A01494" w:rsidRPr="000F1B7A" w:rsidRDefault="001D4EB8" w:rsidP="000F1B7A">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5871DBAE" w:rsidR="00A01494" w:rsidRPr="000F1B7A" w:rsidRDefault="001D4EB8" w:rsidP="000F1B7A">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38318C23" w:rsidR="00A01494" w:rsidRPr="000F1B7A" w:rsidRDefault="001D4EB8"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562084B1" w:rsidR="00A01494" w:rsidRPr="000F1B7A" w:rsidRDefault="001D4EB8"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Content>
                <w:r w:rsidR="006574D2" w:rsidRPr="000F1B7A">
                  <w:rPr>
                    <w:rFonts w:ascii="MS Gothic" w:eastAsia="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77777777" w:rsidR="00A01494" w:rsidRPr="000F1B7A" w:rsidRDefault="001D4EB8"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77777777" w:rsidR="00A01494" w:rsidRPr="000F1B7A" w:rsidRDefault="001D4EB8"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1D4EB8"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1D4EB8"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793764C9" w:rsidR="00A01494" w:rsidRPr="000F1B7A" w:rsidRDefault="001D4EB8" w:rsidP="00DB3627">
            <w:pPr>
              <w:autoSpaceDE w:val="0"/>
              <w:autoSpaceDN w:val="0"/>
              <w:adjustRightInd w:val="0"/>
              <w:rPr>
                <w:rFonts w:cstheme="minorHAnsi"/>
                <w:bCs/>
              </w:rPr>
            </w:pPr>
            <w:sdt>
              <w:sdtPr>
                <w:rPr>
                  <w:rFonts w:cstheme="minorHAnsi"/>
                  <w:bCs/>
                  <w:color w:val="0000FF"/>
                  <w:highlight w:val="yellow"/>
                </w:rPr>
                <w:id w:val="1316375390"/>
                <w14:checkbox>
                  <w14:checked w14:val="1"/>
                  <w14:checkedState w14:val="2612" w14:font="MS Gothic"/>
                  <w14:uncheckedState w14:val="2610" w14:font="MS Gothic"/>
                </w14:checkbox>
              </w:sdtPr>
              <w:sdtContent>
                <w:r w:rsidR="00424F18" w:rsidRPr="00FE2F21">
                  <w:rPr>
                    <w:rFonts w:ascii="MS Gothic" w:eastAsia="MS Gothic" w:hAnsi="MS Gothic" w:cstheme="minorHAnsi" w:hint="eastAsia"/>
                    <w:bCs/>
                    <w:color w:val="0000FF"/>
                    <w:highlight w:val="yellow"/>
                  </w:rPr>
                  <w:t>☒</w:t>
                </w:r>
              </w:sdtContent>
            </w:sdt>
            <w:r w:rsidR="00B82A57" w:rsidRPr="00FE2F21">
              <w:rPr>
                <w:rFonts w:cstheme="minorHAnsi"/>
                <w:bCs/>
                <w:highlight w:val="yellow"/>
              </w:rPr>
              <w:t xml:space="preserve"> </w:t>
            </w:r>
            <w:r w:rsidR="00A01494" w:rsidRPr="00FE2F21">
              <w:rPr>
                <w:rFonts w:cstheme="minorHAnsi"/>
                <w:bCs/>
                <w:highlight w:val="yellow"/>
              </w:rPr>
              <w:t>other:</w:t>
            </w:r>
            <w:r w:rsidR="00A01494" w:rsidRPr="000F1B7A">
              <w:rPr>
                <w:rFonts w:cstheme="minorHAnsi"/>
                <w:bCs/>
              </w:rPr>
              <w:t xml:space="preserve">  </w:t>
            </w:r>
            <w:sdt>
              <w:sdtPr>
                <w:rPr>
                  <w:rStyle w:val="Style1"/>
                </w:rPr>
                <w:id w:val="1834251992"/>
                <w:text/>
              </w:sdtPr>
              <w:sdtEndPr>
                <w:rPr>
                  <w:rStyle w:val="DefaultParagraphFont"/>
                  <w:rFonts w:cstheme="minorHAnsi"/>
                  <w:bCs/>
                  <w:color w:val="auto"/>
                </w:rPr>
              </w:sdtEndPr>
              <w:sdtContent>
                <w:r w:rsidR="004951F8">
                  <w:rPr>
                    <w:rStyle w:val="Style1"/>
                  </w:rPr>
                  <w:t>Nursing Home Minimum Data Set (MDS) 3.0.</w:t>
                </w:r>
              </w:sdtContent>
            </w:sdt>
          </w:p>
        </w:tc>
        <w:tc>
          <w:tcPr>
            <w:tcW w:w="4847" w:type="dxa"/>
          </w:tcPr>
          <w:p w14:paraId="0CABCFAB" w14:textId="0C6C9E83" w:rsidR="00A01494" w:rsidRPr="000F1B7A" w:rsidRDefault="001D4EB8" w:rsidP="00DB3627">
            <w:pPr>
              <w:autoSpaceDE w:val="0"/>
              <w:autoSpaceDN w:val="0"/>
              <w:adjustRightInd w:val="0"/>
              <w:rPr>
                <w:rFonts w:cstheme="minorHAnsi"/>
                <w:bCs/>
              </w:rPr>
            </w:pPr>
            <w:sdt>
              <w:sdtPr>
                <w:rPr>
                  <w:rFonts w:cstheme="minorHAnsi"/>
                  <w:bCs/>
                  <w:color w:val="0000FF"/>
                  <w:highlight w:val="yellow"/>
                </w:rPr>
                <w:id w:val="1689098749"/>
                <w14:checkbox>
                  <w14:checked w14:val="1"/>
                  <w14:checkedState w14:val="2612" w14:font="MS Gothic"/>
                  <w14:uncheckedState w14:val="2610" w14:font="MS Gothic"/>
                </w14:checkbox>
              </w:sdtPr>
              <w:sdtContent>
                <w:r w:rsidR="00424F18" w:rsidRPr="00FE2F21">
                  <w:rPr>
                    <w:rFonts w:ascii="MS Gothic" w:eastAsia="MS Gothic" w:hAnsi="MS Gothic" w:cstheme="minorHAnsi" w:hint="eastAsia"/>
                    <w:bCs/>
                    <w:color w:val="0000FF"/>
                    <w:highlight w:val="yellow"/>
                  </w:rPr>
                  <w:t>☒</w:t>
                </w:r>
              </w:sdtContent>
            </w:sdt>
            <w:r w:rsidR="00B82A57" w:rsidRPr="00FE2F21">
              <w:rPr>
                <w:rFonts w:cstheme="minorHAnsi"/>
                <w:bCs/>
                <w:highlight w:val="yellow"/>
              </w:rPr>
              <w:t xml:space="preserve"> </w:t>
            </w:r>
            <w:r w:rsidR="00A01494" w:rsidRPr="00FE2F21">
              <w:rPr>
                <w:rFonts w:cstheme="minorHAnsi"/>
                <w:bCs/>
                <w:highlight w:val="yellow"/>
              </w:rPr>
              <w:t>other:</w:t>
            </w:r>
            <w:r w:rsidR="00A01494" w:rsidRPr="000F1B7A">
              <w:rPr>
                <w:rFonts w:cstheme="minorHAnsi"/>
                <w:bCs/>
              </w:rPr>
              <w:t xml:space="preserve">  </w:t>
            </w:r>
            <w:sdt>
              <w:sdtPr>
                <w:rPr>
                  <w:rStyle w:val="Style1"/>
                </w:rPr>
                <w:id w:val="1976178076"/>
                <w:text/>
              </w:sdtPr>
              <w:sdtEndPr>
                <w:rPr>
                  <w:rStyle w:val="DefaultParagraphFont"/>
                  <w:rFonts w:cstheme="minorHAnsi"/>
                  <w:bCs/>
                  <w:color w:val="auto"/>
                </w:rPr>
              </w:sdtEndPr>
              <w:sdtContent>
                <w:r w:rsidR="004951F8">
                  <w:rPr>
                    <w:rStyle w:val="Style1"/>
                  </w:rPr>
                  <w:t>Nursing Home Minimum Data Set (MDS) 3.0.</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CABCFAE" w14:textId="77777777"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0CABCFAF" w14:textId="7B81E859" w:rsidR="009E1846" w:rsidRDefault="00424F18" w:rsidP="00DB3627">
      <w:pPr>
        <w:autoSpaceDE w:val="0"/>
        <w:autoSpaceDN w:val="0"/>
        <w:adjustRightInd w:val="0"/>
        <w:spacing w:after="0" w:line="240" w:lineRule="auto"/>
        <w:rPr>
          <w:rFonts w:cstheme="minorHAnsi"/>
          <w:b/>
        </w:rPr>
      </w:pPr>
      <w:r>
        <w:rPr>
          <w:rFonts w:cstheme="minorHAnsi"/>
          <w:b/>
        </w:rPr>
        <w:br/>
      </w:r>
      <w:r w:rsidR="009043F9" w:rsidRPr="00A25F82">
        <w:rPr>
          <w:rFonts w:eastAsiaTheme="minorHAnsi" w:cstheme="minorHAnsi"/>
          <w:bCs/>
          <w:color w:val="0000FF"/>
        </w:rPr>
        <w:t xml:space="preserve">The data set used for testing was the </w:t>
      </w:r>
      <w:r w:rsidRPr="00A25F82">
        <w:rPr>
          <w:rFonts w:eastAsiaTheme="minorHAnsi" w:cstheme="minorHAnsi"/>
          <w:bCs/>
          <w:color w:val="0000FF"/>
        </w:rPr>
        <w:t>Nursing Home</w:t>
      </w:r>
      <w:r w:rsidR="009043F9" w:rsidRPr="00A25F82">
        <w:rPr>
          <w:rFonts w:eastAsiaTheme="minorHAnsi" w:cstheme="minorHAnsi"/>
          <w:bCs/>
          <w:color w:val="0000FF"/>
        </w:rPr>
        <w:t xml:space="preserve"> Minimum Data Set</w:t>
      </w:r>
      <w:r w:rsidRPr="00A25F82">
        <w:rPr>
          <w:rFonts w:eastAsiaTheme="minorHAnsi" w:cstheme="minorHAnsi"/>
          <w:bCs/>
          <w:color w:val="0000FF"/>
        </w:rPr>
        <w:t xml:space="preserve"> </w:t>
      </w:r>
      <w:r w:rsidR="009043F9" w:rsidRPr="00A25F82">
        <w:rPr>
          <w:rFonts w:eastAsiaTheme="minorHAnsi" w:cstheme="minorHAnsi"/>
          <w:bCs/>
          <w:color w:val="0000FF"/>
        </w:rPr>
        <w:t>(</w:t>
      </w:r>
      <w:r w:rsidRPr="00A25F82">
        <w:rPr>
          <w:rFonts w:eastAsiaTheme="minorHAnsi" w:cstheme="minorHAnsi"/>
          <w:bCs/>
          <w:color w:val="0000FF"/>
        </w:rPr>
        <w:t>MDS</w:t>
      </w:r>
      <w:r w:rsidR="009043F9" w:rsidRPr="00A25F82">
        <w:rPr>
          <w:rFonts w:eastAsiaTheme="minorHAnsi" w:cstheme="minorHAnsi"/>
          <w:bCs/>
          <w:color w:val="0000FF"/>
        </w:rPr>
        <w:t>)</w:t>
      </w:r>
      <w:r w:rsidRPr="00A25F82">
        <w:rPr>
          <w:rFonts w:eastAsiaTheme="minorHAnsi" w:cstheme="minorHAnsi"/>
          <w:bCs/>
          <w:color w:val="0000FF"/>
        </w:rPr>
        <w:t xml:space="preserve"> 3.0</w:t>
      </w:r>
      <w:r w:rsidR="009043F9" w:rsidRPr="00A25F82">
        <w:rPr>
          <w:rFonts w:eastAsiaTheme="minorHAnsi" w:cstheme="minorHAnsi"/>
          <w:bCs/>
          <w:color w:val="0000FF"/>
        </w:rPr>
        <w:t>.</w:t>
      </w:r>
    </w:p>
    <w:p w14:paraId="57359F43" w14:textId="77777777" w:rsidR="00424F18" w:rsidRDefault="00424F18" w:rsidP="00DB3627">
      <w:pPr>
        <w:autoSpaceDE w:val="0"/>
        <w:autoSpaceDN w:val="0"/>
        <w:adjustRightInd w:val="0"/>
        <w:spacing w:after="0" w:line="240" w:lineRule="auto"/>
        <w:rPr>
          <w:rFonts w:cstheme="minorHAnsi"/>
          <w:b/>
        </w:rPr>
      </w:pPr>
    </w:p>
    <w:p w14:paraId="3F9B9486" w14:textId="77777777" w:rsidR="009043F9" w:rsidRDefault="002B5016" w:rsidP="00DB3627">
      <w:pPr>
        <w:autoSpaceDE w:val="0"/>
        <w:autoSpaceDN w:val="0"/>
        <w:adjustRightInd w:val="0"/>
        <w:spacing w:after="0" w:line="240" w:lineRule="auto"/>
        <w:rPr>
          <w:rFonts w:cstheme="minorHAnsi"/>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p>
    <w:p w14:paraId="4A7A0288" w14:textId="77777777" w:rsidR="0021319A" w:rsidRPr="0015793B" w:rsidRDefault="0021319A" w:rsidP="0021319A">
      <w:pPr>
        <w:pStyle w:val="Response"/>
        <w:rPr>
          <w:rFonts w:eastAsiaTheme="minorHAnsi"/>
        </w:rPr>
      </w:pPr>
      <w:r>
        <w:rPr>
          <w:rFonts w:eastAsiaTheme="minorHAnsi"/>
        </w:rPr>
        <w:t>Two</w:t>
      </w:r>
      <w:r w:rsidRPr="0015793B">
        <w:rPr>
          <w:rFonts w:eastAsiaTheme="minorHAnsi"/>
        </w:rPr>
        <w:t xml:space="preserve"> studies were used in the testing of this measure; they are described in greater detail below.</w:t>
      </w:r>
    </w:p>
    <w:p w14:paraId="45BFF399" w14:textId="2BD62BA8" w:rsidR="0021319A" w:rsidRPr="0021319A" w:rsidRDefault="0021319A" w:rsidP="00747647">
      <w:pPr>
        <w:pStyle w:val="ListParagraph"/>
        <w:numPr>
          <w:ilvl w:val="0"/>
          <w:numId w:val="4"/>
        </w:numPr>
        <w:autoSpaceDE w:val="0"/>
        <w:autoSpaceDN w:val="0"/>
        <w:adjustRightInd w:val="0"/>
        <w:spacing w:before="240" w:after="240" w:line="240" w:lineRule="auto"/>
        <w:rPr>
          <w:rFonts w:eastAsiaTheme="minorHAnsi" w:cstheme="minorHAnsi"/>
          <w:bCs/>
          <w:color w:val="0000FF"/>
        </w:rPr>
      </w:pPr>
      <w:r w:rsidRPr="0021319A">
        <w:rPr>
          <w:rFonts w:eastAsiaTheme="minorHAnsi" w:cstheme="minorHAnsi"/>
          <w:bCs/>
          <w:color w:val="0000FF"/>
        </w:rPr>
        <w:t>RAND Development and Validation of MDS 3.0 study: August 2006 to February 2007 (</w:t>
      </w:r>
      <w:r w:rsidR="00140126" w:rsidRPr="00140126">
        <w:rPr>
          <w:rFonts w:eastAsiaTheme="minorHAnsi" w:cstheme="minorHAnsi"/>
          <w:bCs/>
          <w:color w:val="0000FF"/>
        </w:rPr>
        <w:t>Saliba &amp; Buchanan, 2008</w:t>
      </w:r>
      <w:r w:rsidRPr="0021319A">
        <w:rPr>
          <w:rFonts w:eastAsiaTheme="minorHAnsi" w:cstheme="minorHAnsi"/>
          <w:bCs/>
          <w:color w:val="0000FF"/>
        </w:rPr>
        <w:t>).</w:t>
      </w:r>
    </w:p>
    <w:p w14:paraId="6FF10667" w14:textId="77777777" w:rsidR="0021319A" w:rsidRPr="0021319A" w:rsidRDefault="0021319A" w:rsidP="0021319A">
      <w:pPr>
        <w:pStyle w:val="ListParagraph"/>
        <w:ind w:left="765"/>
        <w:rPr>
          <w:rFonts w:eastAsiaTheme="minorHAnsi" w:cstheme="minorHAnsi"/>
          <w:bCs/>
          <w:color w:val="0000FF"/>
        </w:rPr>
      </w:pPr>
    </w:p>
    <w:p w14:paraId="0C8F84BF" w14:textId="66F0C48E" w:rsidR="0021319A" w:rsidRPr="0021319A" w:rsidRDefault="0021319A" w:rsidP="00747647">
      <w:pPr>
        <w:pStyle w:val="ListParagraph"/>
        <w:numPr>
          <w:ilvl w:val="0"/>
          <w:numId w:val="4"/>
        </w:numPr>
        <w:autoSpaceDE w:val="0"/>
        <w:autoSpaceDN w:val="0"/>
        <w:adjustRightInd w:val="0"/>
        <w:spacing w:before="240" w:after="240" w:line="240" w:lineRule="auto"/>
        <w:rPr>
          <w:rFonts w:eastAsiaTheme="minorHAnsi" w:cstheme="minorHAnsi"/>
          <w:bCs/>
          <w:color w:val="0000FF"/>
        </w:rPr>
      </w:pPr>
      <w:r w:rsidRPr="0021319A">
        <w:rPr>
          <w:rFonts w:eastAsiaTheme="minorHAnsi" w:cstheme="minorHAnsi"/>
          <w:bCs/>
          <w:color w:val="0000FF"/>
        </w:rPr>
        <w:t>RTI International Analysis of MDS 3.0 data: Quarter 1, 2017 and Quarter 2, 2017 (in addition, performance scores were presented for Quarter 1, 2011 – Quarter 2, 2017 in Section 2b1).</w:t>
      </w:r>
    </w:p>
    <w:p w14:paraId="37271EFB" w14:textId="77777777" w:rsidR="00140126" w:rsidRPr="006F6113" w:rsidRDefault="00140126" w:rsidP="00140126">
      <w:pPr>
        <w:pStyle w:val="Response"/>
        <w:ind w:left="360" w:hanging="360"/>
        <w:rPr>
          <w:sz w:val="20"/>
          <w:szCs w:val="20"/>
        </w:rPr>
      </w:pPr>
      <w:r w:rsidRPr="006F6113">
        <w:rPr>
          <w:sz w:val="20"/>
          <w:szCs w:val="20"/>
        </w:rPr>
        <w:t>Saliba, D., &amp; Buchanan, J. (2008, April).</w:t>
      </w:r>
      <w:r w:rsidRPr="006F6113">
        <w:rPr>
          <w:i/>
          <w:sz w:val="20"/>
          <w:szCs w:val="20"/>
        </w:rPr>
        <w:t xml:space="preserve"> Development and validation of a revised nursing home assessment tool: MDS 3.0</w:t>
      </w:r>
      <w:r w:rsidRPr="006F6113">
        <w:rPr>
          <w:sz w:val="20"/>
          <w:szCs w:val="20"/>
        </w:rPr>
        <w:t xml:space="preserve">. Contract No. 500-00-0027/Task Order #2. Santa Monica, CA: Rand Corporation. Retrieved from </w:t>
      </w:r>
      <w:hyperlink r:id="rId13" w:history="1">
        <w:r w:rsidRPr="006F6113">
          <w:rPr>
            <w:rStyle w:val="Hyperlink"/>
            <w:sz w:val="20"/>
            <w:szCs w:val="20"/>
          </w:rPr>
          <w:t>http://www.cms.hhs.gov/NursingHomeQualityInits/Downloads/MDS30FinalReport.pdf</w:t>
        </w:r>
      </w:hyperlink>
      <w:r w:rsidRPr="006F6113">
        <w:rPr>
          <w:sz w:val="20"/>
          <w:szCs w:val="20"/>
        </w:rPr>
        <w:t>.</w:t>
      </w:r>
    </w:p>
    <w:p w14:paraId="0CABCFB1" w14:textId="77777777" w:rsidR="000574AB" w:rsidRDefault="000574AB"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77777777" w:rsidR="000414E8" w:rsidRPr="00A01494" w:rsidRDefault="001D4EB8"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CABCFB8" w14:textId="77777777" w:rsidR="000414E8" w:rsidRPr="00A01494" w:rsidRDefault="001D4EB8"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77777777" w:rsidR="000414E8" w:rsidRPr="00A01494" w:rsidRDefault="001D4EB8"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77777777" w:rsidR="000414E8" w:rsidRPr="00A01494" w:rsidRDefault="001D4EB8"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5C7D4EC9" w:rsidR="000414E8" w:rsidRPr="00A01494" w:rsidRDefault="001D4EB8"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Content>
                <w:r w:rsidR="00424F18">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346ABA95" w:rsidR="000414E8" w:rsidRPr="00A01494" w:rsidRDefault="001D4EB8"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Content>
                <w:r w:rsidR="009028EA">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1D4EB8"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1D4EB8"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1D4EB8"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1D4EB8"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4179452C"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142BC89D" w14:textId="1B7F2BDD" w:rsidR="009043F9" w:rsidRPr="00C82249" w:rsidRDefault="00186242" w:rsidP="00747647">
      <w:pPr>
        <w:pStyle w:val="Response"/>
        <w:numPr>
          <w:ilvl w:val="0"/>
          <w:numId w:val="5"/>
        </w:numPr>
      </w:pPr>
      <w:r>
        <w:t xml:space="preserve">The </w:t>
      </w:r>
      <w:r>
        <w:rPr>
          <w:rFonts w:eastAsiaTheme="minorHAnsi"/>
        </w:rPr>
        <w:t xml:space="preserve">RAND Development and Validation of MDS 3.0 study sample included </w:t>
      </w:r>
      <w:r w:rsidR="009043F9">
        <w:rPr>
          <w:rFonts w:eastAsiaTheme="minorHAnsi"/>
        </w:rPr>
        <w:t xml:space="preserve">a </w:t>
      </w:r>
      <w:r w:rsidR="009043F9">
        <w:t>representative sample of for-profit and not-for-profit facilities, and hospital-based and freestanding facilities, recruited for the study, which included 71 community nursing facilities in 8 states and 19 Veterans Affairs (VA) nursing homes</w:t>
      </w:r>
      <w:r w:rsidR="009043F9" w:rsidRPr="007A03D2">
        <w:t>. This study tested item-level reliability and validity of the items used to calculate the pain measures comparing item coding among gold-standard nurses (349 cases</w:t>
      </w:r>
      <w:proofErr w:type="gramStart"/>
      <w:r w:rsidR="009043F9" w:rsidRPr="007A03D2">
        <w:t>), and</w:t>
      </w:r>
      <w:proofErr w:type="gramEnd"/>
      <w:r w:rsidR="009043F9" w:rsidRPr="007A03D2">
        <w:t xml:space="preserve"> comparing item coding between gold-standard nurses and participating facility staff (900 cases)</w:t>
      </w:r>
      <w:r w:rsidR="0021319A">
        <w:t xml:space="preserve"> (</w:t>
      </w:r>
      <w:r w:rsidR="00140126">
        <w:t>Saliba &amp; Buchanan</w:t>
      </w:r>
      <w:r w:rsidR="00140126" w:rsidRPr="00C82249">
        <w:t>, 2008</w:t>
      </w:r>
      <w:r w:rsidR="0021319A" w:rsidRPr="00C82249">
        <w:t>).</w:t>
      </w:r>
    </w:p>
    <w:p w14:paraId="5E95C58B" w14:textId="46D7FB3D" w:rsidR="0021319A" w:rsidRPr="00C82249" w:rsidRDefault="009043F9" w:rsidP="00747647">
      <w:pPr>
        <w:pStyle w:val="Response"/>
        <w:numPr>
          <w:ilvl w:val="0"/>
          <w:numId w:val="5"/>
        </w:numPr>
      </w:pPr>
      <w:r w:rsidRPr="00C82249">
        <w:t>RTI facility-level analyses of MDS 3.0 data include all facilities with sufficient sample size (</w:t>
      </w:r>
      <w:r w:rsidRPr="00C82249">
        <w:rPr>
          <w:i/>
        </w:rPr>
        <w:t>n</w:t>
      </w:r>
      <w:r w:rsidRPr="00C82249">
        <w:t xml:space="preserve"> ≥ 20) to report this measure in Q</w:t>
      </w:r>
      <w:r w:rsidR="0065391E">
        <w:t xml:space="preserve">uarter, </w:t>
      </w:r>
      <w:r w:rsidRPr="00C82249">
        <w:t>2 2017 (</w:t>
      </w:r>
      <w:r w:rsidR="00140126" w:rsidRPr="00F14E72">
        <w:rPr>
          <w:i/>
        </w:rPr>
        <w:t>k</w:t>
      </w:r>
      <w:r w:rsidR="00140126" w:rsidRPr="00C82249">
        <w:t xml:space="preserve"> = 11,945</w:t>
      </w:r>
      <w:r w:rsidRPr="00C82249">
        <w:t xml:space="preserve">). </w:t>
      </w:r>
    </w:p>
    <w:p w14:paraId="0C3D237D" w14:textId="77777777" w:rsidR="00140126" w:rsidRPr="00757C6D" w:rsidRDefault="00140126" w:rsidP="00140126">
      <w:pPr>
        <w:pStyle w:val="Response"/>
        <w:ind w:left="360" w:hanging="360"/>
        <w:rPr>
          <w:sz w:val="20"/>
          <w:szCs w:val="20"/>
        </w:rPr>
      </w:pPr>
      <w:r w:rsidRPr="00757C6D">
        <w:rPr>
          <w:sz w:val="20"/>
          <w:szCs w:val="20"/>
        </w:rPr>
        <w:t>Saliba, D., &amp; Buchanan, J. (2008, April).</w:t>
      </w:r>
      <w:r w:rsidRPr="00757C6D">
        <w:rPr>
          <w:i/>
          <w:sz w:val="20"/>
          <w:szCs w:val="20"/>
        </w:rPr>
        <w:t xml:space="preserve"> Development and validation of a revised nursing home assessment tool: MDS 3.0</w:t>
      </w:r>
      <w:r w:rsidRPr="00757C6D">
        <w:rPr>
          <w:sz w:val="20"/>
          <w:szCs w:val="20"/>
        </w:rPr>
        <w:t xml:space="preserve">. Contract No. 500-00-0027/Task Order #2. Santa Monica, CA: Rand Corporation. Retrieved from </w:t>
      </w:r>
      <w:hyperlink r:id="rId14" w:history="1">
        <w:r w:rsidRPr="00757C6D">
          <w:rPr>
            <w:rStyle w:val="Hyperlink"/>
            <w:sz w:val="20"/>
            <w:szCs w:val="20"/>
          </w:rPr>
          <w:t>http://www.cms.hhs.gov/NursingHomeQualityInits/Downloads/MDS30FinalReport.pdf</w:t>
        </w:r>
      </w:hyperlink>
      <w:r w:rsidRPr="00757C6D">
        <w:rPr>
          <w:sz w:val="20"/>
          <w:szCs w:val="20"/>
        </w:rPr>
        <w:t>.</w:t>
      </w:r>
    </w:p>
    <w:p w14:paraId="2F9236B4" w14:textId="45582B3B" w:rsidR="00E578A5" w:rsidRPr="00E578A5" w:rsidRDefault="00E578A5" w:rsidP="00E578A5">
      <w:pPr>
        <w:pStyle w:val="Response"/>
        <w:rPr>
          <w:sz w:val="20"/>
        </w:rPr>
      </w:pPr>
      <w:bookmarkStart w:id="11" w:name="_Hlk511393218"/>
      <w:r w:rsidRPr="00ED4158">
        <w:rPr>
          <w:sz w:val="20"/>
        </w:rPr>
        <w:t>SOURCE: RTI analys</w:t>
      </w:r>
      <w:r>
        <w:rPr>
          <w:sz w:val="20"/>
        </w:rPr>
        <w:t>is of MDS 3.0 data for Quarter 2 2017</w:t>
      </w:r>
      <w:r w:rsidR="008019FE">
        <w:rPr>
          <w:sz w:val="20"/>
        </w:rPr>
        <w:t xml:space="preserve"> (programming reference: rn01</w:t>
      </w:r>
      <w:r w:rsidR="008019FE">
        <w:rPr>
          <w:bCs w:val="0"/>
          <w:sz w:val="20"/>
          <w:szCs w:val="20"/>
        </w:rPr>
        <w:t>/db362</w:t>
      </w:r>
      <w:r w:rsidRPr="00CC52B7">
        <w:rPr>
          <w:bCs w:val="0"/>
          <w:sz w:val="20"/>
          <w:szCs w:val="20"/>
        </w:rPr>
        <w:t>_request_</w:t>
      </w:r>
      <w:r w:rsidR="008019FE">
        <w:rPr>
          <w:bCs w:val="0"/>
          <w:sz w:val="20"/>
          <w:szCs w:val="20"/>
        </w:rPr>
        <w:t>q26</w:t>
      </w:r>
      <w:r w:rsidRPr="00CC52B7">
        <w:rPr>
          <w:bCs w:val="0"/>
          <w:sz w:val="20"/>
          <w:szCs w:val="20"/>
        </w:rPr>
        <w:t>27_676.log</w:t>
      </w:r>
      <w:r w:rsidRPr="007E6A37">
        <w:rPr>
          <w:sz w:val="20"/>
          <w:szCs w:val="20"/>
        </w:rPr>
        <w:t>)</w:t>
      </w:r>
    </w:p>
    <w:bookmarkEnd w:id="11"/>
    <w:p w14:paraId="0CABCFC8" w14:textId="77777777" w:rsidR="002B5016" w:rsidRPr="00A25024" w:rsidRDefault="002B5016" w:rsidP="00DB3627">
      <w:pPr>
        <w:autoSpaceDE w:val="0"/>
        <w:autoSpaceDN w:val="0"/>
        <w:adjustRightInd w:val="0"/>
        <w:spacing w:after="0" w:line="240" w:lineRule="auto"/>
        <w:rPr>
          <w:rFonts w:cstheme="minorHAnsi"/>
          <w:bCs/>
        </w:rPr>
      </w:pPr>
    </w:p>
    <w:p w14:paraId="0CABCFC9" w14:textId="156C0F78" w:rsidR="007422FD"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p>
    <w:p w14:paraId="3EA9C73E" w14:textId="77777777" w:rsidR="003B49BF" w:rsidRPr="003B49BF" w:rsidRDefault="00A91B5A" w:rsidP="003B49BF">
      <w:pPr>
        <w:pStyle w:val="Response"/>
        <w:numPr>
          <w:ilvl w:val="0"/>
          <w:numId w:val="6"/>
        </w:numPr>
        <w:rPr>
          <w:rFonts w:eastAsiaTheme="minorHAnsi"/>
        </w:rPr>
      </w:pPr>
      <w:r>
        <w:t xml:space="preserve">The </w:t>
      </w:r>
      <w:r>
        <w:rPr>
          <w:rFonts w:eastAsiaTheme="minorHAnsi"/>
        </w:rPr>
        <w:t xml:space="preserve">RAND Development and Validation of MDS 3.0 </w:t>
      </w:r>
      <w:r>
        <w:t>sample included 3,822 residents from community nursing homes and 764 residents from VHA nursing homes</w:t>
      </w:r>
      <w:r w:rsidR="009A190B">
        <w:t xml:space="preserve"> (Saliba &amp; Buchanan, </w:t>
      </w:r>
      <w:r w:rsidR="009A190B" w:rsidRPr="005D3370">
        <w:t>2008</w:t>
      </w:r>
      <w:r w:rsidR="009A190B">
        <w:t>).</w:t>
      </w:r>
    </w:p>
    <w:p w14:paraId="3BFA288C" w14:textId="2E5CF182" w:rsidR="00AF6874" w:rsidRPr="003B49BF" w:rsidRDefault="00AF6874" w:rsidP="003B49BF">
      <w:pPr>
        <w:pStyle w:val="Response"/>
        <w:numPr>
          <w:ilvl w:val="0"/>
          <w:numId w:val="6"/>
        </w:numPr>
        <w:rPr>
          <w:rFonts w:eastAsiaTheme="minorHAnsi"/>
        </w:rPr>
      </w:pPr>
      <w:r w:rsidRPr="003B49BF">
        <w:rPr>
          <w:rFonts w:eastAsiaTheme="minorHAnsi"/>
        </w:rPr>
        <w:t>The sample for the RTI analysis of MDS 3.0 includes all short-stay residents that meet the denominator inclusion criteria for this measure in facilities with sufficient sample size (n ≥ 20, k = 11,945) to report this measure in (n = 1,139,541) in Quarter 2, 2017. Table 1 below presents the characteristics of short-stay residents counted in the denominator for this measure in Quarter 2, 2017 before applying facility sample size restrictions (n = 1,177,526); the n for each resident characteristic varies due to the proportion of missing data for that characteristic.</w:t>
      </w:r>
    </w:p>
    <w:p w14:paraId="75B17E53" w14:textId="77777777" w:rsidR="0021319A" w:rsidRDefault="0021319A" w:rsidP="0021319A">
      <w:pPr>
        <w:pStyle w:val="Response"/>
        <w:spacing w:before="0"/>
        <w:ind w:left="720"/>
        <w:contextualSpacing/>
        <w:jc w:val="center"/>
        <w:rPr>
          <w:b/>
        </w:rPr>
      </w:pPr>
    </w:p>
    <w:p w14:paraId="4359D92D" w14:textId="062C1E22" w:rsidR="00A91B5A" w:rsidRPr="00ED4158" w:rsidRDefault="00A91B5A" w:rsidP="0021319A">
      <w:pPr>
        <w:pStyle w:val="Response"/>
        <w:spacing w:before="0"/>
        <w:ind w:left="720"/>
        <w:contextualSpacing/>
        <w:jc w:val="center"/>
        <w:rPr>
          <w:b/>
        </w:rPr>
      </w:pPr>
      <w:r w:rsidRPr="00ED4158">
        <w:rPr>
          <w:b/>
        </w:rPr>
        <w:t xml:space="preserve">Table 1. </w:t>
      </w:r>
      <w:r>
        <w:rPr>
          <w:b/>
        </w:rPr>
        <w:br/>
      </w:r>
      <w:r w:rsidRPr="00ED4158">
        <w:rPr>
          <w:b/>
        </w:rPr>
        <w:t xml:space="preserve">Characteristics of </w:t>
      </w:r>
      <w:r>
        <w:rPr>
          <w:b/>
        </w:rPr>
        <w:t>Short</w:t>
      </w:r>
      <w:r w:rsidRPr="00ED4158">
        <w:rPr>
          <w:b/>
        </w:rPr>
        <w:t xml:space="preserve">-Stay Residents Included in </w:t>
      </w:r>
      <w:r>
        <w:rPr>
          <w:b/>
        </w:rPr>
        <w:t>Analyses of NQF #0676 (Quarter 2</w:t>
      </w:r>
      <w:r w:rsidR="0021319A">
        <w:rPr>
          <w:b/>
        </w:rPr>
        <w:t>,</w:t>
      </w:r>
      <w:r>
        <w:rPr>
          <w:b/>
        </w:rPr>
        <w:t xml:space="preserve"> 2017</w:t>
      </w:r>
      <w:r w:rsidRPr="00ED4158">
        <w:rPr>
          <w:b/>
        </w:rPr>
        <w:t>)</w:t>
      </w:r>
    </w:p>
    <w:tbl>
      <w:tblPr>
        <w:tblW w:w="7980" w:type="dxa"/>
        <w:jc w:val="center"/>
        <w:tblLayout w:type="fixed"/>
        <w:tblLook w:val="04A0" w:firstRow="1" w:lastRow="0" w:firstColumn="1" w:lastColumn="0" w:noHBand="0" w:noVBand="1"/>
      </w:tblPr>
      <w:tblGrid>
        <w:gridCol w:w="4770"/>
        <w:gridCol w:w="1605"/>
        <w:gridCol w:w="1605"/>
      </w:tblGrid>
      <w:tr w:rsidR="00A91B5A" w:rsidRPr="00ED4158" w14:paraId="74993B8C" w14:textId="77777777" w:rsidTr="0023388A">
        <w:trPr>
          <w:tblHeader/>
          <w:jc w:val="center"/>
        </w:trPr>
        <w:tc>
          <w:tcPr>
            <w:tcW w:w="4770" w:type="dxa"/>
            <w:tcBorders>
              <w:top w:val="single" w:sz="12" w:space="0" w:color="auto"/>
              <w:bottom w:val="single" w:sz="4" w:space="0" w:color="auto"/>
            </w:tcBorders>
            <w:shd w:val="clear" w:color="auto" w:fill="auto"/>
            <w:vAlign w:val="center"/>
            <w:hideMark/>
          </w:tcPr>
          <w:p w14:paraId="68ED6099" w14:textId="77777777" w:rsidR="00A91B5A" w:rsidRPr="00ED4158" w:rsidRDefault="00A91B5A" w:rsidP="0040607D">
            <w:pPr>
              <w:spacing w:before="40" w:after="40" w:line="240" w:lineRule="auto"/>
              <w:contextualSpacing/>
              <w:rPr>
                <w:rFonts w:eastAsia="Times New Roman" w:cs="Times New Roman"/>
                <w:color w:val="0000FF"/>
              </w:rPr>
            </w:pPr>
            <w:r w:rsidRPr="00ED4158">
              <w:rPr>
                <w:rFonts w:eastAsia="Times New Roman" w:cs="Times New Roman"/>
                <w:color w:val="0000FF"/>
              </w:rPr>
              <w:t>Resident characteristics</w:t>
            </w:r>
          </w:p>
        </w:tc>
        <w:tc>
          <w:tcPr>
            <w:tcW w:w="1605" w:type="dxa"/>
            <w:tcBorders>
              <w:top w:val="single" w:sz="12" w:space="0" w:color="auto"/>
              <w:bottom w:val="single" w:sz="4" w:space="0" w:color="auto"/>
            </w:tcBorders>
            <w:shd w:val="clear" w:color="auto" w:fill="auto"/>
            <w:vAlign w:val="center"/>
            <w:hideMark/>
          </w:tcPr>
          <w:p w14:paraId="759FB1D5" w14:textId="454B91E6" w:rsidR="00A91B5A" w:rsidRPr="00ED4158" w:rsidRDefault="00A91B5A" w:rsidP="0040607D">
            <w:pPr>
              <w:spacing w:before="40" w:after="40" w:line="240" w:lineRule="auto"/>
              <w:contextualSpacing/>
              <w:jc w:val="center"/>
              <w:rPr>
                <w:rFonts w:eastAsia="Times New Roman" w:cs="Times New Roman"/>
                <w:color w:val="0000FF"/>
              </w:rPr>
            </w:pPr>
            <w:r w:rsidRPr="00ED4158">
              <w:rPr>
                <w:rFonts w:eastAsia="Times New Roman" w:cs="Times New Roman"/>
                <w:color w:val="0000FF"/>
              </w:rPr>
              <w:t>Frequency</w:t>
            </w:r>
            <w:r w:rsidR="00186242">
              <w:rPr>
                <w:rFonts w:eastAsia="Times New Roman" w:cs="Times New Roman"/>
                <w:color w:val="0000FF"/>
              </w:rPr>
              <w:t xml:space="preserve"> (n)</w:t>
            </w:r>
          </w:p>
        </w:tc>
        <w:tc>
          <w:tcPr>
            <w:tcW w:w="1605" w:type="dxa"/>
            <w:tcBorders>
              <w:top w:val="single" w:sz="12" w:space="0" w:color="auto"/>
              <w:bottom w:val="single" w:sz="4" w:space="0" w:color="auto"/>
            </w:tcBorders>
            <w:shd w:val="clear" w:color="auto" w:fill="auto"/>
            <w:vAlign w:val="center"/>
            <w:hideMark/>
          </w:tcPr>
          <w:p w14:paraId="0A7639EF" w14:textId="77777777" w:rsidR="00A91B5A" w:rsidRPr="00ED4158" w:rsidRDefault="00A91B5A" w:rsidP="0040607D">
            <w:pPr>
              <w:spacing w:before="40" w:after="40" w:line="240" w:lineRule="auto"/>
              <w:contextualSpacing/>
              <w:jc w:val="center"/>
              <w:rPr>
                <w:rFonts w:eastAsia="Times New Roman" w:cs="Times New Roman"/>
                <w:color w:val="0000FF"/>
              </w:rPr>
            </w:pPr>
            <w:r w:rsidRPr="00ED4158">
              <w:rPr>
                <w:rFonts w:eastAsia="Times New Roman" w:cs="Times New Roman"/>
                <w:color w:val="0000FF"/>
              </w:rPr>
              <w:t>Percentage (%)</w:t>
            </w:r>
          </w:p>
        </w:tc>
      </w:tr>
      <w:tr w:rsidR="00A91B5A" w:rsidRPr="00ED4158" w14:paraId="46734EA2" w14:textId="77777777" w:rsidTr="0023388A">
        <w:trPr>
          <w:jc w:val="center"/>
        </w:trPr>
        <w:tc>
          <w:tcPr>
            <w:tcW w:w="4770" w:type="dxa"/>
            <w:tcBorders>
              <w:top w:val="single" w:sz="4" w:space="0" w:color="auto"/>
            </w:tcBorders>
            <w:shd w:val="clear" w:color="auto" w:fill="auto"/>
            <w:hideMark/>
          </w:tcPr>
          <w:p w14:paraId="358E4CC4" w14:textId="77777777" w:rsidR="00A91B5A" w:rsidRPr="00ED4158" w:rsidRDefault="00A91B5A" w:rsidP="0040607D">
            <w:pPr>
              <w:spacing w:before="40" w:after="40" w:line="240" w:lineRule="auto"/>
              <w:rPr>
                <w:rFonts w:eastAsia="Times New Roman" w:cs="Times New Roman"/>
                <w:color w:val="0000FF"/>
              </w:rPr>
            </w:pPr>
            <w:r w:rsidRPr="00ED4158">
              <w:rPr>
                <w:rFonts w:eastAsia="Times New Roman" w:cs="Times New Roman"/>
                <w:color w:val="0000FF"/>
              </w:rPr>
              <w:t>Sex</w:t>
            </w:r>
          </w:p>
        </w:tc>
        <w:tc>
          <w:tcPr>
            <w:tcW w:w="1605" w:type="dxa"/>
            <w:tcBorders>
              <w:top w:val="single" w:sz="4" w:space="0" w:color="auto"/>
            </w:tcBorders>
            <w:shd w:val="clear" w:color="auto" w:fill="auto"/>
            <w:hideMark/>
          </w:tcPr>
          <w:p w14:paraId="2F23CC0D" w14:textId="77777777" w:rsidR="00A91B5A" w:rsidRPr="00ED4158" w:rsidRDefault="00A91B5A" w:rsidP="0040607D">
            <w:pPr>
              <w:spacing w:before="40" w:after="40" w:line="240" w:lineRule="auto"/>
              <w:jc w:val="center"/>
              <w:rPr>
                <w:rFonts w:eastAsia="Times New Roman" w:cs="Times New Roman"/>
                <w:color w:val="0000FF"/>
              </w:rPr>
            </w:pPr>
          </w:p>
        </w:tc>
        <w:tc>
          <w:tcPr>
            <w:tcW w:w="1605" w:type="dxa"/>
            <w:tcBorders>
              <w:top w:val="single" w:sz="4" w:space="0" w:color="auto"/>
            </w:tcBorders>
            <w:shd w:val="clear" w:color="auto" w:fill="auto"/>
            <w:noWrap/>
            <w:hideMark/>
          </w:tcPr>
          <w:p w14:paraId="0B57E831" w14:textId="77777777" w:rsidR="00A91B5A" w:rsidRPr="00ED4158" w:rsidRDefault="00A91B5A" w:rsidP="0040607D">
            <w:pPr>
              <w:spacing w:before="40" w:after="40" w:line="240" w:lineRule="auto"/>
              <w:jc w:val="center"/>
              <w:rPr>
                <w:rFonts w:eastAsia="Times New Roman" w:cs="Times New Roman"/>
                <w:color w:val="0000FF"/>
              </w:rPr>
            </w:pPr>
          </w:p>
        </w:tc>
      </w:tr>
      <w:tr w:rsidR="00A91B5A" w:rsidRPr="00ED4158" w14:paraId="2468B3C9" w14:textId="77777777" w:rsidTr="0023388A">
        <w:trPr>
          <w:jc w:val="center"/>
        </w:trPr>
        <w:tc>
          <w:tcPr>
            <w:tcW w:w="4770" w:type="dxa"/>
            <w:shd w:val="clear" w:color="auto" w:fill="auto"/>
            <w:hideMark/>
          </w:tcPr>
          <w:p w14:paraId="509C647B" w14:textId="77777777" w:rsidR="00A91B5A" w:rsidRPr="00ED4158" w:rsidRDefault="00A91B5A" w:rsidP="0040607D">
            <w:pPr>
              <w:spacing w:before="40" w:after="40" w:line="240" w:lineRule="auto"/>
              <w:ind w:firstLineChars="100" w:firstLine="220"/>
              <w:rPr>
                <w:rFonts w:eastAsia="Times New Roman" w:cs="Times New Roman"/>
                <w:color w:val="0000FF"/>
              </w:rPr>
            </w:pPr>
            <w:r w:rsidRPr="00ED4158">
              <w:rPr>
                <w:rFonts w:eastAsia="Times New Roman" w:cs="Times New Roman"/>
                <w:color w:val="0000FF"/>
              </w:rPr>
              <w:t>Female</w:t>
            </w:r>
          </w:p>
        </w:tc>
        <w:tc>
          <w:tcPr>
            <w:tcW w:w="1605" w:type="dxa"/>
            <w:shd w:val="clear" w:color="auto" w:fill="auto"/>
            <w:hideMark/>
          </w:tcPr>
          <w:p w14:paraId="1AC7B567" w14:textId="77777777" w:rsidR="00A91B5A" w:rsidRPr="00ED4158" w:rsidRDefault="00A91B5A" w:rsidP="0040607D">
            <w:pPr>
              <w:spacing w:before="40" w:after="40" w:line="240" w:lineRule="auto"/>
              <w:ind w:right="327"/>
              <w:jc w:val="right"/>
              <w:rPr>
                <w:rFonts w:eastAsia="Times New Roman" w:cs="Times New Roman"/>
                <w:color w:val="0000FF"/>
              </w:rPr>
            </w:pPr>
            <w:r>
              <w:rPr>
                <w:rFonts w:eastAsia="Times New Roman" w:cs="Times New Roman"/>
                <w:color w:val="0000FF"/>
              </w:rPr>
              <w:t>709,949</w:t>
            </w:r>
          </w:p>
        </w:tc>
        <w:tc>
          <w:tcPr>
            <w:tcW w:w="1605" w:type="dxa"/>
            <w:shd w:val="clear" w:color="auto" w:fill="auto"/>
            <w:noWrap/>
            <w:hideMark/>
          </w:tcPr>
          <w:p w14:paraId="7A86E769" w14:textId="2C97C411" w:rsidR="00A91B5A" w:rsidRPr="00ED4158" w:rsidRDefault="00A91B5A" w:rsidP="0040607D">
            <w:pPr>
              <w:tabs>
                <w:tab w:val="decimal" w:pos="627"/>
              </w:tabs>
              <w:spacing w:before="40" w:after="40" w:line="240" w:lineRule="auto"/>
              <w:rPr>
                <w:rFonts w:eastAsia="Times New Roman" w:cs="Times New Roman"/>
                <w:color w:val="0000FF"/>
              </w:rPr>
            </w:pPr>
            <w:r>
              <w:rPr>
                <w:color w:val="0000FF"/>
              </w:rPr>
              <w:t>60.3</w:t>
            </w:r>
            <w:r w:rsidR="00FB550F">
              <w:rPr>
                <w:color w:val="0000FF"/>
              </w:rPr>
              <w:t>%</w:t>
            </w:r>
          </w:p>
        </w:tc>
      </w:tr>
      <w:tr w:rsidR="00A91B5A" w:rsidRPr="00ED4158" w14:paraId="3451B4D1" w14:textId="77777777" w:rsidTr="0023388A">
        <w:trPr>
          <w:jc w:val="center"/>
        </w:trPr>
        <w:tc>
          <w:tcPr>
            <w:tcW w:w="4770" w:type="dxa"/>
            <w:shd w:val="clear" w:color="auto" w:fill="auto"/>
            <w:hideMark/>
          </w:tcPr>
          <w:p w14:paraId="5FC5FD9C" w14:textId="77777777" w:rsidR="00A91B5A" w:rsidRPr="00ED4158" w:rsidRDefault="00A91B5A" w:rsidP="0040607D">
            <w:pPr>
              <w:spacing w:before="40" w:after="40" w:line="240" w:lineRule="auto"/>
              <w:ind w:firstLineChars="100" w:firstLine="220"/>
              <w:rPr>
                <w:rFonts w:eastAsia="Times New Roman" w:cs="Times New Roman"/>
                <w:color w:val="0000FF"/>
              </w:rPr>
            </w:pPr>
            <w:r w:rsidRPr="00ED4158">
              <w:rPr>
                <w:rFonts w:eastAsia="Times New Roman" w:cs="Times New Roman"/>
                <w:color w:val="0000FF"/>
              </w:rPr>
              <w:t>Male</w:t>
            </w:r>
          </w:p>
        </w:tc>
        <w:tc>
          <w:tcPr>
            <w:tcW w:w="1605" w:type="dxa"/>
            <w:shd w:val="clear" w:color="auto" w:fill="auto"/>
          </w:tcPr>
          <w:p w14:paraId="499F3079" w14:textId="77777777" w:rsidR="00A91B5A" w:rsidRPr="00ED4158" w:rsidRDefault="00A91B5A" w:rsidP="0040607D">
            <w:pPr>
              <w:spacing w:before="40" w:after="40" w:line="240" w:lineRule="auto"/>
              <w:ind w:right="327"/>
              <w:jc w:val="right"/>
              <w:rPr>
                <w:rFonts w:eastAsia="Times New Roman" w:cs="Times New Roman"/>
                <w:color w:val="0000FF"/>
              </w:rPr>
            </w:pPr>
            <w:r>
              <w:rPr>
                <w:rFonts w:eastAsia="Times New Roman" w:cs="Times New Roman"/>
                <w:color w:val="0000FF"/>
              </w:rPr>
              <w:t>467,577</w:t>
            </w:r>
          </w:p>
        </w:tc>
        <w:tc>
          <w:tcPr>
            <w:tcW w:w="1605" w:type="dxa"/>
            <w:shd w:val="clear" w:color="auto" w:fill="auto"/>
            <w:noWrap/>
          </w:tcPr>
          <w:p w14:paraId="7B1373E3" w14:textId="55499897" w:rsidR="00A91B5A" w:rsidRPr="00ED4158" w:rsidRDefault="00A91B5A" w:rsidP="0040607D">
            <w:pPr>
              <w:tabs>
                <w:tab w:val="decimal" w:pos="627"/>
              </w:tabs>
              <w:spacing w:before="40" w:after="40" w:line="240" w:lineRule="auto"/>
              <w:rPr>
                <w:rFonts w:eastAsia="Times New Roman" w:cs="Times New Roman"/>
                <w:color w:val="0000FF"/>
              </w:rPr>
            </w:pPr>
            <w:r>
              <w:rPr>
                <w:rFonts w:eastAsia="Times New Roman" w:cs="Times New Roman"/>
                <w:color w:val="0000FF"/>
              </w:rPr>
              <w:t>39.7</w:t>
            </w:r>
            <w:r w:rsidR="00FB550F">
              <w:rPr>
                <w:rFonts w:eastAsia="Times New Roman" w:cs="Times New Roman"/>
                <w:color w:val="0000FF"/>
              </w:rPr>
              <w:t>%</w:t>
            </w:r>
          </w:p>
        </w:tc>
      </w:tr>
      <w:tr w:rsidR="00A91B5A" w:rsidRPr="00ED4158" w14:paraId="33E56B2B" w14:textId="77777777" w:rsidTr="0023388A">
        <w:trPr>
          <w:jc w:val="center"/>
        </w:trPr>
        <w:tc>
          <w:tcPr>
            <w:tcW w:w="4770" w:type="dxa"/>
            <w:shd w:val="clear" w:color="auto" w:fill="auto"/>
            <w:hideMark/>
          </w:tcPr>
          <w:p w14:paraId="3D927863" w14:textId="77777777" w:rsidR="00A91B5A" w:rsidRPr="00ED4158" w:rsidRDefault="00A91B5A" w:rsidP="0040607D">
            <w:pPr>
              <w:spacing w:before="40" w:after="40" w:line="240" w:lineRule="auto"/>
              <w:rPr>
                <w:rFonts w:eastAsia="Times New Roman" w:cs="Times New Roman"/>
                <w:color w:val="0000FF"/>
              </w:rPr>
            </w:pPr>
            <w:r w:rsidRPr="00ED4158">
              <w:rPr>
                <w:rFonts w:eastAsia="Times New Roman" w:cs="Times New Roman"/>
                <w:color w:val="0000FF"/>
              </w:rPr>
              <w:t>Race</w:t>
            </w:r>
          </w:p>
        </w:tc>
        <w:tc>
          <w:tcPr>
            <w:tcW w:w="1605" w:type="dxa"/>
            <w:shd w:val="clear" w:color="auto" w:fill="auto"/>
          </w:tcPr>
          <w:p w14:paraId="37214C3A" w14:textId="77777777" w:rsidR="00A91B5A" w:rsidRPr="00ED4158" w:rsidRDefault="00A91B5A" w:rsidP="0040607D">
            <w:pPr>
              <w:spacing w:before="40" w:after="40" w:line="240" w:lineRule="auto"/>
              <w:ind w:right="327"/>
              <w:jc w:val="right"/>
              <w:rPr>
                <w:rFonts w:eastAsia="Times New Roman" w:cs="Times New Roman"/>
                <w:color w:val="0000FF"/>
              </w:rPr>
            </w:pPr>
          </w:p>
        </w:tc>
        <w:tc>
          <w:tcPr>
            <w:tcW w:w="1605" w:type="dxa"/>
            <w:shd w:val="clear" w:color="auto" w:fill="auto"/>
            <w:noWrap/>
          </w:tcPr>
          <w:p w14:paraId="137613E1" w14:textId="77777777" w:rsidR="00A91B5A" w:rsidRPr="00ED4158" w:rsidRDefault="00A91B5A" w:rsidP="0040607D">
            <w:pPr>
              <w:tabs>
                <w:tab w:val="decimal" w:pos="627"/>
              </w:tabs>
              <w:spacing w:before="40" w:after="40" w:line="240" w:lineRule="auto"/>
              <w:rPr>
                <w:rFonts w:eastAsia="Times New Roman" w:cs="Times New Roman"/>
                <w:color w:val="0000FF"/>
              </w:rPr>
            </w:pPr>
          </w:p>
        </w:tc>
      </w:tr>
      <w:tr w:rsidR="00A91B5A" w:rsidRPr="00ED4158" w14:paraId="6C38CB7A" w14:textId="77777777" w:rsidTr="0023388A">
        <w:trPr>
          <w:jc w:val="center"/>
        </w:trPr>
        <w:tc>
          <w:tcPr>
            <w:tcW w:w="4770" w:type="dxa"/>
            <w:shd w:val="clear" w:color="auto" w:fill="auto"/>
            <w:hideMark/>
          </w:tcPr>
          <w:p w14:paraId="034D0E97" w14:textId="77777777" w:rsidR="00A91B5A" w:rsidRPr="00ED4158" w:rsidRDefault="00A91B5A" w:rsidP="0040607D">
            <w:pPr>
              <w:spacing w:before="40" w:after="40" w:line="240" w:lineRule="auto"/>
              <w:ind w:firstLineChars="100" w:firstLine="220"/>
              <w:rPr>
                <w:rFonts w:eastAsia="Times New Roman" w:cs="Times New Roman"/>
                <w:color w:val="0000FF"/>
              </w:rPr>
            </w:pPr>
            <w:r w:rsidRPr="00ED4158">
              <w:rPr>
                <w:rFonts w:eastAsia="Times New Roman" w:cs="Times New Roman"/>
                <w:color w:val="0000FF"/>
              </w:rPr>
              <w:t>White</w:t>
            </w:r>
          </w:p>
        </w:tc>
        <w:tc>
          <w:tcPr>
            <w:tcW w:w="1605" w:type="dxa"/>
            <w:shd w:val="clear" w:color="auto" w:fill="auto"/>
          </w:tcPr>
          <w:p w14:paraId="3E3572A6" w14:textId="77777777" w:rsidR="00A91B5A" w:rsidRPr="00ED4158" w:rsidRDefault="00A91B5A" w:rsidP="0040607D">
            <w:pPr>
              <w:spacing w:before="40" w:after="40" w:line="240" w:lineRule="auto"/>
              <w:ind w:right="327"/>
              <w:jc w:val="right"/>
              <w:rPr>
                <w:rFonts w:eastAsia="Times New Roman" w:cs="Times New Roman"/>
                <w:color w:val="0000FF"/>
              </w:rPr>
            </w:pPr>
            <w:r>
              <w:rPr>
                <w:rFonts w:eastAsia="Times New Roman" w:cs="Times New Roman"/>
                <w:color w:val="0000FF"/>
              </w:rPr>
              <w:t>930,267</w:t>
            </w:r>
          </w:p>
        </w:tc>
        <w:tc>
          <w:tcPr>
            <w:tcW w:w="1605" w:type="dxa"/>
            <w:shd w:val="clear" w:color="auto" w:fill="auto"/>
            <w:noWrap/>
          </w:tcPr>
          <w:p w14:paraId="237C2233" w14:textId="036FBF96" w:rsidR="00A91B5A" w:rsidRPr="00ED4158" w:rsidRDefault="00A91B5A" w:rsidP="0040607D">
            <w:pPr>
              <w:tabs>
                <w:tab w:val="decimal" w:pos="627"/>
              </w:tabs>
              <w:spacing w:before="40" w:after="40" w:line="240" w:lineRule="auto"/>
              <w:rPr>
                <w:rFonts w:eastAsia="Times New Roman" w:cs="Times New Roman"/>
                <w:color w:val="0000FF"/>
              </w:rPr>
            </w:pPr>
            <w:r>
              <w:rPr>
                <w:rFonts w:eastAsia="Times New Roman" w:cs="Times New Roman"/>
                <w:color w:val="0000FF"/>
              </w:rPr>
              <w:t>79.0</w:t>
            </w:r>
            <w:r w:rsidR="00FB550F">
              <w:rPr>
                <w:rFonts w:eastAsia="Times New Roman" w:cs="Times New Roman"/>
                <w:color w:val="0000FF"/>
              </w:rPr>
              <w:t>%</w:t>
            </w:r>
          </w:p>
        </w:tc>
      </w:tr>
      <w:tr w:rsidR="00A91B5A" w:rsidRPr="00ED4158" w14:paraId="4D06E5E7" w14:textId="77777777" w:rsidTr="0023388A">
        <w:trPr>
          <w:jc w:val="center"/>
        </w:trPr>
        <w:tc>
          <w:tcPr>
            <w:tcW w:w="4770" w:type="dxa"/>
            <w:shd w:val="clear" w:color="auto" w:fill="auto"/>
            <w:hideMark/>
          </w:tcPr>
          <w:p w14:paraId="59E2F610" w14:textId="77777777" w:rsidR="00A91B5A" w:rsidRPr="00ED4158" w:rsidRDefault="00A91B5A" w:rsidP="0040607D">
            <w:pPr>
              <w:spacing w:before="40" w:after="40" w:line="240" w:lineRule="auto"/>
              <w:ind w:firstLineChars="100" w:firstLine="220"/>
              <w:rPr>
                <w:rFonts w:eastAsia="Times New Roman" w:cs="Times New Roman"/>
                <w:color w:val="0000FF"/>
              </w:rPr>
            </w:pPr>
            <w:r w:rsidRPr="00ED4158">
              <w:rPr>
                <w:rFonts w:eastAsia="Times New Roman" w:cs="Times New Roman"/>
                <w:color w:val="0000FF"/>
              </w:rPr>
              <w:t>Non-white</w:t>
            </w:r>
          </w:p>
        </w:tc>
        <w:tc>
          <w:tcPr>
            <w:tcW w:w="1605" w:type="dxa"/>
            <w:shd w:val="clear" w:color="auto" w:fill="auto"/>
          </w:tcPr>
          <w:p w14:paraId="7306AFA2" w14:textId="77777777" w:rsidR="00A91B5A" w:rsidRPr="00ED4158" w:rsidRDefault="00A91B5A" w:rsidP="0040607D">
            <w:pPr>
              <w:spacing w:before="40" w:after="40" w:line="240" w:lineRule="auto"/>
              <w:ind w:right="327"/>
              <w:jc w:val="right"/>
              <w:rPr>
                <w:rFonts w:eastAsia="Times New Roman" w:cs="Times New Roman"/>
                <w:color w:val="0000FF"/>
              </w:rPr>
            </w:pPr>
            <w:r>
              <w:rPr>
                <w:rFonts w:eastAsia="Times New Roman" w:cs="Times New Roman"/>
                <w:color w:val="0000FF"/>
              </w:rPr>
              <w:t>245,276</w:t>
            </w:r>
          </w:p>
        </w:tc>
        <w:tc>
          <w:tcPr>
            <w:tcW w:w="1605" w:type="dxa"/>
            <w:shd w:val="clear" w:color="auto" w:fill="auto"/>
            <w:noWrap/>
          </w:tcPr>
          <w:p w14:paraId="628CC24D" w14:textId="71159217" w:rsidR="00A91B5A" w:rsidRPr="00ED4158" w:rsidRDefault="00A91B5A" w:rsidP="0040607D">
            <w:pPr>
              <w:tabs>
                <w:tab w:val="decimal" w:pos="627"/>
              </w:tabs>
              <w:spacing w:before="40" w:after="40" w:line="240" w:lineRule="auto"/>
              <w:rPr>
                <w:rFonts w:eastAsia="Times New Roman" w:cs="Times New Roman"/>
                <w:color w:val="0000FF"/>
              </w:rPr>
            </w:pPr>
            <w:r>
              <w:rPr>
                <w:rFonts w:eastAsia="Times New Roman" w:cs="Times New Roman"/>
                <w:color w:val="0000FF"/>
              </w:rPr>
              <w:t>20.8</w:t>
            </w:r>
            <w:r w:rsidR="00FB550F">
              <w:rPr>
                <w:rFonts w:eastAsia="Times New Roman" w:cs="Times New Roman"/>
                <w:color w:val="0000FF"/>
              </w:rPr>
              <w:t>%</w:t>
            </w:r>
          </w:p>
        </w:tc>
      </w:tr>
      <w:tr w:rsidR="00F14E72" w:rsidRPr="00ED4158" w14:paraId="4507DDDF" w14:textId="77777777" w:rsidTr="0023388A">
        <w:trPr>
          <w:jc w:val="center"/>
        </w:trPr>
        <w:tc>
          <w:tcPr>
            <w:tcW w:w="4770" w:type="dxa"/>
            <w:shd w:val="clear" w:color="auto" w:fill="auto"/>
          </w:tcPr>
          <w:p w14:paraId="10C10A4F" w14:textId="1CC925AA" w:rsidR="00F14E72" w:rsidRPr="00ED4158" w:rsidRDefault="00F14E72" w:rsidP="0040607D">
            <w:pPr>
              <w:spacing w:before="40" w:after="40" w:line="240" w:lineRule="auto"/>
              <w:ind w:firstLineChars="100" w:firstLine="220"/>
              <w:rPr>
                <w:rFonts w:eastAsia="Times New Roman" w:cs="Times New Roman"/>
                <w:color w:val="0000FF"/>
              </w:rPr>
            </w:pPr>
            <w:r>
              <w:rPr>
                <w:rFonts w:eastAsia="Times New Roman" w:cs="Times New Roman"/>
                <w:color w:val="0000FF"/>
              </w:rPr>
              <w:t>Missing</w:t>
            </w:r>
          </w:p>
        </w:tc>
        <w:tc>
          <w:tcPr>
            <w:tcW w:w="1605" w:type="dxa"/>
            <w:shd w:val="clear" w:color="auto" w:fill="auto"/>
          </w:tcPr>
          <w:p w14:paraId="58B53EE8" w14:textId="74206ABD" w:rsidR="00F14E72" w:rsidRDefault="00F14E72" w:rsidP="0040607D">
            <w:pPr>
              <w:spacing w:before="40" w:after="40" w:line="240" w:lineRule="auto"/>
              <w:ind w:right="327"/>
              <w:jc w:val="right"/>
              <w:rPr>
                <w:rFonts w:eastAsia="Times New Roman" w:cs="Times New Roman"/>
                <w:color w:val="0000FF"/>
              </w:rPr>
            </w:pPr>
            <w:r>
              <w:rPr>
                <w:rFonts w:eastAsia="Times New Roman" w:cs="Times New Roman"/>
                <w:color w:val="0000FF"/>
              </w:rPr>
              <w:t>1,983</w:t>
            </w:r>
          </w:p>
        </w:tc>
        <w:tc>
          <w:tcPr>
            <w:tcW w:w="1605" w:type="dxa"/>
            <w:shd w:val="clear" w:color="auto" w:fill="auto"/>
            <w:noWrap/>
          </w:tcPr>
          <w:p w14:paraId="3C3B2BB0" w14:textId="639269D3" w:rsidR="00F14E72" w:rsidRDefault="00F14E72" w:rsidP="0040607D">
            <w:pPr>
              <w:tabs>
                <w:tab w:val="decimal" w:pos="627"/>
              </w:tabs>
              <w:spacing w:before="40" w:after="40" w:line="240" w:lineRule="auto"/>
              <w:rPr>
                <w:rFonts w:eastAsia="Times New Roman" w:cs="Times New Roman"/>
                <w:color w:val="0000FF"/>
              </w:rPr>
            </w:pPr>
            <w:r>
              <w:rPr>
                <w:rFonts w:eastAsia="Times New Roman" w:cs="Times New Roman"/>
                <w:color w:val="0000FF"/>
              </w:rPr>
              <w:t>&lt;1.0</w:t>
            </w:r>
            <w:r w:rsidR="00FB550F">
              <w:rPr>
                <w:rFonts w:eastAsia="Times New Roman" w:cs="Times New Roman"/>
                <w:color w:val="0000FF"/>
              </w:rPr>
              <w:t>%</w:t>
            </w:r>
          </w:p>
        </w:tc>
      </w:tr>
      <w:tr w:rsidR="00A91B5A" w:rsidRPr="00ED4158" w14:paraId="13EBDE0C" w14:textId="77777777" w:rsidTr="0023388A">
        <w:trPr>
          <w:jc w:val="center"/>
        </w:trPr>
        <w:tc>
          <w:tcPr>
            <w:tcW w:w="4770" w:type="dxa"/>
            <w:shd w:val="clear" w:color="auto" w:fill="auto"/>
            <w:hideMark/>
          </w:tcPr>
          <w:p w14:paraId="56D41C6C" w14:textId="77777777" w:rsidR="00A91B5A" w:rsidRPr="00ED4158" w:rsidRDefault="00A91B5A" w:rsidP="0040607D">
            <w:pPr>
              <w:spacing w:before="40" w:after="40" w:line="240" w:lineRule="auto"/>
              <w:rPr>
                <w:rFonts w:eastAsia="Times New Roman" w:cs="Times New Roman"/>
                <w:color w:val="0000FF"/>
              </w:rPr>
            </w:pPr>
            <w:r w:rsidRPr="00ED4158">
              <w:rPr>
                <w:rFonts w:eastAsia="Times New Roman" w:cs="Times New Roman"/>
                <w:color w:val="0000FF"/>
              </w:rPr>
              <w:t>Age</w:t>
            </w:r>
          </w:p>
        </w:tc>
        <w:tc>
          <w:tcPr>
            <w:tcW w:w="1605" w:type="dxa"/>
            <w:shd w:val="clear" w:color="auto" w:fill="auto"/>
          </w:tcPr>
          <w:p w14:paraId="22533646" w14:textId="77777777" w:rsidR="00A91B5A" w:rsidRPr="00ED4158" w:rsidRDefault="00A91B5A" w:rsidP="0040607D">
            <w:pPr>
              <w:spacing w:before="40" w:after="40" w:line="240" w:lineRule="auto"/>
              <w:ind w:right="327"/>
              <w:jc w:val="right"/>
              <w:rPr>
                <w:rFonts w:eastAsia="Times New Roman" w:cs="Times New Roman"/>
                <w:color w:val="0000FF"/>
              </w:rPr>
            </w:pPr>
          </w:p>
        </w:tc>
        <w:tc>
          <w:tcPr>
            <w:tcW w:w="1605" w:type="dxa"/>
            <w:shd w:val="clear" w:color="auto" w:fill="auto"/>
            <w:noWrap/>
          </w:tcPr>
          <w:p w14:paraId="6D55E981" w14:textId="77777777" w:rsidR="00A91B5A" w:rsidRPr="00ED4158" w:rsidRDefault="00A91B5A" w:rsidP="0040607D">
            <w:pPr>
              <w:tabs>
                <w:tab w:val="decimal" w:pos="627"/>
              </w:tabs>
              <w:spacing w:before="40" w:after="40" w:line="240" w:lineRule="auto"/>
              <w:rPr>
                <w:rFonts w:eastAsia="Times New Roman" w:cs="Times New Roman"/>
                <w:color w:val="0000FF"/>
              </w:rPr>
            </w:pPr>
          </w:p>
        </w:tc>
      </w:tr>
      <w:tr w:rsidR="00A91B5A" w:rsidRPr="00ED4158" w14:paraId="0C89F9DA" w14:textId="77777777" w:rsidTr="0023388A">
        <w:trPr>
          <w:jc w:val="center"/>
        </w:trPr>
        <w:tc>
          <w:tcPr>
            <w:tcW w:w="4770" w:type="dxa"/>
            <w:shd w:val="clear" w:color="auto" w:fill="auto"/>
            <w:hideMark/>
          </w:tcPr>
          <w:p w14:paraId="5AB2204A" w14:textId="77777777" w:rsidR="00A91B5A" w:rsidRPr="00ED4158" w:rsidRDefault="00A91B5A" w:rsidP="0040607D">
            <w:pPr>
              <w:spacing w:before="40" w:after="40" w:line="240" w:lineRule="auto"/>
              <w:ind w:firstLineChars="100" w:firstLine="220"/>
              <w:rPr>
                <w:rFonts w:eastAsia="Times New Roman" w:cs="Times New Roman"/>
                <w:color w:val="0000FF"/>
              </w:rPr>
            </w:pPr>
            <w:r w:rsidRPr="00ED4158">
              <w:rPr>
                <w:rFonts w:eastAsia="Times New Roman" w:cs="Times New Roman"/>
                <w:color w:val="0000FF"/>
              </w:rPr>
              <w:t>&lt;65</w:t>
            </w:r>
          </w:p>
        </w:tc>
        <w:tc>
          <w:tcPr>
            <w:tcW w:w="1605" w:type="dxa"/>
            <w:shd w:val="clear" w:color="auto" w:fill="auto"/>
          </w:tcPr>
          <w:p w14:paraId="7E8D9DFB" w14:textId="77777777" w:rsidR="00A91B5A" w:rsidRPr="00ED4158" w:rsidRDefault="00A91B5A" w:rsidP="0040607D">
            <w:pPr>
              <w:spacing w:before="40" w:after="40" w:line="240" w:lineRule="auto"/>
              <w:ind w:right="327"/>
              <w:jc w:val="right"/>
              <w:rPr>
                <w:rFonts w:eastAsia="Times New Roman" w:cs="Times New Roman"/>
                <w:color w:val="0000FF"/>
              </w:rPr>
            </w:pPr>
            <w:r>
              <w:rPr>
                <w:rFonts w:eastAsia="Times New Roman" w:cs="Times New Roman"/>
                <w:color w:val="0000FF"/>
              </w:rPr>
              <w:t>183,263</w:t>
            </w:r>
          </w:p>
        </w:tc>
        <w:tc>
          <w:tcPr>
            <w:tcW w:w="1605" w:type="dxa"/>
            <w:shd w:val="clear" w:color="auto" w:fill="auto"/>
            <w:noWrap/>
          </w:tcPr>
          <w:p w14:paraId="19F2A3FE" w14:textId="02F2AC08" w:rsidR="00A91B5A" w:rsidRPr="00ED4158" w:rsidRDefault="00A91B5A" w:rsidP="0040607D">
            <w:pPr>
              <w:tabs>
                <w:tab w:val="decimal" w:pos="627"/>
              </w:tabs>
              <w:spacing w:before="40" w:after="40" w:line="240" w:lineRule="auto"/>
              <w:rPr>
                <w:rFonts w:eastAsia="Times New Roman" w:cs="Times New Roman"/>
                <w:color w:val="0000FF"/>
              </w:rPr>
            </w:pPr>
            <w:r>
              <w:rPr>
                <w:rFonts w:eastAsia="Times New Roman" w:cs="Times New Roman"/>
                <w:color w:val="0000FF"/>
              </w:rPr>
              <w:t>15.6</w:t>
            </w:r>
            <w:r w:rsidR="00FB550F">
              <w:rPr>
                <w:rFonts w:eastAsia="Times New Roman" w:cs="Times New Roman"/>
                <w:color w:val="0000FF"/>
              </w:rPr>
              <w:t>%</w:t>
            </w:r>
          </w:p>
        </w:tc>
      </w:tr>
      <w:tr w:rsidR="00A91B5A" w:rsidRPr="00ED4158" w14:paraId="49532D05" w14:textId="77777777" w:rsidTr="0023388A">
        <w:trPr>
          <w:jc w:val="center"/>
        </w:trPr>
        <w:tc>
          <w:tcPr>
            <w:tcW w:w="4770" w:type="dxa"/>
            <w:shd w:val="clear" w:color="auto" w:fill="auto"/>
            <w:hideMark/>
          </w:tcPr>
          <w:p w14:paraId="2442EAFA" w14:textId="77777777" w:rsidR="00A91B5A" w:rsidRPr="00ED4158" w:rsidRDefault="00A91B5A" w:rsidP="0040607D">
            <w:pPr>
              <w:spacing w:before="40" w:after="40" w:line="240" w:lineRule="auto"/>
              <w:ind w:firstLineChars="100" w:firstLine="220"/>
              <w:rPr>
                <w:rFonts w:eastAsia="Times New Roman" w:cs="Times New Roman"/>
                <w:color w:val="0000FF"/>
              </w:rPr>
            </w:pPr>
            <w:r w:rsidRPr="00ED4158">
              <w:rPr>
                <w:rFonts w:eastAsia="Times New Roman" w:cs="Times New Roman"/>
                <w:color w:val="0000FF"/>
              </w:rPr>
              <w:t>65-74</w:t>
            </w:r>
          </w:p>
        </w:tc>
        <w:tc>
          <w:tcPr>
            <w:tcW w:w="1605" w:type="dxa"/>
            <w:shd w:val="clear" w:color="auto" w:fill="auto"/>
          </w:tcPr>
          <w:p w14:paraId="363D36F0" w14:textId="77777777" w:rsidR="00A91B5A" w:rsidRPr="00ED4158" w:rsidRDefault="00A91B5A" w:rsidP="0040607D">
            <w:pPr>
              <w:spacing w:before="40" w:after="40" w:line="240" w:lineRule="auto"/>
              <w:ind w:right="327"/>
              <w:jc w:val="right"/>
              <w:rPr>
                <w:rFonts w:eastAsia="Times New Roman" w:cs="Times New Roman"/>
                <w:color w:val="0000FF"/>
              </w:rPr>
            </w:pPr>
            <w:r>
              <w:rPr>
                <w:rFonts w:eastAsia="Times New Roman" w:cs="Times New Roman"/>
                <w:color w:val="0000FF"/>
              </w:rPr>
              <w:t>272,203</w:t>
            </w:r>
          </w:p>
        </w:tc>
        <w:tc>
          <w:tcPr>
            <w:tcW w:w="1605" w:type="dxa"/>
            <w:shd w:val="clear" w:color="auto" w:fill="auto"/>
            <w:noWrap/>
          </w:tcPr>
          <w:p w14:paraId="65715EEA" w14:textId="32BE635B" w:rsidR="00A91B5A" w:rsidRPr="00ED4158" w:rsidRDefault="00A91B5A" w:rsidP="0040607D">
            <w:pPr>
              <w:tabs>
                <w:tab w:val="decimal" w:pos="627"/>
              </w:tabs>
              <w:spacing w:before="40" w:after="40" w:line="240" w:lineRule="auto"/>
              <w:rPr>
                <w:rFonts w:eastAsia="Times New Roman" w:cs="Times New Roman"/>
                <w:color w:val="0000FF"/>
              </w:rPr>
            </w:pPr>
            <w:r>
              <w:rPr>
                <w:rFonts w:eastAsia="Times New Roman" w:cs="Times New Roman"/>
                <w:color w:val="0000FF"/>
              </w:rPr>
              <w:t>23.1</w:t>
            </w:r>
            <w:r w:rsidR="00FB550F">
              <w:rPr>
                <w:rFonts w:eastAsia="Times New Roman" w:cs="Times New Roman"/>
                <w:color w:val="0000FF"/>
              </w:rPr>
              <w:t>%</w:t>
            </w:r>
          </w:p>
        </w:tc>
      </w:tr>
      <w:tr w:rsidR="00A91B5A" w:rsidRPr="00ED4158" w14:paraId="04C8B19B" w14:textId="77777777" w:rsidTr="0023388A">
        <w:trPr>
          <w:jc w:val="center"/>
        </w:trPr>
        <w:tc>
          <w:tcPr>
            <w:tcW w:w="4770" w:type="dxa"/>
            <w:shd w:val="clear" w:color="auto" w:fill="auto"/>
            <w:hideMark/>
          </w:tcPr>
          <w:p w14:paraId="16F2F5E1" w14:textId="77777777" w:rsidR="00A91B5A" w:rsidRPr="00ED4158" w:rsidRDefault="00A91B5A" w:rsidP="0040607D">
            <w:pPr>
              <w:spacing w:before="40" w:after="40" w:line="240" w:lineRule="auto"/>
              <w:ind w:firstLineChars="100" w:firstLine="220"/>
              <w:rPr>
                <w:rFonts w:eastAsia="Times New Roman" w:cs="Times New Roman"/>
                <w:color w:val="0000FF"/>
              </w:rPr>
            </w:pPr>
            <w:r w:rsidRPr="00ED4158">
              <w:rPr>
                <w:rFonts w:eastAsia="Times New Roman" w:cs="Times New Roman"/>
                <w:color w:val="0000FF"/>
              </w:rPr>
              <w:t>75-84</w:t>
            </w:r>
          </w:p>
        </w:tc>
        <w:tc>
          <w:tcPr>
            <w:tcW w:w="1605" w:type="dxa"/>
            <w:shd w:val="clear" w:color="auto" w:fill="auto"/>
          </w:tcPr>
          <w:p w14:paraId="01CF8325" w14:textId="77777777" w:rsidR="00A91B5A" w:rsidRPr="00ED4158" w:rsidRDefault="00A91B5A" w:rsidP="0040607D">
            <w:pPr>
              <w:spacing w:before="40" w:after="40" w:line="240" w:lineRule="auto"/>
              <w:ind w:right="327"/>
              <w:jc w:val="right"/>
              <w:rPr>
                <w:rFonts w:eastAsia="Times New Roman" w:cs="Times New Roman"/>
                <w:color w:val="0000FF"/>
              </w:rPr>
            </w:pPr>
            <w:r>
              <w:rPr>
                <w:rFonts w:eastAsia="Times New Roman" w:cs="Times New Roman"/>
                <w:color w:val="0000FF"/>
              </w:rPr>
              <w:t>360,235</w:t>
            </w:r>
          </w:p>
        </w:tc>
        <w:tc>
          <w:tcPr>
            <w:tcW w:w="1605" w:type="dxa"/>
            <w:shd w:val="clear" w:color="auto" w:fill="auto"/>
            <w:noWrap/>
          </w:tcPr>
          <w:p w14:paraId="10E6E415" w14:textId="4CF67998" w:rsidR="00A91B5A" w:rsidRPr="00ED4158" w:rsidRDefault="00A91B5A" w:rsidP="0040607D">
            <w:pPr>
              <w:tabs>
                <w:tab w:val="decimal" w:pos="627"/>
              </w:tabs>
              <w:spacing w:before="40" w:after="40" w:line="240" w:lineRule="auto"/>
              <w:rPr>
                <w:rFonts w:eastAsia="Times New Roman" w:cs="Times New Roman"/>
                <w:color w:val="0000FF"/>
              </w:rPr>
            </w:pPr>
            <w:r>
              <w:rPr>
                <w:rFonts w:eastAsia="Times New Roman" w:cs="Times New Roman"/>
                <w:color w:val="0000FF"/>
              </w:rPr>
              <w:t>30.6</w:t>
            </w:r>
            <w:r w:rsidR="00FB550F">
              <w:rPr>
                <w:rFonts w:eastAsia="Times New Roman" w:cs="Times New Roman"/>
                <w:color w:val="0000FF"/>
              </w:rPr>
              <w:t>%</w:t>
            </w:r>
          </w:p>
        </w:tc>
      </w:tr>
      <w:tr w:rsidR="00A91B5A" w:rsidRPr="00ED4158" w14:paraId="00E62722" w14:textId="77777777" w:rsidTr="0023388A">
        <w:trPr>
          <w:jc w:val="center"/>
        </w:trPr>
        <w:tc>
          <w:tcPr>
            <w:tcW w:w="4770" w:type="dxa"/>
            <w:shd w:val="clear" w:color="auto" w:fill="auto"/>
            <w:hideMark/>
          </w:tcPr>
          <w:p w14:paraId="225245BA" w14:textId="77777777" w:rsidR="00A91B5A" w:rsidRPr="00ED4158" w:rsidRDefault="00A91B5A" w:rsidP="0040607D">
            <w:pPr>
              <w:spacing w:before="40" w:after="40" w:line="240" w:lineRule="auto"/>
              <w:ind w:firstLineChars="100" w:firstLine="220"/>
              <w:rPr>
                <w:rFonts w:eastAsia="Times New Roman" w:cs="Times New Roman"/>
                <w:color w:val="0000FF"/>
              </w:rPr>
            </w:pPr>
            <w:r w:rsidRPr="00ED4158">
              <w:rPr>
                <w:rFonts w:eastAsia="Times New Roman" w:cs="Times New Roman"/>
                <w:color w:val="0000FF"/>
              </w:rPr>
              <w:t>85+</w:t>
            </w:r>
          </w:p>
        </w:tc>
        <w:tc>
          <w:tcPr>
            <w:tcW w:w="1605" w:type="dxa"/>
            <w:shd w:val="clear" w:color="auto" w:fill="auto"/>
          </w:tcPr>
          <w:p w14:paraId="4949AFCF" w14:textId="77777777" w:rsidR="00A91B5A" w:rsidRPr="00ED4158" w:rsidRDefault="00A91B5A" w:rsidP="0040607D">
            <w:pPr>
              <w:spacing w:before="40" w:after="40" w:line="240" w:lineRule="auto"/>
              <w:ind w:right="327"/>
              <w:jc w:val="right"/>
              <w:rPr>
                <w:rFonts w:eastAsia="Times New Roman" w:cs="Times New Roman"/>
                <w:color w:val="0000FF"/>
              </w:rPr>
            </w:pPr>
            <w:r>
              <w:rPr>
                <w:rFonts w:eastAsia="Times New Roman" w:cs="Times New Roman"/>
                <w:color w:val="0000FF"/>
              </w:rPr>
              <w:t>361,825</w:t>
            </w:r>
          </w:p>
        </w:tc>
        <w:tc>
          <w:tcPr>
            <w:tcW w:w="1605" w:type="dxa"/>
            <w:shd w:val="clear" w:color="auto" w:fill="auto"/>
            <w:noWrap/>
          </w:tcPr>
          <w:p w14:paraId="2AEA7DBB" w14:textId="26A39D67" w:rsidR="00A91B5A" w:rsidRPr="00ED4158" w:rsidRDefault="00A91B5A" w:rsidP="0040607D">
            <w:pPr>
              <w:tabs>
                <w:tab w:val="decimal" w:pos="627"/>
              </w:tabs>
              <w:spacing w:before="40" w:after="40" w:line="240" w:lineRule="auto"/>
              <w:rPr>
                <w:rFonts w:eastAsia="Times New Roman" w:cs="Times New Roman"/>
                <w:color w:val="0000FF"/>
              </w:rPr>
            </w:pPr>
            <w:r>
              <w:rPr>
                <w:rFonts w:eastAsia="Times New Roman" w:cs="Times New Roman"/>
                <w:color w:val="0000FF"/>
              </w:rPr>
              <w:t>30.7</w:t>
            </w:r>
            <w:r w:rsidR="00FB550F">
              <w:rPr>
                <w:rFonts w:eastAsia="Times New Roman" w:cs="Times New Roman"/>
                <w:color w:val="0000FF"/>
              </w:rPr>
              <w:t>%</w:t>
            </w:r>
          </w:p>
        </w:tc>
      </w:tr>
      <w:tr w:rsidR="00A91B5A" w:rsidRPr="00ED4158" w14:paraId="70FCE1DA" w14:textId="77777777" w:rsidTr="0023388A">
        <w:trPr>
          <w:jc w:val="center"/>
        </w:trPr>
        <w:tc>
          <w:tcPr>
            <w:tcW w:w="4770" w:type="dxa"/>
            <w:shd w:val="clear" w:color="auto" w:fill="auto"/>
            <w:hideMark/>
          </w:tcPr>
          <w:p w14:paraId="1877FFAC" w14:textId="77777777" w:rsidR="00A91B5A" w:rsidRPr="00ED4158" w:rsidRDefault="00A91B5A" w:rsidP="0040607D">
            <w:pPr>
              <w:spacing w:before="40" w:after="40" w:line="240" w:lineRule="auto"/>
              <w:rPr>
                <w:rFonts w:eastAsia="Times New Roman" w:cs="Times New Roman"/>
                <w:color w:val="0000FF"/>
              </w:rPr>
            </w:pPr>
            <w:r w:rsidRPr="00ED4158">
              <w:rPr>
                <w:rFonts w:eastAsia="Times New Roman" w:cs="Times New Roman"/>
                <w:color w:val="0000FF"/>
              </w:rPr>
              <w:t>Diagnoses</w:t>
            </w:r>
          </w:p>
        </w:tc>
        <w:tc>
          <w:tcPr>
            <w:tcW w:w="1605" w:type="dxa"/>
            <w:shd w:val="clear" w:color="auto" w:fill="auto"/>
          </w:tcPr>
          <w:p w14:paraId="4E98256D" w14:textId="77777777" w:rsidR="00A91B5A" w:rsidRPr="00ED4158" w:rsidRDefault="00A91B5A" w:rsidP="0040607D">
            <w:pPr>
              <w:spacing w:before="40" w:after="40" w:line="240" w:lineRule="auto"/>
              <w:ind w:right="327"/>
              <w:jc w:val="right"/>
              <w:rPr>
                <w:rFonts w:eastAsia="Times New Roman" w:cs="Times New Roman"/>
                <w:color w:val="0000FF"/>
              </w:rPr>
            </w:pPr>
          </w:p>
        </w:tc>
        <w:tc>
          <w:tcPr>
            <w:tcW w:w="1605" w:type="dxa"/>
            <w:shd w:val="clear" w:color="auto" w:fill="auto"/>
            <w:noWrap/>
          </w:tcPr>
          <w:p w14:paraId="3DE0B7ED" w14:textId="77777777" w:rsidR="00A91B5A" w:rsidRPr="00ED4158" w:rsidRDefault="00A91B5A" w:rsidP="0040607D">
            <w:pPr>
              <w:tabs>
                <w:tab w:val="decimal" w:pos="627"/>
              </w:tabs>
              <w:spacing w:before="40" w:after="40" w:line="240" w:lineRule="auto"/>
              <w:rPr>
                <w:rFonts w:eastAsia="Times New Roman" w:cs="Times New Roman"/>
                <w:color w:val="0000FF"/>
              </w:rPr>
            </w:pPr>
          </w:p>
        </w:tc>
      </w:tr>
      <w:tr w:rsidR="00A91B5A" w:rsidRPr="00ED4158" w14:paraId="33148170" w14:textId="77777777" w:rsidTr="0023388A">
        <w:trPr>
          <w:jc w:val="center"/>
        </w:trPr>
        <w:tc>
          <w:tcPr>
            <w:tcW w:w="4770" w:type="dxa"/>
            <w:shd w:val="clear" w:color="auto" w:fill="auto"/>
            <w:hideMark/>
          </w:tcPr>
          <w:p w14:paraId="30715179" w14:textId="77777777" w:rsidR="00A91B5A" w:rsidRPr="00ED4158" w:rsidRDefault="00A91B5A" w:rsidP="0040607D">
            <w:pPr>
              <w:spacing w:before="40" w:after="40" w:line="240" w:lineRule="auto"/>
              <w:ind w:firstLineChars="100" w:firstLine="220"/>
              <w:rPr>
                <w:rFonts w:eastAsia="Times New Roman" w:cs="Times New Roman"/>
                <w:color w:val="0000FF"/>
              </w:rPr>
            </w:pPr>
            <w:r w:rsidRPr="00ED4158">
              <w:rPr>
                <w:rFonts w:eastAsia="Times New Roman" w:cs="Times New Roman"/>
                <w:color w:val="0000FF"/>
              </w:rPr>
              <w:t>Arthritis</w:t>
            </w:r>
          </w:p>
        </w:tc>
        <w:tc>
          <w:tcPr>
            <w:tcW w:w="1605" w:type="dxa"/>
            <w:shd w:val="clear" w:color="auto" w:fill="auto"/>
          </w:tcPr>
          <w:p w14:paraId="064F4A61" w14:textId="77777777" w:rsidR="00A91B5A" w:rsidRPr="00ED4158" w:rsidRDefault="00A91B5A" w:rsidP="0040607D">
            <w:pPr>
              <w:spacing w:before="40" w:after="40" w:line="240" w:lineRule="auto"/>
              <w:ind w:right="327"/>
              <w:jc w:val="right"/>
              <w:rPr>
                <w:rFonts w:eastAsia="Times New Roman" w:cs="Times New Roman"/>
                <w:color w:val="0000FF"/>
              </w:rPr>
            </w:pPr>
            <w:r>
              <w:rPr>
                <w:rFonts w:eastAsia="Times New Roman" w:cs="Times New Roman"/>
                <w:color w:val="0000FF"/>
              </w:rPr>
              <w:t>246,174</w:t>
            </w:r>
          </w:p>
        </w:tc>
        <w:tc>
          <w:tcPr>
            <w:tcW w:w="1605" w:type="dxa"/>
            <w:shd w:val="clear" w:color="auto" w:fill="auto"/>
            <w:noWrap/>
          </w:tcPr>
          <w:p w14:paraId="2AE5204A" w14:textId="6DDA4272" w:rsidR="00A91B5A" w:rsidRPr="00ED4158" w:rsidRDefault="00A91B5A" w:rsidP="0040607D">
            <w:pPr>
              <w:tabs>
                <w:tab w:val="decimal" w:pos="627"/>
              </w:tabs>
              <w:spacing w:before="40" w:after="40" w:line="240" w:lineRule="auto"/>
              <w:rPr>
                <w:rFonts w:eastAsia="Times New Roman" w:cs="Times New Roman"/>
                <w:color w:val="0000FF"/>
              </w:rPr>
            </w:pPr>
            <w:r>
              <w:rPr>
                <w:rFonts w:eastAsia="Times New Roman" w:cs="Times New Roman"/>
                <w:color w:val="0000FF"/>
              </w:rPr>
              <w:t>25.4</w:t>
            </w:r>
            <w:r w:rsidR="00FB550F">
              <w:rPr>
                <w:rFonts w:eastAsia="Times New Roman" w:cs="Times New Roman"/>
                <w:color w:val="0000FF"/>
              </w:rPr>
              <w:t>%</w:t>
            </w:r>
          </w:p>
        </w:tc>
      </w:tr>
      <w:tr w:rsidR="00A91B5A" w:rsidRPr="00ED4158" w14:paraId="1DCD4576" w14:textId="77777777" w:rsidTr="0023388A">
        <w:trPr>
          <w:jc w:val="center"/>
        </w:trPr>
        <w:tc>
          <w:tcPr>
            <w:tcW w:w="4770" w:type="dxa"/>
            <w:shd w:val="clear" w:color="auto" w:fill="auto"/>
            <w:hideMark/>
          </w:tcPr>
          <w:p w14:paraId="34B67543" w14:textId="77777777" w:rsidR="00A91B5A" w:rsidRPr="00ED4158" w:rsidRDefault="00A91B5A" w:rsidP="0040607D">
            <w:pPr>
              <w:spacing w:before="40" w:after="40" w:line="240" w:lineRule="auto"/>
              <w:ind w:firstLineChars="100" w:firstLine="220"/>
              <w:rPr>
                <w:rFonts w:eastAsia="Times New Roman" w:cs="Times New Roman"/>
                <w:color w:val="0000FF"/>
              </w:rPr>
            </w:pPr>
            <w:r w:rsidRPr="00ED4158">
              <w:rPr>
                <w:rFonts w:eastAsia="Times New Roman" w:cs="Times New Roman"/>
                <w:color w:val="0000FF"/>
              </w:rPr>
              <w:t>Osteoporosis</w:t>
            </w:r>
          </w:p>
        </w:tc>
        <w:tc>
          <w:tcPr>
            <w:tcW w:w="1605" w:type="dxa"/>
            <w:tcBorders>
              <w:top w:val="nil"/>
              <w:left w:val="nil"/>
              <w:bottom w:val="nil"/>
              <w:right w:val="nil"/>
            </w:tcBorders>
            <w:shd w:val="clear" w:color="auto" w:fill="auto"/>
            <w:vAlign w:val="bottom"/>
          </w:tcPr>
          <w:p w14:paraId="56BD616E" w14:textId="77777777" w:rsidR="00A91B5A" w:rsidRPr="00186242" w:rsidRDefault="00A91B5A" w:rsidP="0040607D">
            <w:pPr>
              <w:spacing w:before="40" w:after="40" w:line="240" w:lineRule="auto"/>
              <w:ind w:right="327"/>
              <w:jc w:val="right"/>
              <w:rPr>
                <w:rFonts w:cstheme="minorHAnsi"/>
                <w:bCs/>
                <w:color w:val="0000FF"/>
              </w:rPr>
            </w:pPr>
            <w:r w:rsidRPr="00186242">
              <w:rPr>
                <w:rFonts w:cstheme="minorHAnsi"/>
                <w:bCs/>
                <w:color w:val="0000FF"/>
              </w:rPr>
              <w:t>80,925</w:t>
            </w:r>
          </w:p>
        </w:tc>
        <w:tc>
          <w:tcPr>
            <w:tcW w:w="1605" w:type="dxa"/>
            <w:shd w:val="clear" w:color="auto" w:fill="auto"/>
            <w:noWrap/>
          </w:tcPr>
          <w:p w14:paraId="3A4FADDA" w14:textId="6933FAEF" w:rsidR="00A91B5A" w:rsidRPr="00ED4158" w:rsidRDefault="00A91B5A" w:rsidP="0040607D">
            <w:pPr>
              <w:tabs>
                <w:tab w:val="decimal" w:pos="627"/>
              </w:tabs>
              <w:spacing w:before="40" w:after="40" w:line="240" w:lineRule="auto"/>
              <w:rPr>
                <w:rFonts w:eastAsia="Times New Roman" w:cs="Times New Roman"/>
                <w:color w:val="0000FF"/>
              </w:rPr>
            </w:pPr>
            <w:r>
              <w:rPr>
                <w:rFonts w:eastAsia="Times New Roman" w:cs="Times New Roman"/>
                <w:color w:val="0000FF"/>
              </w:rPr>
              <w:t>8.3</w:t>
            </w:r>
            <w:r w:rsidR="00FB550F">
              <w:rPr>
                <w:rFonts w:eastAsia="Times New Roman" w:cs="Times New Roman"/>
                <w:color w:val="0000FF"/>
              </w:rPr>
              <w:t>%</w:t>
            </w:r>
          </w:p>
        </w:tc>
      </w:tr>
      <w:tr w:rsidR="00A91B5A" w:rsidRPr="00ED4158" w14:paraId="355FC204" w14:textId="77777777" w:rsidTr="0023388A">
        <w:trPr>
          <w:jc w:val="center"/>
        </w:trPr>
        <w:tc>
          <w:tcPr>
            <w:tcW w:w="4770" w:type="dxa"/>
            <w:shd w:val="clear" w:color="auto" w:fill="auto"/>
            <w:hideMark/>
          </w:tcPr>
          <w:p w14:paraId="66EE7B5C" w14:textId="77777777" w:rsidR="00A91B5A" w:rsidRPr="00ED4158" w:rsidRDefault="00A91B5A" w:rsidP="0040607D">
            <w:pPr>
              <w:spacing w:before="40" w:after="40" w:line="240" w:lineRule="auto"/>
              <w:ind w:firstLineChars="100" w:firstLine="220"/>
              <w:rPr>
                <w:rFonts w:eastAsia="Times New Roman" w:cs="Times New Roman"/>
                <w:color w:val="0000FF"/>
              </w:rPr>
            </w:pPr>
            <w:r w:rsidRPr="00ED4158">
              <w:rPr>
                <w:rFonts w:eastAsia="Times New Roman" w:cs="Times New Roman"/>
                <w:color w:val="0000FF"/>
              </w:rPr>
              <w:t>Hip Fracture</w:t>
            </w:r>
          </w:p>
        </w:tc>
        <w:tc>
          <w:tcPr>
            <w:tcW w:w="1605" w:type="dxa"/>
            <w:tcBorders>
              <w:top w:val="nil"/>
              <w:left w:val="nil"/>
              <w:bottom w:val="nil"/>
              <w:right w:val="nil"/>
            </w:tcBorders>
            <w:shd w:val="clear" w:color="auto" w:fill="auto"/>
            <w:vAlign w:val="bottom"/>
          </w:tcPr>
          <w:p w14:paraId="65FF5ACD" w14:textId="77777777" w:rsidR="00A91B5A" w:rsidRPr="00186242" w:rsidRDefault="00A91B5A" w:rsidP="0040607D">
            <w:pPr>
              <w:spacing w:before="40" w:after="40" w:line="240" w:lineRule="auto"/>
              <w:ind w:right="327"/>
              <w:jc w:val="right"/>
              <w:rPr>
                <w:rFonts w:cstheme="minorHAnsi"/>
                <w:bCs/>
                <w:color w:val="0000FF"/>
              </w:rPr>
            </w:pPr>
            <w:r w:rsidRPr="00186242">
              <w:rPr>
                <w:rFonts w:cstheme="minorHAnsi"/>
                <w:bCs/>
                <w:color w:val="0000FF"/>
              </w:rPr>
              <w:t>22,645</w:t>
            </w:r>
          </w:p>
        </w:tc>
        <w:tc>
          <w:tcPr>
            <w:tcW w:w="1605" w:type="dxa"/>
            <w:shd w:val="clear" w:color="auto" w:fill="auto"/>
            <w:noWrap/>
          </w:tcPr>
          <w:p w14:paraId="104B5746" w14:textId="0A2E95D8" w:rsidR="00A91B5A" w:rsidRPr="00ED4158" w:rsidRDefault="00A91B5A" w:rsidP="0040607D">
            <w:pPr>
              <w:tabs>
                <w:tab w:val="decimal" w:pos="627"/>
              </w:tabs>
              <w:spacing w:before="40" w:after="40" w:line="240" w:lineRule="auto"/>
              <w:rPr>
                <w:rFonts w:eastAsia="Times New Roman" w:cs="Times New Roman"/>
                <w:color w:val="0000FF"/>
              </w:rPr>
            </w:pPr>
            <w:r>
              <w:rPr>
                <w:rFonts w:eastAsia="Times New Roman" w:cs="Times New Roman"/>
                <w:color w:val="0000FF"/>
              </w:rPr>
              <w:t>6.2</w:t>
            </w:r>
            <w:r w:rsidR="00FB550F">
              <w:rPr>
                <w:rFonts w:eastAsia="Times New Roman" w:cs="Times New Roman"/>
                <w:color w:val="0000FF"/>
              </w:rPr>
              <w:t>%</w:t>
            </w:r>
          </w:p>
        </w:tc>
      </w:tr>
      <w:tr w:rsidR="00A91B5A" w:rsidRPr="00ED4158" w14:paraId="04A51267" w14:textId="77777777" w:rsidTr="0023388A">
        <w:trPr>
          <w:jc w:val="center"/>
        </w:trPr>
        <w:tc>
          <w:tcPr>
            <w:tcW w:w="4770" w:type="dxa"/>
            <w:shd w:val="clear" w:color="auto" w:fill="auto"/>
            <w:hideMark/>
          </w:tcPr>
          <w:p w14:paraId="35A2E606" w14:textId="77777777" w:rsidR="00A91B5A" w:rsidRPr="00ED4158" w:rsidRDefault="00A91B5A" w:rsidP="0040607D">
            <w:pPr>
              <w:spacing w:before="40" w:after="40" w:line="240" w:lineRule="auto"/>
              <w:ind w:firstLineChars="100" w:firstLine="220"/>
              <w:rPr>
                <w:rFonts w:eastAsia="Times New Roman" w:cs="Times New Roman"/>
                <w:color w:val="0000FF"/>
              </w:rPr>
            </w:pPr>
            <w:r w:rsidRPr="00ED4158">
              <w:rPr>
                <w:rFonts w:eastAsia="Times New Roman" w:cs="Times New Roman"/>
                <w:color w:val="0000FF"/>
              </w:rPr>
              <w:t>Other Fracture</w:t>
            </w:r>
          </w:p>
        </w:tc>
        <w:tc>
          <w:tcPr>
            <w:tcW w:w="1605" w:type="dxa"/>
            <w:tcBorders>
              <w:top w:val="nil"/>
              <w:left w:val="nil"/>
              <w:bottom w:val="nil"/>
              <w:right w:val="nil"/>
            </w:tcBorders>
            <w:shd w:val="clear" w:color="auto" w:fill="auto"/>
            <w:vAlign w:val="bottom"/>
          </w:tcPr>
          <w:p w14:paraId="455F5476" w14:textId="77777777" w:rsidR="00A91B5A" w:rsidRPr="00186242" w:rsidRDefault="00A91B5A" w:rsidP="0040607D">
            <w:pPr>
              <w:spacing w:before="40" w:after="40" w:line="240" w:lineRule="auto"/>
              <w:ind w:right="327"/>
              <w:jc w:val="right"/>
              <w:rPr>
                <w:rFonts w:cstheme="minorHAnsi"/>
                <w:bCs/>
                <w:color w:val="0000FF"/>
              </w:rPr>
            </w:pPr>
            <w:r w:rsidRPr="00186242">
              <w:rPr>
                <w:rFonts w:cstheme="minorHAnsi"/>
                <w:bCs/>
                <w:color w:val="0000FF"/>
              </w:rPr>
              <w:t>35,234</w:t>
            </w:r>
          </w:p>
        </w:tc>
        <w:tc>
          <w:tcPr>
            <w:tcW w:w="1605" w:type="dxa"/>
            <w:shd w:val="clear" w:color="auto" w:fill="auto"/>
            <w:noWrap/>
          </w:tcPr>
          <w:p w14:paraId="75381C5D" w14:textId="38372BFA" w:rsidR="00A91B5A" w:rsidRPr="00ED4158" w:rsidRDefault="00A91B5A" w:rsidP="0040607D">
            <w:pPr>
              <w:tabs>
                <w:tab w:val="decimal" w:pos="627"/>
              </w:tabs>
              <w:spacing w:before="40" w:after="40" w:line="240" w:lineRule="auto"/>
              <w:rPr>
                <w:rFonts w:eastAsia="Times New Roman" w:cs="Times New Roman"/>
                <w:color w:val="0000FF"/>
              </w:rPr>
            </w:pPr>
            <w:r>
              <w:rPr>
                <w:rFonts w:eastAsia="Times New Roman" w:cs="Times New Roman"/>
                <w:color w:val="0000FF"/>
              </w:rPr>
              <w:t>9.7</w:t>
            </w:r>
            <w:r w:rsidR="00FB550F">
              <w:rPr>
                <w:rFonts w:eastAsia="Times New Roman" w:cs="Times New Roman"/>
                <w:color w:val="0000FF"/>
              </w:rPr>
              <w:t>%</w:t>
            </w:r>
          </w:p>
        </w:tc>
      </w:tr>
      <w:tr w:rsidR="00A91B5A" w:rsidRPr="00ED4158" w14:paraId="42639438" w14:textId="77777777" w:rsidTr="0023388A">
        <w:trPr>
          <w:jc w:val="center"/>
        </w:trPr>
        <w:tc>
          <w:tcPr>
            <w:tcW w:w="4770" w:type="dxa"/>
            <w:shd w:val="clear" w:color="auto" w:fill="auto"/>
            <w:hideMark/>
          </w:tcPr>
          <w:p w14:paraId="4BBF9B36" w14:textId="77777777" w:rsidR="00A91B5A" w:rsidRPr="00ED4158" w:rsidRDefault="00A91B5A" w:rsidP="0040607D">
            <w:pPr>
              <w:spacing w:before="40" w:after="40" w:line="240" w:lineRule="auto"/>
              <w:ind w:firstLineChars="100" w:firstLine="220"/>
              <w:rPr>
                <w:rFonts w:eastAsia="Times New Roman" w:cs="Times New Roman"/>
                <w:color w:val="0000FF"/>
              </w:rPr>
            </w:pPr>
            <w:r w:rsidRPr="00ED4158">
              <w:rPr>
                <w:rFonts w:eastAsia="Times New Roman" w:cs="Times New Roman"/>
                <w:color w:val="0000FF"/>
              </w:rPr>
              <w:t>Depression</w:t>
            </w:r>
          </w:p>
        </w:tc>
        <w:tc>
          <w:tcPr>
            <w:tcW w:w="1605" w:type="dxa"/>
            <w:tcBorders>
              <w:top w:val="nil"/>
              <w:left w:val="nil"/>
              <w:bottom w:val="nil"/>
              <w:right w:val="nil"/>
            </w:tcBorders>
            <w:shd w:val="clear" w:color="auto" w:fill="auto"/>
            <w:vAlign w:val="bottom"/>
          </w:tcPr>
          <w:p w14:paraId="10B23D63" w14:textId="77777777" w:rsidR="00A91B5A" w:rsidRPr="00186242" w:rsidRDefault="00A91B5A" w:rsidP="0040607D">
            <w:pPr>
              <w:spacing w:before="40" w:after="40" w:line="240" w:lineRule="auto"/>
              <w:ind w:right="327"/>
              <w:jc w:val="right"/>
              <w:rPr>
                <w:rFonts w:cstheme="minorHAnsi"/>
                <w:bCs/>
                <w:color w:val="0000FF"/>
              </w:rPr>
            </w:pPr>
            <w:r w:rsidRPr="00186242">
              <w:rPr>
                <w:rFonts w:cstheme="minorHAnsi"/>
                <w:bCs/>
                <w:color w:val="0000FF"/>
              </w:rPr>
              <w:t>121,528</w:t>
            </w:r>
          </w:p>
        </w:tc>
        <w:tc>
          <w:tcPr>
            <w:tcW w:w="1605" w:type="dxa"/>
            <w:shd w:val="clear" w:color="auto" w:fill="auto"/>
            <w:noWrap/>
          </w:tcPr>
          <w:p w14:paraId="20E9BF7B" w14:textId="379EEB9D" w:rsidR="00A91B5A" w:rsidRPr="00ED4158" w:rsidRDefault="00A91B5A" w:rsidP="0040607D">
            <w:pPr>
              <w:tabs>
                <w:tab w:val="decimal" w:pos="627"/>
              </w:tabs>
              <w:spacing w:before="40" w:after="40" w:line="240" w:lineRule="auto"/>
              <w:rPr>
                <w:rFonts w:eastAsia="Times New Roman" w:cs="Times New Roman"/>
                <w:color w:val="0000FF"/>
              </w:rPr>
            </w:pPr>
            <w:r>
              <w:rPr>
                <w:rFonts w:eastAsia="Times New Roman" w:cs="Times New Roman"/>
                <w:color w:val="0000FF"/>
              </w:rPr>
              <w:t>33.3</w:t>
            </w:r>
            <w:r w:rsidR="00FB550F">
              <w:rPr>
                <w:rFonts w:eastAsia="Times New Roman" w:cs="Times New Roman"/>
                <w:color w:val="0000FF"/>
              </w:rPr>
              <w:t>%</w:t>
            </w:r>
          </w:p>
        </w:tc>
      </w:tr>
      <w:tr w:rsidR="00A91B5A" w:rsidRPr="00ED4158" w14:paraId="2410A8D8" w14:textId="77777777" w:rsidTr="0023388A">
        <w:trPr>
          <w:jc w:val="center"/>
        </w:trPr>
        <w:tc>
          <w:tcPr>
            <w:tcW w:w="4770" w:type="dxa"/>
            <w:shd w:val="clear" w:color="auto" w:fill="auto"/>
            <w:hideMark/>
          </w:tcPr>
          <w:p w14:paraId="013A0D93" w14:textId="77777777" w:rsidR="00A91B5A" w:rsidRPr="00ED4158" w:rsidRDefault="00A91B5A" w:rsidP="0040607D">
            <w:pPr>
              <w:spacing w:before="40" w:after="40" w:line="240" w:lineRule="auto"/>
              <w:ind w:firstLineChars="100" w:firstLine="220"/>
              <w:rPr>
                <w:rFonts w:eastAsia="Times New Roman" w:cs="Times New Roman"/>
                <w:color w:val="0000FF"/>
              </w:rPr>
            </w:pPr>
            <w:r w:rsidRPr="00ED4158">
              <w:rPr>
                <w:rFonts w:eastAsia="Times New Roman" w:cs="Times New Roman"/>
                <w:color w:val="0000FF"/>
              </w:rPr>
              <w:t>Stroke</w:t>
            </w:r>
          </w:p>
        </w:tc>
        <w:tc>
          <w:tcPr>
            <w:tcW w:w="1605" w:type="dxa"/>
            <w:tcBorders>
              <w:top w:val="nil"/>
              <w:left w:val="nil"/>
              <w:bottom w:val="nil"/>
              <w:right w:val="nil"/>
            </w:tcBorders>
            <w:shd w:val="clear" w:color="auto" w:fill="auto"/>
            <w:vAlign w:val="bottom"/>
          </w:tcPr>
          <w:p w14:paraId="2B278317" w14:textId="77777777" w:rsidR="00A91B5A" w:rsidRPr="00186242" w:rsidRDefault="00A91B5A" w:rsidP="0040607D">
            <w:pPr>
              <w:spacing w:before="40" w:after="40" w:line="240" w:lineRule="auto"/>
              <w:ind w:right="327"/>
              <w:jc w:val="right"/>
              <w:rPr>
                <w:rFonts w:cstheme="minorHAnsi"/>
                <w:bCs/>
                <w:color w:val="0000FF"/>
              </w:rPr>
            </w:pPr>
            <w:r w:rsidRPr="00186242">
              <w:rPr>
                <w:rFonts w:cstheme="minorHAnsi"/>
                <w:bCs/>
                <w:color w:val="0000FF"/>
              </w:rPr>
              <w:t>33,024</w:t>
            </w:r>
          </w:p>
        </w:tc>
        <w:tc>
          <w:tcPr>
            <w:tcW w:w="1605" w:type="dxa"/>
            <w:shd w:val="clear" w:color="auto" w:fill="auto"/>
            <w:noWrap/>
          </w:tcPr>
          <w:p w14:paraId="25DCD629" w14:textId="66C1BF0C" w:rsidR="00A91B5A" w:rsidRPr="00ED4158" w:rsidRDefault="00A91B5A" w:rsidP="0040607D">
            <w:pPr>
              <w:tabs>
                <w:tab w:val="decimal" w:pos="627"/>
              </w:tabs>
              <w:spacing w:before="40" w:after="40" w:line="240" w:lineRule="auto"/>
              <w:rPr>
                <w:rFonts w:eastAsia="Times New Roman" w:cs="Times New Roman"/>
                <w:color w:val="0000FF"/>
              </w:rPr>
            </w:pPr>
            <w:r>
              <w:rPr>
                <w:rFonts w:eastAsia="Times New Roman" w:cs="Times New Roman"/>
                <w:color w:val="0000FF"/>
              </w:rPr>
              <w:t>9.1</w:t>
            </w:r>
            <w:r w:rsidR="00FB550F">
              <w:rPr>
                <w:rFonts w:eastAsia="Times New Roman" w:cs="Times New Roman"/>
                <w:color w:val="0000FF"/>
              </w:rPr>
              <w:t>%</w:t>
            </w:r>
          </w:p>
        </w:tc>
      </w:tr>
      <w:tr w:rsidR="00A91B5A" w:rsidRPr="00ED4158" w14:paraId="039EABB8" w14:textId="77777777" w:rsidTr="0023388A">
        <w:trPr>
          <w:jc w:val="center"/>
        </w:trPr>
        <w:tc>
          <w:tcPr>
            <w:tcW w:w="4770" w:type="dxa"/>
            <w:shd w:val="clear" w:color="auto" w:fill="auto"/>
            <w:hideMark/>
          </w:tcPr>
          <w:p w14:paraId="2E2A1C4E" w14:textId="77777777" w:rsidR="00A91B5A" w:rsidRPr="00ED4158" w:rsidRDefault="00A91B5A" w:rsidP="0040607D">
            <w:pPr>
              <w:spacing w:before="40" w:after="40" w:line="240" w:lineRule="auto"/>
              <w:ind w:firstLineChars="100" w:firstLine="220"/>
              <w:rPr>
                <w:rFonts w:eastAsia="Times New Roman" w:cs="Times New Roman"/>
                <w:color w:val="0000FF"/>
              </w:rPr>
            </w:pPr>
            <w:r w:rsidRPr="00ED4158">
              <w:rPr>
                <w:rFonts w:eastAsia="Times New Roman" w:cs="Times New Roman"/>
                <w:color w:val="0000FF"/>
              </w:rPr>
              <w:t>Alzheimer's Disease</w:t>
            </w:r>
          </w:p>
        </w:tc>
        <w:tc>
          <w:tcPr>
            <w:tcW w:w="1605" w:type="dxa"/>
            <w:tcBorders>
              <w:top w:val="nil"/>
              <w:left w:val="nil"/>
              <w:bottom w:val="nil"/>
              <w:right w:val="nil"/>
            </w:tcBorders>
            <w:shd w:val="clear" w:color="auto" w:fill="auto"/>
            <w:vAlign w:val="bottom"/>
          </w:tcPr>
          <w:p w14:paraId="208CB684" w14:textId="77777777" w:rsidR="00A91B5A" w:rsidRPr="00186242" w:rsidRDefault="00A91B5A" w:rsidP="0040607D">
            <w:pPr>
              <w:spacing w:before="40" w:after="40" w:line="240" w:lineRule="auto"/>
              <w:ind w:right="327"/>
              <w:jc w:val="right"/>
              <w:rPr>
                <w:rFonts w:cstheme="minorHAnsi"/>
                <w:bCs/>
                <w:color w:val="0000FF"/>
              </w:rPr>
            </w:pPr>
            <w:r w:rsidRPr="00186242">
              <w:rPr>
                <w:rFonts w:cstheme="minorHAnsi"/>
                <w:bCs/>
                <w:color w:val="0000FF"/>
              </w:rPr>
              <w:t>19,120</w:t>
            </w:r>
          </w:p>
        </w:tc>
        <w:tc>
          <w:tcPr>
            <w:tcW w:w="1605" w:type="dxa"/>
            <w:shd w:val="clear" w:color="auto" w:fill="auto"/>
            <w:noWrap/>
          </w:tcPr>
          <w:p w14:paraId="51429D70" w14:textId="31CB2778" w:rsidR="00A91B5A" w:rsidRPr="00ED4158" w:rsidRDefault="00A91B5A" w:rsidP="0040607D">
            <w:pPr>
              <w:tabs>
                <w:tab w:val="decimal" w:pos="627"/>
              </w:tabs>
              <w:spacing w:before="40" w:after="40" w:line="240" w:lineRule="auto"/>
              <w:rPr>
                <w:rFonts w:eastAsia="Times New Roman" w:cs="Times New Roman"/>
                <w:color w:val="0000FF"/>
              </w:rPr>
            </w:pPr>
            <w:r>
              <w:rPr>
                <w:rFonts w:eastAsia="Times New Roman" w:cs="Times New Roman"/>
                <w:color w:val="0000FF"/>
              </w:rPr>
              <w:t>5.2</w:t>
            </w:r>
            <w:r w:rsidR="00FB550F">
              <w:rPr>
                <w:rFonts w:eastAsia="Times New Roman" w:cs="Times New Roman"/>
                <w:color w:val="0000FF"/>
              </w:rPr>
              <w:t>%</w:t>
            </w:r>
          </w:p>
        </w:tc>
      </w:tr>
      <w:tr w:rsidR="00A91B5A" w:rsidRPr="00ED4158" w14:paraId="17307B1C" w14:textId="77777777" w:rsidTr="0023388A">
        <w:trPr>
          <w:jc w:val="center"/>
        </w:trPr>
        <w:tc>
          <w:tcPr>
            <w:tcW w:w="4770" w:type="dxa"/>
            <w:shd w:val="clear" w:color="auto" w:fill="auto"/>
            <w:hideMark/>
          </w:tcPr>
          <w:p w14:paraId="792E5B5A" w14:textId="77777777" w:rsidR="00A91B5A" w:rsidRPr="00ED4158" w:rsidRDefault="00A91B5A" w:rsidP="0040607D">
            <w:pPr>
              <w:spacing w:before="40" w:after="40" w:line="240" w:lineRule="auto"/>
              <w:ind w:firstLineChars="100" w:firstLine="220"/>
              <w:rPr>
                <w:rFonts w:eastAsia="Times New Roman" w:cs="Times New Roman"/>
                <w:color w:val="0000FF"/>
              </w:rPr>
            </w:pPr>
            <w:r w:rsidRPr="00ED4158">
              <w:rPr>
                <w:rFonts w:eastAsia="Times New Roman" w:cs="Times New Roman"/>
                <w:color w:val="0000FF"/>
              </w:rPr>
              <w:t>Non-Alzheimer's Dementia</w:t>
            </w:r>
          </w:p>
        </w:tc>
        <w:tc>
          <w:tcPr>
            <w:tcW w:w="1605" w:type="dxa"/>
            <w:tcBorders>
              <w:top w:val="nil"/>
              <w:left w:val="nil"/>
              <w:bottom w:val="nil"/>
              <w:right w:val="nil"/>
            </w:tcBorders>
            <w:shd w:val="clear" w:color="auto" w:fill="auto"/>
            <w:vAlign w:val="bottom"/>
          </w:tcPr>
          <w:p w14:paraId="02737DAA" w14:textId="77777777" w:rsidR="00A91B5A" w:rsidRPr="00186242" w:rsidRDefault="00A91B5A" w:rsidP="0040607D">
            <w:pPr>
              <w:spacing w:before="40" w:after="40" w:line="240" w:lineRule="auto"/>
              <w:ind w:right="327"/>
              <w:jc w:val="right"/>
              <w:rPr>
                <w:rFonts w:cstheme="minorHAnsi"/>
                <w:bCs/>
                <w:color w:val="0000FF"/>
              </w:rPr>
            </w:pPr>
            <w:r w:rsidRPr="00186242">
              <w:rPr>
                <w:rFonts w:cstheme="minorHAnsi"/>
                <w:bCs/>
                <w:color w:val="0000FF"/>
              </w:rPr>
              <w:t>76,230</w:t>
            </w:r>
          </w:p>
        </w:tc>
        <w:tc>
          <w:tcPr>
            <w:tcW w:w="1605" w:type="dxa"/>
            <w:shd w:val="clear" w:color="auto" w:fill="auto"/>
            <w:noWrap/>
          </w:tcPr>
          <w:p w14:paraId="23A8A0E0" w14:textId="59B606F3" w:rsidR="00A91B5A" w:rsidRPr="00ED4158" w:rsidRDefault="00A91B5A" w:rsidP="0040607D">
            <w:pPr>
              <w:tabs>
                <w:tab w:val="decimal" w:pos="627"/>
              </w:tabs>
              <w:spacing w:before="40" w:after="40" w:line="240" w:lineRule="auto"/>
              <w:rPr>
                <w:rFonts w:eastAsia="Times New Roman" w:cs="Times New Roman"/>
                <w:color w:val="0000FF"/>
              </w:rPr>
            </w:pPr>
            <w:r>
              <w:rPr>
                <w:rFonts w:eastAsia="Times New Roman" w:cs="Times New Roman"/>
                <w:color w:val="0000FF"/>
              </w:rPr>
              <w:t>20.9</w:t>
            </w:r>
            <w:r w:rsidR="00FB550F">
              <w:rPr>
                <w:rFonts w:eastAsia="Times New Roman" w:cs="Times New Roman"/>
                <w:color w:val="0000FF"/>
              </w:rPr>
              <w:t>%</w:t>
            </w:r>
          </w:p>
        </w:tc>
      </w:tr>
      <w:tr w:rsidR="00A91B5A" w:rsidRPr="00ED4158" w14:paraId="24C86584" w14:textId="77777777" w:rsidTr="0023388A">
        <w:trPr>
          <w:jc w:val="center"/>
        </w:trPr>
        <w:tc>
          <w:tcPr>
            <w:tcW w:w="4770" w:type="dxa"/>
            <w:shd w:val="clear" w:color="auto" w:fill="auto"/>
            <w:hideMark/>
          </w:tcPr>
          <w:p w14:paraId="39EFA176" w14:textId="77777777" w:rsidR="00A91B5A" w:rsidRPr="00ED4158" w:rsidRDefault="00A91B5A" w:rsidP="0040607D">
            <w:pPr>
              <w:spacing w:before="40" w:after="40" w:line="240" w:lineRule="auto"/>
              <w:ind w:left="242"/>
              <w:rPr>
                <w:rFonts w:eastAsia="Times New Roman" w:cs="Times New Roman"/>
                <w:color w:val="0000FF"/>
              </w:rPr>
            </w:pPr>
            <w:r w:rsidRPr="00ED4158">
              <w:rPr>
                <w:rFonts w:eastAsia="Times New Roman" w:cs="Times New Roman"/>
                <w:color w:val="0000FF"/>
              </w:rPr>
              <w:t>Malnutrition or at risk for malnutrition</w:t>
            </w:r>
          </w:p>
        </w:tc>
        <w:tc>
          <w:tcPr>
            <w:tcW w:w="1605" w:type="dxa"/>
            <w:tcBorders>
              <w:top w:val="nil"/>
              <w:left w:val="nil"/>
              <w:bottom w:val="nil"/>
              <w:right w:val="nil"/>
            </w:tcBorders>
            <w:shd w:val="clear" w:color="auto" w:fill="auto"/>
            <w:vAlign w:val="bottom"/>
          </w:tcPr>
          <w:p w14:paraId="3911FFDD" w14:textId="77777777" w:rsidR="00A91B5A" w:rsidRPr="00186242" w:rsidRDefault="00A91B5A" w:rsidP="0040607D">
            <w:pPr>
              <w:spacing w:before="40" w:after="40" w:line="240" w:lineRule="auto"/>
              <w:ind w:right="327"/>
              <w:jc w:val="right"/>
              <w:rPr>
                <w:rFonts w:cstheme="minorHAnsi"/>
                <w:bCs/>
                <w:color w:val="0000FF"/>
              </w:rPr>
            </w:pPr>
            <w:r w:rsidRPr="00186242">
              <w:rPr>
                <w:rFonts w:cstheme="minorHAnsi"/>
                <w:bCs/>
                <w:color w:val="0000FF"/>
              </w:rPr>
              <w:t>44,014</w:t>
            </w:r>
          </w:p>
        </w:tc>
        <w:tc>
          <w:tcPr>
            <w:tcW w:w="1605" w:type="dxa"/>
            <w:shd w:val="clear" w:color="auto" w:fill="auto"/>
            <w:noWrap/>
          </w:tcPr>
          <w:p w14:paraId="02918C84" w14:textId="373588BF" w:rsidR="00A91B5A" w:rsidRPr="00ED4158" w:rsidRDefault="00A91B5A" w:rsidP="0040607D">
            <w:pPr>
              <w:tabs>
                <w:tab w:val="decimal" w:pos="627"/>
              </w:tabs>
              <w:spacing w:before="40" w:after="40" w:line="240" w:lineRule="auto"/>
              <w:rPr>
                <w:rFonts w:eastAsia="Times New Roman" w:cs="Times New Roman"/>
                <w:color w:val="0000FF"/>
              </w:rPr>
            </w:pPr>
            <w:r>
              <w:rPr>
                <w:rFonts w:eastAsia="Times New Roman" w:cs="Times New Roman"/>
                <w:color w:val="0000FF"/>
              </w:rPr>
              <w:t>3.7</w:t>
            </w:r>
            <w:r w:rsidR="00FB550F">
              <w:rPr>
                <w:rFonts w:eastAsia="Times New Roman" w:cs="Times New Roman"/>
                <w:color w:val="0000FF"/>
              </w:rPr>
              <w:t>%</w:t>
            </w:r>
          </w:p>
        </w:tc>
      </w:tr>
      <w:tr w:rsidR="00A91B5A" w:rsidRPr="00ED4158" w14:paraId="54601762" w14:textId="77777777" w:rsidTr="0023388A">
        <w:trPr>
          <w:jc w:val="center"/>
        </w:trPr>
        <w:tc>
          <w:tcPr>
            <w:tcW w:w="4770" w:type="dxa"/>
            <w:shd w:val="clear" w:color="auto" w:fill="auto"/>
            <w:hideMark/>
          </w:tcPr>
          <w:p w14:paraId="36EB5053" w14:textId="77777777" w:rsidR="00A91B5A" w:rsidRPr="00ED4158" w:rsidRDefault="00A91B5A" w:rsidP="0040607D">
            <w:pPr>
              <w:spacing w:before="40" w:after="40" w:line="240" w:lineRule="auto"/>
              <w:ind w:firstLineChars="100" w:firstLine="220"/>
              <w:rPr>
                <w:rFonts w:eastAsia="Times New Roman" w:cs="Times New Roman"/>
                <w:color w:val="0000FF"/>
              </w:rPr>
            </w:pPr>
            <w:r w:rsidRPr="00ED4158">
              <w:rPr>
                <w:rFonts w:eastAsia="Times New Roman" w:cs="Times New Roman"/>
                <w:color w:val="0000FF"/>
              </w:rPr>
              <w:t>Cancer</w:t>
            </w:r>
          </w:p>
        </w:tc>
        <w:tc>
          <w:tcPr>
            <w:tcW w:w="1605" w:type="dxa"/>
            <w:tcBorders>
              <w:top w:val="nil"/>
              <w:left w:val="nil"/>
              <w:bottom w:val="nil"/>
              <w:right w:val="nil"/>
            </w:tcBorders>
            <w:shd w:val="clear" w:color="auto" w:fill="auto"/>
            <w:vAlign w:val="bottom"/>
          </w:tcPr>
          <w:p w14:paraId="7C7542AF" w14:textId="77777777" w:rsidR="00A91B5A" w:rsidRPr="00186242" w:rsidRDefault="00A91B5A" w:rsidP="0040607D">
            <w:pPr>
              <w:spacing w:before="40" w:after="40" w:line="240" w:lineRule="auto"/>
              <w:ind w:right="327"/>
              <w:jc w:val="right"/>
              <w:rPr>
                <w:rFonts w:cstheme="minorHAnsi"/>
                <w:bCs/>
                <w:color w:val="0000FF"/>
              </w:rPr>
            </w:pPr>
            <w:r w:rsidRPr="00186242">
              <w:rPr>
                <w:rFonts w:cstheme="minorHAnsi"/>
                <w:bCs/>
                <w:color w:val="0000FF"/>
              </w:rPr>
              <w:t>98,551</w:t>
            </w:r>
          </w:p>
        </w:tc>
        <w:tc>
          <w:tcPr>
            <w:tcW w:w="1605" w:type="dxa"/>
            <w:shd w:val="clear" w:color="auto" w:fill="auto"/>
            <w:noWrap/>
          </w:tcPr>
          <w:p w14:paraId="398C3F2B" w14:textId="1BCBD384" w:rsidR="00A91B5A" w:rsidRPr="00ED4158" w:rsidRDefault="00A91B5A" w:rsidP="0040607D">
            <w:pPr>
              <w:tabs>
                <w:tab w:val="decimal" w:pos="627"/>
              </w:tabs>
              <w:spacing w:before="40" w:after="40" w:line="240" w:lineRule="auto"/>
              <w:rPr>
                <w:rFonts w:eastAsia="Times New Roman" w:cs="Times New Roman"/>
                <w:color w:val="0000FF"/>
              </w:rPr>
            </w:pPr>
            <w:r>
              <w:rPr>
                <w:rFonts w:eastAsia="Times New Roman" w:cs="Times New Roman"/>
                <w:color w:val="0000FF"/>
              </w:rPr>
              <w:t>10.2</w:t>
            </w:r>
            <w:r w:rsidR="00FB550F">
              <w:rPr>
                <w:rFonts w:eastAsia="Times New Roman" w:cs="Times New Roman"/>
                <w:color w:val="0000FF"/>
              </w:rPr>
              <w:t>%</w:t>
            </w:r>
          </w:p>
        </w:tc>
      </w:tr>
      <w:tr w:rsidR="00A91B5A" w:rsidRPr="00ED4158" w14:paraId="55C89962" w14:textId="77777777" w:rsidTr="0023388A">
        <w:trPr>
          <w:jc w:val="center"/>
        </w:trPr>
        <w:tc>
          <w:tcPr>
            <w:tcW w:w="4770" w:type="dxa"/>
            <w:shd w:val="clear" w:color="auto" w:fill="auto"/>
            <w:hideMark/>
          </w:tcPr>
          <w:p w14:paraId="056DDE60" w14:textId="77777777" w:rsidR="00A91B5A" w:rsidRPr="00ED4158" w:rsidRDefault="00A91B5A" w:rsidP="0040607D">
            <w:pPr>
              <w:spacing w:before="40" w:after="40" w:line="240" w:lineRule="auto"/>
              <w:ind w:firstLineChars="100" w:firstLine="220"/>
              <w:rPr>
                <w:rFonts w:eastAsia="Times New Roman" w:cs="Times New Roman"/>
                <w:color w:val="0000FF"/>
              </w:rPr>
            </w:pPr>
            <w:r w:rsidRPr="00ED4158">
              <w:rPr>
                <w:rFonts w:eastAsia="Times New Roman" w:cs="Times New Roman"/>
                <w:color w:val="0000FF"/>
              </w:rPr>
              <w:t>Anemia</w:t>
            </w:r>
          </w:p>
        </w:tc>
        <w:tc>
          <w:tcPr>
            <w:tcW w:w="1605" w:type="dxa"/>
            <w:tcBorders>
              <w:top w:val="nil"/>
              <w:left w:val="nil"/>
              <w:bottom w:val="nil"/>
              <w:right w:val="nil"/>
            </w:tcBorders>
            <w:shd w:val="clear" w:color="auto" w:fill="auto"/>
            <w:vAlign w:val="bottom"/>
          </w:tcPr>
          <w:p w14:paraId="62F8BF32" w14:textId="77777777" w:rsidR="00A91B5A" w:rsidRPr="00186242" w:rsidRDefault="00A91B5A" w:rsidP="0040607D">
            <w:pPr>
              <w:spacing w:before="40" w:after="40" w:line="240" w:lineRule="auto"/>
              <w:ind w:right="327"/>
              <w:jc w:val="right"/>
              <w:rPr>
                <w:rFonts w:cstheme="minorHAnsi"/>
                <w:bCs/>
                <w:color w:val="0000FF"/>
              </w:rPr>
            </w:pPr>
            <w:r w:rsidRPr="00186242">
              <w:rPr>
                <w:rFonts w:cstheme="minorHAnsi"/>
                <w:bCs/>
                <w:color w:val="0000FF"/>
              </w:rPr>
              <w:t>100,941</w:t>
            </w:r>
          </w:p>
        </w:tc>
        <w:tc>
          <w:tcPr>
            <w:tcW w:w="1605" w:type="dxa"/>
            <w:shd w:val="clear" w:color="auto" w:fill="auto"/>
            <w:noWrap/>
          </w:tcPr>
          <w:p w14:paraId="7BCBD573" w14:textId="757E3768" w:rsidR="00A91B5A" w:rsidRPr="00ED4158" w:rsidRDefault="00A91B5A" w:rsidP="0040607D">
            <w:pPr>
              <w:tabs>
                <w:tab w:val="decimal" w:pos="627"/>
              </w:tabs>
              <w:spacing w:before="40" w:after="40" w:line="240" w:lineRule="auto"/>
              <w:rPr>
                <w:rFonts w:eastAsia="Times New Roman" w:cs="Times New Roman"/>
                <w:color w:val="0000FF"/>
              </w:rPr>
            </w:pPr>
            <w:r>
              <w:rPr>
                <w:rFonts w:eastAsia="Times New Roman" w:cs="Times New Roman"/>
                <w:color w:val="0000FF"/>
              </w:rPr>
              <w:t>27.7</w:t>
            </w:r>
            <w:r w:rsidR="00FB550F">
              <w:rPr>
                <w:rFonts w:eastAsia="Times New Roman" w:cs="Times New Roman"/>
                <w:color w:val="0000FF"/>
              </w:rPr>
              <w:t>%</w:t>
            </w:r>
          </w:p>
        </w:tc>
      </w:tr>
      <w:tr w:rsidR="00A91B5A" w:rsidRPr="00ED4158" w14:paraId="4A49631B" w14:textId="77777777" w:rsidTr="0023388A">
        <w:trPr>
          <w:jc w:val="center"/>
        </w:trPr>
        <w:tc>
          <w:tcPr>
            <w:tcW w:w="4770" w:type="dxa"/>
            <w:shd w:val="clear" w:color="auto" w:fill="auto"/>
            <w:hideMark/>
          </w:tcPr>
          <w:p w14:paraId="0BB12124" w14:textId="77777777" w:rsidR="00A91B5A" w:rsidRPr="00ED4158" w:rsidRDefault="00A91B5A" w:rsidP="0040607D">
            <w:pPr>
              <w:spacing w:before="40" w:after="40" w:line="240" w:lineRule="auto"/>
              <w:ind w:firstLineChars="100" w:firstLine="220"/>
              <w:rPr>
                <w:rFonts w:eastAsia="Times New Roman" w:cs="Times New Roman"/>
                <w:color w:val="0000FF"/>
              </w:rPr>
            </w:pPr>
            <w:r w:rsidRPr="00ED4158">
              <w:rPr>
                <w:rFonts w:eastAsia="Times New Roman" w:cs="Times New Roman"/>
                <w:color w:val="0000FF"/>
              </w:rPr>
              <w:t>Heart Failure</w:t>
            </w:r>
          </w:p>
        </w:tc>
        <w:tc>
          <w:tcPr>
            <w:tcW w:w="1605" w:type="dxa"/>
            <w:tcBorders>
              <w:top w:val="nil"/>
              <w:left w:val="nil"/>
              <w:bottom w:val="nil"/>
              <w:right w:val="nil"/>
            </w:tcBorders>
            <w:shd w:val="clear" w:color="auto" w:fill="auto"/>
            <w:vAlign w:val="bottom"/>
          </w:tcPr>
          <w:p w14:paraId="25512212" w14:textId="77777777" w:rsidR="00A91B5A" w:rsidRPr="00186242" w:rsidRDefault="00A91B5A" w:rsidP="0040607D">
            <w:pPr>
              <w:spacing w:before="40" w:after="40" w:line="240" w:lineRule="auto"/>
              <w:ind w:right="327"/>
              <w:jc w:val="right"/>
              <w:rPr>
                <w:rFonts w:cstheme="minorHAnsi"/>
                <w:bCs/>
                <w:color w:val="0000FF"/>
              </w:rPr>
            </w:pPr>
            <w:r w:rsidRPr="00186242">
              <w:rPr>
                <w:rFonts w:cstheme="minorHAnsi"/>
                <w:bCs/>
                <w:color w:val="0000FF"/>
              </w:rPr>
              <w:t>87,019</w:t>
            </w:r>
          </w:p>
        </w:tc>
        <w:tc>
          <w:tcPr>
            <w:tcW w:w="1605" w:type="dxa"/>
            <w:shd w:val="clear" w:color="auto" w:fill="auto"/>
            <w:noWrap/>
          </w:tcPr>
          <w:p w14:paraId="3494C4A9" w14:textId="0620836D" w:rsidR="00A91B5A" w:rsidRPr="00ED4158" w:rsidRDefault="00A91B5A" w:rsidP="0040607D">
            <w:pPr>
              <w:tabs>
                <w:tab w:val="decimal" w:pos="627"/>
              </w:tabs>
              <w:spacing w:before="40" w:after="40" w:line="240" w:lineRule="auto"/>
              <w:rPr>
                <w:rFonts w:eastAsia="Times New Roman" w:cs="Times New Roman"/>
                <w:color w:val="0000FF"/>
              </w:rPr>
            </w:pPr>
            <w:r>
              <w:rPr>
                <w:rFonts w:eastAsia="Times New Roman" w:cs="Times New Roman"/>
                <w:color w:val="0000FF"/>
              </w:rPr>
              <w:t>23.9</w:t>
            </w:r>
            <w:r w:rsidR="00FB550F">
              <w:rPr>
                <w:rFonts w:eastAsia="Times New Roman" w:cs="Times New Roman"/>
                <w:color w:val="0000FF"/>
              </w:rPr>
              <w:t>%</w:t>
            </w:r>
          </w:p>
        </w:tc>
      </w:tr>
      <w:tr w:rsidR="00A91B5A" w:rsidRPr="00ED4158" w14:paraId="57969CA6" w14:textId="77777777" w:rsidTr="0023388A">
        <w:trPr>
          <w:jc w:val="center"/>
        </w:trPr>
        <w:tc>
          <w:tcPr>
            <w:tcW w:w="4770" w:type="dxa"/>
            <w:shd w:val="clear" w:color="auto" w:fill="auto"/>
            <w:hideMark/>
          </w:tcPr>
          <w:p w14:paraId="7C6BE93B" w14:textId="77777777" w:rsidR="00A91B5A" w:rsidRPr="00ED4158" w:rsidRDefault="00A91B5A" w:rsidP="0040607D">
            <w:pPr>
              <w:spacing w:before="40" w:after="40" w:line="240" w:lineRule="auto"/>
              <w:ind w:firstLineChars="100" w:firstLine="220"/>
              <w:rPr>
                <w:rFonts w:eastAsia="Times New Roman" w:cs="Times New Roman"/>
                <w:color w:val="0000FF"/>
              </w:rPr>
            </w:pPr>
            <w:r w:rsidRPr="00ED4158">
              <w:rPr>
                <w:rFonts w:eastAsia="Times New Roman" w:cs="Times New Roman"/>
                <w:color w:val="0000FF"/>
              </w:rPr>
              <w:t>Hypertension</w:t>
            </w:r>
          </w:p>
        </w:tc>
        <w:tc>
          <w:tcPr>
            <w:tcW w:w="1605" w:type="dxa"/>
            <w:tcBorders>
              <w:top w:val="nil"/>
              <w:left w:val="nil"/>
              <w:bottom w:val="nil"/>
              <w:right w:val="nil"/>
            </w:tcBorders>
            <w:shd w:val="clear" w:color="auto" w:fill="auto"/>
            <w:vAlign w:val="bottom"/>
          </w:tcPr>
          <w:p w14:paraId="52DF8840" w14:textId="77777777" w:rsidR="00A91B5A" w:rsidRPr="00186242" w:rsidRDefault="00A91B5A" w:rsidP="0040607D">
            <w:pPr>
              <w:spacing w:before="40" w:after="40" w:line="240" w:lineRule="auto"/>
              <w:ind w:right="327"/>
              <w:jc w:val="right"/>
              <w:rPr>
                <w:rFonts w:cstheme="minorHAnsi"/>
                <w:bCs/>
                <w:color w:val="0000FF"/>
              </w:rPr>
            </w:pPr>
            <w:r w:rsidRPr="00186242">
              <w:rPr>
                <w:rFonts w:cstheme="minorHAnsi"/>
                <w:bCs/>
                <w:color w:val="0000FF"/>
              </w:rPr>
              <w:t>273,422</w:t>
            </w:r>
          </w:p>
        </w:tc>
        <w:tc>
          <w:tcPr>
            <w:tcW w:w="1605" w:type="dxa"/>
            <w:shd w:val="clear" w:color="auto" w:fill="auto"/>
            <w:noWrap/>
          </w:tcPr>
          <w:p w14:paraId="647AD6FD" w14:textId="285E9CC7" w:rsidR="00A91B5A" w:rsidRPr="00ED4158" w:rsidRDefault="00A91B5A" w:rsidP="0040607D">
            <w:pPr>
              <w:tabs>
                <w:tab w:val="decimal" w:pos="627"/>
              </w:tabs>
              <w:spacing w:before="40" w:after="40" w:line="240" w:lineRule="auto"/>
              <w:rPr>
                <w:rFonts w:eastAsia="Times New Roman" w:cs="Times New Roman"/>
                <w:color w:val="0000FF"/>
              </w:rPr>
            </w:pPr>
            <w:r>
              <w:rPr>
                <w:rFonts w:eastAsia="Times New Roman" w:cs="Times New Roman"/>
                <w:color w:val="0000FF"/>
              </w:rPr>
              <w:t>74.9</w:t>
            </w:r>
            <w:r w:rsidR="00FB550F">
              <w:rPr>
                <w:rFonts w:eastAsia="Times New Roman" w:cs="Times New Roman"/>
                <w:color w:val="0000FF"/>
              </w:rPr>
              <w:t>%</w:t>
            </w:r>
          </w:p>
        </w:tc>
      </w:tr>
      <w:tr w:rsidR="00A91B5A" w:rsidRPr="00ED4158" w14:paraId="13F681FF" w14:textId="77777777" w:rsidTr="0023388A">
        <w:trPr>
          <w:jc w:val="center"/>
        </w:trPr>
        <w:tc>
          <w:tcPr>
            <w:tcW w:w="4770" w:type="dxa"/>
            <w:shd w:val="clear" w:color="auto" w:fill="auto"/>
            <w:hideMark/>
          </w:tcPr>
          <w:p w14:paraId="480465FE" w14:textId="77777777" w:rsidR="00A91B5A" w:rsidRPr="00ED4158" w:rsidRDefault="00A91B5A" w:rsidP="0040607D">
            <w:pPr>
              <w:spacing w:before="40" w:after="40" w:line="240" w:lineRule="auto"/>
              <w:ind w:firstLineChars="100" w:firstLine="220"/>
              <w:rPr>
                <w:rFonts w:eastAsia="Times New Roman" w:cs="Times New Roman"/>
                <w:color w:val="0000FF"/>
              </w:rPr>
            </w:pPr>
            <w:r w:rsidRPr="00ED4158">
              <w:rPr>
                <w:rFonts w:eastAsia="Times New Roman" w:cs="Times New Roman"/>
                <w:color w:val="0000FF"/>
              </w:rPr>
              <w:t>Diabetes Mellitus</w:t>
            </w:r>
          </w:p>
        </w:tc>
        <w:tc>
          <w:tcPr>
            <w:tcW w:w="1605" w:type="dxa"/>
            <w:tcBorders>
              <w:top w:val="nil"/>
              <w:left w:val="nil"/>
              <w:bottom w:val="nil"/>
              <w:right w:val="nil"/>
            </w:tcBorders>
            <w:shd w:val="clear" w:color="auto" w:fill="auto"/>
            <w:vAlign w:val="bottom"/>
          </w:tcPr>
          <w:p w14:paraId="6BC9AB5F" w14:textId="77777777" w:rsidR="00A91B5A" w:rsidRPr="00186242" w:rsidRDefault="00A91B5A" w:rsidP="0040607D">
            <w:pPr>
              <w:spacing w:before="40" w:after="40" w:line="240" w:lineRule="auto"/>
              <w:ind w:right="327"/>
              <w:jc w:val="right"/>
              <w:rPr>
                <w:rFonts w:cstheme="minorHAnsi"/>
                <w:bCs/>
                <w:color w:val="0000FF"/>
              </w:rPr>
            </w:pPr>
            <w:r w:rsidRPr="00186242">
              <w:rPr>
                <w:rFonts w:cstheme="minorHAnsi"/>
                <w:bCs/>
                <w:color w:val="0000FF"/>
              </w:rPr>
              <w:t>394,967</w:t>
            </w:r>
          </w:p>
        </w:tc>
        <w:tc>
          <w:tcPr>
            <w:tcW w:w="1605" w:type="dxa"/>
            <w:shd w:val="clear" w:color="auto" w:fill="auto"/>
            <w:noWrap/>
          </w:tcPr>
          <w:p w14:paraId="32C03D25" w14:textId="50B15044" w:rsidR="00A91B5A" w:rsidRPr="00ED4158" w:rsidRDefault="00A91B5A" w:rsidP="0040607D">
            <w:pPr>
              <w:tabs>
                <w:tab w:val="decimal" w:pos="627"/>
              </w:tabs>
              <w:spacing w:before="40" w:after="40" w:line="240" w:lineRule="auto"/>
              <w:rPr>
                <w:rFonts w:eastAsia="Times New Roman" w:cs="Times New Roman"/>
                <w:color w:val="0000FF"/>
              </w:rPr>
            </w:pPr>
            <w:r>
              <w:rPr>
                <w:rFonts w:eastAsia="Times New Roman" w:cs="Times New Roman"/>
                <w:color w:val="0000FF"/>
              </w:rPr>
              <w:t>33.6</w:t>
            </w:r>
            <w:r w:rsidR="00FB550F">
              <w:rPr>
                <w:rFonts w:eastAsia="Times New Roman" w:cs="Times New Roman"/>
                <w:color w:val="0000FF"/>
              </w:rPr>
              <w:t>%</w:t>
            </w:r>
          </w:p>
        </w:tc>
      </w:tr>
      <w:tr w:rsidR="00A91B5A" w:rsidRPr="00ED4158" w14:paraId="0DD656EA" w14:textId="77777777" w:rsidTr="0023388A">
        <w:trPr>
          <w:jc w:val="center"/>
        </w:trPr>
        <w:tc>
          <w:tcPr>
            <w:tcW w:w="4770" w:type="dxa"/>
            <w:shd w:val="clear" w:color="auto" w:fill="auto"/>
            <w:hideMark/>
          </w:tcPr>
          <w:p w14:paraId="72E5C709" w14:textId="77777777" w:rsidR="00A91B5A" w:rsidRPr="00ED4158" w:rsidRDefault="00A91B5A" w:rsidP="0040607D">
            <w:pPr>
              <w:spacing w:before="40" w:after="40" w:line="240" w:lineRule="auto"/>
              <w:ind w:firstLineChars="100" w:firstLine="220"/>
              <w:rPr>
                <w:rFonts w:eastAsia="Times New Roman" w:cs="Times New Roman"/>
                <w:color w:val="0000FF"/>
              </w:rPr>
            </w:pPr>
            <w:r w:rsidRPr="00ED4158">
              <w:rPr>
                <w:rFonts w:eastAsia="Times New Roman" w:cs="Times New Roman"/>
                <w:color w:val="0000FF"/>
              </w:rPr>
              <w:t>Anxiety Disorder</w:t>
            </w:r>
          </w:p>
        </w:tc>
        <w:tc>
          <w:tcPr>
            <w:tcW w:w="1605" w:type="dxa"/>
            <w:tcBorders>
              <w:top w:val="nil"/>
              <w:left w:val="nil"/>
              <w:right w:val="nil"/>
            </w:tcBorders>
            <w:shd w:val="clear" w:color="auto" w:fill="auto"/>
            <w:vAlign w:val="bottom"/>
          </w:tcPr>
          <w:p w14:paraId="74119555" w14:textId="77777777" w:rsidR="00A91B5A" w:rsidRPr="00186242" w:rsidRDefault="00A91B5A" w:rsidP="0040607D">
            <w:pPr>
              <w:spacing w:before="40" w:after="40" w:line="240" w:lineRule="auto"/>
              <w:ind w:right="327"/>
              <w:jc w:val="right"/>
              <w:rPr>
                <w:rFonts w:cstheme="minorHAnsi"/>
                <w:bCs/>
                <w:color w:val="0000FF"/>
              </w:rPr>
            </w:pPr>
            <w:r w:rsidRPr="00186242">
              <w:rPr>
                <w:rFonts w:cstheme="minorHAnsi"/>
                <w:bCs/>
                <w:color w:val="0000FF"/>
              </w:rPr>
              <w:t>234,271</w:t>
            </w:r>
          </w:p>
        </w:tc>
        <w:tc>
          <w:tcPr>
            <w:tcW w:w="1605" w:type="dxa"/>
            <w:shd w:val="clear" w:color="auto" w:fill="auto"/>
            <w:noWrap/>
          </w:tcPr>
          <w:p w14:paraId="619AE1D3" w14:textId="3D610F9A" w:rsidR="00A91B5A" w:rsidRPr="00ED4158" w:rsidRDefault="00A91B5A" w:rsidP="0040607D">
            <w:pPr>
              <w:tabs>
                <w:tab w:val="decimal" w:pos="627"/>
              </w:tabs>
              <w:spacing w:before="40" w:after="40" w:line="240" w:lineRule="auto"/>
              <w:rPr>
                <w:rFonts w:eastAsia="Times New Roman" w:cs="Times New Roman"/>
                <w:color w:val="0000FF"/>
              </w:rPr>
            </w:pPr>
            <w:r>
              <w:rPr>
                <w:rFonts w:eastAsia="Times New Roman" w:cs="Times New Roman"/>
                <w:color w:val="0000FF"/>
              </w:rPr>
              <w:t>19.9</w:t>
            </w:r>
            <w:r w:rsidR="00FB550F">
              <w:rPr>
                <w:rFonts w:eastAsia="Times New Roman" w:cs="Times New Roman"/>
                <w:color w:val="0000FF"/>
              </w:rPr>
              <w:t>%</w:t>
            </w:r>
          </w:p>
        </w:tc>
      </w:tr>
      <w:tr w:rsidR="00A91B5A" w:rsidRPr="00ED4158" w14:paraId="66B5C301" w14:textId="77777777" w:rsidTr="0023388A">
        <w:trPr>
          <w:jc w:val="center"/>
        </w:trPr>
        <w:tc>
          <w:tcPr>
            <w:tcW w:w="4770" w:type="dxa"/>
            <w:tcBorders>
              <w:bottom w:val="single" w:sz="12" w:space="0" w:color="auto"/>
            </w:tcBorders>
            <w:shd w:val="clear" w:color="auto" w:fill="auto"/>
            <w:hideMark/>
          </w:tcPr>
          <w:p w14:paraId="4B8327ED" w14:textId="437D3202" w:rsidR="00B2560A" w:rsidRDefault="00A91B5A" w:rsidP="0040607D">
            <w:pPr>
              <w:spacing w:before="40" w:after="40" w:line="240" w:lineRule="auto"/>
              <w:ind w:left="206" w:firstLineChars="5" w:firstLine="11"/>
              <w:rPr>
                <w:rFonts w:eastAsia="Times New Roman" w:cs="Times New Roman"/>
                <w:color w:val="0000FF"/>
              </w:rPr>
            </w:pPr>
            <w:r w:rsidRPr="00ED4158">
              <w:rPr>
                <w:rFonts w:eastAsia="Times New Roman" w:cs="Times New Roman"/>
                <w:color w:val="0000FF"/>
              </w:rPr>
              <w:t>Asthma, Chronic Obstructive Pulmonary</w:t>
            </w:r>
          </w:p>
          <w:p w14:paraId="72D0FAC3" w14:textId="1CED0370" w:rsidR="00A91B5A" w:rsidRPr="00ED4158" w:rsidRDefault="00B2560A" w:rsidP="0040607D">
            <w:pPr>
              <w:spacing w:before="40" w:after="40" w:line="240" w:lineRule="auto"/>
              <w:ind w:left="206" w:firstLineChars="5" w:firstLine="11"/>
              <w:rPr>
                <w:rFonts w:eastAsia="Times New Roman" w:cs="Times New Roman"/>
                <w:color w:val="0000FF"/>
              </w:rPr>
            </w:pPr>
            <w:r>
              <w:rPr>
                <w:rFonts w:eastAsia="Times New Roman" w:cs="Times New Roman"/>
                <w:color w:val="0000FF"/>
              </w:rPr>
              <w:t xml:space="preserve">     </w:t>
            </w:r>
            <w:r w:rsidR="00A91B5A" w:rsidRPr="00ED4158">
              <w:rPr>
                <w:rFonts w:eastAsia="Times New Roman" w:cs="Times New Roman"/>
                <w:color w:val="0000FF"/>
              </w:rPr>
              <w:t>Disease, or Chronic Lung Disease</w:t>
            </w:r>
          </w:p>
        </w:tc>
        <w:tc>
          <w:tcPr>
            <w:tcW w:w="1605" w:type="dxa"/>
            <w:tcBorders>
              <w:top w:val="nil"/>
              <w:left w:val="nil"/>
              <w:bottom w:val="single" w:sz="12" w:space="0" w:color="auto"/>
              <w:right w:val="nil"/>
            </w:tcBorders>
            <w:shd w:val="clear" w:color="auto" w:fill="auto"/>
          </w:tcPr>
          <w:p w14:paraId="56310E0A" w14:textId="58971065" w:rsidR="00A91B5A" w:rsidRPr="00186242" w:rsidRDefault="00A91B5A" w:rsidP="0040607D">
            <w:pPr>
              <w:spacing w:before="40" w:after="40" w:line="240" w:lineRule="auto"/>
              <w:ind w:right="327"/>
              <w:jc w:val="right"/>
              <w:rPr>
                <w:rFonts w:cstheme="minorHAnsi"/>
                <w:bCs/>
                <w:color w:val="0000FF"/>
              </w:rPr>
            </w:pPr>
            <w:r w:rsidRPr="00186242">
              <w:rPr>
                <w:rFonts w:cstheme="minorHAnsi"/>
                <w:bCs/>
                <w:color w:val="0000FF"/>
              </w:rPr>
              <w:t>94</w:t>
            </w:r>
            <w:r w:rsidR="00EB4F12">
              <w:rPr>
                <w:rFonts w:cstheme="minorHAnsi"/>
                <w:bCs/>
                <w:color w:val="0000FF"/>
              </w:rPr>
              <w:t>,</w:t>
            </w:r>
            <w:r w:rsidRPr="00186242">
              <w:rPr>
                <w:rFonts w:cstheme="minorHAnsi"/>
                <w:bCs/>
                <w:color w:val="0000FF"/>
              </w:rPr>
              <w:t>002</w:t>
            </w:r>
          </w:p>
        </w:tc>
        <w:tc>
          <w:tcPr>
            <w:tcW w:w="1605" w:type="dxa"/>
            <w:tcBorders>
              <w:bottom w:val="single" w:sz="12" w:space="0" w:color="auto"/>
            </w:tcBorders>
            <w:shd w:val="clear" w:color="auto" w:fill="auto"/>
            <w:noWrap/>
          </w:tcPr>
          <w:p w14:paraId="32F47192" w14:textId="4FA06B0D" w:rsidR="00A91B5A" w:rsidRPr="00ED4158" w:rsidRDefault="00A91B5A" w:rsidP="0040607D">
            <w:pPr>
              <w:tabs>
                <w:tab w:val="decimal" w:pos="627"/>
              </w:tabs>
              <w:spacing w:before="40" w:after="40" w:line="240" w:lineRule="auto"/>
              <w:rPr>
                <w:rFonts w:eastAsia="Times New Roman" w:cs="Times New Roman"/>
                <w:color w:val="0000FF"/>
              </w:rPr>
            </w:pPr>
            <w:r>
              <w:rPr>
                <w:rFonts w:eastAsia="Times New Roman" w:cs="Times New Roman"/>
                <w:color w:val="0000FF"/>
              </w:rPr>
              <w:t>25.7</w:t>
            </w:r>
            <w:r w:rsidR="00FB550F">
              <w:rPr>
                <w:rFonts w:eastAsia="Times New Roman" w:cs="Times New Roman"/>
                <w:color w:val="0000FF"/>
              </w:rPr>
              <w:t>%</w:t>
            </w:r>
          </w:p>
        </w:tc>
      </w:tr>
    </w:tbl>
    <w:p w14:paraId="6606FCD0" w14:textId="1053A639" w:rsidR="00A91B5A" w:rsidRPr="00ED4158" w:rsidRDefault="00A91B5A" w:rsidP="009A190B">
      <w:pPr>
        <w:pStyle w:val="Response"/>
        <w:rPr>
          <w:sz w:val="20"/>
        </w:rPr>
      </w:pPr>
      <w:r w:rsidRPr="00ED4158">
        <w:rPr>
          <w:sz w:val="20"/>
        </w:rPr>
        <w:t xml:space="preserve">Analysis date:  </w:t>
      </w:r>
      <w:r>
        <w:rPr>
          <w:sz w:val="20"/>
        </w:rPr>
        <w:t>12/6/17</w:t>
      </w:r>
    </w:p>
    <w:p w14:paraId="6D9A2E35" w14:textId="26A438D2" w:rsidR="00424F18" w:rsidRPr="00D96746" w:rsidRDefault="00A91B5A" w:rsidP="009A190B">
      <w:pPr>
        <w:pStyle w:val="Response"/>
        <w:rPr>
          <w:sz w:val="20"/>
          <w:szCs w:val="20"/>
        </w:rPr>
      </w:pPr>
      <w:r w:rsidRPr="00ED4158">
        <w:rPr>
          <w:sz w:val="20"/>
        </w:rPr>
        <w:t>SOURCE: RTI analys</w:t>
      </w:r>
      <w:r>
        <w:rPr>
          <w:sz w:val="20"/>
        </w:rPr>
        <w:t>is of MDS 3.0 data for Quarter 2 2017</w:t>
      </w:r>
      <w:r w:rsidRPr="00ED4158">
        <w:rPr>
          <w:sz w:val="20"/>
        </w:rPr>
        <w:t xml:space="preserve"> (programming reference: </w:t>
      </w:r>
      <w:r w:rsidRPr="00CC52B7">
        <w:rPr>
          <w:bCs w:val="0"/>
          <w:sz w:val="20"/>
          <w:szCs w:val="20"/>
        </w:rPr>
        <w:t>av010/nb008_request_</w:t>
      </w:r>
      <w:r>
        <w:rPr>
          <w:bCs w:val="0"/>
          <w:sz w:val="20"/>
          <w:szCs w:val="20"/>
        </w:rPr>
        <w:t>v1_</w:t>
      </w:r>
      <w:r w:rsidRPr="00CC52B7">
        <w:rPr>
          <w:bCs w:val="0"/>
          <w:sz w:val="20"/>
          <w:szCs w:val="20"/>
        </w:rPr>
        <w:t>q_26_27_676.log</w:t>
      </w:r>
      <w:r w:rsidRPr="007E6A37">
        <w:rPr>
          <w:sz w:val="20"/>
          <w:szCs w:val="20"/>
        </w:rPr>
        <w:t>)</w:t>
      </w:r>
    </w:p>
    <w:p w14:paraId="29BF6F74" w14:textId="77777777" w:rsidR="009A190B" w:rsidRPr="00757C6D" w:rsidRDefault="009A190B" w:rsidP="009A190B">
      <w:pPr>
        <w:pStyle w:val="Response"/>
        <w:ind w:left="360" w:hanging="360"/>
        <w:rPr>
          <w:sz w:val="20"/>
          <w:szCs w:val="20"/>
        </w:rPr>
      </w:pPr>
      <w:r w:rsidRPr="00757C6D">
        <w:rPr>
          <w:sz w:val="20"/>
          <w:szCs w:val="20"/>
        </w:rPr>
        <w:t>Saliba, D., &amp; Buchanan, J. (2008, April).</w:t>
      </w:r>
      <w:r w:rsidRPr="00757C6D">
        <w:rPr>
          <w:i/>
          <w:sz w:val="20"/>
          <w:szCs w:val="20"/>
        </w:rPr>
        <w:t xml:space="preserve"> Development and validation of a revised nursing home assessment tool: MDS 3.0</w:t>
      </w:r>
      <w:r w:rsidRPr="00757C6D">
        <w:rPr>
          <w:sz w:val="20"/>
          <w:szCs w:val="20"/>
        </w:rPr>
        <w:t xml:space="preserve">. Contract No. 500-00-0027/Task Order #2. Santa Monica, CA: Rand Corporation. Retrieved from </w:t>
      </w:r>
      <w:hyperlink r:id="rId15" w:history="1">
        <w:r w:rsidRPr="00757C6D">
          <w:rPr>
            <w:rStyle w:val="Hyperlink"/>
            <w:sz w:val="20"/>
            <w:szCs w:val="20"/>
          </w:rPr>
          <w:t>http://www.cms.hhs.gov/NursingHomeQualityInits/Downloads/MDS30FinalReport.pdf</w:t>
        </w:r>
      </w:hyperlink>
      <w:r w:rsidRPr="00757C6D">
        <w:rPr>
          <w:sz w:val="20"/>
          <w:szCs w:val="20"/>
        </w:rPr>
        <w:t>.</w:t>
      </w:r>
    </w:p>
    <w:p w14:paraId="13A202C6" w14:textId="77777777" w:rsidR="00424F18" w:rsidRDefault="00424F18" w:rsidP="00DB3627">
      <w:pPr>
        <w:autoSpaceDE w:val="0"/>
        <w:autoSpaceDN w:val="0"/>
        <w:adjustRightInd w:val="0"/>
        <w:spacing w:after="0" w:line="240" w:lineRule="auto"/>
        <w:rPr>
          <w:rFonts w:cstheme="minorHAnsi"/>
          <w:bCs/>
        </w:rPr>
      </w:pPr>
    </w:p>
    <w:p w14:paraId="0CABCFCA" w14:textId="77777777"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518A94F5" w14:textId="77777777" w:rsidR="006E3FDA" w:rsidRPr="00FD54C9" w:rsidRDefault="006E3FDA" w:rsidP="006E3FDA">
      <w:pPr>
        <w:pStyle w:val="Response"/>
      </w:pPr>
      <w:r w:rsidRPr="00FD54C9">
        <w:t xml:space="preserve">The analyses used the same data as described above in sections 1.5 and 1.6. </w:t>
      </w:r>
    </w:p>
    <w:p w14:paraId="4C81621B" w14:textId="77777777" w:rsidR="006E3FDA" w:rsidRPr="00FD54C9" w:rsidRDefault="006E3FDA" w:rsidP="006E3FDA">
      <w:pPr>
        <w:pStyle w:val="Response"/>
        <w:rPr>
          <w:b/>
        </w:rPr>
      </w:pPr>
      <w:r w:rsidRPr="00FD54C9">
        <w:rPr>
          <w:b/>
        </w:rPr>
        <w:t>Data for Critical Data Elements</w:t>
      </w:r>
    </w:p>
    <w:p w14:paraId="1A9D7D41" w14:textId="68086520" w:rsidR="006E3FDA" w:rsidRPr="00FD54C9" w:rsidRDefault="006E3FDA" w:rsidP="006E3FDA">
      <w:pPr>
        <w:pStyle w:val="Response"/>
      </w:pPr>
      <w:r w:rsidRPr="00FD54C9">
        <w:t>RAND reliability analysis of data elements used the same sample as described in sections 1.5 and 1.6</w:t>
      </w:r>
      <w:r w:rsidR="0021319A">
        <w:t xml:space="preserve"> (</w:t>
      </w:r>
      <w:r w:rsidR="00020A61">
        <w:t xml:space="preserve">Saliba &amp; Buchanan, </w:t>
      </w:r>
      <w:r w:rsidR="00020A61" w:rsidRPr="005D3370">
        <w:t>2008</w:t>
      </w:r>
      <w:r w:rsidR="00020A61">
        <w:t>).</w:t>
      </w:r>
    </w:p>
    <w:p w14:paraId="26DAD91E" w14:textId="77777777" w:rsidR="006E3FDA" w:rsidRPr="00FD54C9" w:rsidRDefault="006E3FDA" w:rsidP="006E3FDA">
      <w:pPr>
        <w:pStyle w:val="Response"/>
        <w:rPr>
          <w:b/>
          <w:bCs w:val="0"/>
        </w:rPr>
      </w:pPr>
      <w:r w:rsidRPr="00FD54C9">
        <w:rPr>
          <w:b/>
          <w:bCs w:val="0"/>
        </w:rPr>
        <w:t>Data for Measure Performance Score Testing</w:t>
      </w:r>
    </w:p>
    <w:p w14:paraId="34C817B6" w14:textId="0F9AEF30" w:rsidR="006E3FDA" w:rsidRPr="00FD54C9" w:rsidRDefault="006E3FDA" w:rsidP="006E3FDA">
      <w:pPr>
        <w:pStyle w:val="Response"/>
      </w:pPr>
      <w:r w:rsidRPr="00FD54C9">
        <w:t>RTI analyses used the same data as described in sections 1.5 and 1.6.</w:t>
      </w:r>
    </w:p>
    <w:p w14:paraId="0CABCFCB" w14:textId="3B5CB82E" w:rsidR="00E37E1B" w:rsidRPr="00020A61" w:rsidRDefault="00020A61" w:rsidP="00020A61">
      <w:pPr>
        <w:pStyle w:val="Response"/>
        <w:ind w:left="360" w:hanging="360"/>
        <w:rPr>
          <w:sz w:val="20"/>
          <w:szCs w:val="20"/>
        </w:rPr>
      </w:pPr>
      <w:r w:rsidRPr="00757C6D">
        <w:rPr>
          <w:sz w:val="20"/>
          <w:szCs w:val="20"/>
        </w:rPr>
        <w:t>Saliba, D., &amp; Buchanan, J. (2008, April).</w:t>
      </w:r>
      <w:r w:rsidRPr="00757C6D">
        <w:rPr>
          <w:i/>
          <w:sz w:val="20"/>
          <w:szCs w:val="20"/>
        </w:rPr>
        <w:t xml:space="preserve"> Development and validation of a revised nursing home assessment tool: MDS 3.0</w:t>
      </w:r>
      <w:r w:rsidRPr="00757C6D">
        <w:rPr>
          <w:sz w:val="20"/>
          <w:szCs w:val="20"/>
        </w:rPr>
        <w:t xml:space="preserve">. Contract No. 500-00-0027/Task Order #2. Santa Monica, CA: Rand Corporation. Retrieved from </w:t>
      </w:r>
      <w:hyperlink r:id="rId16" w:history="1">
        <w:r w:rsidRPr="00757C6D">
          <w:rPr>
            <w:rStyle w:val="Hyperlink"/>
            <w:sz w:val="20"/>
            <w:szCs w:val="20"/>
          </w:rPr>
          <w:t>http://www.cms.hhs.gov/NursingHomeQualityInits/Downloads/MDS30FinalReport.pdf</w:t>
        </w:r>
      </w:hyperlink>
      <w:r w:rsidRPr="00757C6D">
        <w:rPr>
          <w:sz w:val="20"/>
          <w:szCs w:val="20"/>
        </w:rPr>
        <w:t>.</w:t>
      </w:r>
    </w:p>
    <w:p w14:paraId="0CABCFCC" w14:textId="73AF45BB" w:rsidR="0021054A" w:rsidRDefault="0021054A" w:rsidP="00E37E1B">
      <w:pPr>
        <w:autoSpaceDE w:val="0"/>
        <w:autoSpaceDN w:val="0"/>
        <w:adjustRightInd w:val="0"/>
        <w:spacing w:after="0" w:line="240" w:lineRule="auto"/>
        <w:rPr>
          <w:rFonts w:cstheme="minorHAnsi"/>
          <w:bCs/>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 xml:space="preserve">. </w:t>
      </w:r>
    </w:p>
    <w:p w14:paraId="483DB378" w14:textId="77777777" w:rsidR="007C30C5" w:rsidRPr="00706568" w:rsidRDefault="007C30C5" w:rsidP="007C30C5">
      <w:pPr>
        <w:pStyle w:val="Response"/>
      </w:pPr>
      <w:r>
        <w:t>Analyses are based on social risk factor variables related to self-reported pain and available in the MDS 3.0, including Medicaid status, gender, marital status, and age.</w:t>
      </w:r>
    </w:p>
    <w:p w14:paraId="0CABCFCD"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6DBBCD46"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Content>
          <w:r w:rsidR="00424F18">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Content>
          <w:r w:rsidR="00424F18">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402134D2" w14:textId="77777777" w:rsidR="000B6319" w:rsidRPr="003D1D04" w:rsidRDefault="000B6319" w:rsidP="000B6319">
      <w:pPr>
        <w:pStyle w:val="Response"/>
        <w:rPr>
          <w:b/>
          <w:bCs w:val="0"/>
        </w:rPr>
      </w:pPr>
      <w:r>
        <w:rPr>
          <w:b/>
          <w:bCs w:val="0"/>
        </w:rPr>
        <w:t xml:space="preserve">Critical </w:t>
      </w:r>
      <w:r w:rsidRPr="003D1D04">
        <w:rPr>
          <w:b/>
          <w:bCs w:val="0"/>
        </w:rPr>
        <w:t>Data Element Reliability</w:t>
      </w:r>
    </w:p>
    <w:p w14:paraId="5888A770" w14:textId="6D30963F" w:rsidR="006C1F5F" w:rsidRPr="00067719" w:rsidRDefault="002C7872" w:rsidP="006C1F5F">
      <w:pPr>
        <w:pStyle w:val="Response"/>
        <w:numPr>
          <w:ilvl w:val="0"/>
          <w:numId w:val="7"/>
        </w:numPr>
      </w:pPr>
      <w:r w:rsidRPr="00067719">
        <w:t>The national test of MDS 3.0 items examined the agreement between assessors (reliability). Quality Improvement Organizations were employed to identify gold-standard (research) nurses and recruit community nursing facilities to participate in the national evaluation (Saliba &amp; Buchanan, 2008). The gold-standard nurses were trained in the MDS 3.0 instrument, and they, in turn, trained a facility nurse from each participating nursing facility in their home states. Residents participating in the test were selected to capture a representative sample of short- and long-stay residents.</w:t>
      </w:r>
      <w:r w:rsidR="008954AE" w:rsidRPr="00067719">
        <w:t xml:space="preserve">  In this national test, the agreement between gold-standard nurses and between gold-standard and facility nurses on pain treatment regimen items, pain interview items, and staff observed</w:t>
      </w:r>
      <w:r w:rsidR="007C35A0" w:rsidRPr="00067719">
        <w:t xml:space="preserve"> pain behaviors were examined.</w:t>
      </w:r>
      <w:r w:rsidR="008954AE" w:rsidRPr="00067719">
        <w:t xml:space="preserve">  </w:t>
      </w:r>
      <w:r w:rsidR="00004020" w:rsidRPr="00067719">
        <w:t xml:space="preserve">For the pain interview items used to create this measure, reliability </w:t>
      </w:r>
      <w:r w:rsidR="00EB69E1" w:rsidRPr="00067719">
        <w:t>wa</w:t>
      </w:r>
      <w:r w:rsidR="00A24F44" w:rsidRPr="00067719">
        <w:t>s</w:t>
      </w:r>
      <w:r w:rsidR="00004020" w:rsidRPr="00067719">
        <w:t xml:space="preserve"> assessed for the self-reported items as reported to gold-standard and facility nurses.  </w:t>
      </w:r>
      <w:bookmarkStart w:id="12" w:name="_Hlk504742008"/>
      <w:r w:rsidR="00A24F44" w:rsidRPr="00067719">
        <w:t>In addition, the temporal reliability of the pain interview items was assessed by administering the assessment twice within a 24-hour period; a 24-hour period was used to prevent actual changes in resident pain from influencing results of the reliability analyses.</w:t>
      </w:r>
      <w:bookmarkEnd w:id="12"/>
      <w:r w:rsidR="00A24F44" w:rsidRPr="00067719">
        <w:t xml:space="preserve">  </w:t>
      </w:r>
      <w:r w:rsidRPr="00067719">
        <w:t xml:space="preserve">Cohen’s </w:t>
      </w:r>
      <w:proofErr w:type="spellStart"/>
      <w:r w:rsidRPr="00067719">
        <w:t>kappas</w:t>
      </w:r>
      <w:proofErr w:type="spellEnd"/>
      <w:r w:rsidRPr="00067719">
        <w:t xml:space="preserve"> were calculated to assess item reliability.  Kappa is a statistical measure of inter-rater agreement for qualitative data, ranging from 0.0 to 1.0, where a rating of greater than 0.60 is considered substantial agreement (Landis &amp; Koch, 1977).</w:t>
      </w:r>
      <w:r w:rsidR="007C35A0" w:rsidRPr="00067719">
        <w:t xml:space="preserve">  </w:t>
      </w:r>
      <w:bookmarkStart w:id="13" w:name="_Hlk504656553"/>
    </w:p>
    <w:p w14:paraId="58B2C15D" w14:textId="1881F0EE" w:rsidR="002C7872" w:rsidRPr="00526D7A" w:rsidRDefault="006C1F5F" w:rsidP="00C52402">
      <w:pPr>
        <w:pStyle w:val="Response"/>
        <w:ind w:left="720"/>
      </w:pPr>
      <w:bookmarkStart w:id="14" w:name="_Hlk504657716"/>
      <w:r w:rsidRPr="00067719">
        <w:t xml:space="preserve">In recent years, </w:t>
      </w:r>
      <w:bookmarkStart w:id="15" w:name="_Hlk504657754"/>
      <w:r w:rsidR="00C52402" w:rsidRPr="00067719">
        <w:t xml:space="preserve">patient-reported outcomes and </w:t>
      </w:r>
      <w:r w:rsidRPr="00067719">
        <w:t>pa</w:t>
      </w:r>
      <w:r w:rsidR="00C52402" w:rsidRPr="00067719">
        <w:t>tient satisfaction with care</w:t>
      </w:r>
      <w:r w:rsidRPr="00067719">
        <w:t xml:space="preserve"> </w:t>
      </w:r>
      <w:bookmarkEnd w:id="15"/>
      <w:r w:rsidR="00C52402" w:rsidRPr="00067719">
        <w:t xml:space="preserve">have been emphasized in research and policy initiatives.  </w:t>
      </w:r>
      <w:proofErr w:type="gramStart"/>
      <w:r w:rsidRPr="00067719">
        <w:t xml:space="preserve">In particular, </w:t>
      </w:r>
      <w:r w:rsidR="007C35A0" w:rsidRPr="00067719">
        <w:t>patient</w:t>
      </w:r>
      <w:proofErr w:type="gramEnd"/>
      <w:r w:rsidR="007C35A0" w:rsidRPr="00067719">
        <w:t xml:space="preserve"> interview </w:t>
      </w:r>
      <w:r w:rsidRPr="00067719">
        <w:t>regarding</w:t>
      </w:r>
      <w:r w:rsidR="007C35A0" w:rsidRPr="00067719">
        <w:t xml:space="preserve"> the presence and severity of pain is considered to be the most reliable and accurate approach to pain assessment (American Geriatrics Society, 2002; Department of Veterans Affairs, 2003)</w:t>
      </w:r>
      <w:r w:rsidRPr="00067719">
        <w:t xml:space="preserve">; however, </w:t>
      </w:r>
      <w:r w:rsidR="007C35A0" w:rsidRPr="00067719">
        <w:t xml:space="preserve">it is still important to </w:t>
      </w:r>
      <w:r w:rsidR="00C52402" w:rsidRPr="00067719">
        <w:t xml:space="preserve">examine the agreement between assessors to </w:t>
      </w:r>
      <w:r w:rsidR="007C35A0" w:rsidRPr="00067719">
        <w:t>ensure that there is not unintended variation in provider interpretation of patient-reported information.</w:t>
      </w:r>
      <w:r w:rsidR="007C35A0">
        <w:t xml:space="preserve">  </w:t>
      </w:r>
      <w:r w:rsidR="00FF4B2C">
        <w:t xml:space="preserve"> </w:t>
      </w:r>
      <w:bookmarkEnd w:id="13"/>
      <w:r w:rsidR="00FF4B2C">
        <w:t xml:space="preserve"> </w:t>
      </w:r>
      <w:r w:rsidR="002C7872" w:rsidRPr="00526D7A" w:rsidDel="001F7F1A">
        <w:t xml:space="preserve"> </w:t>
      </w:r>
    </w:p>
    <w:bookmarkEnd w:id="14"/>
    <w:p w14:paraId="5CB0E593" w14:textId="77777777" w:rsidR="002C7872" w:rsidRDefault="002C7872" w:rsidP="002C7872">
      <w:pPr>
        <w:pStyle w:val="Response"/>
        <w:ind w:left="360" w:hanging="360"/>
        <w:rPr>
          <w:sz w:val="20"/>
          <w:szCs w:val="20"/>
        </w:rPr>
      </w:pPr>
      <w:r w:rsidRPr="00757C6D">
        <w:rPr>
          <w:sz w:val="20"/>
          <w:szCs w:val="20"/>
        </w:rPr>
        <w:t>Saliba, D., &amp; Buchanan, J. (2008, April).</w:t>
      </w:r>
      <w:r w:rsidRPr="00757C6D">
        <w:rPr>
          <w:i/>
          <w:sz w:val="20"/>
          <w:szCs w:val="20"/>
        </w:rPr>
        <w:t xml:space="preserve"> Development and validation of a revised nursing home assessment tool: MDS 3.0</w:t>
      </w:r>
      <w:r w:rsidRPr="00757C6D">
        <w:rPr>
          <w:sz w:val="20"/>
          <w:szCs w:val="20"/>
        </w:rPr>
        <w:t xml:space="preserve">. Contract No. 500-00-0027/Task Order #2. Santa Monica, CA: Rand Corporation. Retrieved from </w:t>
      </w:r>
      <w:hyperlink r:id="rId17" w:history="1">
        <w:r w:rsidRPr="00757C6D">
          <w:rPr>
            <w:rStyle w:val="Hyperlink"/>
            <w:sz w:val="20"/>
            <w:szCs w:val="20"/>
          </w:rPr>
          <w:t>http://www.cms.hhs.gov/NursingHomeQualityInits/Downloads/MDS30FinalReport.pdf</w:t>
        </w:r>
      </w:hyperlink>
      <w:r w:rsidRPr="00757C6D">
        <w:rPr>
          <w:sz w:val="20"/>
          <w:szCs w:val="20"/>
        </w:rPr>
        <w:t>.</w:t>
      </w:r>
    </w:p>
    <w:p w14:paraId="09641B9C" w14:textId="64F1F73F" w:rsidR="002C7872" w:rsidRDefault="002C7872" w:rsidP="002C7872">
      <w:pPr>
        <w:pStyle w:val="Response"/>
        <w:ind w:left="360" w:hanging="360"/>
        <w:rPr>
          <w:sz w:val="20"/>
          <w:szCs w:val="20"/>
        </w:rPr>
      </w:pPr>
      <w:r w:rsidRPr="00A97BBE">
        <w:rPr>
          <w:sz w:val="20"/>
          <w:szCs w:val="20"/>
        </w:rPr>
        <w:t xml:space="preserve">Landis, JR, Koch, GG. The measurement of observer agreement for categorical data. </w:t>
      </w:r>
      <w:r w:rsidRPr="00A97BBE">
        <w:rPr>
          <w:i/>
          <w:sz w:val="20"/>
          <w:szCs w:val="20"/>
        </w:rPr>
        <w:t>Biometrics</w:t>
      </w:r>
      <w:r w:rsidRPr="00A97BBE">
        <w:rPr>
          <w:sz w:val="20"/>
          <w:szCs w:val="20"/>
        </w:rPr>
        <w:t xml:space="preserve"> </w:t>
      </w:r>
      <w:r w:rsidRPr="00A97BBE">
        <w:rPr>
          <w:i/>
          <w:sz w:val="20"/>
          <w:szCs w:val="20"/>
        </w:rPr>
        <w:t>33</w:t>
      </w:r>
      <w:r w:rsidRPr="00A97BBE">
        <w:rPr>
          <w:sz w:val="20"/>
          <w:szCs w:val="20"/>
        </w:rPr>
        <w:t>(1), p 159-174, 1977.</w:t>
      </w:r>
    </w:p>
    <w:p w14:paraId="3FABD940" w14:textId="77777777" w:rsidR="007C35A0" w:rsidRPr="00340570" w:rsidRDefault="007C35A0" w:rsidP="007C35A0">
      <w:pPr>
        <w:pStyle w:val="Response"/>
        <w:ind w:left="360" w:hanging="360"/>
        <w:rPr>
          <w:sz w:val="20"/>
          <w:szCs w:val="20"/>
        </w:rPr>
      </w:pPr>
      <w:r w:rsidRPr="00340570">
        <w:rPr>
          <w:sz w:val="20"/>
          <w:szCs w:val="20"/>
        </w:rPr>
        <w:t xml:space="preserve">American Geriatrics Society Panel on Persistent Pain in Older Persons.  The management of persistent pain in older persons. </w:t>
      </w:r>
      <w:r w:rsidRPr="00340570">
        <w:rPr>
          <w:i/>
          <w:sz w:val="20"/>
          <w:szCs w:val="20"/>
        </w:rPr>
        <w:t>Journal of the American Geriatrics Society 50</w:t>
      </w:r>
      <w:r w:rsidRPr="00340570">
        <w:rPr>
          <w:sz w:val="20"/>
          <w:szCs w:val="20"/>
        </w:rPr>
        <w:t>, p S205-244, 2002.</w:t>
      </w:r>
    </w:p>
    <w:p w14:paraId="31A71D1B" w14:textId="6F7C6A06" w:rsidR="007C35A0" w:rsidRPr="00A97BBE" w:rsidRDefault="007C35A0" w:rsidP="007C35A0">
      <w:pPr>
        <w:pStyle w:val="Response"/>
        <w:ind w:left="360" w:hanging="360"/>
        <w:rPr>
          <w:sz w:val="20"/>
          <w:szCs w:val="20"/>
        </w:rPr>
      </w:pPr>
      <w:r w:rsidRPr="00340570">
        <w:rPr>
          <w:sz w:val="20"/>
          <w:szCs w:val="20"/>
        </w:rPr>
        <w:t>Department of Veterans Affairs.  VHA directive 2003-021: pain management.  2003.</w:t>
      </w:r>
    </w:p>
    <w:p w14:paraId="2C66AF40" w14:textId="5955822C" w:rsidR="00424F18" w:rsidRDefault="00424F18" w:rsidP="00424F18">
      <w:pPr>
        <w:pStyle w:val="abluebold"/>
        <w:ind w:left="0"/>
      </w:pPr>
      <w:r>
        <w:t>Performance Measure Score Reliability</w:t>
      </w:r>
    </w:p>
    <w:p w14:paraId="5638DAB2" w14:textId="684F758F" w:rsidR="008646BD" w:rsidRDefault="008646BD" w:rsidP="008646BD">
      <w:pPr>
        <w:pStyle w:val="Response"/>
        <w:ind w:left="720" w:hanging="450"/>
      </w:pPr>
      <w:r w:rsidRPr="00067719">
        <w:t>2.</w:t>
      </w:r>
      <w:r w:rsidR="00D64FD4" w:rsidRPr="00067719">
        <w:t>a</w:t>
      </w:r>
      <w:r w:rsidRPr="00067719">
        <w:t>.</w:t>
      </w:r>
      <w:r w:rsidRPr="00067719">
        <w:tab/>
        <w:t>Signal to noise analysis: If a measure is reliable, then true differences in provider performance should explain a substantial proportion of the variance in quality measure scores. A signal-to-noise analysis was performed to determine what proportion of total variance in the measure is attributable to differences among providers. This analysis used logistic regression of the measure numerator triggering for Quarter 2, 2017.</w:t>
      </w:r>
      <w:r w:rsidR="00901973" w:rsidRPr="00067719">
        <w:t xml:space="preserve">  We ran a logistic regression analysis with one term (a binary variable equal to 1 if the measure numerator is triggered and 0 if otherwise; please refer to S.4 and S.5 for more details on the measure numerator specifications) with facility random effects to obtain an estimate of ρ, the proportion of the total variance contributed by the facility-level variance component (i.e.., </w:t>
      </w:r>
      <w:r w:rsidR="00901973" w:rsidRPr="00067719">
        <w:rPr>
          <w:i/>
          <w:iCs/>
        </w:rPr>
        <w:t xml:space="preserve">ρ </w:t>
      </w:r>
      <w:r w:rsidR="00901973" w:rsidRPr="00067719">
        <w:t xml:space="preserve">= </w:t>
      </w:r>
      <m:oMath>
        <m:f>
          <m:fPr>
            <m:ctrlPr>
              <w:rPr>
                <w:rFonts w:ascii="Cambria Math" w:hAnsi="Cambria Math"/>
                <w:i/>
              </w:rPr>
            </m:ctrlPr>
          </m:fPr>
          <m:num>
            <m:sSubSup>
              <m:sSubSupPr>
                <m:ctrlPr>
                  <w:rPr>
                    <w:rFonts w:ascii="Cambria Math" w:hAnsi="Cambria Math"/>
                    <w:i/>
                  </w:rPr>
                </m:ctrlPr>
              </m:sSubSupPr>
              <m:e>
                <m:r>
                  <w:rPr>
                    <w:rFonts w:ascii="Cambria Math" w:hAnsi="Cambria Math"/>
                  </w:rPr>
                  <m:t>σ</m:t>
                </m:r>
              </m:e>
              <m:sub>
                <m:r>
                  <w:rPr>
                    <w:rFonts w:ascii="Cambria Math" w:hAnsi="Cambria Math"/>
                  </w:rPr>
                  <m:t>v</m:t>
                </m:r>
              </m:sub>
              <m:sup>
                <m:r>
                  <w:rPr>
                    <w:rFonts w:ascii="Cambria Math" w:hAnsi="Cambria Math"/>
                  </w:rPr>
                  <m:t>2</m:t>
                </m:r>
              </m:sup>
            </m:sSubSup>
          </m:num>
          <m:den>
            <m:sSubSup>
              <m:sSubSupPr>
                <m:ctrlPr>
                  <w:rPr>
                    <w:rFonts w:ascii="Cambria Math" w:hAnsi="Cambria Math"/>
                    <w:i/>
                  </w:rPr>
                </m:ctrlPr>
              </m:sSubSupPr>
              <m:e>
                <m:r>
                  <w:rPr>
                    <w:rFonts w:ascii="Cambria Math" w:hAnsi="Cambria Math"/>
                  </w:rPr>
                  <m:t>σ</m:t>
                </m:r>
              </m:e>
              <m:sub>
                <m:r>
                  <w:rPr>
                    <w:rFonts w:ascii="Cambria Math" w:hAnsi="Cambria Math"/>
                  </w:rPr>
                  <m:t>v</m:t>
                </m:r>
              </m:sub>
              <m:sup>
                <m:r>
                  <w:rPr>
                    <w:rFonts w:ascii="Cambria Math" w:hAnsi="Cambria Math"/>
                  </w:rPr>
                  <m:t>2</m:t>
                </m:r>
              </m:sup>
            </m:sSubSup>
            <m:r>
              <w:rPr>
                <w:rFonts w:ascii="Cambria Math" w:hAnsi="Cambria Math"/>
              </w:rPr>
              <m:t>+</m:t>
            </m:r>
            <m:sSubSup>
              <m:sSubSupPr>
                <m:ctrlPr>
                  <w:rPr>
                    <w:rFonts w:ascii="Cambria Math" w:hAnsi="Cambria Math"/>
                    <w:i/>
                  </w:rPr>
                </m:ctrlPr>
              </m:sSubSupPr>
              <m:e>
                <m:r>
                  <w:rPr>
                    <w:rFonts w:ascii="Cambria Math" w:hAnsi="Cambria Math"/>
                  </w:rPr>
                  <m:t>σ</m:t>
                </m:r>
              </m:e>
              <m:sub>
                <m:r>
                  <w:rPr>
                    <w:rFonts w:ascii="Cambria Math" w:hAnsi="Cambria Math"/>
                  </w:rPr>
                  <m:t>ε</m:t>
                </m:r>
              </m:sub>
              <m:sup>
                <m:r>
                  <w:rPr>
                    <w:rFonts w:ascii="Cambria Math" w:hAnsi="Cambria Math"/>
                  </w:rPr>
                  <m:t>2</m:t>
                </m:r>
              </m:sup>
            </m:sSubSup>
          </m:den>
        </m:f>
      </m:oMath>
      <w:r w:rsidR="00901973" w:rsidRPr="00067719">
        <w:t xml:space="preserve"> ).</w:t>
      </w:r>
    </w:p>
    <w:p w14:paraId="2165509F" w14:textId="461A0D85" w:rsidR="00473F2F" w:rsidRDefault="00473F2F" w:rsidP="008646BD">
      <w:pPr>
        <w:pStyle w:val="Response"/>
        <w:ind w:left="720" w:hanging="450"/>
      </w:pPr>
      <w:r>
        <w:t>2.</w:t>
      </w:r>
      <w:r w:rsidR="00A040D4">
        <w:t>b</w:t>
      </w:r>
      <w:r>
        <w:t xml:space="preserve">. </w:t>
      </w:r>
      <w:r w:rsidR="007D5985">
        <w:t xml:space="preserve"> Split-Half </w:t>
      </w:r>
      <w:r w:rsidR="00EE2BC0">
        <w:t>r</w:t>
      </w:r>
      <w:r w:rsidR="007D5985">
        <w:t xml:space="preserve">eliability </w:t>
      </w:r>
      <w:r w:rsidR="00EE2BC0">
        <w:t>a</w:t>
      </w:r>
      <w:r>
        <w:t xml:space="preserve">nalysis: </w:t>
      </w:r>
      <w:r w:rsidRPr="000F6179">
        <w:t xml:space="preserve">Split-half reliability assesses </w:t>
      </w:r>
      <w:r>
        <w:t>the internal consistency of a quality measure</w:t>
      </w:r>
      <w:r w:rsidRPr="000F6179">
        <w:t xml:space="preserve"> by randomly dividing the </w:t>
      </w:r>
      <w:r>
        <w:t>resident</w:t>
      </w:r>
      <w:r w:rsidRPr="000F6179">
        <w:t xml:space="preserve">s </w:t>
      </w:r>
      <w:r w:rsidRPr="00E81537">
        <w:t xml:space="preserve">within each </w:t>
      </w:r>
      <w:r>
        <w:t>nursing facility</w:t>
      </w:r>
      <w:r w:rsidRPr="00E81537">
        <w:t xml:space="preserve"> into two halves and calculating </w:t>
      </w:r>
      <w:r>
        <w:t xml:space="preserve">the </w:t>
      </w:r>
      <w:r w:rsidRPr="00E81537">
        <w:t xml:space="preserve">correlation between the </w:t>
      </w:r>
      <w:r>
        <w:t>nursing facility’s quality measure</w:t>
      </w:r>
      <w:r w:rsidRPr="00E81537">
        <w:t xml:space="preserve"> scores </w:t>
      </w:r>
      <w:proofErr w:type="gramStart"/>
      <w:r w:rsidRPr="00E81537">
        <w:t>on the basis of</w:t>
      </w:r>
      <w:proofErr w:type="gramEnd"/>
      <w:r w:rsidRPr="00E81537">
        <w:t xml:space="preserve"> the two randomly divided halves.</w:t>
      </w:r>
      <w:r>
        <w:t xml:space="preserve"> When a nursing facility’s residents, randomly divided, have similar scores to one another, the quality measure score is more likely to reflect systematic differences in nursing home-level quality rather than random variation. </w:t>
      </w:r>
      <w:r w:rsidRPr="00E81537">
        <w:t xml:space="preserve"> In this analysis, we conducted a split-half reliability analysis on all fa</w:t>
      </w:r>
      <w:r>
        <w:t>cilities with 20 or more residents</w:t>
      </w:r>
      <w:r w:rsidRPr="00E81537">
        <w:t xml:space="preserve"> counted in the measu</w:t>
      </w:r>
      <w:r>
        <w:t xml:space="preserve">re denominator. We used the </w:t>
      </w:r>
      <w:r w:rsidRPr="00F64C55">
        <w:rPr>
          <w:szCs w:val="20"/>
        </w:rPr>
        <w:t>Pearson Product-Moment Correlation r</w:t>
      </w:r>
      <w:r>
        <w:rPr>
          <w:szCs w:val="20"/>
        </w:rPr>
        <w:t xml:space="preserve">, </w:t>
      </w:r>
      <w:r w:rsidRPr="00F64C55">
        <w:rPr>
          <w:szCs w:val="20"/>
        </w:rPr>
        <w:t>Spearman Rank Correlation ρ</w:t>
      </w:r>
      <w:r>
        <w:rPr>
          <w:szCs w:val="20"/>
        </w:rPr>
        <w:t xml:space="preserve">, and </w:t>
      </w:r>
      <w:r>
        <w:t xml:space="preserve">Intraclass Correlation Coefficient (ICC) to measure the internal reliability.  </w:t>
      </w:r>
    </w:p>
    <w:p w14:paraId="56D9F39C" w14:textId="77777777" w:rsidR="00424F18" w:rsidRPr="00A25024" w:rsidRDefault="00424F18" w:rsidP="008C54A9">
      <w:pPr>
        <w:autoSpaceDE w:val="0"/>
        <w:autoSpaceDN w:val="0"/>
        <w:adjustRightInd w:val="0"/>
        <w:spacing w:after="0" w:line="240" w:lineRule="auto"/>
        <w:rPr>
          <w:rFonts w:cstheme="minorHAnsi"/>
          <w:bCs/>
        </w:rPr>
      </w:pPr>
    </w:p>
    <w:p w14:paraId="0CABCFD3" w14:textId="179D6C94" w:rsidR="007422FD"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p>
    <w:p w14:paraId="26A8551D" w14:textId="77777777" w:rsidR="00EA1712" w:rsidRPr="003D1D04" w:rsidRDefault="00EA1712" w:rsidP="00EA1712">
      <w:pPr>
        <w:pStyle w:val="Response"/>
        <w:rPr>
          <w:b/>
          <w:bCs w:val="0"/>
        </w:rPr>
      </w:pPr>
      <w:r>
        <w:rPr>
          <w:b/>
          <w:bCs w:val="0"/>
        </w:rPr>
        <w:t xml:space="preserve">Critical </w:t>
      </w:r>
      <w:r w:rsidRPr="003D1D04">
        <w:rPr>
          <w:b/>
          <w:bCs w:val="0"/>
        </w:rPr>
        <w:t>Data Element Reliability</w:t>
      </w:r>
    </w:p>
    <w:p w14:paraId="7C07AFF6" w14:textId="54B86BAD" w:rsidR="005C5833" w:rsidRPr="00067719" w:rsidRDefault="00A24F44" w:rsidP="00A24F44">
      <w:pPr>
        <w:pStyle w:val="Response"/>
        <w:numPr>
          <w:ilvl w:val="0"/>
          <w:numId w:val="16"/>
        </w:numPr>
      </w:pPr>
      <w:r w:rsidRPr="00067719">
        <w:t xml:space="preserve">For the pain items, the average kappa for gold-standard nurse to gold-standard nurse agreement was 0.961, and the average kappa for gold-standard nurse to facility nurse agreement was 0.967.  The average kappa for temporal reliability was 0.920.  All three </w:t>
      </w:r>
      <w:proofErr w:type="spellStart"/>
      <w:r w:rsidRPr="00067719">
        <w:t>kappas</w:t>
      </w:r>
      <w:proofErr w:type="spellEnd"/>
      <w:r w:rsidRPr="00067719">
        <w:t xml:space="preserve"> are well above the value of 0.60, which is generally considered substantial agreement (Saliba &amp; Buchanan, 2008).    </w:t>
      </w:r>
    </w:p>
    <w:p w14:paraId="09213BB7" w14:textId="54640418" w:rsidR="00A620F7" w:rsidRPr="005C5833" w:rsidRDefault="005C5833" w:rsidP="005C5833">
      <w:pPr>
        <w:pStyle w:val="Response"/>
        <w:ind w:left="360" w:hanging="360"/>
        <w:rPr>
          <w:sz w:val="20"/>
          <w:szCs w:val="20"/>
        </w:rPr>
      </w:pPr>
      <w:r w:rsidRPr="00106D1F">
        <w:rPr>
          <w:sz w:val="20"/>
          <w:szCs w:val="20"/>
        </w:rPr>
        <w:t>Saliba, D., &amp; Buchanan, J. (2008, April).</w:t>
      </w:r>
      <w:r w:rsidRPr="00106D1F">
        <w:rPr>
          <w:i/>
          <w:sz w:val="20"/>
          <w:szCs w:val="20"/>
        </w:rPr>
        <w:t xml:space="preserve"> Development and validation of a revised nursing home assessment tool: MDS 3.0</w:t>
      </w:r>
      <w:r w:rsidRPr="00106D1F">
        <w:rPr>
          <w:sz w:val="20"/>
          <w:szCs w:val="20"/>
        </w:rPr>
        <w:t xml:space="preserve">. Contract No. 500-00-0027/Task Order #2. Santa Monica, CA: Rand Corporation. Retrieved from </w:t>
      </w:r>
      <w:hyperlink r:id="rId18" w:history="1">
        <w:r w:rsidRPr="00106D1F">
          <w:rPr>
            <w:rStyle w:val="Hyperlink"/>
            <w:sz w:val="20"/>
            <w:szCs w:val="20"/>
          </w:rPr>
          <w:t>http://www.cms.hhs.gov/NursingHomeQualityInits/Downloads/MDS30FinalReport.pdf</w:t>
        </w:r>
      </w:hyperlink>
      <w:r w:rsidRPr="00106D1F">
        <w:rPr>
          <w:sz w:val="20"/>
          <w:szCs w:val="20"/>
        </w:rPr>
        <w:t>.</w:t>
      </w:r>
    </w:p>
    <w:p w14:paraId="54A25542" w14:textId="500F5975" w:rsidR="0023388A" w:rsidRPr="006C4AA3" w:rsidRDefault="00A620F7" w:rsidP="006C4AA3">
      <w:pPr>
        <w:pStyle w:val="Response"/>
        <w:rPr>
          <w:b/>
          <w:bCs w:val="0"/>
        </w:rPr>
      </w:pPr>
      <w:r w:rsidRPr="003D1D04">
        <w:rPr>
          <w:b/>
          <w:bCs w:val="0"/>
        </w:rPr>
        <w:t>Perfor</w:t>
      </w:r>
      <w:r w:rsidR="006C4AA3">
        <w:rPr>
          <w:b/>
          <w:bCs w:val="0"/>
        </w:rPr>
        <w:t>mance Measure Score Reliability</w:t>
      </w:r>
    </w:p>
    <w:p w14:paraId="772AEB6B" w14:textId="642303EB" w:rsidR="0079236C" w:rsidRPr="00DF3B52" w:rsidRDefault="0023388A" w:rsidP="00164845">
      <w:pPr>
        <w:autoSpaceDE w:val="0"/>
        <w:autoSpaceDN w:val="0"/>
        <w:adjustRightInd w:val="0"/>
        <w:spacing w:after="0" w:line="240" w:lineRule="auto"/>
        <w:ind w:left="720" w:hanging="720"/>
        <w:rPr>
          <w:rFonts w:cstheme="minorHAnsi"/>
          <w:bCs/>
          <w:color w:val="0000FF"/>
        </w:rPr>
      </w:pPr>
      <w:r w:rsidRPr="00164845">
        <w:rPr>
          <w:rFonts w:cstheme="minorHAnsi"/>
          <w:color w:val="0000FF"/>
        </w:rPr>
        <w:t>2.</w:t>
      </w:r>
      <w:r w:rsidR="00D64FD4">
        <w:rPr>
          <w:rFonts w:cstheme="minorHAnsi"/>
          <w:color w:val="0000FF"/>
        </w:rPr>
        <w:t>a</w:t>
      </w:r>
      <w:r w:rsidRPr="00164845">
        <w:rPr>
          <w:rFonts w:cstheme="minorHAnsi"/>
          <w:color w:val="0000FF"/>
        </w:rPr>
        <w:t>.</w:t>
      </w:r>
      <w:r w:rsidRPr="00164845">
        <w:rPr>
          <w:rFonts w:cstheme="minorHAnsi"/>
          <w:color w:val="0000FF"/>
        </w:rPr>
        <w:tab/>
      </w:r>
      <w:r w:rsidR="00DF3B52" w:rsidRPr="00164845">
        <w:rPr>
          <w:rFonts w:cstheme="minorHAnsi"/>
          <w:color w:val="0000FF"/>
        </w:rPr>
        <w:t xml:space="preserve">Signal to Noise: </w:t>
      </w:r>
      <w:r w:rsidR="0079236C" w:rsidRPr="00164845">
        <w:rPr>
          <w:rFonts w:cstheme="minorHAnsi"/>
          <w:color w:val="0000FF"/>
        </w:rPr>
        <w:t>The signal-to-noise ratio for this measure was high at 0.</w:t>
      </w:r>
      <w:r w:rsidR="00164845">
        <w:rPr>
          <w:rFonts w:cstheme="minorHAnsi"/>
          <w:color w:val="0000FF"/>
        </w:rPr>
        <w:t>264</w:t>
      </w:r>
      <w:r w:rsidR="0079236C" w:rsidRPr="00164845">
        <w:rPr>
          <w:rFonts w:cstheme="minorHAnsi"/>
          <w:color w:val="0000FF"/>
        </w:rPr>
        <w:t xml:space="preserve"> (p &lt; 0.001) indicating that 2</w:t>
      </w:r>
      <w:r w:rsidR="00164845">
        <w:rPr>
          <w:rFonts w:cstheme="minorHAnsi"/>
          <w:color w:val="0000FF"/>
        </w:rPr>
        <w:t>6.4</w:t>
      </w:r>
      <w:r w:rsidR="0079236C" w:rsidRPr="00164845">
        <w:rPr>
          <w:rFonts w:cstheme="minorHAnsi"/>
          <w:color w:val="0000FF"/>
        </w:rPr>
        <w:t>% of the variance in scores for this measure in Quarter 2, 2017 was explained by facility characteristics (including the underlying quality of care in each facility). Thus, this measure is reliable in separating facility characteristics from the noise of population variance.</w:t>
      </w:r>
    </w:p>
    <w:p w14:paraId="6DC8356A" w14:textId="77777777" w:rsidR="00164845" w:rsidRDefault="00164845" w:rsidP="00164845">
      <w:pPr>
        <w:autoSpaceDE w:val="0"/>
        <w:autoSpaceDN w:val="0"/>
        <w:adjustRightInd w:val="0"/>
        <w:spacing w:after="0" w:line="240" w:lineRule="auto"/>
        <w:ind w:left="720"/>
        <w:rPr>
          <w:rFonts w:cstheme="minorHAnsi"/>
          <w:bCs/>
          <w:color w:val="0000FF"/>
          <w:sz w:val="20"/>
          <w:szCs w:val="20"/>
        </w:rPr>
      </w:pPr>
    </w:p>
    <w:p w14:paraId="52AD8E54" w14:textId="2F61860C" w:rsidR="0079236C" w:rsidRDefault="0079236C" w:rsidP="00164845">
      <w:pPr>
        <w:autoSpaceDE w:val="0"/>
        <w:autoSpaceDN w:val="0"/>
        <w:adjustRightInd w:val="0"/>
        <w:spacing w:after="0" w:line="240" w:lineRule="auto"/>
        <w:ind w:left="720"/>
        <w:rPr>
          <w:rFonts w:cstheme="minorHAnsi"/>
          <w:bCs/>
          <w:color w:val="0000FF"/>
          <w:sz w:val="20"/>
          <w:szCs w:val="20"/>
        </w:rPr>
      </w:pPr>
      <w:r w:rsidRPr="002A23FE">
        <w:rPr>
          <w:rFonts w:cstheme="minorHAnsi"/>
          <w:bCs/>
          <w:color w:val="0000FF"/>
          <w:sz w:val="20"/>
          <w:szCs w:val="20"/>
        </w:rPr>
        <w:t xml:space="preserve">SOURCE: RTI analysis of Q2 2017 MDS 3.0 data (programming reference: </w:t>
      </w:r>
      <w:r>
        <w:rPr>
          <w:rFonts w:cstheme="minorHAnsi"/>
          <w:bCs/>
          <w:color w:val="0000FF"/>
          <w:sz w:val="20"/>
          <w:szCs w:val="20"/>
        </w:rPr>
        <w:t>rn01\db363_request_q2627_676</w:t>
      </w:r>
      <w:r w:rsidRPr="002A23FE">
        <w:rPr>
          <w:rFonts w:cstheme="minorHAnsi"/>
          <w:bCs/>
          <w:color w:val="0000FF"/>
          <w:sz w:val="20"/>
          <w:szCs w:val="20"/>
        </w:rPr>
        <w:t>.log)</w:t>
      </w:r>
    </w:p>
    <w:p w14:paraId="4B603986" w14:textId="255F2EAE" w:rsidR="007D5985" w:rsidRDefault="007D5985" w:rsidP="00164845">
      <w:pPr>
        <w:autoSpaceDE w:val="0"/>
        <w:autoSpaceDN w:val="0"/>
        <w:adjustRightInd w:val="0"/>
        <w:spacing w:after="0" w:line="240" w:lineRule="auto"/>
        <w:ind w:left="720"/>
        <w:rPr>
          <w:rFonts w:cstheme="minorHAnsi"/>
          <w:bCs/>
          <w:color w:val="0000FF"/>
          <w:sz w:val="20"/>
          <w:szCs w:val="20"/>
        </w:rPr>
      </w:pPr>
    </w:p>
    <w:p w14:paraId="4F8E7FFC" w14:textId="5083BEBC" w:rsidR="007D5985" w:rsidRPr="007D5985" w:rsidRDefault="007D5985" w:rsidP="007D5985">
      <w:pPr>
        <w:autoSpaceDE w:val="0"/>
        <w:autoSpaceDN w:val="0"/>
        <w:adjustRightInd w:val="0"/>
        <w:spacing w:after="0" w:line="240" w:lineRule="auto"/>
        <w:ind w:left="720" w:hanging="720"/>
        <w:rPr>
          <w:rFonts w:cstheme="minorHAnsi"/>
          <w:bCs/>
          <w:color w:val="0000FF"/>
        </w:rPr>
      </w:pPr>
      <w:r w:rsidRPr="007D5985">
        <w:rPr>
          <w:rFonts w:cstheme="minorHAnsi"/>
          <w:bCs/>
          <w:color w:val="0000FF"/>
        </w:rPr>
        <w:t>2.</w:t>
      </w:r>
      <w:r w:rsidR="00D64FD4">
        <w:rPr>
          <w:rFonts w:cstheme="minorHAnsi"/>
          <w:bCs/>
          <w:color w:val="0000FF"/>
        </w:rPr>
        <w:t>b</w:t>
      </w:r>
      <w:r w:rsidRPr="007D5985">
        <w:rPr>
          <w:rFonts w:cstheme="minorHAnsi"/>
          <w:bCs/>
          <w:color w:val="0000FF"/>
        </w:rPr>
        <w:t xml:space="preserve">. </w:t>
      </w:r>
      <w:r w:rsidRPr="007D5985">
        <w:rPr>
          <w:rFonts w:cstheme="minorHAnsi"/>
          <w:bCs/>
          <w:color w:val="0000FF"/>
        </w:rPr>
        <w:tab/>
        <w:t xml:space="preserve">Split-Half reliability analysis: The split-half correlations for the QM were strong (r = </w:t>
      </w:r>
      <w:r w:rsidR="00EE2BC0">
        <w:rPr>
          <w:rFonts w:cstheme="minorHAnsi"/>
          <w:bCs/>
          <w:color w:val="0000FF"/>
        </w:rPr>
        <w:t>0</w:t>
      </w:r>
      <w:r w:rsidRPr="007D5985">
        <w:rPr>
          <w:rFonts w:cstheme="minorHAnsi"/>
          <w:bCs/>
          <w:color w:val="0000FF"/>
        </w:rPr>
        <w:t xml:space="preserve">.79, ρ = </w:t>
      </w:r>
      <w:r w:rsidR="00EE2BC0">
        <w:rPr>
          <w:rFonts w:cstheme="minorHAnsi"/>
          <w:bCs/>
          <w:color w:val="0000FF"/>
        </w:rPr>
        <w:t>0</w:t>
      </w:r>
      <w:r w:rsidRPr="007D5985">
        <w:rPr>
          <w:rFonts w:cstheme="minorHAnsi"/>
          <w:bCs/>
          <w:color w:val="0000FF"/>
        </w:rPr>
        <w:t xml:space="preserve">.78, p &lt; .001), and the ICC was </w:t>
      </w:r>
      <w:r w:rsidR="00EE2BC0">
        <w:rPr>
          <w:rFonts w:cstheme="minorHAnsi"/>
          <w:bCs/>
          <w:color w:val="0000FF"/>
        </w:rPr>
        <w:t>0</w:t>
      </w:r>
      <w:r w:rsidRPr="007D5985">
        <w:rPr>
          <w:rFonts w:cstheme="minorHAnsi"/>
          <w:bCs/>
          <w:color w:val="0000FF"/>
        </w:rPr>
        <w:t xml:space="preserve">.79 (p &lt; .001), demonstrating strong internal reliability.  </w:t>
      </w:r>
    </w:p>
    <w:p w14:paraId="0138A850" w14:textId="77777777" w:rsidR="0079236C" w:rsidRDefault="0079236C" w:rsidP="0079236C">
      <w:pPr>
        <w:autoSpaceDE w:val="0"/>
        <w:autoSpaceDN w:val="0"/>
        <w:adjustRightInd w:val="0"/>
        <w:spacing w:after="0" w:line="240" w:lineRule="auto"/>
        <w:rPr>
          <w:rFonts w:cstheme="minorHAnsi"/>
          <w:bCs/>
          <w:color w:val="0000FF"/>
          <w:sz w:val="20"/>
          <w:szCs w:val="20"/>
        </w:rPr>
      </w:pPr>
    </w:p>
    <w:p w14:paraId="61AEDE5D" w14:textId="5301309A" w:rsidR="002D3293" w:rsidRDefault="002D3293" w:rsidP="002D3293">
      <w:pPr>
        <w:autoSpaceDE w:val="0"/>
        <w:autoSpaceDN w:val="0"/>
        <w:adjustRightInd w:val="0"/>
        <w:spacing w:after="0" w:line="240" w:lineRule="auto"/>
        <w:ind w:left="720"/>
        <w:rPr>
          <w:rFonts w:cstheme="minorHAnsi"/>
          <w:bCs/>
          <w:color w:val="0000FF"/>
          <w:sz w:val="20"/>
          <w:szCs w:val="20"/>
        </w:rPr>
      </w:pPr>
      <w:bookmarkStart w:id="16" w:name="_Hlk511393879"/>
      <w:r w:rsidRPr="002A23FE">
        <w:rPr>
          <w:rFonts w:cstheme="minorHAnsi"/>
          <w:bCs/>
          <w:color w:val="0000FF"/>
          <w:sz w:val="20"/>
          <w:szCs w:val="20"/>
        </w:rPr>
        <w:t xml:space="preserve">SOURCE: RTI analysis of Q2 2017 MDS 3.0 data (programming reference: </w:t>
      </w:r>
      <w:r w:rsidR="00CE4F9E">
        <w:rPr>
          <w:rFonts w:cstheme="minorHAnsi"/>
          <w:bCs/>
          <w:color w:val="0000FF"/>
          <w:sz w:val="20"/>
          <w:szCs w:val="20"/>
        </w:rPr>
        <w:t>av12\av12</w:t>
      </w:r>
      <w:r>
        <w:rPr>
          <w:rFonts w:cstheme="minorHAnsi"/>
          <w:bCs/>
          <w:color w:val="0000FF"/>
          <w:sz w:val="20"/>
          <w:szCs w:val="20"/>
        </w:rPr>
        <w:t>_request_q2627_676</w:t>
      </w:r>
      <w:r w:rsidRPr="002A23FE">
        <w:rPr>
          <w:rFonts w:cstheme="minorHAnsi"/>
          <w:bCs/>
          <w:color w:val="0000FF"/>
          <w:sz w:val="20"/>
          <w:szCs w:val="20"/>
        </w:rPr>
        <w:t>.log)</w:t>
      </w:r>
    </w:p>
    <w:bookmarkEnd w:id="16"/>
    <w:p w14:paraId="2FBF3DA6" w14:textId="0635C6C9" w:rsidR="0023388A" w:rsidRPr="00A25024" w:rsidRDefault="0023388A" w:rsidP="008C54A9">
      <w:pPr>
        <w:autoSpaceDE w:val="0"/>
        <w:autoSpaceDN w:val="0"/>
        <w:adjustRightInd w:val="0"/>
        <w:spacing w:after="0" w:line="240" w:lineRule="auto"/>
        <w:rPr>
          <w:rFonts w:cstheme="minorHAnsi"/>
          <w:bCs/>
        </w:rPr>
      </w:pPr>
    </w:p>
    <w:p w14:paraId="0CABCFD4" w14:textId="10E91527" w:rsidR="007422FD" w:rsidRDefault="00092566" w:rsidP="00DB3627">
      <w:pPr>
        <w:autoSpaceDE w:val="0"/>
        <w:autoSpaceDN w:val="0"/>
        <w:adjustRightInd w:val="0"/>
        <w:spacing w:after="0" w:line="240" w:lineRule="auto"/>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p>
    <w:p w14:paraId="75E57685" w14:textId="77777777" w:rsidR="00920862" w:rsidRPr="002A23FE" w:rsidRDefault="00920862" w:rsidP="00920862">
      <w:pPr>
        <w:pStyle w:val="Response"/>
        <w:rPr>
          <w:b/>
          <w:noProof/>
        </w:rPr>
      </w:pPr>
      <w:r>
        <w:rPr>
          <w:b/>
          <w:noProof/>
        </w:rPr>
        <w:t>Critical Data Element</w:t>
      </w:r>
      <w:r w:rsidRPr="00551E3A">
        <w:rPr>
          <w:b/>
          <w:noProof/>
        </w:rPr>
        <w:t xml:space="preserve"> Reliability</w:t>
      </w:r>
    </w:p>
    <w:p w14:paraId="2C9137FB" w14:textId="77777777" w:rsidR="005A17C9" w:rsidRDefault="005A17C9" w:rsidP="005A17C9">
      <w:pPr>
        <w:pStyle w:val="Response"/>
      </w:pPr>
      <w:r>
        <w:t xml:space="preserve">The </w:t>
      </w:r>
      <w:r>
        <w:rPr>
          <w:rFonts w:eastAsiaTheme="minorHAnsi"/>
        </w:rPr>
        <w:t xml:space="preserve">RAND Development and Validation of MDS 3.0 </w:t>
      </w:r>
      <w:r>
        <w:t>national</w:t>
      </w:r>
      <w:r w:rsidRPr="00526D7A">
        <w:t xml:space="preserve"> pilot test </w:t>
      </w:r>
      <w:r>
        <w:t>study demonstrated</w:t>
      </w:r>
      <w:r w:rsidRPr="00526D7A">
        <w:t xml:space="preserve"> good reliability </w:t>
      </w:r>
      <w:r>
        <w:t>for MDS 3.0 items used to calculate this measure</w:t>
      </w:r>
      <w:r w:rsidRPr="00526D7A">
        <w:t xml:space="preserve">. </w:t>
      </w:r>
    </w:p>
    <w:p w14:paraId="5B068F68" w14:textId="77777777" w:rsidR="00920862" w:rsidRPr="00551E3A" w:rsidRDefault="00920862" w:rsidP="00920862">
      <w:pPr>
        <w:pStyle w:val="Response"/>
        <w:rPr>
          <w:b/>
          <w:noProof/>
        </w:rPr>
      </w:pPr>
      <w:r w:rsidRPr="00551E3A">
        <w:rPr>
          <w:b/>
          <w:noProof/>
        </w:rPr>
        <w:t>Performance Measure Score Reliability</w:t>
      </w:r>
    </w:p>
    <w:p w14:paraId="306F4409" w14:textId="1912D98D" w:rsidR="005A17C9" w:rsidRDefault="005A17C9" w:rsidP="005A17C9">
      <w:pPr>
        <w:pStyle w:val="Response"/>
        <w:rPr>
          <w:noProof/>
        </w:rPr>
      </w:pPr>
      <w:r>
        <w:rPr>
          <w:noProof/>
        </w:rPr>
        <w:t>RTI’s analyses show that the measure is largely stable, is able to make meaningful dinstinctions between different facilites’ quality on this measure’s intended dimensi</w:t>
      </w:r>
      <w:r w:rsidRPr="00F44A07">
        <w:rPr>
          <w:noProof/>
        </w:rPr>
        <w:t xml:space="preserve">on, </w:t>
      </w:r>
      <w:r w:rsidR="00C5067B">
        <w:rPr>
          <w:noProof/>
        </w:rPr>
        <w:t xml:space="preserve">the measure shows strong internal reliability, </w:t>
      </w:r>
      <w:r w:rsidRPr="00F44A07">
        <w:rPr>
          <w:noProof/>
        </w:rPr>
        <w:t>and the differences in the facilities can explain about a quarter of the variance in this measure.</w:t>
      </w:r>
      <w:r>
        <w:rPr>
          <w:noProof/>
        </w:rPr>
        <w:t xml:space="preserve"> In sum, this measure is reliable.</w:t>
      </w:r>
    </w:p>
    <w:p w14:paraId="0CABCFD5"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7A2D9769"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1"/>
            <w14:checkedState w14:val="2612" w14:font="MS Gothic"/>
            <w14:uncheckedState w14:val="2610" w14:font="MS Gothic"/>
          </w14:checkbox>
        </w:sdtPr>
        <w:sdtContent>
          <w:r w:rsidR="00424F18">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7E0A6D4E" w:rsidR="00696262" w:rsidRPr="00A25024" w:rsidRDefault="001D4EB8"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Content>
          <w:r w:rsidR="00424F18">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424D7208" w:rsidR="000574AB" w:rsidRPr="00A25024" w:rsidRDefault="001D4EB8"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Content>
          <w:r w:rsidR="00424F18">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582D9F">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0CABCFDC" w14:textId="552202C1" w:rsidR="00833325" w:rsidRPr="00A25024"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14:paraId="0A789FE9" w14:textId="71B3B2A9" w:rsidR="00424F18" w:rsidRDefault="001618EB" w:rsidP="00424F18">
      <w:pPr>
        <w:pStyle w:val="abluebold"/>
        <w:spacing w:before="240"/>
        <w:ind w:left="0"/>
      </w:pPr>
      <w:r>
        <w:t>Critical Data Element Validity</w:t>
      </w:r>
    </w:p>
    <w:p w14:paraId="04FB9115" w14:textId="53EF6B57" w:rsidR="00582D9F" w:rsidRPr="006D4DA7" w:rsidRDefault="00582D9F" w:rsidP="00747647">
      <w:pPr>
        <w:pStyle w:val="Response"/>
        <w:numPr>
          <w:ilvl w:val="0"/>
          <w:numId w:val="8"/>
        </w:numPr>
      </w:pPr>
      <w:r w:rsidRPr="009A1374">
        <w:rPr>
          <w:rFonts w:eastAsiaTheme="minorHAnsi"/>
        </w:rPr>
        <w:t xml:space="preserve">RAND Development and Validation of MDS 3.0: The RAND validation of MDS 3.0 tested the criterion validity of the items </w:t>
      </w:r>
      <w:r>
        <w:rPr>
          <w:rFonts w:eastAsiaTheme="minorHAnsi"/>
        </w:rPr>
        <w:t xml:space="preserve">used to calculate this measure </w:t>
      </w:r>
      <w:r w:rsidRPr="009A1374">
        <w:rPr>
          <w:rFonts w:eastAsiaTheme="minorHAnsi"/>
        </w:rPr>
        <w:t>by comparing how different nurses assessed the same residents using MDS 3.0. They compared gold-standard nurses to staff nurses trained by the gold-standard nurses. The Kappa statistic was calculated</w:t>
      </w:r>
      <w:r>
        <w:rPr>
          <w:rFonts w:eastAsiaTheme="minorHAnsi"/>
        </w:rPr>
        <w:t xml:space="preserve"> (</w:t>
      </w:r>
      <w:r>
        <w:t xml:space="preserve">Saliba &amp; Buchanan, </w:t>
      </w:r>
      <w:r w:rsidRPr="005D3370">
        <w:t>2008</w:t>
      </w:r>
      <w:r>
        <w:rPr>
          <w:rFonts w:eastAsiaTheme="minorHAnsi"/>
        </w:rPr>
        <w:t>)</w:t>
      </w:r>
      <w:r w:rsidRPr="009A1374">
        <w:rPr>
          <w:rFonts w:eastAsiaTheme="minorHAnsi"/>
        </w:rPr>
        <w:t>.</w:t>
      </w:r>
    </w:p>
    <w:p w14:paraId="22F5DD1F" w14:textId="26DCAFF6" w:rsidR="006D4DA7" w:rsidRPr="009A1374" w:rsidRDefault="006D4DA7" w:rsidP="006D4DA7">
      <w:pPr>
        <w:pStyle w:val="Response"/>
        <w:ind w:left="720"/>
      </w:pPr>
      <w:bookmarkStart w:id="17" w:name="_Hlk511401703"/>
      <w:r>
        <w:t xml:space="preserve">For additional analyses of item-level validity, please refer to Appendix </w:t>
      </w:r>
      <w:r w:rsidR="009F6192">
        <w:t>C</w:t>
      </w:r>
      <w:r>
        <w:t>, which contains analyses submitted to the NQF Scientific Methods Panel on March 30, 2018.</w:t>
      </w:r>
      <w:bookmarkEnd w:id="17"/>
    </w:p>
    <w:p w14:paraId="5A8DCB10" w14:textId="518D779E" w:rsidR="00AD04AF" w:rsidRPr="009A1374" w:rsidRDefault="00AD04AF" w:rsidP="00AD04AF">
      <w:pPr>
        <w:pStyle w:val="Response"/>
        <w:rPr>
          <w:b/>
        </w:rPr>
      </w:pPr>
      <w:r w:rsidRPr="009A1374">
        <w:rPr>
          <w:b/>
        </w:rPr>
        <w:t>Performance Measure Score</w:t>
      </w:r>
      <w:r w:rsidR="001618EB">
        <w:rPr>
          <w:b/>
        </w:rPr>
        <w:t xml:space="preserve"> Validity</w:t>
      </w:r>
    </w:p>
    <w:p w14:paraId="0CB401F4" w14:textId="4B6F87A4" w:rsidR="00AD04AF" w:rsidRPr="009A1374" w:rsidRDefault="00AD04AF" w:rsidP="00AD04AF">
      <w:pPr>
        <w:pStyle w:val="Response"/>
        <w:ind w:left="720" w:hanging="360"/>
      </w:pPr>
      <w:r w:rsidRPr="00067719">
        <w:t>2</w:t>
      </w:r>
      <w:r w:rsidR="0019065F" w:rsidRPr="00067719">
        <w:t>.a</w:t>
      </w:r>
      <w:r w:rsidR="00087940" w:rsidRPr="00067719">
        <w:t>.</w:t>
      </w:r>
      <w:r w:rsidR="00087940" w:rsidRPr="00067719">
        <w:tab/>
        <w:t xml:space="preserve"> Correlation with related quality measure</w:t>
      </w:r>
      <w:r w:rsidRPr="00067719">
        <w:t>s: To assess convergent validity, RTI examined whether a facility’s percentile rank on one quality measure in a measure group was correlated with its percentile rank on another quality measure in the same clinically-related group. Specifically, we examined whether a facility’s percentile rank on this measure (NQF</w:t>
      </w:r>
      <w:r w:rsidR="00087940" w:rsidRPr="00067719">
        <w:t xml:space="preserve"> #</w:t>
      </w:r>
      <w:r w:rsidRPr="00067719">
        <w:t>067</w:t>
      </w:r>
      <w:r w:rsidR="00141074" w:rsidRPr="00067719">
        <w:t>6</w:t>
      </w:r>
      <w:r w:rsidRPr="00067719">
        <w:t xml:space="preserve">) was correlated with that facility’s </w:t>
      </w:r>
      <w:r w:rsidR="00141074" w:rsidRPr="00067719">
        <w:t>performance on the related long</w:t>
      </w:r>
      <w:r w:rsidR="00087940" w:rsidRPr="00067719">
        <w:t>-stay pain quality measures</w:t>
      </w:r>
      <w:r w:rsidRPr="00067719">
        <w:t xml:space="preserve"> (NQF</w:t>
      </w:r>
      <w:r w:rsidR="00087940" w:rsidRPr="00067719">
        <w:t xml:space="preserve"> #</w:t>
      </w:r>
      <w:r w:rsidRPr="00067719">
        <w:t>06</w:t>
      </w:r>
      <w:r w:rsidR="00141074" w:rsidRPr="00067719">
        <w:t>77</w:t>
      </w:r>
      <w:r w:rsidRPr="00067719">
        <w:t>).</w:t>
      </w:r>
      <w:r w:rsidR="002E05E2" w:rsidRPr="00067719">
        <w:t xml:space="preserve">  </w:t>
      </w:r>
      <w:bookmarkStart w:id="18" w:name="_Hlk504642694"/>
      <w:r w:rsidR="002E05E2" w:rsidRPr="00067719">
        <w:t xml:space="preserve">We hypothesize that a nursing facility’s </w:t>
      </w:r>
      <w:r w:rsidR="00D12982" w:rsidRPr="00067719">
        <w:t>percentile rank</w:t>
      </w:r>
      <w:r w:rsidR="002E05E2" w:rsidRPr="00067719">
        <w:t xml:space="preserve"> on </w:t>
      </w:r>
      <w:r w:rsidR="00D12982" w:rsidRPr="00067719">
        <w:t xml:space="preserve">NQF #0676 </w:t>
      </w:r>
      <w:r w:rsidR="002E05E2" w:rsidRPr="00067719">
        <w:t xml:space="preserve">and </w:t>
      </w:r>
      <w:r w:rsidR="00D12982" w:rsidRPr="00067719">
        <w:t>its percentile rank on NQF #0677</w:t>
      </w:r>
      <w:r w:rsidR="002E05E2" w:rsidRPr="00067719">
        <w:t xml:space="preserve"> should have a strong and positive correlation.  Although the short stay and long stay populations that a nursing facility serves likely have different levels of resident acuity, a nursing facility’s ability to manage resident pain should not vary substantially across these two populations.</w:t>
      </w:r>
      <w:bookmarkEnd w:id="18"/>
      <w:r w:rsidRPr="009A1374">
        <w:t xml:space="preserve"> </w:t>
      </w:r>
    </w:p>
    <w:p w14:paraId="70BB98A6" w14:textId="5049FFF6" w:rsidR="00AD04AF" w:rsidRDefault="0019065F" w:rsidP="00CA13BC">
      <w:pPr>
        <w:pStyle w:val="Response"/>
        <w:ind w:left="720" w:hanging="360"/>
      </w:pPr>
      <w:r>
        <w:t>2.b</w:t>
      </w:r>
      <w:r w:rsidR="00AD04AF" w:rsidRPr="009A1374">
        <w:t>.</w:t>
      </w:r>
      <w:r w:rsidR="00AD04AF" w:rsidRPr="009A1374">
        <w:tab/>
        <w:t xml:space="preserve">Seasonality: Another potential </w:t>
      </w:r>
      <w:r w:rsidR="00E41616">
        <w:t>threat to the validity of a quality measure is seasonal variation. If a quality measure</w:t>
      </w:r>
      <w:r w:rsidR="00AD04AF" w:rsidRPr="009A1374">
        <w:t xml:space="preserve"> score varies substantially from quarter</w:t>
      </w:r>
      <w:r w:rsidR="00AD04AF" w:rsidRPr="002713E6">
        <w:t xml:space="preserve"> to quarter in a consistent pattern over time corresponding to changes in seasons, it is possible that the validity of the measure is being compromised due to influences not wi</w:t>
      </w:r>
      <w:r w:rsidR="00AD04AF">
        <w:t xml:space="preserve">thin a nursing home’s control. </w:t>
      </w:r>
      <w:r w:rsidR="00AD04AF" w:rsidRPr="002713E6">
        <w:t xml:space="preserve">To address whether seasonal variation might play a </w:t>
      </w:r>
      <w:r w:rsidR="00AD04AF" w:rsidRPr="005F1873">
        <w:t>role, we examined the trend in the nati</w:t>
      </w:r>
      <w:r w:rsidR="00E41616">
        <w:t>onal mean and median for this quality measure</w:t>
      </w:r>
      <w:r w:rsidR="00AD04AF" w:rsidRPr="005F1873">
        <w:t xml:space="preserve"> score between </w:t>
      </w:r>
      <w:r w:rsidR="00AD04AF" w:rsidRPr="00E41616">
        <w:t>Quarter 1</w:t>
      </w:r>
      <w:r w:rsidR="00C826AF" w:rsidRPr="00E41616">
        <w:t>,</w:t>
      </w:r>
      <w:r w:rsidR="00AD04AF" w:rsidRPr="00E41616">
        <w:t xml:space="preserve"> 201</w:t>
      </w:r>
      <w:r w:rsidR="00A56D5E" w:rsidRPr="00E41616">
        <w:t>1</w:t>
      </w:r>
      <w:r w:rsidR="00AD04AF" w:rsidRPr="00E41616">
        <w:t xml:space="preserve"> and Quarter 2</w:t>
      </w:r>
      <w:r w:rsidR="00D07972">
        <w:t>,</w:t>
      </w:r>
      <w:r w:rsidR="00AD04AF" w:rsidRPr="00E41616">
        <w:t xml:space="preserve"> 2017.</w:t>
      </w:r>
      <w:r w:rsidR="00AD04AF" w:rsidRPr="002713E6">
        <w:t xml:space="preserve">  </w:t>
      </w:r>
    </w:p>
    <w:p w14:paraId="3C5BAEBB" w14:textId="1B77352E" w:rsidR="00D64FD4" w:rsidRDefault="00D64FD4" w:rsidP="00D64FD4">
      <w:pPr>
        <w:pStyle w:val="Response"/>
        <w:ind w:left="720" w:hanging="450"/>
      </w:pPr>
      <w:r>
        <w:rPr>
          <w:rFonts w:cstheme="minorBidi"/>
        </w:rPr>
        <w:t>2.c.</w:t>
      </w:r>
      <w:r>
        <w:rPr>
          <w:rFonts w:cstheme="minorBidi"/>
        </w:rPr>
        <w:tab/>
        <w:t>Stability</w:t>
      </w:r>
      <w:r>
        <w:t xml:space="preserve"> analysis: We examined the extent to which relative facility rank changed on this quality measure fr</w:t>
      </w:r>
      <w:r w:rsidRPr="005D3370">
        <w:t>om Quarter 1 to Quarter 2, 2017.</w:t>
      </w:r>
      <w:r>
        <w:t xml:space="preserve"> We did this in two ways: 1)</w:t>
      </w:r>
      <w:r w:rsidRPr="00526D7A">
        <w:t xml:space="preserve"> RTI evaluated the percentage of facilities </w:t>
      </w:r>
      <w:r>
        <w:t>that changed in terms of their standardized quality measure</w:t>
      </w:r>
      <w:r w:rsidRPr="00526D7A">
        <w:t xml:space="preserve"> s</w:t>
      </w:r>
      <w:r w:rsidR="00093B67">
        <w:t>core by less than 1</w:t>
      </w:r>
      <w:r>
        <w:t xml:space="preserve"> standard deviation, between 1 and 2 standard deviations, between 2 and </w:t>
      </w:r>
      <w:r w:rsidR="00093B67">
        <w:t>3 standard deviations, and 3</w:t>
      </w:r>
      <w:r>
        <w:t xml:space="preserve"> standard deviations or more from quarter to quarter; 2)</w:t>
      </w:r>
      <w:r w:rsidRPr="00895C86">
        <w:t xml:space="preserve"> </w:t>
      </w:r>
      <w:r w:rsidRPr="00526D7A">
        <w:t>RTI evaluated the percentage of facilities that changed in their percentile ranking (i.e., relative quality measure score) within 1 decile, between 1 and 2 deciles, between 2 and 3 de</w:t>
      </w:r>
      <w:r>
        <w:t>ciles, and 3 or more deciles.  Dramatic changes in the quality measure score or facility rank based on the score over time may indicate measure instability, rather than true changes in quality.</w:t>
      </w:r>
    </w:p>
    <w:p w14:paraId="41ED56AF" w14:textId="6BEC8732" w:rsidR="00D64FD4" w:rsidRDefault="00D64FD4" w:rsidP="008D3ECC">
      <w:pPr>
        <w:pStyle w:val="Response"/>
        <w:ind w:left="720" w:hanging="450"/>
      </w:pPr>
      <w:r>
        <w:t>2.d.</w:t>
      </w:r>
      <w:r>
        <w:tab/>
        <w:t xml:space="preserve">Confidence interval analysis: We examined proportions of facilities with scores for this measure that are significantly different from national facility-level mean, stratified by facility denominator size. A reliable measure should have a high proportion of facilities with scores significantly different than the mean. For this analysis, statistical significance was determined using 95% confidence intervals: a facility’s quality measure score was significantly different from the national mean if the national mean was not included in the facility’s 95% confidence interval. Because this measure is focusing on an undesirable outcome, high-performing facilities should have scores that are significantly below average, and scores of low-performing facilities should be significantly above average. We stratified the analysis by facility </w:t>
      </w:r>
      <w:r w:rsidRPr="005D3370">
        <w:t>denominator size to examine whether this feature</w:t>
      </w:r>
      <w:r w:rsidR="008D3ECC">
        <w:t xml:space="preserve"> of the measure varies by size.</w:t>
      </w:r>
    </w:p>
    <w:p w14:paraId="6C0B81CC" w14:textId="501CF79B" w:rsidR="006D4DA7" w:rsidRDefault="006D4DA7" w:rsidP="006D4DA7">
      <w:pPr>
        <w:pStyle w:val="Response"/>
        <w:ind w:left="720"/>
      </w:pPr>
      <w:r>
        <w:t xml:space="preserve">For additional analyses of performance measure score validity, please refer to Appendix </w:t>
      </w:r>
      <w:r w:rsidR="00AE6F00">
        <w:t>C</w:t>
      </w:r>
      <w:r>
        <w:t>, which contains analyses submitted to the NQF Scientific Methods Panel on March 30, 2018.</w:t>
      </w:r>
    </w:p>
    <w:p w14:paraId="6FA36B99" w14:textId="502E632D" w:rsidR="00AD04AF" w:rsidRPr="004803A1" w:rsidRDefault="004803A1" w:rsidP="004803A1">
      <w:pPr>
        <w:pStyle w:val="Response"/>
        <w:ind w:left="720" w:hanging="360"/>
        <w:rPr>
          <w:sz w:val="20"/>
          <w:szCs w:val="20"/>
        </w:rPr>
      </w:pPr>
      <w:r w:rsidRPr="00106D1F">
        <w:rPr>
          <w:sz w:val="20"/>
          <w:szCs w:val="20"/>
        </w:rPr>
        <w:t>Saliba, D., &amp; Buchanan, J. (2008, April).</w:t>
      </w:r>
      <w:r w:rsidRPr="00106D1F">
        <w:rPr>
          <w:i/>
          <w:sz w:val="20"/>
          <w:szCs w:val="20"/>
        </w:rPr>
        <w:t xml:space="preserve"> Development and validation of a revised nursing home assessment tool: MDS 3.0</w:t>
      </w:r>
      <w:r w:rsidRPr="00106D1F">
        <w:rPr>
          <w:sz w:val="20"/>
          <w:szCs w:val="20"/>
        </w:rPr>
        <w:t xml:space="preserve">. Contract No. 500-00-0027/Task Order #2. Santa Monica, CA: Rand Corporation. Retrieved from </w:t>
      </w:r>
      <w:hyperlink r:id="rId19" w:history="1">
        <w:r w:rsidRPr="00106D1F">
          <w:rPr>
            <w:rStyle w:val="Hyperlink"/>
            <w:sz w:val="20"/>
            <w:szCs w:val="20"/>
          </w:rPr>
          <w:t>http://www.cms.hhs.gov/NursingHomeQualityInits/Downloads/MDS30FinalReport.pdf</w:t>
        </w:r>
      </w:hyperlink>
      <w:r w:rsidRPr="00106D1F">
        <w:rPr>
          <w:sz w:val="20"/>
          <w:szCs w:val="20"/>
        </w:rPr>
        <w:t>.</w:t>
      </w:r>
    </w:p>
    <w:p w14:paraId="48865BAF" w14:textId="77777777" w:rsidR="00753FCC" w:rsidRPr="00753FCC" w:rsidRDefault="00753FCC" w:rsidP="00424F18">
      <w:pPr>
        <w:pStyle w:val="abluebold"/>
        <w:spacing w:before="240"/>
        <w:ind w:left="0"/>
        <w:rPr>
          <w:bCs/>
          <w:color w:val="auto"/>
        </w:rPr>
      </w:pPr>
      <w:r w:rsidRPr="00753FCC">
        <w:rPr>
          <w:bCs/>
          <w:color w:val="auto"/>
        </w:rPr>
        <w:t>2b1.3. What were the statistical results from validity testing?</w:t>
      </w:r>
      <w:r w:rsidRPr="00753FCC">
        <w:rPr>
          <w:b w:val="0"/>
          <w:bCs/>
          <w:color w:val="auto"/>
        </w:rPr>
        <w:t xml:space="preserve"> (</w:t>
      </w:r>
      <w:r w:rsidRPr="00753FCC">
        <w:rPr>
          <w:b w:val="0"/>
          <w:bCs/>
          <w:i/>
          <w:color w:val="auto"/>
        </w:rPr>
        <w:t>e.g., correlation; t-test</w:t>
      </w:r>
      <w:r w:rsidRPr="00753FCC">
        <w:rPr>
          <w:b w:val="0"/>
          <w:bCs/>
          <w:color w:val="auto"/>
        </w:rPr>
        <w:t>)</w:t>
      </w:r>
    </w:p>
    <w:p w14:paraId="5DF43DAB" w14:textId="5580233E" w:rsidR="00424F18" w:rsidRDefault="001618EB" w:rsidP="00424F18">
      <w:pPr>
        <w:pStyle w:val="abluebold"/>
        <w:spacing w:before="240"/>
        <w:ind w:left="0"/>
      </w:pPr>
      <w:r>
        <w:t>Critical Data Element Validity</w:t>
      </w:r>
    </w:p>
    <w:p w14:paraId="1178A8DA" w14:textId="77777777" w:rsidR="0097107E" w:rsidRPr="00A146C2" w:rsidRDefault="0097107E" w:rsidP="00747647">
      <w:pPr>
        <w:pStyle w:val="Response"/>
        <w:numPr>
          <w:ilvl w:val="0"/>
          <w:numId w:val="9"/>
        </w:numPr>
      </w:pPr>
      <w:r w:rsidRPr="00A146C2">
        <w:rPr>
          <w:rFonts w:eastAsiaTheme="minorHAnsi"/>
        </w:rPr>
        <w:t xml:space="preserve">The </w:t>
      </w:r>
      <w:r>
        <w:rPr>
          <w:rFonts w:eastAsiaTheme="minorHAnsi"/>
        </w:rPr>
        <w:t xml:space="preserve">RAND </w:t>
      </w:r>
      <w:r w:rsidRPr="00A146C2">
        <w:rPr>
          <w:rFonts w:eastAsiaTheme="minorHAnsi"/>
        </w:rPr>
        <w:t>national pilot test of the MDS 3.0 items co</w:t>
      </w:r>
      <w:r>
        <w:rPr>
          <w:rFonts w:eastAsiaTheme="minorHAnsi"/>
        </w:rPr>
        <w:t>nducted by Saliba and Buchanan indicated that the pain items are reliable and valid</w:t>
      </w:r>
      <w:r w:rsidRPr="00526D7A">
        <w:t xml:space="preserve">. For the pain items, the average kappa for gold-standard nurse to gold-standard nurse agreement was </w:t>
      </w:r>
      <w:r>
        <w:t>0</w:t>
      </w:r>
      <w:r w:rsidRPr="00526D7A">
        <w:t xml:space="preserve">.961, and the average kappa for gold-standard nurse to facility nurse agreement was </w:t>
      </w:r>
      <w:r>
        <w:t>0</w:t>
      </w:r>
      <w:r w:rsidRPr="00526D7A">
        <w:t>.967</w:t>
      </w:r>
      <w:r>
        <w:t xml:space="preserve">, both well above the value of </w:t>
      </w:r>
      <w:r w:rsidRPr="00526D7A">
        <w:t>0.</w:t>
      </w:r>
      <w:r>
        <w:t>6</w:t>
      </w:r>
      <w:r w:rsidRPr="00526D7A">
        <w:t>0</w:t>
      </w:r>
      <w:r>
        <w:t>, which</w:t>
      </w:r>
      <w:r w:rsidRPr="00526D7A">
        <w:t xml:space="preserve"> is</w:t>
      </w:r>
      <w:r>
        <w:t xml:space="preserve"> generally</w:t>
      </w:r>
      <w:r w:rsidRPr="00526D7A">
        <w:t xml:space="preserve"> considered substantial agreement.</w:t>
      </w:r>
    </w:p>
    <w:p w14:paraId="1C175799" w14:textId="2E5F5306" w:rsidR="00784D1E" w:rsidRPr="00784D1E" w:rsidRDefault="00784D1E" w:rsidP="00784D1E">
      <w:pPr>
        <w:autoSpaceDE w:val="0"/>
        <w:autoSpaceDN w:val="0"/>
        <w:adjustRightInd w:val="0"/>
        <w:spacing w:before="240" w:after="240" w:line="240" w:lineRule="auto"/>
        <w:rPr>
          <w:rFonts w:cstheme="minorHAnsi"/>
          <w:b/>
          <w:bCs/>
          <w:color w:val="0000FF"/>
        </w:rPr>
      </w:pPr>
      <w:r w:rsidRPr="00784D1E">
        <w:rPr>
          <w:rFonts w:cstheme="minorHAnsi"/>
          <w:b/>
          <w:bCs/>
          <w:color w:val="0000FF"/>
        </w:rPr>
        <w:t>Performance Measure Score</w:t>
      </w:r>
      <w:r w:rsidR="001618EB">
        <w:rPr>
          <w:rFonts w:cstheme="minorHAnsi"/>
          <w:b/>
          <w:bCs/>
          <w:color w:val="0000FF"/>
        </w:rPr>
        <w:t xml:space="preserve"> Validity</w:t>
      </w:r>
    </w:p>
    <w:p w14:paraId="4D2C4B93" w14:textId="68BDAFC2" w:rsidR="00DC5EB2" w:rsidRDefault="00DC5EB2" w:rsidP="00DC5EB2">
      <w:pPr>
        <w:pStyle w:val="Response"/>
        <w:ind w:left="720" w:hanging="360"/>
      </w:pPr>
      <w:r>
        <w:t>2.a.</w:t>
      </w:r>
      <w:r>
        <w:tab/>
        <w:t xml:space="preserve"> Correlation with related quality measures: </w:t>
      </w:r>
      <w:r w:rsidRPr="00683A3D">
        <w:t>Among facilities who could report both</w:t>
      </w:r>
      <w:r>
        <w:t xml:space="preserve"> </w:t>
      </w:r>
      <w:r w:rsidRPr="00683A3D">
        <w:t xml:space="preserve">measures, RTI calculated the correlation between the facility’s percentile rank on NQF #0676 (Percent of </w:t>
      </w:r>
      <w:r w:rsidRPr="00E2503B">
        <w:t>Residents Who Self-Report Moderate to Severe Pain (</w:t>
      </w:r>
      <w:r>
        <w:t>Short S</w:t>
      </w:r>
      <w:r w:rsidRPr="00E2503B">
        <w:t>tay)) and the facility’s percentile rank on NQF #0677 (Percent of Residents Who Self-R</w:t>
      </w:r>
      <w:r>
        <w:t>eport Moderate to Severe Pain (Long S</w:t>
      </w:r>
      <w:r w:rsidRPr="00E2503B">
        <w:t>tay)) and found a strong (</w:t>
      </w:r>
      <m:oMath>
        <m:r>
          <w:rPr>
            <w:rFonts w:ascii="Cambria Math" w:hAnsi="Cambria Math"/>
          </w:rPr>
          <m:t>ρ</m:t>
        </m:r>
      </m:oMath>
      <w:r w:rsidRPr="007E7668">
        <w:t xml:space="preserve"> = 0.65</w:t>
      </w:r>
      <w:r w:rsidR="00976D1B">
        <w:t>5</w:t>
      </w:r>
      <w:r w:rsidR="00D07972">
        <w:t>)</w:t>
      </w:r>
      <w:r w:rsidRPr="00E2503B">
        <w:t xml:space="preserve"> and statistically significant (</w:t>
      </w:r>
      <w:r w:rsidRPr="007E7668">
        <w:t>p &lt; 0.001</w:t>
      </w:r>
      <w:r w:rsidRPr="00E2503B">
        <w:t xml:space="preserve">) </w:t>
      </w:r>
      <w:r w:rsidRPr="005D7DCC">
        <w:t>direct correlation.</w:t>
      </w:r>
      <w:r w:rsidRPr="00683A3D">
        <w:t xml:space="preserve">   </w:t>
      </w:r>
    </w:p>
    <w:p w14:paraId="4220A348" w14:textId="65025BCE" w:rsidR="00C15333" w:rsidRPr="00A146C2" w:rsidRDefault="00C15333" w:rsidP="000662A8">
      <w:pPr>
        <w:pStyle w:val="Response"/>
        <w:ind w:left="720"/>
      </w:pPr>
      <w:r w:rsidRPr="002A23FE">
        <w:rPr>
          <w:bCs w:val="0"/>
          <w:sz w:val="20"/>
          <w:szCs w:val="20"/>
        </w:rPr>
        <w:t>SOURCE: RTI analysis of Q2 2017 MDS 3.</w:t>
      </w:r>
      <w:r w:rsidRPr="00F65D2B">
        <w:rPr>
          <w:bCs w:val="0"/>
          <w:sz w:val="20"/>
          <w:szCs w:val="20"/>
        </w:rPr>
        <w:t xml:space="preserve">0 data (programming reference: </w:t>
      </w:r>
      <w:r>
        <w:rPr>
          <w:bCs w:val="0"/>
          <w:sz w:val="20"/>
          <w:szCs w:val="20"/>
        </w:rPr>
        <w:t>rn06\ac359_request</w:t>
      </w:r>
      <w:r w:rsidRPr="002A23FE">
        <w:rPr>
          <w:bCs w:val="0"/>
          <w:sz w:val="20"/>
          <w:szCs w:val="20"/>
        </w:rPr>
        <w:t xml:space="preserve"> </w:t>
      </w:r>
      <w:r>
        <w:rPr>
          <w:bCs w:val="0"/>
          <w:sz w:val="20"/>
          <w:szCs w:val="20"/>
        </w:rPr>
        <w:t>q2627_</w:t>
      </w:r>
      <w:r w:rsidRPr="002A23FE">
        <w:rPr>
          <w:bCs w:val="0"/>
          <w:sz w:val="20"/>
          <w:szCs w:val="20"/>
        </w:rPr>
        <w:t>677.log)</w:t>
      </w:r>
    </w:p>
    <w:p w14:paraId="375C148E" w14:textId="41091A53" w:rsidR="00DC5EB2" w:rsidRDefault="00DC5EB2" w:rsidP="00DC5EB2">
      <w:pPr>
        <w:pStyle w:val="Response"/>
        <w:ind w:left="720" w:hanging="360"/>
      </w:pPr>
      <w:r>
        <w:t>2.b.</w:t>
      </w:r>
      <w:r>
        <w:tab/>
        <w:t xml:space="preserve">Seasonality: </w:t>
      </w:r>
      <w:r w:rsidRPr="000B2255">
        <w:t>RTI examined the national-level mean and</w:t>
      </w:r>
      <w:r>
        <w:t xml:space="preserve"> median quality measure</w:t>
      </w:r>
      <w:r w:rsidRPr="000B2255">
        <w:t xml:space="preserve"> scores for each quarter from </w:t>
      </w:r>
      <w:r w:rsidRPr="00BF341C">
        <w:t xml:space="preserve">Quarter 1, 2011, to </w:t>
      </w:r>
      <w:r>
        <w:t xml:space="preserve">Quarter 2, 2017. </w:t>
      </w:r>
      <w:r w:rsidRPr="00952D3A">
        <w:t xml:space="preserve">The results are presented in </w:t>
      </w:r>
      <w:r w:rsidRPr="00952D3A">
        <w:rPr>
          <w:b/>
          <w:i/>
        </w:rPr>
        <w:t xml:space="preserve">Figure </w:t>
      </w:r>
      <w:r w:rsidR="00CC15C0">
        <w:rPr>
          <w:b/>
          <w:i/>
        </w:rPr>
        <w:t>1</w:t>
      </w:r>
      <w:r w:rsidRPr="00952D3A">
        <w:t>.</w:t>
      </w:r>
      <w:r>
        <w:rPr>
          <w:rFonts w:ascii="TimesNewRomanPSMT" w:hAnsi="TimesNewRomanPSMT" w:cs="TimesNewRomanPSMT"/>
        </w:rPr>
        <w:t xml:space="preserve"> </w:t>
      </w:r>
      <w:r w:rsidRPr="006E675F">
        <w:t xml:space="preserve">The national-level </w:t>
      </w:r>
      <w:proofErr w:type="gramStart"/>
      <w:r w:rsidRPr="006E675F">
        <w:t>mean</w:t>
      </w:r>
      <w:r>
        <w:t>s</w:t>
      </w:r>
      <w:proofErr w:type="gramEnd"/>
      <w:r w:rsidRPr="006E675F">
        <w:t xml:space="preserve"> </w:t>
      </w:r>
      <w:r>
        <w:t xml:space="preserve">and medians have both decreased almost monotonically </w:t>
      </w:r>
      <w:r w:rsidRPr="00E2503B">
        <w:t xml:space="preserve">since </w:t>
      </w:r>
      <w:r w:rsidRPr="007E7668">
        <w:t>Quarter 1 of 2011</w:t>
      </w:r>
      <w:r>
        <w:t>. These results show no evidence of seasonal variation. Further, this also indicates that facilities may have improved in pain management over this period.</w:t>
      </w:r>
    </w:p>
    <w:p w14:paraId="368D8960" w14:textId="3A523718" w:rsidR="00784D1E" w:rsidRPr="0015479C" w:rsidRDefault="00784D1E" w:rsidP="00784D1E">
      <w:pPr>
        <w:pStyle w:val="Response"/>
        <w:keepNext/>
        <w:jc w:val="center"/>
        <w:rPr>
          <w:b/>
        </w:rPr>
      </w:pPr>
      <w:r w:rsidRPr="0015479C">
        <w:rPr>
          <w:b/>
        </w:rPr>
        <w:t xml:space="preserve">Figure </w:t>
      </w:r>
      <w:r w:rsidR="00CC15C0">
        <w:rPr>
          <w:b/>
        </w:rPr>
        <w:t>1</w:t>
      </w:r>
      <w:r w:rsidRPr="0015479C">
        <w:rPr>
          <w:b/>
        </w:rPr>
        <w:br/>
        <w:t>Seasonal (</w:t>
      </w:r>
      <w:r w:rsidR="0097107E">
        <w:rPr>
          <w:b/>
        </w:rPr>
        <w:t>Q</w:t>
      </w:r>
      <w:r w:rsidRPr="0015479C">
        <w:rPr>
          <w:b/>
        </w:rPr>
        <w:t xml:space="preserve">uarterly) </w:t>
      </w:r>
      <w:r w:rsidR="0097107E">
        <w:rPr>
          <w:b/>
        </w:rPr>
        <w:t>V</w:t>
      </w:r>
      <w:r w:rsidR="00262582">
        <w:rPr>
          <w:b/>
        </w:rPr>
        <w:t>ariation, NQF</w:t>
      </w:r>
      <w:r w:rsidRPr="0015479C">
        <w:rPr>
          <w:b/>
        </w:rPr>
        <w:t xml:space="preserve"> #0676 Percent of Residents Who Self-Report Moderate to Severe Pain (Short Stay)</w:t>
      </w:r>
    </w:p>
    <w:p w14:paraId="6EDBEEE8" w14:textId="77777777" w:rsidR="00784D1E" w:rsidRDefault="00784D1E" w:rsidP="00784D1E">
      <w:pPr>
        <w:pStyle w:val="Response"/>
        <w:keepNext/>
        <w:jc w:val="center"/>
      </w:pPr>
    </w:p>
    <w:p w14:paraId="06691B9E" w14:textId="77777777" w:rsidR="00784D1E" w:rsidRDefault="00784D1E" w:rsidP="00784D1E">
      <w:pPr>
        <w:pStyle w:val="Response"/>
        <w:keepNext/>
        <w:jc w:val="center"/>
      </w:pPr>
      <w:r>
        <w:rPr>
          <w:rFonts w:cstheme="minorBidi"/>
          <w:bCs w:val="0"/>
          <w:noProof/>
          <w:color w:val="auto"/>
          <w:sz w:val="16"/>
          <w:szCs w:val="16"/>
        </w:rPr>
        <w:drawing>
          <wp:inline distT="0" distB="0" distL="0" distR="0" wp14:anchorId="23D57927" wp14:editId="4F95965F">
            <wp:extent cx="6436426" cy="3200400"/>
            <wp:effectExtent l="0" t="0" r="254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37A5A9A5" w14:textId="77777777" w:rsidR="0015479C" w:rsidRPr="0015479C" w:rsidRDefault="0015479C" w:rsidP="0015479C">
      <w:pPr>
        <w:pStyle w:val="Response"/>
        <w:rPr>
          <w:sz w:val="20"/>
        </w:rPr>
      </w:pPr>
      <w:r w:rsidRPr="0015479C">
        <w:rPr>
          <w:sz w:val="20"/>
        </w:rPr>
        <w:t xml:space="preserve">SOURCE: RTI analysis of MDS </w:t>
      </w:r>
      <w:proofErr w:type="gramStart"/>
      <w:r w:rsidRPr="0015479C">
        <w:rPr>
          <w:sz w:val="20"/>
        </w:rPr>
        <w:t>3.0 episode</w:t>
      </w:r>
      <w:proofErr w:type="gramEnd"/>
      <w:r w:rsidRPr="0015479C">
        <w:rPr>
          <w:sz w:val="20"/>
        </w:rPr>
        <w:t xml:space="preserve"> files for Quarter 1, 2011–Quarter 2, 2017 </w:t>
      </w:r>
    </w:p>
    <w:p w14:paraId="7B581C97" w14:textId="21ADF7BD" w:rsidR="00D64FD4" w:rsidRDefault="00D64FD4" w:rsidP="00D64FD4">
      <w:pPr>
        <w:pStyle w:val="Response"/>
        <w:ind w:left="720" w:hanging="720"/>
      </w:pPr>
      <w:r>
        <w:rPr>
          <w:rFonts w:cstheme="minorBidi"/>
        </w:rPr>
        <w:t>2.c</w:t>
      </w:r>
      <w:r w:rsidRPr="00B20972">
        <w:rPr>
          <w:rFonts w:cstheme="minorBidi"/>
        </w:rPr>
        <w:t>.</w:t>
      </w:r>
      <w:r w:rsidRPr="00B20972">
        <w:rPr>
          <w:rFonts w:cstheme="minorBidi"/>
        </w:rPr>
        <w:tab/>
        <w:t>Stability</w:t>
      </w:r>
      <w:r w:rsidRPr="00B20972">
        <w:t xml:space="preserve"> analysis: </w:t>
      </w:r>
      <w:r w:rsidR="00CC15C0">
        <w:rPr>
          <w:b/>
          <w:i/>
        </w:rPr>
        <w:t>Figure 2</w:t>
      </w:r>
      <w:r w:rsidRPr="00B20972">
        <w:t xml:space="preserve"> illustrates th</w:t>
      </w:r>
      <w:r>
        <w:t>e changes in facility rank by quality measure</w:t>
      </w:r>
      <w:r w:rsidRPr="00B20972">
        <w:t xml:space="preserve"> score from Quarter 1, 2017</w:t>
      </w:r>
      <w:r>
        <w:t>,</w:t>
      </w:r>
      <w:r w:rsidRPr="00B20972">
        <w:t xml:space="preserve"> to Quarter 2, 2017. The majority (71.6%) of facilities ranked within </w:t>
      </w:r>
      <w:r>
        <w:t xml:space="preserve">the </w:t>
      </w:r>
      <w:r w:rsidRPr="00B20972">
        <w:t xml:space="preserve">same decile in both quarters. Shifts of more than 3 deciles were much less common, occurring for approximately 4.1% of facilities. </w:t>
      </w:r>
      <w:r w:rsidR="00CC15C0">
        <w:rPr>
          <w:b/>
          <w:i/>
        </w:rPr>
        <w:t>Figure 3</w:t>
      </w:r>
      <w:r w:rsidRPr="00B20972">
        <w:t xml:space="preserve"> illustrates change in facility-level scores relative to the overall distribution of scores. Standardized scores for this measure showed similar stability: 75.4% of facilities saw their scores change by less than one standard deviation (</w:t>
      </w:r>
      <w:r>
        <w:t xml:space="preserve">i.e., </w:t>
      </w:r>
      <w:r w:rsidRPr="00B20972">
        <w:t xml:space="preserve">the </w:t>
      </w:r>
      <w:r w:rsidRPr="00B20972">
        <w:rPr>
          <w:i/>
        </w:rPr>
        <w:t>z</w:t>
      </w:r>
      <w:r w:rsidRPr="00B20972">
        <w:t>-score changed by one or less), and only 1.3% of facilities had score changes of more than three standard deviations from one quarter to the next. Thus, both facility scores and relative ranks for this measure are stable from one quarter to the next.</w:t>
      </w:r>
    </w:p>
    <w:p w14:paraId="7E4DC377" w14:textId="77777777" w:rsidR="00D64FD4" w:rsidRDefault="00D64FD4" w:rsidP="00D64FD4">
      <w:pPr>
        <w:pStyle w:val="abluebold"/>
        <w:spacing w:before="240"/>
        <w:ind w:left="0"/>
      </w:pPr>
    </w:p>
    <w:p w14:paraId="08509AC1" w14:textId="2B896CF2" w:rsidR="00D64FD4" w:rsidRPr="00A620F7" w:rsidRDefault="00CC15C0" w:rsidP="00D64FD4">
      <w:pPr>
        <w:pStyle w:val="Response"/>
        <w:keepNext/>
        <w:jc w:val="center"/>
        <w:rPr>
          <w:rFonts w:eastAsia="Calibri"/>
          <w:b/>
        </w:rPr>
      </w:pPr>
      <w:r>
        <w:rPr>
          <w:rFonts w:eastAsia="Calibri"/>
          <w:b/>
        </w:rPr>
        <w:t>Figure 2</w:t>
      </w:r>
      <w:r w:rsidR="00D64FD4" w:rsidRPr="00A620F7">
        <w:rPr>
          <w:rFonts w:eastAsia="Calibri"/>
          <w:b/>
        </w:rPr>
        <w:br/>
      </w:r>
      <w:r w:rsidR="00D64FD4" w:rsidRPr="00E63453">
        <w:rPr>
          <w:b/>
        </w:rPr>
        <w:t xml:space="preserve">Decile Change in </w:t>
      </w:r>
      <w:r w:rsidR="00D64FD4">
        <w:rPr>
          <w:b/>
        </w:rPr>
        <w:t>Facility Ranking</w:t>
      </w:r>
      <w:r w:rsidR="00D64FD4" w:rsidRPr="00E63453">
        <w:rPr>
          <w:b/>
        </w:rPr>
        <w:t xml:space="preserve"> from Quarter 1, 201</w:t>
      </w:r>
      <w:r w:rsidR="00D64FD4">
        <w:rPr>
          <w:b/>
        </w:rPr>
        <w:t>7, to Quarter 2, 2017, NQF #0676</w:t>
      </w:r>
      <w:r w:rsidR="00D64FD4" w:rsidRPr="00E63453">
        <w:rPr>
          <w:b/>
        </w:rPr>
        <w:t xml:space="preserve"> Percent of Residents Who Self-Report Moderate to Severe Pain (Short Stay)</w:t>
      </w:r>
    </w:p>
    <w:p w14:paraId="174D8E98" w14:textId="77777777" w:rsidR="00D64FD4" w:rsidRPr="005E0AB6" w:rsidRDefault="00D64FD4" w:rsidP="00D64FD4">
      <w:pPr>
        <w:keepLines/>
        <w:spacing w:before="120" w:after="240"/>
        <w:jc w:val="center"/>
        <w:rPr>
          <w:sz w:val="20"/>
        </w:rPr>
      </w:pPr>
      <w:r>
        <w:rPr>
          <w:noProof/>
          <w:sz w:val="20"/>
        </w:rPr>
        <w:drawing>
          <wp:inline distT="0" distB="0" distL="0" distR="0" wp14:anchorId="01E48D44" wp14:editId="380C0BDF">
            <wp:extent cx="5486400" cy="3200400"/>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156424B4" w14:textId="77777777" w:rsidR="00D64FD4" w:rsidRPr="00E61608" w:rsidRDefault="00D64FD4" w:rsidP="00D64FD4">
      <w:pPr>
        <w:pStyle w:val="Response"/>
        <w:rPr>
          <w:sz w:val="20"/>
        </w:rPr>
      </w:pPr>
      <w:r w:rsidRPr="00E61608">
        <w:rPr>
          <w:sz w:val="20"/>
        </w:rPr>
        <w:t>Analysis date: 11/15/2017</w:t>
      </w:r>
    </w:p>
    <w:p w14:paraId="3DE0CBCE" w14:textId="3BF082E3" w:rsidR="00D64FD4" w:rsidRPr="00E61608" w:rsidRDefault="00D64FD4" w:rsidP="00D64FD4">
      <w:pPr>
        <w:pStyle w:val="Response"/>
        <w:rPr>
          <w:rFonts w:eastAsia="Calibri"/>
          <w:sz w:val="20"/>
        </w:rPr>
      </w:pPr>
      <w:r w:rsidRPr="00E61608">
        <w:rPr>
          <w:rFonts w:eastAsia="Calibri"/>
          <w:sz w:val="20"/>
        </w:rPr>
        <w:t xml:space="preserve">SOURCE: RTI analysis of </w:t>
      </w:r>
      <w:r w:rsidR="001D4EB8">
        <w:rPr>
          <w:rFonts w:eastAsia="Calibri"/>
          <w:sz w:val="20"/>
        </w:rPr>
        <w:t xml:space="preserve">Q1 and </w:t>
      </w:r>
      <w:r w:rsidRPr="00E61608">
        <w:rPr>
          <w:rFonts w:eastAsia="Calibri"/>
          <w:sz w:val="20"/>
        </w:rPr>
        <w:t>Q2 2017MDS 3.0 data (programming reference: rn01/</w:t>
      </w:r>
      <w:r w:rsidRPr="00E61608">
        <w:rPr>
          <w:sz w:val="20"/>
        </w:rPr>
        <w:t>db358_request_q2627_676.log</w:t>
      </w:r>
      <w:r w:rsidRPr="00E61608">
        <w:rPr>
          <w:rFonts w:eastAsia="Calibri"/>
          <w:sz w:val="20"/>
        </w:rPr>
        <w:t>)</w:t>
      </w:r>
    </w:p>
    <w:p w14:paraId="73F78370" w14:textId="5326FF45" w:rsidR="00D64FD4" w:rsidRPr="00E63453" w:rsidRDefault="00CC15C0" w:rsidP="00D64FD4">
      <w:pPr>
        <w:pStyle w:val="FigureTitle"/>
      </w:pPr>
      <w:r>
        <w:rPr>
          <w:rFonts w:eastAsia="Calibri"/>
        </w:rPr>
        <w:t>Figure 3</w:t>
      </w:r>
      <w:r w:rsidR="00D64FD4" w:rsidRPr="00A620F7">
        <w:rPr>
          <w:rFonts w:eastAsia="Calibri"/>
          <w:b w:val="0"/>
        </w:rPr>
        <w:br/>
      </w:r>
      <w:r w:rsidR="00D64FD4">
        <w:t xml:space="preserve">Standardized Score Change </w:t>
      </w:r>
      <w:r w:rsidR="00D64FD4" w:rsidRPr="005D3370">
        <w:t>from Quarter 1, 2017, to Quarter 2, 2017</w:t>
      </w:r>
      <w:r w:rsidR="00D64FD4">
        <w:t>, NQF #0676</w:t>
      </w:r>
      <w:r w:rsidR="00D64FD4" w:rsidRPr="00DC455F">
        <w:t xml:space="preserve"> Percent of Residents Who Self-Repo</w:t>
      </w:r>
      <w:r w:rsidR="00D64FD4">
        <w:t>rt Moderate to Severe Pain (Short</w:t>
      </w:r>
      <w:r w:rsidR="00D64FD4" w:rsidRPr="00DC455F">
        <w:t xml:space="preserve"> Stay)</w:t>
      </w:r>
    </w:p>
    <w:p w14:paraId="797A4536" w14:textId="77777777" w:rsidR="00D64FD4" w:rsidRPr="00841E5E" w:rsidRDefault="00D64FD4" w:rsidP="00D64FD4">
      <w:pPr>
        <w:pStyle w:val="Response"/>
        <w:keepNext/>
        <w:jc w:val="center"/>
        <w:rPr>
          <w:rFonts w:eastAsia="Calibri"/>
        </w:rPr>
      </w:pPr>
      <w:r>
        <w:rPr>
          <w:rFonts w:eastAsia="Calibri"/>
          <w:noProof/>
        </w:rPr>
        <w:drawing>
          <wp:inline distT="0" distB="0" distL="0" distR="0" wp14:anchorId="41303D42" wp14:editId="72AAF63F">
            <wp:extent cx="5486400" cy="3200400"/>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62BE2D9D" w14:textId="77777777" w:rsidR="00D64FD4" w:rsidRPr="00E61608" w:rsidRDefault="00D64FD4" w:rsidP="00D64FD4">
      <w:pPr>
        <w:pStyle w:val="Response"/>
        <w:rPr>
          <w:sz w:val="20"/>
        </w:rPr>
      </w:pPr>
      <w:r w:rsidRPr="00E61608">
        <w:rPr>
          <w:sz w:val="20"/>
        </w:rPr>
        <w:t>Analysis date: 11/15/2017</w:t>
      </w:r>
    </w:p>
    <w:p w14:paraId="34E8C9C3" w14:textId="3A0FD2D1" w:rsidR="00D64FD4" w:rsidRPr="00E61608" w:rsidRDefault="00D64FD4" w:rsidP="00D64FD4">
      <w:pPr>
        <w:pStyle w:val="Response"/>
        <w:rPr>
          <w:rFonts w:eastAsia="Calibri"/>
          <w:sz w:val="20"/>
        </w:rPr>
      </w:pPr>
      <w:r w:rsidRPr="00E61608">
        <w:rPr>
          <w:rFonts w:eastAsia="Calibri"/>
          <w:sz w:val="20"/>
        </w:rPr>
        <w:t xml:space="preserve">SOURCE: RTI analysis of </w:t>
      </w:r>
      <w:r w:rsidR="001D4EB8">
        <w:rPr>
          <w:rFonts w:eastAsia="Calibri"/>
          <w:sz w:val="20"/>
        </w:rPr>
        <w:t>Q1 and Q2 2017</w:t>
      </w:r>
      <w:bookmarkStart w:id="19" w:name="_GoBack"/>
      <w:bookmarkEnd w:id="19"/>
      <w:r w:rsidRPr="00E61608">
        <w:rPr>
          <w:rFonts w:eastAsia="Calibri"/>
          <w:sz w:val="20"/>
        </w:rPr>
        <w:t xml:space="preserve"> MDS 3</w:t>
      </w:r>
      <w:r>
        <w:rPr>
          <w:rFonts w:eastAsia="Calibri"/>
          <w:sz w:val="20"/>
        </w:rPr>
        <w:t xml:space="preserve">.0 data (programming reference: </w:t>
      </w:r>
      <w:r w:rsidRPr="00E61608">
        <w:rPr>
          <w:rFonts w:eastAsia="Calibri"/>
          <w:sz w:val="20"/>
        </w:rPr>
        <w:t>rn01/</w:t>
      </w:r>
      <w:r w:rsidRPr="00E61608">
        <w:rPr>
          <w:sz w:val="20"/>
        </w:rPr>
        <w:t>db355_request_q2627_676.log</w:t>
      </w:r>
      <w:r w:rsidRPr="00E61608">
        <w:rPr>
          <w:rFonts w:eastAsia="Calibri"/>
          <w:sz w:val="20"/>
        </w:rPr>
        <w:t>)</w:t>
      </w:r>
    </w:p>
    <w:p w14:paraId="6190FCA1" w14:textId="6645BAB2" w:rsidR="00D64FD4" w:rsidRDefault="00D64FD4" w:rsidP="00D64FD4">
      <w:pPr>
        <w:pStyle w:val="Response"/>
        <w:ind w:left="720"/>
      </w:pPr>
      <w:r>
        <w:t xml:space="preserve">2.d. Confidence interval analysis:  Another measure of consistency is performance relative to the mean: high-performing facilities should have scores that are significantly below-average, and low-performing facilities should be significantly above-average. </w:t>
      </w:r>
      <w:r>
        <w:rPr>
          <w:b/>
          <w:bCs w:val="0"/>
          <w:i/>
          <w:iCs/>
        </w:rPr>
        <w:t xml:space="preserve">Table 2 </w:t>
      </w:r>
      <w:r>
        <w:t>shows the proportions of facilities that scored significantly higher or lower than the national facility-level mean in Quarter 2, 2017. For this analysis, statistical significance was determined using 95% confidence intervals: a facility’s quality measure score was statistically significantly different from the national mean if the national mean was not within that facility’s 95% confidence interval. This analysis was also stratified by decile of facility size.</w:t>
      </w:r>
    </w:p>
    <w:p w14:paraId="12388E93" w14:textId="77777777" w:rsidR="00D64FD4" w:rsidRDefault="00D64FD4" w:rsidP="00D64FD4">
      <w:pPr>
        <w:pStyle w:val="Response"/>
        <w:ind w:left="720"/>
      </w:pPr>
      <w:r w:rsidRPr="006923DE">
        <w:t>In general, there were fewer facilities with quality measure scores that were statistically significantly (</w:t>
      </w:r>
      <w:r w:rsidRPr="006923DE">
        <w:rPr>
          <w:i/>
        </w:rPr>
        <w:t>p</w:t>
      </w:r>
      <w:r w:rsidRPr="006923DE">
        <w:t xml:space="preserve"> ≤ .05) higher than the national mean of 12.7% (16.3%), than with scores that were statistically significantly lower than the national mean (35.4%), indicating</w:t>
      </w:r>
      <w:r w:rsidRPr="00BD628D">
        <w:t xml:space="preserve"> that more facilities perform better </w:t>
      </w:r>
      <w:r w:rsidRPr="002A23FE">
        <w:t xml:space="preserve">(lower scores are better) </w:t>
      </w:r>
      <w:r w:rsidRPr="00BD628D">
        <w:t>than the national facility-level mean.</w:t>
      </w:r>
      <w:r>
        <w:t xml:space="preserve"> </w:t>
      </w:r>
    </w:p>
    <w:p w14:paraId="1EC247F7" w14:textId="77777777" w:rsidR="00D64FD4" w:rsidRDefault="00D64FD4" w:rsidP="00D64FD4">
      <w:pPr>
        <w:pStyle w:val="Response"/>
        <w:ind w:left="720"/>
      </w:pPr>
      <w:r>
        <w:t>The proportions of facilities with scores that are significantly different from the national mean vary as a function of the number of residents incl</w:t>
      </w:r>
      <w:r w:rsidRPr="009A1374">
        <w:t>uded in the denominator for this measure; the percentage of facilities which have scores that are statistically significantly different from the mean increase with the number of residents. Increases</w:t>
      </w:r>
      <w:r>
        <w:t xml:space="preserve"> in the facility-level sample size lead to reductions in the standard error of facility-level scores. Thus, it appears that changes in the reliability of this measure for the larger facilities are due to the greater statistical reliability that accompanies increased sample size. </w:t>
      </w:r>
    </w:p>
    <w:p w14:paraId="1E4F88CD" w14:textId="77777777" w:rsidR="00D64FD4" w:rsidRPr="00E61608" w:rsidRDefault="00D64FD4" w:rsidP="00D64FD4">
      <w:pPr>
        <w:pStyle w:val="areplyblue"/>
        <w:ind w:left="720"/>
      </w:pPr>
      <w:r w:rsidRPr="00B20972">
        <w:t>Overall, over half (51.8%) of facilities were significantly different from the national mean in Quarter 2, 2017, indicating that there are meaningful differences in facility-level scores for this measure.</w:t>
      </w:r>
    </w:p>
    <w:p w14:paraId="6C3FF18B" w14:textId="77777777" w:rsidR="00D64FD4" w:rsidRPr="004524FF" w:rsidRDefault="00D64FD4" w:rsidP="00D64FD4">
      <w:pPr>
        <w:pStyle w:val="Response"/>
        <w:keepNext/>
        <w:jc w:val="center"/>
        <w:rPr>
          <w:b/>
        </w:rPr>
      </w:pPr>
      <w:r w:rsidRPr="004524FF">
        <w:rPr>
          <w:b/>
        </w:rPr>
        <w:t>Table 2</w:t>
      </w:r>
      <w:r w:rsidRPr="004524FF">
        <w:rPr>
          <w:b/>
        </w:rPr>
        <w:br/>
      </w:r>
      <w:r w:rsidRPr="00485104">
        <w:rPr>
          <w:b/>
        </w:rPr>
        <w:t>Proportion of Facilities with Scores Significantly Different from the National Facility-Level Mean, Stratified by Facilit</w:t>
      </w:r>
      <w:r>
        <w:rPr>
          <w:b/>
        </w:rPr>
        <w:t>y Denominator Size for NQF #0676</w:t>
      </w:r>
      <w:r w:rsidRPr="00485104">
        <w:rPr>
          <w:b/>
        </w:rPr>
        <w:t xml:space="preserve"> Percent of Residents Who Self-Repo</w:t>
      </w:r>
      <w:r>
        <w:rPr>
          <w:b/>
        </w:rPr>
        <w:t>rt Moderate to Severe Pain (Short</w:t>
      </w:r>
      <w:r w:rsidRPr="00485104">
        <w:rPr>
          <w:b/>
        </w:rPr>
        <w:t xml:space="preserve"> Stay)</w:t>
      </w:r>
    </w:p>
    <w:tbl>
      <w:tblPr>
        <w:tblStyle w:val="CMSTable"/>
        <w:tblW w:w="5000" w:type="pct"/>
        <w:tblLook w:val="01E0" w:firstRow="1" w:lastRow="1" w:firstColumn="1" w:lastColumn="1" w:noHBand="0" w:noVBand="0"/>
      </w:tblPr>
      <w:tblGrid>
        <w:gridCol w:w="2431"/>
        <w:gridCol w:w="964"/>
        <w:gridCol w:w="2005"/>
        <w:gridCol w:w="1979"/>
        <w:gridCol w:w="1981"/>
      </w:tblGrid>
      <w:tr w:rsidR="00D64FD4" w:rsidRPr="005D15DC" w14:paraId="3CBE1952" w14:textId="77777777" w:rsidTr="00EB69E1">
        <w:trPr>
          <w:cnfStyle w:val="100000000000" w:firstRow="1" w:lastRow="0" w:firstColumn="0" w:lastColumn="0" w:oddVBand="0" w:evenVBand="0" w:oddHBand="0" w:evenHBand="0" w:firstRowFirstColumn="0" w:firstRowLastColumn="0" w:lastRowFirstColumn="0" w:lastRowLastColumn="0"/>
          <w:trHeight w:val="20"/>
        </w:trPr>
        <w:tc>
          <w:tcPr>
            <w:tcW w:w="1298" w:type="pct"/>
          </w:tcPr>
          <w:p w14:paraId="6C224FDD" w14:textId="77777777" w:rsidR="00D64FD4" w:rsidRPr="005D15DC" w:rsidRDefault="00D64FD4" w:rsidP="00EB69E1">
            <w:pPr>
              <w:pStyle w:val="TableHeaders"/>
              <w:rPr>
                <w:color w:val="0000FF"/>
              </w:rPr>
            </w:pPr>
            <w:r w:rsidRPr="005D15DC">
              <w:rPr>
                <w:color w:val="0000FF"/>
              </w:rPr>
              <w:t>Decile of denominator size</w:t>
            </w:r>
          </w:p>
        </w:tc>
        <w:tc>
          <w:tcPr>
            <w:tcW w:w="515" w:type="pct"/>
          </w:tcPr>
          <w:p w14:paraId="7B5EC08D" w14:textId="77777777" w:rsidR="00D64FD4" w:rsidRPr="005D15DC" w:rsidRDefault="00D64FD4" w:rsidP="00EB69E1">
            <w:pPr>
              <w:pStyle w:val="TableHeaders"/>
              <w:rPr>
                <w:color w:val="0000FF"/>
              </w:rPr>
            </w:pPr>
            <w:r>
              <w:rPr>
                <w:i/>
                <w:iCs/>
                <w:color w:val="0000FF"/>
              </w:rPr>
              <w:t>k</w:t>
            </w:r>
          </w:p>
        </w:tc>
        <w:tc>
          <w:tcPr>
            <w:tcW w:w="1071" w:type="pct"/>
          </w:tcPr>
          <w:p w14:paraId="7D0DD762" w14:textId="77777777" w:rsidR="00D64FD4" w:rsidRPr="005D15DC" w:rsidRDefault="00D64FD4" w:rsidP="00EB69E1">
            <w:pPr>
              <w:pStyle w:val="TableHeaders"/>
              <w:rPr>
                <w:color w:val="0000FF"/>
              </w:rPr>
            </w:pPr>
            <w:r w:rsidRPr="005D15DC">
              <w:rPr>
                <w:color w:val="0000FF"/>
              </w:rPr>
              <w:t>Number of facilities with 95% confidence interval lower than national mean (%)</w:t>
            </w:r>
          </w:p>
        </w:tc>
        <w:tc>
          <w:tcPr>
            <w:tcW w:w="1057" w:type="pct"/>
          </w:tcPr>
          <w:p w14:paraId="170CB5AD" w14:textId="77777777" w:rsidR="00D64FD4" w:rsidRPr="005D15DC" w:rsidRDefault="00D64FD4" w:rsidP="00EB69E1">
            <w:pPr>
              <w:pStyle w:val="TableHeaders"/>
              <w:rPr>
                <w:color w:val="0000FF"/>
              </w:rPr>
            </w:pPr>
            <w:r w:rsidRPr="005D15DC">
              <w:rPr>
                <w:color w:val="0000FF"/>
              </w:rPr>
              <w:t>Number of facilities with 95% confidence interval higher than national mean (%)</w:t>
            </w:r>
          </w:p>
        </w:tc>
        <w:tc>
          <w:tcPr>
            <w:tcW w:w="1058" w:type="pct"/>
          </w:tcPr>
          <w:p w14:paraId="5DA2770D" w14:textId="77777777" w:rsidR="00D64FD4" w:rsidRPr="005D15DC" w:rsidRDefault="00D64FD4" w:rsidP="00EB69E1">
            <w:pPr>
              <w:pStyle w:val="TableHeaders"/>
              <w:rPr>
                <w:color w:val="0000FF"/>
              </w:rPr>
            </w:pPr>
            <w:r w:rsidRPr="005D15DC">
              <w:rPr>
                <w:color w:val="0000FF"/>
              </w:rPr>
              <w:t>Total number of facilities with scores significantly different from mean (%)</w:t>
            </w:r>
          </w:p>
        </w:tc>
      </w:tr>
      <w:tr w:rsidR="00D64FD4" w:rsidRPr="005D15DC" w14:paraId="208CA9EB" w14:textId="77777777" w:rsidTr="00EB69E1">
        <w:trPr>
          <w:trHeight w:val="20"/>
        </w:trPr>
        <w:tc>
          <w:tcPr>
            <w:tcW w:w="1298" w:type="pct"/>
          </w:tcPr>
          <w:p w14:paraId="63DE3255" w14:textId="77777777" w:rsidR="00D64FD4" w:rsidRPr="005D15DC" w:rsidRDefault="00D64FD4" w:rsidP="00EB69E1">
            <w:pPr>
              <w:pStyle w:val="TableText"/>
              <w:rPr>
                <w:color w:val="0000FF"/>
              </w:rPr>
            </w:pPr>
            <w:r w:rsidRPr="005D15DC">
              <w:rPr>
                <w:color w:val="0000FF"/>
              </w:rPr>
              <w:t>1</w:t>
            </w:r>
            <w:r w:rsidRPr="005D15DC">
              <w:rPr>
                <w:color w:val="0000FF"/>
                <w:vertAlign w:val="superscript"/>
              </w:rPr>
              <w:t>st</w:t>
            </w:r>
            <w:r w:rsidRPr="005D15DC">
              <w:rPr>
                <w:color w:val="0000FF"/>
              </w:rPr>
              <w:t xml:space="preserve"> Decile (</w:t>
            </w:r>
            <w:r>
              <w:rPr>
                <w:i/>
                <w:iCs/>
                <w:color w:val="0000FF"/>
              </w:rPr>
              <w:t>n</w:t>
            </w:r>
            <w:r>
              <w:rPr>
                <w:color w:val="0000FF"/>
              </w:rPr>
              <w:t xml:space="preserve"> = 20 to 26</w:t>
            </w:r>
            <w:r w:rsidRPr="005D15DC">
              <w:rPr>
                <w:color w:val="0000FF"/>
              </w:rPr>
              <w:t xml:space="preserve"> residents) </w:t>
            </w:r>
          </w:p>
        </w:tc>
        <w:tc>
          <w:tcPr>
            <w:tcW w:w="515" w:type="pct"/>
            <w:vAlign w:val="bottom"/>
          </w:tcPr>
          <w:p w14:paraId="5E3DD506" w14:textId="77777777" w:rsidR="00D64FD4" w:rsidRPr="005D15DC" w:rsidRDefault="00D64FD4" w:rsidP="00EB69E1">
            <w:pPr>
              <w:pStyle w:val="TableText-cent"/>
              <w:rPr>
                <w:color w:val="0000FF"/>
              </w:rPr>
            </w:pPr>
            <w:r>
              <w:rPr>
                <w:color w:val="0000FF"/>
              </w:rPr>
              <w:t>1,240</w:t>
            </w:r>
          </w:p>
        </w:tc>
        <w:tc>
          <w:tcPr>
            <w:tcW w:w="1071" w:type="pct"/>
            <w:vAlign w:val="bottom"/>
          </w:tcPr>
          <w:p w14:paraId="05222179" w14:textId="77777777" w:rsidR="00D64FD4" w:rsidRPr="005D15DC" w:rsidRDefault="00D64FD4" w:rsidP="00EB69E1">
            <w:pPr>
              <w:pStyle w:val="TableText-cent"/>
              <w:rPr>
                <w:color w:val="0000FF"/>
              </w:rPr>
            </w:pPr>
            <w:r>
              <w:rPr>
                <w:color w:val="0000FF"/>
              </w:rPr>
              <w:t>288 (23.2%)</w:t>
            </w:r>
          </w:p>
        </w:tc>
        <w:tc>
          <w:tcPr>
            <w:tcW w:w="1057" w:type="pct"/>
            <w:vAlign w:val="bottom"/>
          </w:tcPr>
          <w:p w14:paraId="096ACDB7" w14:textId="77777777" w:rsidR="00D64FD4" w:rsidRPr="005D15DC" w:rsidRDefault="00D64FD4" w:rsidP="00EB69E1">
            <w:pPr>
              <w:pStyle w:val="TableText-cent"/>
              <w:rPr>
                <w:color w:val="0000FF"/>
              </w:rPr>
            </w:pPr>
            <w:r>
              <w:rPr>
                <w:color w:val="0000FF"/>
              </w:rPr>
              <w:t>121 (9.8%)</w:t>
            </w:r>
          </w:p>
        </w:tc>
        <w:tc>
          <w:tcPr>
            <w:tcW w:w="1058" w:type="pct"/>
            <w:vAlign w:val="bottom"/>
          </w:tcPr>
          <w:p w14:paraId="6162A624" w14:textId="77777777" w:rsidR="00D64FD4" w:rsidRPr="005D15DC" w:rsidRDefault="00D64FD4" w:rsidP="00EB69E1">
            <w:pPr>
              <w:pStyle w:val="TableText-cent"/>
              <w:rPr>
                <w:color w:val="0000FF"/>
              </w:rPr>
            </w:pPr>
            <w:r>
              <w:rPr>
                <w:color w:val="0000FF"/>
              </w:rPr>
              <w:t>409 (33.0%)</w:t>
            </w:r>
          </w:p>
        </w:tc>
      </w:tr>
      <w:tr w:rsidR="00D64FD4" w:rsidRPr="005D15DC" w14:paraId="1686F6B7" w14:textId="77777777" w:rsidTr="00EB69E1">
        <w:trPr>
          <w:trHeight w:val="20"/>
        </w:trPr>
        <w:tc>
          <w:tcPr>
            <w:tcW w:w="1298" w:type="pct"/>
          </w:tcPr>
          <w:p w14:paraId="4F5F52FE" w14:textId="77777777" w:rsidR="00D64FD4" w:rsidRPr="005D15DC" w:rsidRDefault="00D64FD4" w:rsidP="00EB69E1">
            <w:pPr>
              <w:pStyle w:val="TableText"/>
              <w:rPr>
                <w:color w:val="0000FF"/>
              </w:rPr>
            </w:pPr>
            <w:r w:rsidRPr="005D15DC">
              <w:rPr>
                <w:color w:val="0000FF"/>
              </w:rPr>
              <w:t>2</w:t>
            </w:r>
            <w:r w:rsidRPr="005D15DC">
              <w:rPr>
                <w:color w:val="0000FF"/>
                <w:vertAlign w:val="superscript"/>
              </w:rPr>
              <w:t>nd</w:t>
            </w:r>
            <w:r w:rsidRPr="005D15DC">
              <w:rPr>
                <w:color w:val="0000FF"/>
              </w:rPr>
              <w:t xml:space="preserve"> Decile (</w:t>
            </w:r>
            <w:r>
              <w:rPr>
                <w:i/>
                <w:iCs/>
                <w:color w:val="0000FF"/>
              </w:rPr>
              <w:t>n</w:t>
            </w:r>
            <w:r w:rsidRPr="005D15DC">
              <w:rPr>
                <w:i/>
                <w:iCs/>
                <w:color w:val="0000FF"/>
              </w:rPr>
              <w:t xml:space="preserve"> </w:t>
            </w:r>
            <w:r>
              <w:rPr>
                <w:color w:val="0000FF"/>
              </w:rPr>
              <w:t>= 27</w:t>
            </w:r>
            <w:r w:rsidRPr="005D15DC">
              <w:rPr>
                <w:color w:val="0000FF"/>
              </w:rPr>
              <w:t xml:space="preserve"> to</w:t>
            </w:r>
            <w:r w:rsidRPr="005D15DC">
              <w:rPr>
                <w:i/>
                <w:iCs/>
                <w:color w:val="0000FF"/>
              </w:rPr>
              <w:t xml:space="preserve"> </w:t>
            </w:r>
            <w:r>
              <w:rPr>
                <w:color w:val="0000FF"/>
              </w:rPr>
              <w:t>34</w:t>
            </w:r>
            <w:r w:rsidRPr="005D15DC">
              <w:rPr>
                <w:color w:val="0000FF"/>
              </w:rPr>
              <w:t>)</w:t>
            </w:r>
          </w:p>
        </w:tc>
        <w:tc>
          <w:tcPr>
            <w:tcW w:w="515" w:type="pct"/>
            <w:vAlign w:val="bottom"/>
          </w:tcPr>
          <w:p w14:paraId="16FFC413" w14:textId="77777777" w:rsidR="00D64FD4" w:rsidRPr="005D15DC" w:rsidRDefault="00D64FD4" w:rsidP="00EB69E1">
            <w:pPr>
              <w:pStyle w:val="TableText-cent"/>
              <w:rPr>
                <w:color w:val="0000FF"/>
              </w:rPr>
            </w:pPr>
            <w:r>
              <w:rPr>
                <w:color w:val="0000FF"/>
              </w:rPr>
              <w:t>1,196</w:t>
            </w:r>
          </w:p>
        </w:tc>
        <w:tc>
          <w:tcPr>
            <w:tcW w:w="1071" w:type="pct"/>
            <w:vAlign w:val="bottom"/>
          </w:tcPr>
          <w:p w14:paraId="6D11D2A8" w14:textId="77777777" w:rsidR="00D64FD4" w:rsidRPr="005D15DC" w:rsidRDefault="00D64FD4" w:rsidP="00EB69E1">
            <w:pPr>
              <w:pStyle w:val="TableText-cent"/>
              <w:rPr>
                <w:color w:val="0000FF"/>
              </w:rPr>
            </w:pPr>
            <w:r>
              <w:rPr>
                <w:color w:val="0000FF"/>
              </w:rPr>
              <w:t>353 (29.5%)</w:t>
            </w:r>
          </w:p>
        </w:tc>
        <w:tc>
          <w:tcPr>
            <w:tcW w:w="1057" w:type="pct"/>
            <w:vAlign w:val="bottom"/>
          </w:tcPr>
          <w:p w14:paraId="5FCB7B5A" w14:textId="77777777" w:rsidR="00D64FD4" w:rsidRPr="005D15DC" w:rsidRDefault="00D64FD4" w:rsidP="00EB69E1">
            <w:pPr>
              <w:pStyle w:val="TableText-cent"/>
              <w:rPr>
                <w:color w:val="0000FF"/>
              </w:rPr>
            </w:pPr>
            <w:r>
              <w:rPr>
                <w:color w:val="0000FF"/>
              </w:rPr>
              <w:t>114 (9.5%)</w:t>
            </w:r>
          </w:p>
        </w:tc>
        <w:tc>
          <w:tcPr>
            <w:tcW w:w="1058" w:type="pct"/>
            <w:vAlign w:val="bottom"/>
          </w:tcPr>
          <w:p w14:paraId="1C482382" w14:textId="77777777" w:rsidR="00D64FD4" w:rsidRPr="005D15DC" w:rsidRDefault="00D64FD4" w:rsidP="00EB69E1">
            <w:pPr>
              <w:pStyle w:val="TableText-cent"/>
              <w:rPr>
                <w:color w:val="0000FF"/>
              </w:rPr>
            </w:pPr>
            <w:r>
              <w:rPr>
                <w:color w:val="0000FF"/>
              </w:rPr>
              <w:t>467 (39.0%)</w:t>
            </w:r>
          </w:p>
        </w:tc>
      </w:tr>
      <w:tr w:rsidR="00D64FD4" w:rsidRPr="005D15DC" w14:paraId="638C19E2" w14:textId="77777777" w:rsidTr="00EB69E1">
        <w:trPr>
          <w:trHeight w:val="20"/>
        </w:trPr>
        <w:tc>
          <w:tcPr>
            <w:tcW w:w="1298" w:type="pct"/>
          </w:tcPr>
          <w:p w14:paraId="52B37EB4" w14:textId="77777777" w:rsidR="00D64FD4" w:rsidRPr="005D15DC" w:rsidRDefault="00D64FD4" w:rsidP="00EB69E1">
            <w:pPr>
              <w:pStyle w:val="TableText"/>
              <w:rPr>
                <w:color w:val="0000FF"/>
              </w:rPr>
            </w:pPr>
            <w:r w:rsidRPr="005D15DC">
              <w:rPr>
                <w:color w:val="0000FF"/>
              </w:rPr>
              <w:t>3</w:t>
            </w:r>
            <w:r w:rsidRPr="005D15DC">
              <w:rPr>
                <w:color w:val="0000FF"/>
                <w:vertAlign w:val="superscript"/>
              </w:rPr>
              <w:t>rd</w:t>
            </w:r>
            <w:r w:rsidRPr="005D15DC">
              <w:rPr>
                <w:color w:val="0000FF"/>
              </w:rPr>
              <w:t xml:space="preserve"> Decile (</w:t>
            </w:r>
            <w:r>
              <w:rPr>
                <w:i/>
                <w:iCs/>
                <w:color w:val="0000FF"/>
              </w:rPr>
              <w:t>n</w:t>
            </w:r>
            <w:r w:rsidRPr="005D15DC">
              <w:rPr>
                <w:i/>
                <w:iCs/>
                <w:color w:val="0000FF"/>
              </w:rPr>
              <w:t xml:space="preserve"> </w:t>
            </w:r>
            <w:r>
              <w:rPr>
                <w:color w:val="0000FF"/>
              </w:rPr>
              <w:t>= 35 to 43</w:t>
            </w:r>
            <w:r w:rsidRPr="005D15DC">
              <w:rPr>
                <w:color w:val="0000FF"/>
              </w:rPr>
              <w:t>)</w:t>
            </w:r>
          </w:p>
        </w:tc>
        <w:tc>
          <w:tcPr>
            <w:tcW w:w="515" w:type="pct"/>
            <w:vAlign w:val="bottom"/>
          </w:tcPr>
          <w:p w14:paraId="4B10B062" w14:textId="77777777" w:rsidR="00D64FD4" w:rsidRPr="005D15DC" w:rsidRDefault="00D64FD4" w:rsidP="00EB69E1">
            <w:pPr>
              <w:pStyle w:val="TableText-cent"/>
              <w:rPr>
                <w:color w:val="0000FF"/>
              </w:rPr>
            </w:pPr>
            <w:r>
              <w:rPr>
                <w:color w:val="0000FF"/>
              </w:rPr>
              <w:t>1,210</w:t>
            </w:r>
          </w:p>
        </w:tc>
        <w:tc>
          <w:tcPr>
            <w:tcW w:w="1071" w:type="pct"/>
            <w:vAlign w:val="bottom"/>
          </w:tcPr>
          <w:p w14:paraId="5A4B7624" w14:textId="77777777" w:rsidR="00D64FD4" w:rsidRPr="005D15DC" w:rsidRDefault="00D64FD4" w:rsidP="00EB69E1">
            <w:pPr>
              <w:pStyle w:val="TableText-cent"/>
              <w:rPr>
                <w:color w:val="0000FF"/>
              </w:rPr>
            </w:pPr>
            <w:r>
              <w:rPr>
                <w:color w:val="0000FF"/>
              </w:rPr>
              <w:t>357 (29.5%)</w:t>
            </w:r>
          </w:p>
        </w:tc>
        <w:tc>
          <w:tcPr>
            <w:tcW w:w="1057" w:type="pct"/>
            <w:vAlign w:val="bottom"/>
          </w:tcPr>
          <w:p w14:paraId="1C003B6A" w14:textId="77777777" w:rsidR="00D64FD4" w:rsidRPr="005D15DC" w:rsidRDefault="00D64FD4" w:rsidP="00EB69E1">
            <w:pPr>
              <w:pStyle w:val="TableText-cent"/>
              <w:rPr>
                <w:color w:val="0000FF"/>
              </w:rPr>
            </w:pPr>
            <w:r>
              <w:rPr>
                <w:color w:val="0000FF"/>
              </w:rPr>
              <w:t>141 (11.7%)</w:t>
            </w:r>
          </w:p>
        </w:tc>
        <w:tc>
          <w:tcPr>
            <w:tcW w:w="1058" w:type="pct"/>
            <w:vAlign w:val="bottom"/>
          </w:tcPr>
          <w:p w14:paraId="4FF42068" w14:textId="77777777" w:rsidR="00D64FD4" w:rsidRPr="005D15DC" w:rsidRDefault="00D64FD4" w:rsidP="00EB69E1">
            <w:pPr>
              <w:pStyle w:val="TableText-cent"/>
              <w:rPr>
                <w:color w:val="0000FF"/>
              </w:rPr>
            </w:pPr>
            <w:r>
              <w:rPr>
                <w:color w:val="0000FF"/>
              </w:rPr>
              <w:t>498 (41.2%)</w:t>
            </w:r>
          </w:p>
        </w:tc>
      </w:tr>
      <w:tr w:rsidR="00D64FD4" w:rsidRPr="005D15DC" w14:paraId="60E79402" w14:textId="77777777" w:rsidTr="00EB69E1">
        <w:trPr>
          <w:trHeight w:val="20"/>
        </w:trPr>
        <w:tc>
          <w:tcPr>
            <w:tcW w:w="1298" w:type="pct"/>
          </w:tcPr>
          <w:p w14:paraId="10C9E6B8" w14:textId="77777777" w:rsidR="00D64FD4" w:rsidRPr="005D15DC" w:rsidRDefault="00D64FD4" w:rsidP="00EB69E1">
            <w:pPr>
              <w:pStyle w:val="TableText"/>
              <w:rPr>
                <w:color w:val="0000FF"/>
              </w:rPr>
            </w:pPr>
            <w:r w:rsidRPr="005D15DC">
              <w:rPr>
                <w:color w:val="0000FF"/>
              </w:rPr>
              <w:t>4</w:t>
            </w:r>
            <w:r w:rsidRPr="005D15DC">
              <w:rPr>
                <w:color w:val="0000FF"/>
                <w:vertAlign w:val="superscript"/>
              </w:rPr>
              <w:t>th</w:t>
            </w:r>
            <w:r w:rsidRPr="005D15DC">
              <w:rPr>
                <w:color w:val="0000FF"/>
              </w:rPr>
              <w:t xml:space="preserve"> Decile (</w:t>
            </w:r>
            <w:r>
              <w:rPr>
                <w:color w:val="0000FF"/>
              </w:rPr>
              <w:t>n= 44 to 54</w:t>
            </w:r>
            <w:r w:rsidRPr="005D15DC">
              <w:rPr>
                <w:color w:val="0000FF"/>
              </w:rPr>
              <w:t>)</w:t>
            </w:r>
          </w:p>
        </w:tc>
        <w:tc>
          <w:tcPr>
            <w:tcW w:w="515" w:type="pct"/>
            <w:vAlign w:val="bottom"/>
          </w:tcPr>
          <w:p w14:paraId="2CA4DEBC" w14:textId="77777777" w:rsidR="00D64FD4" w:rsidRPr="005D15DC" w:rsidRDefault="00D64FD4" w:rsidP="00EB69E1">
            <w:pPr>
              <w:pStyle w:val="TableText-cent"/>
              <w:rPr>
                <w:color w:val="0000FF"/>
              </w:rPr>
            </w:pPr>
            <w:r>
              <w:rPr>
                <w:color w:val="0000FF"/>
              </w:rPr>
              <w:t>1,173</w:t>
            </w:r>
          </w:p>
        </w:tc>
        <w:tc>
          <w:tcPr>
            <w:tcW w:w="1071" w:type="pct"/>
            <w:vAlign w:val="bottom"/>
          </w:tcPr>
          <w:p w14:paraId="4C01AD7C" w14:textId="77777777" w:rsidR="00D64FD4" w:rsidRPr="005D15DC" w:rsidRDefault="00D64FD4" w:rsidP="00EB69E1">
            <w:pPr>
              <w:pStyle w:val="TableText-cent"/>
              <w:rPr>
                <w:color w:val="0000FF"/>
              </w:rPr>
            </w:pPr>
            <w:r>
              <w:rPr>
                <w:color w:val="0000FF"/>
              </w:rPr>
              <w:t>343 (29.2%)</w:t>
            </w:r>
          </w:p>
        </w:tc>
        <w:tc>
          <w:tcPr>
            <w:tcW w:w="1057" w:type="pct"/>
            <w:vAlign w:val="bottom"/>
          </w:tcPr>
          <w:p w14:paraId="77694A0E" w14:textId="77777777" w:rsidR="00D64FD4" w:rsidRPr="005D15DC" w:rsidRDefault="00D64FD4" w:rsidP="00EB69E1">
            <w:pPr>
              <w:pStyle w:val="TableText-cent"/>
              <w:rPr>
                <w:color w:val="0000FF"/>
              </w:rPr>
            </w:pPr>
            <w:r>
              <w:rPr>
                <w:color w:val="0000FF"/>
              </w:rPr>
              <w:t>167 (14.2%)</w:t>
            </w:r>
          </w:p>
        </w:tc>
        <w:tc>
          <w:tcPr>
            <w:tcW w:w="1058" w:type="pct"/>
            <w:vAlign w:val="bottom"/>
          </w:tcPr>
          <w:p w14:paraId="1D4AFD64" w14:textId="77777777" w:rsidR="00D64FD4" w:rsidRPr="005D15DC" w:rsidRDefault="00D64FD4" w:rsidP="00EB69E1">
            <w:pPr>
              <w:pStyle w:val="TableText-cent"/>
              <w:rPr>
                <w:color w:val="0000FF"/>
              </w:rPr>
            </w:pPr>
            <w:r>
              <w:rPr>
                <w:color w:val="0000FF"/>
              </w:rPr>
              <w:t>510 (43.5%)</w:t>
            </w:r>
          </w:p>
        </w:tc>
      </w:tr>
      <w:tr w:rsidR="00D64FD4" w:rsidRPr="005D15DC" w14:paraId="14712A5A" w14:textId="77777777" w:rsidTr="00EB69E1">
        <w:trPr>
          <w:trHeight w:val="20"/>
        </w:trPr>
        <w:tc>
          <w:tcPr>
            <w:tcW w:w="1298" w:type="pct"/>
          </w:tcPr>
          <w:p w14:paraId="2F25F0C9" w14:textId="77777777" w:rsidR="00D64FD4" w:rsidRPr="005D15DC" w:rsidRDefault="00D64FD4" w:rsidP="00EB69E1">
            <w:pPr>
              <w:pStyle w:val="TableText"/>
              <w:rPr>
                <w:color w:val="0000FF"/>
              </w:rPr>
            </w:pPr>
            <w:r w:rsidRPr="005D15DC">
              <w:rPr>
                <w:color w:val="0000FF"/>
              </w:rPr>
              <w:t>5</w:t>
            </w:r>
            <w:r w:rsidRPr="005D15DC">
              <w:rPr>
                <w:color w:val="0000FF"/>
                <w:vertAlign w:val="superscript"/>
              </w:rPr>
              <w:t>th</w:t>
            </w:r>
            <w:r w:rsidRPr="005D15DC">
              <w:rPr>
                <w:color w:val="0000FF"/>
              </w:rPr>
              <w:t xml:space="preserve"> Decile (</w:t>
            </w:r>
            <w:r>
              <w:rPr>
                <w:i/>
                <w:iCs/>
                <w:color w:val="0000FF"/>
              </w:rPr>
              <w:t>n</w:t>
            </w:r>
            <w:r>
              <w:rPr>
                <w:color w:val="0000FF"/>
              </w:rPr>
              <w:t xml:space="preserve"> = 55 to 68</w:t>
            </w:r>
            <w:r w:rsidRPr="005D15DC">
              <w:rPr>
                <w:color w:val="0000FF"/>
              </w:rPr>
              <w:t>)</w:t>
            </w:r>
          </w:p>
        </w:tc>
        <w:tc>
          <w:tcPr>
            <w:tcW w:w="515" w:type="pct"/>
            <w:vAlign w:val="bottom"/>
          </w:tcPr>
          <w:p w14:paraId="5D93239D" w14:textId="77777777" w:rsidR="00D64FD4" w:rsidRPr="005D15DC" w:rsidRDefault="00D64FD4" w:rsidP="00EB69E1">
            <w:pPr>
              <w:pStyle w:val="TableText-cent"/>
              <w:rPr>
                <w:color w:val="0000FF"/>
              </w:rPr>
            </w:pPr>
            <w:r>
              <w:rPr>
                <w:color w:val="0000FF"/>
              </w:rPr>
              <w:t>1,205</w:t>
            </w:r>
          </w:p>
        </w:tc>
        <w:tc>
          <w:tcPr>
            <w:tcW w:w="1071" w:type="pct"/>
            <w:vAlign w:val="bottom"/>
          </w:tcPr>
          <w:p w14:paraId="70CA1AA5" w14:textId="77777777" w:rsidR="00D64FD4" w:rsidRPr="005D15DC" w:rsidRDefault="00D64FD4" w:rsidP="00EB69E1">
            <w:pPr>
              <w:pStyle w:val="TableText-cent"/>
              <w:rPr>
                <w:color w:val="0000FF"/>
              </w:rPr>
            </w:pPr>
            <w:r>
              <w:rPr>
                <w:color w:val="0000FF"/>
              </w:rPr>
              <w:t>382 (31.7%)</w:t>
            </w:r>
          </w:p>
        </w:tc>
        <w:tc>
          <w:tcPr>
            <w:tcW w:w="1057" w:type="pct"/>
            <w:vAlign w:val="bottom"/>
          </w:tcPr>
          <w:p w14:paraId="146D1944" w14:textId="77777777" w:rsidR="00D64FD4" w:rsidRPr="005D15DC" w:rsidRDefault="00D64FD4" w:rsidP="00EB69E1">
            <w:pPr>
              <w:pStyle w:val="TableText-cent"/>
              <w:rPr>
                <w:color w:val="0000FF"/>
              </w:rPr>
            </w:pPr>
            <w:r>
              <w:rPr>
                <w:color w:val="0000FF"/>
              </w:rPr>
              <w:t>192 (15.9%)</w:t>
            </w:r>
          </w:p>
        </w:tc>
        <w:tc>
          <w:tcPr>
            <w:tcW w:w="1058" w:type="pct"/>
            <w:vAlign w:val="bottom"/>
          </w:tcPr>
          <w:p w14:paraId="386EF9C7" w14:textId="77777777" w:rsidR="00D64FD4" w:rsidRPr="005D15DC" w:rsidRDefault="00D64FD4" w:rsidP="00EB69E1">
            <w:pPr>
              <w:pStyle w:val="TableText-cent"/>
              <w:rPr>
                <w:color w:val="0000FF"/>
              </w:rPr>
            </w:pPr>
            <w:r>
              <w:rPr>
                <w:color w:val="0000FF"/>
              </w:rPr>
              <w:t>574 (47.6%)</w:t>
            </w:r>
          </w:p>
        </w:tc>
      </w:tr>
      <w:tr w:rsidR="00D64FD4" w:rsidRPr="005D15DC" w14:paraId="076D3791" w14:textId="77777777" w:rsidTr="00EB69E1">
        <w:trPr>
          <w:trHeight w:val="20"/>
        </w:trPr>
        <w:tc>
          <w:tcPr>
            <w:tcW w:w="1298" w:type="pct"/>
          </w:tcPr>
          <w:p w14:paraId="5472771E" w14:textId="77777777" w:rsidR="00D64FD4" w:rsidRPr="005D15DC" w:rsidRDefault="00D64FD4" w:rsidP="00EB69E1">
            <w:pPr>
              <w:pStyle w:val="TableText"/>
              <w:rPr>
                <w:color w:val="0000FF"/>
              </w:rPr>
            </w:pPr>
            <w:r w:rsidRPr="005D15DC">
              <w:rPr>
                <w:color w:val="0000FF"/>
              </w:rPr>
              <w:t>6</w:t>
            </w:r>
            <w:r w:rsidRPr="005D15DC">
              <w:rPr>
                <w:color w:val="0000FF"/>
                <w:vertAlign w:val="superscript"/>
              </w:rPr>
              <w:t>th</w:t>
            </w:r>
            <w:r w:rsidRPr="005D15DC">
              <w:rPr>
                <w:color w:val="0000FF"/>
              </w:rPr>
              <w:t xml:space="preserve"> Decile (</w:t>
            </w:r>
            <w:r>
              <w:rPr>
                <w:i/>
                <w:iCs/>
                <w:color w:val="0000FF"/>
              </w:rPr>
              <w:t>n</w:t>
            </w:r>
            <w:r>
              <w:rPr>
                <w:color w:val="0000FF"/>
              </w:rPr>
              <w:t xml:space="preserve"> = 69 to 84)</w:t>
            </w:r>
          </w:p>
        </w:tc>
        <w:tc>
          <w:tcPr>
            <w:tcW w:w="515" w:type="pct"/>
            <w:vAlign w:val="bottom"/>
          </w:tcPr>
          <w:p w14:paraId="46508B1F" w14:textId="77777777" w:rsidR="00D64FD4" w:rsidRPr="005D15DC" w:rsidRDefault="00D64FD4" w:rsidP="00EB69E1">
            <w:pPr>
              <w:pStyle w:val="TableText-cent"/>
              <w:rPr>
                <w:color w:val="0000FF"/>
              </w:rPr>
            </w:pPr>
            <w:r>
              <w:rPr>
                <w:color w:val="0000FF"/>
              </w:rPr>
              <w:t>1,175</w:t>
            </w:r>
          </w:p>
        </w:tc>
        <w:tc>
          <w:tcPr>
            <w:tcW w:w="1071" w:type="pct"/>
            <w:vAlign w:val="bottom"/>
          </w:tcPr>
          <w:p w14:paraId="1AF5FA35" w14:textId="77777777" w:rsidR="00D64FD4" w:rsidRPr="005D15DC" w:rsidRDefault="00D64FD4" w:rsidP="00EB69E1">
            <w:pPr>
              <w:pStyle w:val="TableText-cent"/>
              <w:rPr>
                <w:color w:val="0000FF"/>
              </w:rPr>
            </w:pPr>
            <w:r>
              <w:rPr>
                <w:color w:val="0000FF"/>
              </w:rPr>
              <w:t>410 (34.9%)</w:t>
            </w:r>
          </w:p>
        </w:tc>
        <w:tc>
          <w:tcPr>
            <w:tcW w:w="1057" w:type="pct"/>
            <w:vAlign w:val="bottom"/>
          </w:tcPr>
          <w:p w14:paraId="698C83D7" w14:textId="77777777" w:rsidR="00D64FD4" w:rsidRPr="005D15DC" w:rsidRDefault="00D64FD4" w:rsidP="00EB69E1">
            <w:pPr>
              <w:pStyle w:val="TableText-cent"/>
              <w:rPr>
                <w:color w:val="0000FF"/>
              </w:rPr>
            </w:pPr>
            <w:r>
              <w:rPr>
                <w:color w:val="0000FF"/>
              </w:rPr>
              <w:t>186 (15.8%)</w:t>
            </w:r>
          </w:p>
        </w:tc>
        <w:tc>
          <w:tcPr>
            <w:tcW w:w="1058" w:type="pct"/>
            <w:vAlign w:val="bottom"/>
          </w:tcPr>
          <w:p w14:paraId="4EAABEF9" w14:textId="77777777" w:rsidR="00D64FD4" w:rsidRPr="005D15DC" w:rsidRDefault="00D64FD4" w:rsidP="00EB69E1">
            <w:pPr>
              <w:pStyle w:val="TableText-cent"/>
              <w:rPr>
                <w:color w:val="0000FF"/>
              </w:rPr>
            </w:pPr>
            <w:r>
              <w:rPr>
                <w:color w:val="0000FF"/>
              </w:rPr>
              <w:t>596 (50.7%)</w:t>
            </w:r>
          </w:p>
        </w:tc>
      </w:tr>
      <w:tr w:rsidR="00D64FD4" w:rsidRPr="005D15DC" w14:paraId="67134EB9" w14:textId="77777777" w:rsidTr="00EB69E1">
        <w:trPr>
          <w:trHeight w:val="225"/>
        </w:trPr>
        <w:tc>
          <w:tcPr>
            <w:tcW w:w="1298" w:type="pct"/>
          </w:tcPr>
          <w:p w14:paraId="03F978BE" w14:textId="77777777" w:rsidR="00D64FD4" w:rsidRPr="005D15DC" w:rsidRDefault="00D64FD4" w:rsidP="00EB69E1">
            <w:pPr>
              <w:pStyle w:val="TableText"/>
              <w:rPr>
                <w:color w:val="0000FF"/>
              </w:rPr>
            </w:pPr>
            <w:r w:rsidRPr="005D15DC">
              <w:rPr>
                <w:color w:val="0000FF"/>
              </w:rPr>
              <w:t>7</w:t>
            </w:r>
            <w:r w:rsidRPr="005D15DC">
              <w:rPr>
                <w:color w:val="0000FF"/>
                <w:vertAlign w:val="superscript"/>
              </w:rPr>
              <w:t>th</w:t>
            </w:r>
            <w:r w:rsidRPr="005D15DC">
              <w:rPr>
                <w:color w:val="0000FF"/>
              </w:rPr>
              <w:t xml:space="preserve"> Decile (</w:t>
            </w:r>
            <w:r>
              <w:rPr>
                <w:i/>
                <w:iCs/>
                <w:color w:val="0000FF"/>
              </w:rPr>
              <w:t>n</w:t>
            </w:r>
            <w:r>
              <w:rPr>
                <w:color w:val="0000FF"/>
              </w:rPr>
              <w:t xml:space="preserve"> = 85 to 107</w:t>
            </w:r>
            <w:r w:rsidRPr="005D15DC">
              <w:rPr>
                <w:color w:val="0000FF"/>
              </w:rPr>
              <w:t>)</w:t>
            </w:r>
          </w:p>
        </w:tc>
        <w:tc>
          <w:tcPr>
            <w:tcW w:w="515" w:type="pct"/>
            <w:vAlign w:val="bottom"/>
          </w:tcPr>
          <w:p w14:paraId="1499B3F1" w14:textId="77777777" w:rsidR="00D64FD4" w:rsidRPr="005D15DC" w:rsidRDefault="00D64FD4" w:rsidP="00EB69E1">
            <w:pPr>
              <w:pStyle w:val="TableText-cent"/>
              <w:rPr>
                <w:color w:val="0000FF"/>
              </w:rPr>
            </w:pPr>
            <w:r>
              <w:rPr>
                <w:color w:val="0000FF"/>
              </w:rPr>
              <w:t>1,211</w:t>
            </w:r>
          </w:p>
        </w:tc>
        <w:tc>
          <w:tcPr>
            <w:tcW w:w="1071" w:type="pct"/>
            <w:vAlign w:val="bottom"/>
          </w:tcPr>
          <w:p w14:paraId="6798F0C0" w14:textId="77777777" w:rsidR="00D64FD4" w:rsidRPr="005D15DC" w:rsidRDefault="00D64FD4" w:rsidP="00EB69E1">
            <w:pPr>
              <w:pStyle w:val="TableText-cent"/>
              <w:rPr>
                <w:color w:val="0000FF"/>
              </w:rPr>
            </w:pPr>
            <w:r>
              <w:rPr>
                <w:color w:val="0000FF"/>
              </w:rPr>
              <w:t>455 (37.6%)</w:t>
            </w:r>
          </w:p>
        </w:tc>
        <w:tc>
          <w:tcPr>
            <w:tcW w:w="1057" w:type="pct"/>
            <w:vAlign w:val="bottom"/>
          </w:tcPr>
          <w:p w14:paraId="7158EB89" w14:textId="77777777" w:rsidR="00D64FD4" w:rsidRPr="005D15DC" w:rsidRDefault="00D64FD4" w:rsidP="00EB69E1">
            <w:pPr>
              <w:pStyle w:val="TableText-cent"/>
              <w:rPr>
                <w:color w:val="0000FF"/>
              </w:rPr>
            </w:pPr>
            <w:r>
              <w:rPr>
                <w:color w:val="0000FF"/>
              </w:rPr>
              <w:t>211 (17.4%)</w:t>
            </w:r>
          </w:p>
        </w:tc>
        <w:tc>
          <w:tcPr>
            <w:tcW w:w="1058" w:type="pct"/>
            <w:vAlign w:val="bottom"/>
          </w:tcPr>
          <w:p w14:paraId="7B50D549" w14:textId="77777777" w:rsidR="00D64FD4" w:rsidRPr="005D15DC" w:rsidRDefault="00D64FD4" w:rsidP="00EB69E1">
            <w:pPr>
              <w:pStyle w:val="TableText-cent"/>
              <w:rPr>
                <w:color w:val="0000FF"/>
              </w:rPr>
            </w:pPr>
            <w:r>
              <w:rPr>
                <w:color w:val="0000FF"/>
              </w:rPr>
              <w:t>666 (55.0%)</w:t>
            </w:r>
          </w:p>
        </w:tc>
      </w:tr>
      <w:tr w:rsidR="00D64FD4" w:rsidRPr="005D15DC" w14:paraId="5D61901D" w14:textId="77777777" w:rsidTr="00EB69E1">
        <w:trPr>
          <w:trHeight w:val="20"/>
        </w:trPr>
        <w:tc>
          <w:tcPr>
            <w:tcW w:w="1298" w:type="pct"/>
          </w:tcPr>
          <w:p w14:paraId="6ABFFD20" w14:textId="77777777" w:rsidR="00D64FD4" w:rsidRPr="005D15DC" w:rsidRDefault="00D64FD4" w:rsidP="00EB69E1">
            <w:pPr>
              <w:pStyle w:val="TableText"/>
              <w:rPr>
                <w:color w:val="0000FF"/>
              </w:rPr>
            </w:pPr>
            <w:r w:rsidRPr="005D15DC">
              <w:rPr>
                <w:color w:val="0000FF"/>
              </w:rPr>
              <w:t>8</w:t>
            </w:r>
            <w:r w:rsidRPr="005D15DC">
              <w:rPr>
                <w:color w:val="0000FF"/>
                <w:vertAlign w:val="superscript"/>
              </w:rPr>
              <w:t>th</w:t>
            </w:r>
            <w:r w:rsidRPr="005D15DC">
              <w:rPr>
                <w:color w:val="0000FF"/>
              </w:rPr>
              <w:t xml:space="preserve"> Decile (</w:t>
            </w:r>
            <w:r>
              <w:rPr>
                <w:i/>
                <w:iCs/>
                <w:color w:val="0000FF"/>
              </w:rPr>
              <w:t>n</w:t>
            </w:r>
            <w:r>
              <w:rPr>
                <w:color w:val="0000FF"/>
              </w:rPr>
              <w:t xml:space="preserve"> = 108 to 139</w:t>
            </w:r>
            <w:r w:rsidRPr="005D15DC">
              <w:rPr>
                <w:color w:val="0000FF"/>
              </w:rPr>
              <w:t>)</w:t>
            </w:r>
          </w:p>
        </w:tc>
        <w:tc>
          <w:tcPr>
            <w:tcW w:w="515" w:type="pct"/>
            <w:vAlign w:val="bottom"/>
          </w:tcPr>
          <w:p w14:paraId="625EA05F" w14:textId="77777777" w:rsidR="00D64FD4" w:rsidRPr="005D15DC" w:rsidRDefault="00D64FD4" w:rsidP="00EB69E1">
            <w:pPr>
              <w:pStyle w:val="TableText-cent"/>
              <w:rPr>
                <w:color w:val="0000FF"/>
              </w:rPr>
            </w:pPr>
            <w:r>
              <w:rPr>
                <w:color w:val="0000FF"/>
              </w:rPr>
              <w:t>1,146</w:t>
            </w:r>
          </w:p>
        </w:tc>
        <w:tc>
          <w:tcPr>
            <w:tcW w:w="1071" w:type="pct"/>
            <w:vAlign w:val="bottom"/>
          </w:tcPr>
          <w:p w14:paraId="633B3DFE" w14:textId="77777777" w:rsidR="00D64FD4" w:rsidRPr="005D15DC" w:rsidRDefault="00D64FD4" w:rsidP="00EB69E1">
            <w:pPr>
              <w:pStyle w:val="TableText-cent"/>
              <w:rPr>
                <w:color w:val="0000FF"/>
              </w:rPr>
            </w:pPr>
            <w:r>
              <w:rPr>
                <w:color w:val="0000FF"/>
              </w:rPr>
              <w:t>479 (41.8%)</w:t>
            </w:r>
          </w:p>
        </w:tc>
        <w:tc>
          <w:tcPr>
            <w:tcW w:w="1057" w:type="pct"/>
            <w:vAlign w:val="bottom"/>
          </w:tcPr>
          <w:p w14:paraId="72C61F2C" w14:textId="77777777" w:rsidR="00D64FD4" w:rsidRPr="005D15DC" w:rsidRDefault="00D64FD4" w:rsidP="00EB69E1">
            <w:pPr>
              <w:pStyle w:val="TableText-cent"/>
              <w:rPr>
                <w:color w:val="0000FF"/>
              </w:rPr>
            </w:pPr>
            <w:r>
              <w:rPr>
                <w:color w:val="0000FF"/>
              </w:rPr>
              <w:t>214 (18.7%)</w:t>
            </w:r>
          </w:p>
        </w:tc>
        <w:tc>
          <w:tcPr>
            <w:tcW w:w="1058" w:type="pct"/>
            <w:vAlign w:val="bottom"/>
          </w:tcPr>
          <w:p w14:paraId="35A6DC63" w14:textId="77777777" w:rsidR="00D64FD4" w:rsidRPr="005D15DC" w:rsidRDefault="00D64FD4" w:rsidP="00EB69E1">
            <w:pPr>
              <w:pStyle w:val="TableText-cent"/>
              <w:rPr>
                <w:color w:val="0000FF"/>
              </w:rPr>
            </w:pPr>
            <w:r>
              <w:rPr>
                <w:color w:val="0000FF"/>
              </w:rPr>
              <w:t>693 (60.5%)</w:t>
            </w:r>
          </w:p>
        </w:tc>
      </w:tr>
      <w:tr w:rsidR="00D64FD4" w:rsidRPr="005D15DC" w14:paraId="70CA4371" w14:textId="77777777" w:rsidTr="00EB69E1">
        <w:trPr>
          <w:trHeight w:val="20"/>
        </w:trPr>
        <w:tc>
          <w:tcPr>
            <w:tcW w:w="1298" w:type="pct"/>
          </w:tcPr>
          <w:p w14:paraId="02E293B0" w14:textId="77777777" w:rsidR="00D64FD4" w:rsidRPr="005D15DC" w:rsidRDefault="00D64FD4" w:rsidP="00EB69E1">
            <w:pPr>
              <w:pStyle w:val="TableText"/>
              <w:rPr>
                <w:color w:val="0000FF"/>
              </w:rPr>
            </w:pPr>
            <w:r w:rsidRPr="005D15DC">
              <w:rPr>
                <w:color w:val="0000FF"/>
              </w:rPr>
              <w:t>9</w:t>
            </w:r>
            <w:r w:rsidRPr="005D15DC">
              <w:rPr>
                <w:color w:val="0000FF"/>
                <w:vertAlign w:val="superscript"/>
              </w:rPr>
              <w:t>th</w:t>
            </w:r>
            <w:r w:rsidRPr="005D15DC">
              <w:rPr>
                <w:color w:val="0000FF"/>
              </w:rPr>
              <w:t xml:space="preserve"> Decile (</w:t>
            </w:r>
            <w:r>
              <w:rPr>
                <w:i/>
                <w:iCs/>
                <w:color w:val="0000FF"/>
              </w:rPr>
              <w:t>n</w:t>
            </w:r>
            <w:r>
              <w:rPr>
                <w:color w:val="0000FF"/>
              </w:rPr>
              <w:t xml:space="preserve"> = 140 to 198</w:t>
            </w:r>
            <w:r w:rsidRPr="005D15DC">
              <w:rPr>
                <w:color w:val="0000FF"/>
              </w:rPr>
              <w:t>)</w:t>
            </w:r>
          </w:p>
        </w:tc>
        <w:tc>
          <w:tcPr>
            <w:tcW w:w="515" w:type="pct"/>
            <w:vAlign w:val="bottom"/>
          </w:tcPr>
          <w:p w14:paraId="494870AC" w14:textId="77777777" w:rsidR="00D64FD4" w:rsidRPr="005D15DC" w:rsidRDefault="00D64FD4" w:rsidP="00EB69E1">
            <w:pPr>
              <w:pStyle w:val="TableText-cent"/>
              <w:rPr>
                <w:color w:val="0000FF"/>
              </w:rPr>
            </w:pPr>
            <w:r>
              <w:rPr>
                <w:color w:val="0000FF"/>
              </w:rPr>
              <w:t>1,209</w:t>
            </w:r>
          </w:p>
        </w:tc>
        <w:tc>
          <w:tcPr>
            <w:tcW w:w="1071" w:type="pct"/>
            <w:vAlign w:val="bottom"/>
          </w:tcPr>
          <w:p w14:paraId="7B1756FE" w14:textId="77777777" w:rsidR="00D64FD4" w:rsidRPr="005D15DC" w:rsidRDefault="00D64FD4" w:rsidP="00EB69E1">
            <w:pPr>
              <w:pStyle w:val="TableText-cent"/>
              <w:rPr>
                <w:color w:val="0000FF"/>
              </w:rPr>
            </w:pPr>
            <w:r>
              <w:rPr>
                <w:color w:val="0000FF"/>
              </w:rPr>
              <w:t>539 (44.6%)</w:t>
            </w:r>
          </w:p>
        </w:tc>
        <w:tc>
          <w:tcPr>
            <w:tcW w:w="1057" w:type="pct"/>
            <w:vAlign w:val="bottom"/>
          </w:tcPr>
          <w:p w14:paraId="49713D51" w14:textId="77777777" w:rsidR="00D64FD4" w:rsidRPr="005D15DC" w:rsidRDefault="00D64FD4" w:rsidP="00EB69E1">
            <w:pPr>
              <w:pStyle w:val="TableText-cent"/>
              <w:rPr>
                <w:color w:val="0000FF"/>
              </w:rPr>
            </w:pPr>
            <w:r>
              <w:rPr>
                <w:color w:val="0000FF"/>
              </w:rPr>
              <w:t>290 (24.0%)</w:t>
            </w:r>
          </w:p>
        </w:tc>
        <w:tc>
          <w:tcPr>
            <w:tcW w:w="1058" w:type="pct"/>
            <w:vAlign w:val="bottom"/>
          </w:tcPr>
          <w:p w14:paraId="184A2DC3" w14:textId="77777777" w:rsidR="00D64FD4" w:rsidRPr="005D15DC" w:rsidRDefault="00D64FD4" w:rsidP="00EB69E1">
            <w:pPr>
              <w:pStyle w:val="TableText-cent"/>
              <w:rPr>
                <w:color w:val="0000FF"/>
              </w:rPr>
            </w:pPr>
            <w:r>
              <w:rPr>
                <w:color w:val="0000FF"/>
              </w:rPr>
              <w:t>829 (68.6%)</w:t>
            </w:r>
          </w:p>
        </w:tc>
      </w:tr>
      <w:tr w:rsidR="00D64FD4" w:rsidRPr="005D15DC" w14:paraId="1894B0AB" w14:textId="77777777" w:rsidTr="00EB69E1">
        <w:trPr>
          <w:trHeight w:val="20"/>
        </w:trPr>
        <w:tc>
          <w:tcPr>
            <w:tcW w:w="1298" w:type="pct"/>
          </w:tcPr>
          <w:p w14:paraId="1A8A2955" w14:textId="77777777" w:rsidR="00D64FD4" w:rsidRPr="005D15DC" w:rsidRDefault="00D64FD4" w:rsidP="00EB69E1">
            <w:pPr>
              <w:pStyle w:val="TableText"/>
              <w:rPr>
                <w:color w:val="0000FF"/>
              </w:rPr>
            </w:pPr>
            <w:r w:rsidRPr="005D15DC">
              <w:rPr>
                <w:color w:val="0000FF"/>
              </w:rPr>
              <w:t>10</w:t>
            </w:r>
            <w:r w:rsidRPr="005D15DC">
              <w:rPr>
                <w:color w:val="0000FF"/>
                <w:vertAlign w:val="superscript"/>
              </w:rPr>
              <w:t>th</w:t>
            </w:r>
            <w:r w:rsidRPr="005D15DC">
              <w:rPr>
                <w:color w:val="0000FF"/>
              </w:rPr>
              <w:t xml:space="preserve"> Decile (</w:t>
            </w:r>
            <w:r>
              <w:rPr>
                <w:i/>
                <w:iCs/>
                <w:color w:val="0000FF"/>
              </w:rPr>
              <w:t>n</w:t>
            </w:r>
            <w:r>
              <w:rPr>
                <w:color w:val="0000FF"/>
              </w:rPr>
              <w:t xml:space="preserve"> = 198 to 1,269</w:t>
            </w:r>
            <w:r w:rsidRPr="005D15DC">
              <w:rPr>
                <w:color w:val="0000FF"/>
              </w:rPr>
              <w:t>)</w:t>
            </w:r>
          </w:p>
        </w:tc>
        <w:tc>
          <w:tcPr>
            <w:tcW w:w="515" w:type="pct"/>
            <w:vAlign w:val="bottom"/>
          </w:tcPr>
          <w:p w14:paraId="41606F48" w14:textId="77777777" w:rsidR="00D64FD4" w:rsidRPr="005D15DC" w:rsidRDefault="00D64FD4" w:rsidP="00EB69E1">
            <w:pPr>
              <w:pStyle w:val="TableText-cent"/>
              <w:rPr>
                <w:color w:val="0000FF"/>
              </w:rPr>
            </w:pPr>
            <w:r>
              <w:rPr>
                <w:color w:val="0000FF"/>
              </w:rPr>
              <w:t>1,180</w:t>
            </w:r>
          </w:p>
        </w:tc>
        <w:tc>
          <w:tcPr>
            <w:tcW w:w="1071" w:type="pct"/>
            <w:vAlign w:val="bottom"/>
          </w:tcPr>
          <w:p w14:paraId="2B99E8FC" w14:textId="77777777" w:rsidR="00D64FD4" w:rsidRPr="005D15DC" w:rsidRDefault="00D64FD4" w:rsidP="00EB69E1">
            <w:pPr>
              <w:pStyle w:val="TableText-cent"/>
              <w:rPr>
                <w:color w:val="0000FF"/>
              </w:rPr>
            </w:pPr>
            <w:r>
              <w:rPr>
                <w:color w:val="0000FF"/>
              </w:rPr>
              <w:t>628 (53.2%)</w:t>
            </w:r>
          </w:p>
        </w:tc>
        <w:tc>
          <w:tcPr>
            <w:tcW w:w="1057" w:type="pct"/>
            <w:vAlign w:val="bottom"/>
          </w:tcPr>
          <w:p w14:paraId="4A8BDE7E" w14:textId="77777777" w:rsidR="00D64FD4" w:rsidRPr="005D15DC" w:rsidRDefault="00D64FD4" w:rsidP="00EB69E1">
            <w:pPr>
              <w:pStyle w:val="TableText-cent"/>
              <w:rPr>
                <w:color w:val="0000FF"/>
              </w:rPr>
            </w:pPr>
            <w:r>
              <w:rPr>
                <w:color w:val="0000FF"/>
              </w:rPr>
              <w:t>313 (26.5%)</w:t>
            </w:r>
          </w:p>
        </w:tc>
        <w:tc>
          <w:tcPr>
            <w:tcW w:w="1058" w:type="pct"/>
            <w:vAlign w:val="bottom"/>
          </w:tcPr>
          <w:p w14:paraId="72E36488" w14:textId="77777777" w:rsidR="00D64FD4" w:rsidRPr="005D15DC" w:rsidRDefault="00D64FD4" w:rsidP="00EB69E1">
            <w:pPr>
              <w:pStyle w:val="TableText-cent"/>
              <w:rPr>
                <w:color w:val="0000FF"/>
              </w:rPr>
            </w:pPr>
            <w:r>
              <w:rPr>
                <w:color w:val="0000FF"/>
              </w:rPr>
              <w:t>941 (79.7%)</w:t>
            </w:r>
          </w:p>
        </w:tc>
      </w:tr>
      <w:tr w:rsidR="00D64FD4" w:rsidRPr="005D15DC" w14:paraId="1D003D45" w14:textId="77777777" w:rsidTr="00EB69E1">
        <w:trPr>
          <w:cnfStyle w:val="010000000000" w:firstRow="0" w:lastRow="1" w:firstColumn="0" w:lastColumn="0" w:oddVBand="0" w:evenVBand="0" w:oddHBand="0" w:evenHBand="0" w:firstRowFirstColumn="0" w:firstRowLastColumn="0" w:lastRowFirstColumn="0" w:lastRowLastColumn="0"/>
          <w:trHeight w:val="20"/>
        </w:trPr>
        <w:tc>
          <w:tcPr>
            <w:tcW w:w="1298" w:type="pct"/>
          </w:tcPr>
          <w:p w14:paraId="1B4A3BF5" w14:textId="77777777" w:rsidR="00D64FD4" w:rsidRPr="005D15DC" w:rsidRDefault="00D64FD4" w:rsidP="00EB69E1">
            <w:pPr>
              <w:pStyle w:val="TableText"/>
              <w:rPr>
                <w:color w:val="0000FF"/>
              </w:rPr>
            </w:pPr>
            <w:r w:rsidRPr="005D15DC">
              <w:rPr>
                <w:color w:val="0000FF"/>
              </w:rPr>
              <w:t>Total</w:t>
            </w:r>
          </w:p>
        </w:tc>
        <w:tc>
          <w:tcPr>
            <w:tcW w:w="515" w:type="pct"/>
            <w:vAlign w:val="bottom"/>
          </w:tcPr>
          <w:p w14:paraId="09EAE373" w14:textId="77777777" w:rsidR="00D64FD4" w:rsidRPr="005D15DC" w:rsidRDefault="00D64FD4" w:rsidP="00EB69E1">
            <w:pPr>
              <w:pStyle w:val="TableText-cent"/>
              <w:rPr>
                <w:color w:val="0000FF"/>
              </w:rPr>
            </w:pPr>
            <w:r>
              <w:rPr>
                <w:color w:val="0000FF"/>
              </w:rPr>
              <w:t>11,945</w:t>
            </w:r>
          </w:p>
        </w:tc>
        <w:tc>
          <w:tcPr>
            <w:tcW w:w="1071" w:type="pct"/>
            <w:vAlign w:val="bottom"/>
          </w:tcPr>
          <w:p w14:paraId="13246428" w14:textId="77777777" w:rsidR="00D64FD4" w:rsidRPr="005D15DC" w:rsidRDefault="00D64FD4" w:rsidP="00EB69E1">
            <w:pPr>
              <w:pStyle w:val="TableText-cent"/>
              <w:rPr>
                <w:color w:val="0000FF"/>
              </w:rPr>
            </w:pPr>
            <w:r>
              <w:rPr>
                <w:color w:val="0000FF"/>
              </w:rPr>
              <w:t>4,234 (35.4%)</w:t>
            </w:r>
          </w:p>
        </w:tc>
        <w:tc>
          <w:tcPr>
            <w:tcW w:w="1057" w:type="pct"/>
            <w:vAlign w:val="bottom"/>
          </w:tcPr>
          <w:p w14:paraId="762320E7" w14:textId="77777777" w:rsidR="00D64FD4" w:rsidRPr="005D15DC" w:rsidRDefault="00D64FD4" w:rsidP="00EB69E1">
            <w:pPr>
              <w:pStyle w:val="TableText-cent"/>
              <w:rPr>
                <w:color w:val="0000FF"/>
              </w:rPr>
            </w:pPr>
            <w:r>
              <w:rPr>
                <w:color w:val="0000FF"/>
              </w:rPr>
              <w:t>1,949 (16.3%)</w:t>
            </w:r>
          </w:p>
        </w:tc>
        <w:tc>
          <w:tcPr>
            <w:tcW w:w="1058" w:type="pct"/>
            <w:vAlign w:val="bottom"/>
          </w:tcPr>
          <w:p w14:paraId="3CB23DF9" w14:textId="77777777" w:rsidR="00D64FD4" w:rsidRPr="005D15DC" w:rsidRDefault="00D64FD4" w:rsidP="00EB69E1">
            <w:pPr>
              <w:pStyle w:val="TableText-cent"/>
              <w:rPr>
                <w:color w:val="0000FF"/>
              </w:rPr>
            </w:pPr>
            <w:r>
              <w:rPr>
                <w:color w:val="0000FF"/>
              </w:rPr>
              <w:t>6,183 (51.8%)</w:t>
            </w:r>
          </w:p>
        </w:tc>
      </w:tr>
    </w:tbl>
    <w:p w14:paraId="2D3B424E" w14:textId="77777777" w:rsidR="00D64FD4" w:rsidRDefault="00D64FD4" w:rsidP="00D64FD4">
      <w:pPr>
        <w:pStyle w:val="Response"/>
      </w:pPr>
      <w:r>
        <w:rPr>
          <w:sz w:val="20"/>
          <w:szCs w:val="20"/>
        </w:rPr>
        <w:t xml:space="preserve">NOTE: </w:t>
      </w:r>
      <w:r w:rsidRPr="00E81353">
        <w:rPr>
          <w:i/>
          <w:iCs/>
          <w:sz w:val="20"/>
          <w:szCs w:val="20"/>
        </w:rPr>
        <w:t xml:space="preserve">k </w:t>
      </w:r>
      <w:r w:rsidRPr="00E81353">
        <w:rPr>
          <w:sz w:val="20"/>
          <w:szCs w:val="20"/>
        </w:rPr>
        <w:t>= number of facilities that meet minimum requirements for public re</w:t>
      </w:r>
      <w:r>
        <w:rPr>
          <w:sz w:val="20"/>
          <w:szCs w:val="20"/>
        </w:rPr>
        <w:t>porting this quality measure.</w:t>
      </w:r>
    </w:p>
    <w:p w14:paraId="556B73B1" w14:textId="77777777" w:rsidR="00D64FD4" w:rsidRPr="005C0D72" w:rsidRDefault="00D64FD4" w:rsidP="00D64FD4">
      <w:pPr>
        <w:pStyle w:val="Response"/>
        <w:rPr>
          <w:sz w:val="20"/>
        </w:rPr>
      </w:pPr>
      <w:r w:rsidRPr="005C0D72">
        <w:rPr>
          <w:sz w:val="20"/>
        </w:rPr>
        <w:t>Analysis date: 11/15/2017</w:t>
      </w:r>
    </w:p>
    <w:p w14:paraId="16422079" w14:textId="77777777" w:rsidR="00D64FD4" w:rsidRPr="005C0D72" w:rsidRDefault="00D64FD4" w:rsidP="00D64FD4">
      <w:pPr>
        <w:autoSpaceDE w:val="0"/>
        <w:autoSpaceDN w:val="0"/>
        <w:adjustRightInd w:val="0"/>
        <w:spacing w:after="0" w:line="240" w:lineRule="auto"/>
        <w:rPr>
          <w:rFonts w:cstheme="minorHAnsi"/>
          <w:bCs/>
          <w:color w:val="0000FF"/>
          <w:sz w:val="20"/>
        </w:rPr>
      </w:pPr>
      <w:r w:rsidRPr="005C0D72">
        <w:rPr>
          <w:rFonts w:cstheme="minorHAnsi"/>
          <w:bCs/>
          <w:color w:val="0000FF"/>
          <w:sz w:val="20"/>
        </w:rPr>
        <w:t xml:space="preserve">SOURCE: RTI analysis of Q2 2017 MDS 3.0 data (programming reference: </w:t>
      </w:r>
      <w:proofErr w:type="gramStart"/>
      <w:r w:rsidRPr="005C0D72">
        <w:rPr>
          <w:rFonts w:cstheme="minorHAnsi"/>
          <w:bCs/>
          <w:color w:val="0000FF"/>
          <w:sz w:val="20"/>
        </w:rPr>
        <w:t>rn01\db364_request_q2627_676.log )</w:t>
      </w:r>
      <w:proofErr w:type="gramEnd"/>
    </w:p>
    <w:p w14:paraId="602BC2A7" w14:textId="77777777" w:rsidR="00D64FD4" w:rsidRDefault="00D64FD4" w:rsidP="006B36C3">
      <w:pPr>
        <w:autoSpaceDE w:val="0"/>
        <w:autoSpaceDN w:val="0"/>
        <w:adjustRightInd w:val="0"/>
        <w:spacing w:after="0" w:line="240" w:lineRule="auto"/>
        <w:rPr>
          <w:rFonts w:cstheme="minorHAnsi"/>
          <w:b/>
          <w:bCs/>
        </w:rPr>
      </w:pPr>
    </w:p>
    <w:p w14:paraId="59548161" w14:textId="49586BC8" w:rsidR="006B36C3" w:rsidRDefault="006B36C3" w:rsidP="006B36C3">
      <w:pPr>
        <w:autoSpaceDE w:val="0"/>
        <w:autoSpaceDN w:val="0"/>
        <w:adjustRightInd w:val="0"/>
        <w:spacing w:after="0" w:line="240" w:lineRule="auto"/>
        <w:rPr>
          <w:rFonts w:cstheme="minorHAnsi"/>
          <w:bCs/>
        </w:rPr>
      </w:pPr>
      <w:r>
        <w:rPr>
          <w:rFonts w:cstheme="minorHAnsi"/>
          <w:b/>
          <w:bCs/>
        </w:rPr>
        <w:t>2b1.</w:t>
      </w:r>
      <w:r w:rsidRPr="00A25024">
        <w:rPr>
          <w:rFonts w:cstheme="minorHAnsi"/>
          <w:b/>
          <w:bCs/>
        </w:rPr>
        <w:t>4. What is your interpretation of the results in terms of demonstrating validity</w:t>
      </w:r>
      <w:r w:rsidRPr="00A25024">
        <w:rPr>
          <w:rFonts w:cstheme="minorHAnsi"/>
          <w:bCs/>
        </w:rPr>
        <w:t>? (i</w:t>
      </w:r>
      <w:r w:rsidRPr="00A25024">
        <w:rPr>
          <w:rFonts w:cstheme="minorHAnsi"/>
          <w:bCs/>
          <w:i/>
        </w:rPr>
        <w:t>.e., what do the results mean and what are the norms for the test conducted?</w:t>
      </w:r>
      <w:r w:rsidRPr="00A25024">
        <w:rPr>
          <w:rFonts w:cstheme="minorHAnsi"/>
          <w:bCs/>
        </w:rPr>
        <w:t>)</w:t>
      </w:r>
    </w:p>
    <w:p w14:paraId="16FB6234" w14:textId="77777777" w:rsidR="007E6E74" w:rsidRPr="00760055" w:rsidRDefault="007E6E74" w:rsidP="007E6E74">
      <w:pPr>
        <w:pStyle w:val="Response"/>
        <w:rPr>
          <w:b/>
          <w:noProof/>
        </w:rPr>
      </w:pPr>
      <w:r w:rsidRPr="00760055">
        <w:rPr>
          <w:b/>
          <w:noProof/>
        </w:rPr>
        <w:t>Critical Data Element</w:t>
      </w:r>
      <w:r>
        <w:rPr>
          <w:b/>
          <w:noProof/>
        </w:rPr>
        <w:t xml:space="preserve"> Validity</w:t>
      </w:r>
    </w:p>
    <w:p w14:paraId="2C61F5DE" w14:textId="77777777" w:rsidR="00AA341D" w:rsidRDefault="00AA341D" w:rsidP="00AA341D">
      <w:pPr>
        <w:pStyle w:val="Response"/>
      </w:pPr>
      <w:r>
        <w:rPr>
          <w:noProof/>
        </w:rPr>
        <w:t xml:space="preserve">The </w:t>
      </w:r>
      <w:r>
        <w:rPr>
          <w:rFonts w:cstheme="minorBidi"/>
        </w:rPr>
        <w:t xml:space="preserve">measure’s items have good item level criterion validity (based on the gold-standard staff nurse analysis). </w:t>
      </w:r>
    </w:p>
    <w:p w14:paraId="3BC14DEB" w14:textId="0543D53C" w:rsidR="007E6E74" w:rsidRPr="002A23FE" w:rsidRDefault="007E6E74" w:rsidP="007E6E74">
      <w:pPr>
        <w:pStyle w:val="Response"/>
        <w:rPr>
          <w:b/>
        </w:rPr>
      </w:pPr>
      <w:r w:rsidRPr="002A23FE">
        <w:rPr>
          <w:b/>
        </w:rPr>
        <w:t xml:space="preserve">Performance </w:t>
      </w:r>
      <w:r w:rsidR="001618EB">
        <w:rPr>
          <w:b/>
        </w:rPr>
        <w:t xml:space="preserve">Measure </w:t>
      </w:r>
      <w:r w:rsidRPr="002A23FE">
        <w:rPr>
          <w:b/>
        </w:rPr>
        <w:t>Score Validity</w:t>
      </w:r>
    </w:p>
    <w:p w14:paraId="05C196ED" w14:textId="1CD7A1B1" w:rsidR="005634F1" w:rsidRPr="009A0812" w:rsidRDefault="005634F1" w:rsidP="005634F1">
      <w:pPr>
        <w:pStyle w:val="Response"/>
      </w:pPr>
      <w:r>
        <w:t>RTI’s analyses indicated that this measure</w:t>
      </w:r>
      <w:r w:rsidRPr="000C66BE">
        <w:t xml:space="preserve"> is</w:t>
      </w:r>
      <w:r>
        <w:t xml:space="preserve"> a valid measurement of self-reported pain. </w:t>
      </w:r>
      <w:r w:rsidR="00D07972">
        <w:t xml:space="preserve">Facilities’ </w:t>
      </w:r>
      <w:r>
        <w:t xml:space="preserve">scores on the short-stay pain </w:t>
      </w:r>
      <w:r w:rsidRPr="00AA341D">
        <w:t>measure (NQF</w:t>
      </w:r>
      <w:r w:rsidR="00AA341D" w:rsidRPr="00AA341D">
        <w:t xml:space="preserve"> </w:t>
      </w:r>
      <w:r w:rsidRPr="00AA341D">
        <w:t>#0676) have a high correlation with their</w:t>
      </w:r>
      <w:r>
        <w:t xml:space="preserve"> scores on </w:t>
      </w:r>
      <w:r w:rsidRPr="000C66BE">
        <w:t xml:space="preserve">the measure of self-reported pain among </w:t>
      </w:r>
      <w:r w:rsidR="00AA341D">
        <w:t>long</w:t>
      </w:r>
      <w:r w:rsidRPr="000C66BE">
        <w:t xml:space="preserve">-stay residents (NQF </w:t>
      </w:r>
      <w:r>
        <w:t>#0677</w:t>
      </w:r>
      <w:r w:rsidRPr="009A0812">
        <w:t>), showing convergent validity.</w:t>
      </w:r>
    </w:p>
    <w:p w14:paraId="6EC7AE87" w14:textId="043020CC" w:rsidR="005634F1" w:rsidRPr="009A0812" w:rsidRDefault="005634F1" w:rsidP="005634F1">
      <w:pPr>
        <w:pStyle w:val="Response"/>
      </w:pPr>
      <w:r w:rsidRPr="009A0812">
        <w:t>This measure does not vary substantially from quarter to quarter corresponding to changes in seasons; thus, seasonality is not a threa</w:t>
      </w:r>
      <w:r w:rsidR="009E60DC">
        <w:t>t to validity for this measure.  This measure is also stable over time and demonstrates substantial variation.</w:t>
      </w:r>
    </w:p>
    <w:p w14:paraId="14BDA009" w14:textId="09C40D4D" w:rsidR="00424F18" w:rsidRPr="005634F1" w:rsidRDefault="005634F1" w:rsidP="00E61608">
      <w:pPr>
        <w:pStyle w:val="Response"/>
      </w:pPr>
      <w:r w:rsidRPr="009A0812">
        <w:t>Please see section 2b6 for analysis of the impact of missing data on this measure</w:t>
      </w:r>
      <w:r w:rsidR="00D07972">
        <w:t>,</w:t>
      </w:r>
      <w:r w:rsidRPr="009A0812">
        <w:t xml:space="preserve"> which also speaks to validity.</w:t>
      </w:r>
      <w:r w:rsidRPr="00BB459D">
        <w:t xml:space="preserve"> </w:t>
      </w:r>
    </w:p>
    <w:p w14:paraId="0CABCFE0" w14:textId="18678140"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3DC2C131"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565946">
          <w:rPr>
            <w:rStyle w:val="Hyperlink"/>
            <w:rFonts w:cstheme="minorHAnsi"/>
            <w:b/>
            <w:bCs/>
            <w:i/>
            <w:highlight w:val="green"/>
          </w:rPr>
          <w:t>3</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0CABCFE4" w14:textId="30980696" w:rsidR="00833325" w:rsidRDefault="00092566" w:rsidP="00DB3627">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424F18">
        <w:rPr>
          <w:rFonts w:cstheme="minorHAnsi"/>
          <w:bCs/>
        </w:rPr>
        <w:t>)</w:t>
      </w:r>
    </w:p>
    <w:p w14:paraId="6B242F12" w14:textId="6906CD59" w:rsidR="00AA341D" w:rsidRDefault="00AA341D" w:rsidP="00AA341D">
      <w:pPr>
        <w:pStyle w:val="Response"/>
      </w:pPr>
      <w:r>
        <w:t xml:space="preserve">The denominator exclusion criteria for this quality measure are as follows: 1) The resident cannot self-report; 2) </w:t>
      </w:r>
      <w:r w:rsidR="005A39C0">
        <w:t>The target</w:t>
      </w:r>
      <w:r>
        <w:t xml:space="preserve"> assessment indicates that the resident had pain or hurting at any time in the last 5 days, but the pain intensity item indicates no pai</w:t>
      </w:r>
      <w:r w:rsidR="005A39C0">
        <w:t>n; or 3) There are missing data in the responses to the relevant pain assessment items in the target assessment.</w:t>
      </w:r>
    </w:p>
    <w:p w14:paraId="662EAC6A" w14:textId="77777777" w:rsidR="00AA341D" w:rsidRDefault="00AA341D" w:rsidP="00AA341D">
      <w:pPr>
        <w:pStyle w:val="Response"/>
      </w:pPr>
      <w:r>
        <w:t>RTI examined the frequency and proportion of residents excluded from this measure for each of the exclusion criteria for this quality measure.</w:t>
      </w:r>
    </w:p>
    <w:p w14:paraId="2799477C" w14:textId="4E33E749" w:rsidR="00AA341D" w:rsidRDefault="0050265E" w:rsidP="00AA341D">
      <w:pPr>
        <w:pStyle w:val="Response"/>
      </w:pPr>
      <w:r>
        <w:t>Exclusion criterion 3</w:t>
      </w:r>
      <w:r w:rsidR="00AA341D" w:rsidRPr="007E7668">
        <w:t xml:space="preserve"> </w:t>
      </w:r>
      <w:r w:rsidR="00AA341D">
        <w:t>relating</w:t>
      </w:r>
      <w:r w:rsidR="00AA341D" w:rsidRPr="007E7668">
        <w:t xml:space="preserve"> to missing data </w:t>
      </w:r>
      <w:r w:rsidR="00AA341D">
        <w:t>is</w:t>
      </w:r>
      <w:r w:rsidR="00AA341D" w:rsidRPr="007E7668">
        <w:t xml:space="preserve"> assessed in greater detail in section 2b6.</w:t>
      </w:r>
    </w:p>
    <w:p w14:paraId="0CABCFE6" w14:textId="06C5654E" w:rsidR="007422FD" w:rsidRDefault="00092566" w:rsidP="00092566">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p>
    <w:p w14:paraId="65465CD0" w14:textId="4F74EED3" w:rsidR="00424F18" w:rsidRPr="00C31A1E" w:rsidRDefault="00424F18" w:rsidP="00424F18">
      <w:pPr>
        <w:pStyle w:val="Response"/>
      </w:pPr>
      <w:r w:rsidRPr="00C31A1E">
        <w:t xml:space="preserve">A total </w:t>
      </w:r>
      <w:r w:rsidRPr="00FA7100">
        <w:t xml:space="preserve">of </w:t>
      </w:r>
      <w:r w:rsidR="006533CB" w:rsidRPr="00FA7100">
        <w:t>466,960</w:t>
      </w:r>
      <w:r w:rsidR="006533CB">
        <w:t xml:space="preserve"> </w:t>
      </w:r>
      <w:r w:rsidRPr="00C31A1E">
        <w:t>resi</w:t>
      </w:r>
      <w:r w:rsidR="00ED0A9F">
        <w:t>dents were excluded from this quality measure</w:t>
      </w:r>
      <w:r w:rsidRPr="00C31A1E">
        <w:t xml:space="preserve"> based on the measure denominator exclusions (i.e., </w:t>
      </w:r>
      <w:r w:rsidR="00571C1C">
        <w:t>28.4</w:t>
      </w:r>
      <w:r w:rsidR="006533CB">
        <w:rPr>
          <w:rFonts w:ascii="Calibri" w:eastAsia="MS Mincho" w:hAnsi="Calibri" w:cs="Calibri"/>
          <w:bCs w:val="0"/>
        </w:rPr>
        <w:t>% of short-stay residents in Quarter 2, 2017</w:t>
      </w:r>
      <w:r w:rsidRPr="00C31A1E">
        <w:t>)</w:t>
      </w:r>
      <w:r w:rsidR="002207C8">
        <w:t>;</w:t>
      </w:r>
      <w:r w:rsidR="0079236C">
        <w:t xml:space="preserve"> </w:t>
      </w:r>
      <w:r w:rsidR="0079236C" w:rsidRPr="00F233D5">
        <w:t>please</w:t>
      </w:r>
      <w:r w:rsidR="006533CB">
        <w:t xml:space="preserve"> note that exclusion criteria</w:t>
      </w:r>
      <w:r w:rsidR="0079236C">
        <w:t xml:space="preserve"> are not mutually exclusive</w:t>
      </w:r>
      <w:r w:rsidR="0079236C" w:rsidRPr="0012754C">
        <w:t>.</w:t>
      </w:r>
    </w:p>
    <w:p w14:paraId="77FB7526" w14:textId="37717C96" w:rsidR="00C70F06" w:rsidRDefault="006E48A2" w:rsidP="00DE3EBB">
      <w:pPr>
        <w:pStyle w:val="bulletblue2"/>
        <w:numPr>
          <w:ilvl w:val="0"/>
          <w:numId w:val="0"/>
        </w:numPr>
        <w:spacing w:line="240" w:lineRule="auto"/>
        <w:ind w:left="720"/>
      </w:pPr>
      <w:r>
        <w:t>119,218</w:t>
      </w:r>
      <w:r w:rsidR="00424F18" w:rsidRPr="00C31A1E">
        <w:t xml:space="preserve"> (</w:t>
      </w:r>
      <w:r>
        <w:t>7.3</w:t>
      </w:r>
      <w:r w:rsidR="00547EF0">
        <w:t>%</w:t>
      </w:r>
      <w:r w:rsidR="00571C1C">
        <w:t xml:space="preserve"> of short-stay residents</w:t>
      </w:r>
      <w:r w:rsidR="00547EF0">
        <w:t xml:space="preserve"> in Quarter 2, 2017</w:t>
      </w:r>
      <w:r w:rsidR="00424F18" w:rsidRPr="00C31A1E">
        <w:t xml:space="preserve">) residents were excluded because they were unable to participate in the pain assessment interview (i.e., they were rarely or never understood (J0200 = [0]) or they were unable to answer when asked, “Have you had pain or hurting at any time in the last 5 days? (J0300 = [9])).  </w:t>
      </w:r>
      <w:r w:rsidR="00453A1C">
        <w:t>This measure includes only those individuals who can self-report pain</w:t>
      </w:r>
      <w:r w:rsidR="002207C8">
        <w:t>;</w:t>
      </w:r>
      <w:r w:rsidR="00453A1C">
        <w:t xml:space="preserve"> those unable to self-report would have their pain assessed by nursing facility staff assessment. </w:t>
      </w:r>
      <w:r w:rsidR="00453A1C" w:rsidRPr="00207CD8">
        <w:t>The decision to focus on self-report</w:t>
      </w:r>
      <w:r w:rsidR="006866AF">
        <w:t>ed pain</w:t>
      </w:r>
      <w:r w:rsidR="00453A1C" w:rsidRPr="00207CD8">
        <w:t xml:space="preserve"> was previously well vetted with the Nursing Home Quality Measure (NHQM) project TEP and based on literature showing results from self-report and staff assessment are not comparable.</w:t>
      </w:r>
    </w:p>
    <w:p w14:paraId="4F6888D1" w14:textId="3189BFC1" w:rsidR="00C07BDD" w:rsidRDefault="00C07BDD" w:rsidP="00542C52">
      <w:pPr>
        <w:pStyle w:val="bulletblue2"/>
        <w:numPr>
          <w:ilvl w:val="0"/>
          <w:numId w:val="0"/>
        </w:numPr>
        <w:spacing w:line="240" w:lineRule="auto"/>
      </w:pPr>
    </w:p>
    <w:p w14:paraId="179F1514" w14:textId="581ABB74" w:rsidR="00542C52" w:rsidRDefault="00067FB2" w:rsidP="00C07BDD">
      <w:pPr>
        <w:pStyle w:val="bulletblue2"/>
        <w:numPr>
          <w:ilvl w:val="0"/>
          <w:numId w:val="0"/>
        </w:numPr>
        <w:spacing w:line="240" w:lineRule="auto"/>
        <w:ind w:left="720"/>
      </w:pPr>
      <w:bookmarkStart w:id="20" w:name="_Hlk502310955"/>
      <w:r>
        <w:t>844</w:t>
      </w:r>
      <w:r w:rsidR="006648FC">
        <w:t xml:space="preserve"> residents </w:t>
      </w:r>
      <w:r w:rsidR="003A1307">
        <w:t>(</w:t>
      </w:r>
      <w:r w:rsidR="006A5CE9">
        <w:t>&lt;0.</w:t>
      </w:r>
      <w:r w:rsidR="00EE2BC0">
        <w:t>1</w:t>
      </w:r>
      <w:r w:rsidR="006A5CE9">
        <w:t>% of</w:t>
      </w:r>
      <w:r w:rsidR="003A1307">
        <w:t xml:space="preserve"> short-stay residents in Quarter 2, 2017) </w:t>
      </w:r>
      <w:r w:rsidR="00C07BDD" w:rsidRPr="00C31A1E">
        <w:t>were excluded because data on pain items were inconsistent (item J0300 indicated pain or hurting but item J0600A indicated a pain rating of [0]).</w:t>
      </w:r>
    </w:p>
    <w:bookmarkEnd w:id="20"/>
    <w:p w14:paraId="76EA1104" w14:textId="77777777" w:rsidR="00542C52" w:rsidRDefault="00542C52" w:rsidP="00542C52">
      <w:pPr>
        <w:pStyle w:val="bulletblue2"/>
        <w:numPr>
          <w:ilvl w:val="0"/>
          <w:numId w:val="0"/>
        </w:numPr>
        <w:spacing w:line="240" w:lineRule="auto"/>
        <w:ind w:left="720"/>
      </w:pPr>
    </w:p>
    <w:p w14:paraId="1659D85B" w14:textId="7C0C358B" w:rsidR="00542C52" w:rsidRDefault="00542C52" w:rsidP="00542C52">
      <w:pPr>
        <w:pStyle w:val="bulletblue2"/>
        <w:numPr>
          <w:ilvl w:val="0"/>
          <w:numId w:val="0"/>
        </w:numPr>
        <w:spacing w:line="240" w:lineRule="auto"/>
        <w:ind w:left="720"/>
      </w:pPr>
      <w:r w:rsidRPr="0029162E">
        <w:t>347,376</w:t>
      </w:r>
      <w:r>
        <w:t xml:space="preserve"> </w:t>
      </w:r>
      <w:r w:rsidRPr="00C31A1E">
        <w:t>residents (</w:t>
      </w:r>
      <w:r>
        <w:t>21.1 % of short-stay residents in Quarter 2, 2017</w:t>
      </w:r>
      <w:r w:rsidRPr="00C31A1E">
        <w:t xml:space="preserve">) were excluded </w:t>
      </w:r>
      <w:r w:rsidRPr="007225D3">
        <w:t>due to missing data on pain items</w:t>
      </w:r>
      <w:r>
        <w:t xml:space="preserve">. Of the </w:t>
      </w:r>
      <w:r w:rsidRPr="0029162E">
        <w:t>347,376</w:t>
      </w:r>
      <w:r>
        <w:t xml:space="preserve"> </w:t>
      </w:r>
      <w:r w:rsidRPr="00C31A1E">
        <w:t xml:space="preserve">residents </w:t>
      </w:r>
      <w:r>
        <w:t>excluded due to missing data on pain items</w:t>
      </w:r>
      <w:r w:rsidR="006866AF">
        <w:t>,</w:t>
      </w:r>
      <w:r>
        <w:t xml:space="preserve"> </w:t>
      </w:r>
      <w:r w:rsidRPr="008B02C0">
        <w:t>248,</w:t>
      </w:r>
      <w:r w:rsidRPr="009D4F8B">
        <w:t>092 (71.4%) had</w:t>
      </w:r>
      <w:r>
        <w:t xml:space="preserve"> target assessments that were unplanned discharge assessments. If the unplanned discharge item set is used, the resident interview items are not present and there is no opportunity to conduct a resident interview or staff assessment. In these cases, the MDS 3.0 RAI manual allows for the entry of dashes in lieu of pain data. This is</w:t>
      </w:r>
      <w:r w:rsidR="006866AF">
        <w:t>,</w:t>
      </w:r>
      <w:r>
        <w:t xml:space="preserve"> therefore</w:t>
      </w:r>
      <w:r w:rsidR="006866AF">
        <w:t>,</w:t>
      </w:r>
      <w:r>
        <w:t xml:space="preserve"> a logical reason to exclude those residents for which no data are available. </w:t>
      </w:r>
    </w:p>
    <w:p w14:paraId="5FF2A0F6" w14:textId="05023DF1" w:rsidR="0079236C" w:rsidRPr="008D3ECC" w:rsidRDefault="008D3ECC" w:rsidP="008D3ECC">
      <w:pPr>
        <w:pStyle w:val="bulletblue2"/>
        <w:numPr>
          <w:ilvl w:val="0"/>
          <w:numId w:val="0"/>
        </w:numPr>
        <w:spacing w:line="240" w:lineRule="auto"/>
        <w:ind w:left="720"/>
      </w:pPr>
      <w:r>
        <w:t xml:space="preserve"> </w:t>
      </w:r>
    </w:p>
    <w:p w14:paraId="3C9B3FD3" w14:textId="1AB6213E" w:rsidR="00C70F06" w:rsidRPr="009D4F8B" w:rsidRDefault="00C70F06" w:rsidP="00C70F06">
      <w:pPr>
        <w:autoSpaceDE w:val="0"/>
        <w:autoSpaceDN w:val="0"/>
        <w:adjustRightInd w:val="0"/>
        <w:spacing w:after="0" w:line="240" w:lineRule="auto"/>
        <w:rPr>
          <w:rFonts w:ascii="Calibri" w:eastAsia="MS Mincho" w:hAnsi="Calibri" w:cs="Calibri"/>
          <w:bCs/>
          <w:color w:val="0000FF"/>
          <w:sz w:val="20"/>
          <w:szCs w:val="20"/>
        </w:rPr>
      </w:pPr>
      <w:bookmarkStart w:id="21" w:name="_Hlk511390843"/>
      <w:r w:rsidRPr="009D4F8B">
        <w:rPr>
          <w:rFonts w:ascii="Calibri" w:eastAsia="MS Mincho" w:hAnsi="Calibri" w:cs="Calibri"/>
          <w:bCs/>
          <w:color w:val="0000FF"/>
          <w:sz w:val="20"/>
          <w:szCs w:val="20"/>
        </w:rPr>
        <w:t xml:space="preserve">SOURCE: RTI analysis of Q2 2017 MDS 3.0 data (programming reference: rn01\db360_request_q2627_676.log; </w:t>
      </w:r>
      <w:r w:rsidR="0028596F">
        <w:rPr>
          <w:rFonts w:ascii="Calibri" w:eastAsia="MS Mincho" w:hAnsi="Calibri" w:cs="Calibri"/>
          <w:bCs/>
          <w:color w:val="0000FF"/>
          <w:sz w:val="20"/>
          <w:szCs w:val="20"/>
        </w:rPr>
        <w:t xml:space="preserve">ljc04\ljc04_request_676; </w:t>
      </w:r>
      <w:r w:rsidRPr="009D4F8B">
        <w:rPr>
          <w:rFonts w:ascii="Calibri" w:eastAsia="MS Mincho" w:hAnsi="Calibri" w:cs="Calibri"/>
          <w:bCs/>
          <w:color w:val="0000FF"/>
          <w:sz w:val="20"/>
          <w:szCs w:val="20"/>
        </w:rPr>
        <w:t>rn16\rn16_request_q2627_676.log</w:t>
      </w:r>
      <w:r w:rsidR="008B02C0" w:rsidRPr="009D4F8B">
        <w:rPr>
          <w:rFonts w:ascii="Calibri" w:eastAsia="MS Mincho" w:hAnsi="Calibri" w:cs="Calibri"/>
          <w:bCs/>
          <w:color w:val="0000FF"/>
          <w:sz w:val="20"/>
          <w:szCs w:val="20"/>
        </w:rPr>
        <w:t xml:space="preserve">; </w:t>
      </w:r>
      <w:proofErr w:type="spellStart"/>
      <w:r w:rsidR="008B02C0" w:rsidRPr="009D4F8B">
        <w:rPr>
          <w:rFonts w:ascii="Calibri" w:eastAsia="MS Mincho" w:hAnsi="Calibri" w:cs="Calibri"/>
          <w:bCs/>
          <w:color w:val="0000FF"/>
          <w:sz w:val="20"/>
          <w:szCs w:val="20"/>
        </w:rPr>
        <w:t>av</w:t>
      </w:r>
      <w:proofErr w:type="spellEnd"/>
      <w:r w:rsidR="008B02C0" w:rsidRPr="009D4F8B">
        <w:rPr>
          <w:rFonts w:ascii="Calibri" w:eastAsia="MS Mincho" w:hAnsi="Calibri" w:cs="Calibri"/>
          <w:bCs/>
          <w:color w:val="0000FF"/>
          <w:sz w:val="20"/>
          <w:szCs w:val="20"/>
        </w:rPr>
        <w:t>\db361_rerun.log</w:t>
      </w:r>
      <w:r w:rsidRPr="009D4F8B">
        <w:rPr>
          <w:rFonts w:ascii="Calibri" w:eastAsia="MS Mincho" w:hAnsi="Calibri" w:cs="Calibri"/>
          <w:bCs/>
          <w:color w:val="0000FF"/>
          <w:sz w:val="20"/>
          <w:szCs w:val="20"/>
        </w:rPr>
        <w:t>)</w:t>
      </w:r>
    </w:p>
    <w:bookmarkEnd w:id="21"/>
    <w:p w14:paraId="3A22E19F" w14:textId="77777777" w:rsidR="00424F18" w:rsidRDefault="00424F18" w:rsidP="00092566">
      <w:pPr>
        <w:autoSpaceDE w:val="0"/>
        <w:autoSpaceDN w:val="0"/>
        <w:adjustRightInd w:val="0"/>
        <w:spacing w:after="0" w:line="240" w:lineRule="auto"/>
        <w:rPr>
          <w:rFonts w:cstheme="minorHAnsi"/>
          <w:bCs/>
        </w:rPr>
      </w:pPr>
    </w:p>
    <w:p w14:paraId="0CABCFE7" w14:textId="77777777" w:rsidR="00092566" w:rsidRPr="009D3882" w:rsidRDefault="00092566" w:rsidP="00092566">
      <w:pPr>
        <w:autoSpaceDE w:val="0"/>
        <w:autoSpaceDN w:val="0"/>
        <w:adjustRightInd w:val="0"/>
        <w:spacing w:after="0" w:line="240" w:lineRule="auto"/>
        <w:rPr>
          <w:rFonts w:cstheme="minorHAnsi"/>
          <w:bCs/>
          <w:sz w:val="12"/>
        </w:rPr>
      </w:pPr>
    </w:p>
    <w:p w14:paraId="0CABCFE8" w14:textId="55BCD7A4" w:rsidR="007422FD" w:rsidRDefault="00092566" w:rsidP="00DB3627">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p>
    <w:p w14:paraId="585310DD" w14:textId="190461FF" w:rsidR="002B083F" w:rsidRDefault="00410B78" w:rsidP="00424F18">
      <w:pPr>
        <w:pStyle w:val="Response"/>
      </w:pPr>
      <w:r>
        <w:t>Most</w:t>
      </w:r>
      <w:r w:rsidR="002B083F">
        <w:t xml:space="preserve"> exclusions for this measure occur because of missing data; i</w:t>
      </w:r>
      <w:r w:rsidR="00B0142A">
        <w:t>mpact of missing data on this quality measure</w:t>
      </w:r>
      <w:r w:rsidR="002B083F">
        <w:t xml:space="preserve"> is a</w:t>
      </w:r>
      <w:r w:rsidR="008C54E9">
        <w:t>ssessed in detail in section 2b6</w:t>
      </w:r>
      <w:r w:rsidR="002B083F">
        <w:t xml:space="preserve">. </w:t>
      </w:r>
    </w:p>
    <w:p w14:paraId="09E080E7" w14:textId="1152C16C" w:rsidR="008C54E9" w:rsidRDefault="009D4F8B" w:rsidP="00E61608">
      <w:pPr>
        <w:autoSpaceDE w:val="0"/>
        <w:autoSpaceDN w:val="0"/>
        <w:adjustRightInd w:val="0"/>
        <w:spacing w:after="0" w:line="240" w:lineRule="auto"/>
        <w:rPr>
          <w:rFonts w:cstheme="minorHAnsi"/>
          <w:bCs/>
          <w:color w:val="0000FF"/>
        </w:rPr>
      </w:pPr>
      <w:r>
        <w:rPr>
          <w:rFonts w:cstheme="minorHAnsi"/>
          <w:bCs/>
          <w:color w:val="0000FF"/>
        </w:rPr>
        <w:t xml:space="preserve">7.3% of </w:t>
      </w:r>
      <w:r w:rsidR="008C54E9">
        <w:rPr>
          <w:rFonts w:cstheme="minorHAnsi"/>
          <w:bCs/>
          <w:color w:val="0000FF"/>
        </w:rPr>
        <w:t>short</w:t>
      </w:r>
      <w:r w:rsidR="008C54E9" w:rsidRPr="000C66BE">
        <w:rPr>
          <w:rFonts w:cstheme="minorHAnsi"/>
          <w:bCs/>
          <w:color w:val="0000FF"/>
        </w:rPr>
        <w:t>-stay residents were excluded because they were unable to participate in the pain assessment interview (i.e., they were rarely or never understood (J0200 = [0]) or they were unable to answer when asked, “Have you had pain or hurting at any time in the last 5 days? (J0300 = [9])). The decision to focus on self-report was previously well vetted with the Nursing Home Quality Measure (NHQM) project TEP and based on literature showing</w:t>
      </w:r>
      <w:r w:rsidR="008C54E9">
        <w:rPr>
          <w:rFonts w:cstheme="minorHAnsi"/>
          <w:bCs/>
          <w:color w:val="0000FF"/>
        </w:rPr>
        <w:t xml:space="preserve"> that</w:t>
      </w:r>
      <w:r w:rsidR="008C54E9" w:rsidRPr="000C66BE">
        <w:rPr>
          <w:rFonts w:cstheme="minorHAnsi"/>
          <w:bCs/>
          <w:color w:val="0000FF"/>
        </w:rPr>
        <w:t xml:space="preserve"> results from self-report and staff assessment are not comparable.</w:t>
      </w:r>
    </w:p>
    <w:p w14:paraId="2ED319C9" w14:textId="73910DC8" w:rsidR="0028596F" w:rsidRDefault="0028596F" w:rsidP="00E61608">
      <w:pPr>
        <w:autoSpaceDE w:val="0"/>
        <w:autoSpaceDN w:val="0"/>
        <w:adjustRightInd w:val="0"/>
        <w:spacing w:after="0" w:line="240" w:lineRule="auto"/>
        <w:rPr>
          <w:rFonts w:cstheme="minorHAnsi"/>
          <w:bCs/>
          <w:color w:val="0000FF"/>
        </w:rPr>
      </w:pPr>
    </w:p>
    <w:p w14:paraId="5ED170CA" w14:textId="23AE03C9" w:rsidR="0028596F" w:rsidRPr="009D4F8B" w:rsidRDefault="0028596F" w:rsidP="0028596F">
      <w:pPr>
        <w:autoSpaceDE w:val="0"/>
        <w:autoSpaceDN w:val="0"/>
        <w:adjustRightInd w:val="0"/>
        <w:spacing w:after="0" w:line="240" w:lineRule="auto"/>
        <w:rPr>
          <w:rFonts w:ascii="Calibri" w:eastAsia="MS Mincho" w:hAnsi="Calibri" w:cs="Calibri"/>
          <w:bCs/>
          <w:color w:val="0000FF"/>
          <w:sz w:val="20"/>
          <w:szCs w:val="20"/>
        </w:rPr>
      </w:pPr>
      <w:bookmarkStart w:id="22" w:name="_Hlk511394366"/>
      <w:r w:rsidRPr="009D4F8B">
        <w:rPr>
          <w:rFonts w:ascii="Calibri" w:eastAsia="MS Mincho" w:hAnsi="Calibri" w:cs="Calibri"/>
          <w:bCs/>
          <w:color w:val="0000FF"/>
          <w:sz w:val="20"/>
          <w:szCs w:val="20"/>
        </w:rPr>
        <w:t>SOURCE: RTI analysis of Q2 2017 MDS 3.0</w:t>
      </w:r>
      <w:r>
        <w:rPr>
          <w:rFonts w:ascii="Calibri" w:eastAsia="MS Mincho" w:hAnsi="Calibri" w:cs="Calibri"/>
          <w:bCs/>
          <w:color w:val="0000FF"/>
          <w:sz w:val="20"/>
          <w:szCs w:val="20"/>
        </w:rPr>
        <w:t xml:space="preserve"> data (programming reference: </w:t>
      </w:r>
      <w:r w:rsidRPr="009D4F8B">
        <w:rPr>
          <w:rFonts w:ascii="Calibri" w:eastAsia="MS Mincho" w:hAnsi="Calibri" w:cs="Calibri"/>
          <w:bCs/>
          <w:color w:val="0000FF"/>
          <w:sz w:val="20"/>
          <w:szCs w:val="20"/>
        </w:rPr>
        <w:t>rn16\rn16_request_q2627_676.log)</w:t>
      </w:r>
    </w:p>
    <w:bookmarkEnd w:id="22"/>
    <w:p w14:paraId="1ECAA2BA" w14:textId="77777777" w:rsidR="0028596F" w:rsidRPr="008C54E9" w:rsidRDefault="0028596F" w:rsidP="00E61608">
      <w:pPr>
        <w:autoSpaceDE w:val="0"/>
        <w:autoSpaceDN w:val="0"/>
        <w:adjustRightInd w:val="0"/>
        <w:spacing w:after="0" w:line="240" w:lineRule="auto"/>
      </w:pPr>
    </w:p>
    <w:p w14:paraId="0CABCFE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A6C3041" w:rsidR="00AC1D8E" w:rsidRPr="0086464B" w:rsidRDefault="00092566" w:rsidP="00AC1D8E">
      <w:pPr>
        <w:autoSpaceDE w:val="0"/>
        <w:autoSpaceDN w:val="0"/>
        <w:adjustRightInd w:val="0"/>
        <w:spacing w:after="0" w:line="240" w:lineRule="auto"/>
        <w:rPr>
          <w:rFonts w:cstheme="minorHAnsi"/>
          <w:b/>
          <w:bCs/>
          <w:i/>
        </w:rPr>
      </w:pPr>
      <w:bookmarkStart w:id="23" w:name="section2b4"/>
      <w:bookmarkEnd w:id="23"/>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w:t>
        </w:r>
        <w:r w:rsidR="00565946">
          <w:rPr>
            <w:rStyle w:val="Hyperlink"/>
            <w:rFonts w:cstheme="minorHAnsi"/>
            <w:b/>
            <w:bCs/>
            <w:i/>
            <w:highlight w:val="green"/>
          </w:rPr>
          <w:t>4</w:t>
        </w:r>
      </w:hyperlink>
      <w:r w:rsidR="00BE592D" w:rsidRPr="00BE592D">
        <w:rPr>
          <w:rFonts w:cstheme="minorHAnsi"/>
          <w:b/>
          <w:bCs/>
          <w:i/>
          <w:highlight w:val="green"/>
        </w:rPr>
        <w:t>.</w:t>
      </w:r>
    </w:p>
    <w:p w14:paraId="0CABCFEB" w14:textId="77777777" w:rsidR="008871A9" w:rsidRDefault="008871A9" w:rsidP="00092566">
      <w:pPr>
        <w:autoSpaceDE w:val="0"/>
        <w:autoSpaceDN w:val="0"/>
        <w:adjustRightInd w:val="0"/>
        <w:spacing w:after="0" w:line="240" w:lineRule="auto"/>
        <w:rPr>
          <w:rFonts w:cstheme="minorHAnsi"/>
          <w:b/>
          <w:bCs/>
        </w:rPr>
      </w:pP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r w:rsidR="00743E46" w:rsidRPr="005232D6">
        <w:rPr>
          <w:rFonts w:cstheme="minorHAnsi"/>
          <w:b/>
          <w:bCs/>
        </w:rPr>
        <w:t>What method of controlling for differences in case mix is used?</w:t>
      </w:r>
    </w:p>
    <w:p w14:paraId="0CABCFED" w14:textId="7C481782" w:rsidR="00033038" w:rsidRPr="005232D6" w:rsidRDefault="001D4EB8"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Content>
          <w:r w:rsidR="009D4F8B">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77777777" w:rsidR="00743E46" w:rsidRPr="005232D6" w:rsidRDefault="001D4EB8"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1D4EB8"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1D4EB8"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16DC31C6" w14:textId="75B3AF18" w:rsidR="00747647" w:rsidRPr="007B766A" w:rsidRDefault="00747647" w:rsidP="00747647">
      <w:pPr>
        <w:autoSpaceDE w:val="0"/>
        <w:autoSpaceDN w:val="0"/>
        <w:adjustRightInd w:val="0"/>
        <w:spacing w:after="0" w:line="240" w:lineRule="auto"/>
        <w:rPr>
          <w:rFonts w:cstheme="minorHAnsi"/>
          <w:b/>
          <w:bCs/>
        </w:rPr>
      </w:pPr>
    </w:p>
    <w:p w14:paraId="186E30D5" w14:textId="77777777" w:rsidR="00747647" w:rsidRPr="007B766A" w:rsidRDefault="00747647" w:rsidP="00747647">
      <w:pPr>
        <w:autoSpaceDE w:val="0"/>
        <w:autoSpaceDN w:val="0"/>
        <w:adjustRightInd w:val="0"/>
        <w:spacing w:after="0" w:line="240" w:lineRule="auto"/>
        <w:rPr>
          <w:rFonts w:cstheme="minorHAnsi"/>
          <w:bCs/>
        </w:rPr>
      </w:pPr>
      <w:bookmarkStart w:id="24" w:name="_Hlk496703037"/>
      <w:r w:rsidRPr="007B766A">
        <w:rPr>
          <w:rFonts w:cstheme="minorHAnsi"/>
          <w:b/>
          <w:bCs/>
        </w:rPr>
        <w:t xml:space="preserve">2b3.1.1 </w:t>
      </w:r>
      <w:bookmarkEnd w:id="24"/>
      <w:r w:rsidRPr="007B766A">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565412D3" w14:textId="77777777" w:rsidR="00747647" w:rsidRPr="007B766A" w:rsidRDefault="00747647" w:rsidP="00747647">
      <w:pPr>
        <w:autoSpaceDE w:val="0"/>
        <w:autoSpaceDN w:val="0"/>
        <w:adjustRightInd w:val="0"/>
        <w:spacing w:after="0" w:line="240" w:lineRule="auto"/>
        <w:rPr>
          <w:rFonts w:cstheme="minorHAnsi"/>
          <w:bCs/>
        </w:rPr>
      </w:pPr>
    </w:p>
    <w:p w14:paraId="72631260" w14:textId="77777777" w:rsidR="00747647" w:rsidRPr="007B766A" w:rsidRDefault="00747647" w:rsidP="00747647">
      <w:pPr>
        <w:rPr>
          <w:rFonts w:cstheme="minorHAnsi"/>
          <w:bCs/>
          <w:color w:val="0000FF"/>
        </w:rPr>
      </w:pPr>
      <w:r w:rsidRPr="007B766A">
        <w:rPr>
          <w:rFonts w:cstheme="minorHAnsi"/>
          <w:bCs/>
          <w:color w:val="0000FF"/>
        </w:rPr>
        <w:t>Not applicable.  This measure is not risk-adjusted.</w:t>
      </w:r>
    </w:p>
    <w:p w14:paraId="5DC4D207" w14:textId="77777777" w:rsidR="00747647" w:rsidRPr="007B766A" w:rsidRDefault="00747647" w:rsidP="00747647">
      <w:pPr>
        <w:rPr>
          <w:rFonts w:cstheme="minorHAnsi"/>
          <w:b/>
          <w:bCs/>
        </w:rPr>
      </w:pPr>
      <w:r w:rsidRPr="007B766A">
        <w:rPr>
          <w:rFonts w:cs="Calibri"/>
          <w:b/>
          <w:bCs/>
        </w:rPr>
        <w:t xml:space="preserve">2b3.2. If an outcome or resource use component measure is </w:t>
      </w:r>
      <w:r w:rsidRPr="007B766A">
        <w:rPr>
          <w:rFonts w:cs="Calibri"/>
          <w:b/>
          <w:bCs/>
          <w:u w:val="single"/>
        </w:rPr>
        <w:t>not risk adjusted or stratified</w:t>
      </w:r>
      <w:r w:rsidRPr="007B766A">
        <w:rPr>
          <w:rFonts w:cs="Calibri"/>
          <w:b/>
          <w:bCs/>
        </w:rPr>
        <w:t xml:space="preserve">, provide </w:t>
      </w:r>
      <w:r w:rsidRPr="007B766A">
        <w:rPr>
          <w:rFonts w:cs="Calibri"/>
          <w:b/>
          <w:bCs/>
          <w:u w:val="single"/>
        </w:rPr>
        <w:t>rationale and analyses</w:t>
      </w:r>
      <w:r w:rsidRPr="007B766A">
        <w:rPr>
          <w:rFonts w:cs="Calibri"/>
          <w:b/>
          <w:bCs/>
        </w:rPr>
        <w:t xml:space="preserve"> to demonstrate that controlling for differences in patient characteristics (case mix) is not needed to achieve fair comparisons across measured entities</w:t>
      </w:r>
      <w:r w:rsidRPr="007B766A">
        <w:rPr>
          <w:rFonts w:cs="Calibri"/>
          <w:bCs/>
        </w:rPr>
        <w:t xml:space="preserve">. </w:t>
      </w:r>
    </w:p>
    <w:p w14:paraId="62BA38C6" w14:textId="06582CFB" w:rsidR="00747647" w:rsidRPr="00A44749" w:rsidRDefault="00747647" w:rsidP="00747647">
      <w:pPr>
        <w:pStyle w:val="BodyText"/>
        <w:rPr>
          <w:iCs/>
          <w:color w:val="0000FF"/>
        </w:rPr>
      </w:pPr>
      <w:r w:rsidRPr="0092756B">
        <w:rPr>
          <w:rFonts w:cstheme="minorHAnsi"/>
          <w:bCs/>
          <w:color w:val="0000FF"/>
          <w:sz w:val="22"/>
        </w:rPr>
        <w:t>Prior analyses of potential risk-adjustment models failed to yield a model with adequate predictive power</w:t>
      </w:r>
      <w:r w:rsidR="004A7039">
        <w:rPr>
          <w:rFonts w:cstheme="minorHAnsi"/>
          <w:bCs/>
          <w:color w:val="0000FF"/>
          <w:sz w:val="22"/>
        </w:rPr>
        <w:t xml:space="preserve"> for this measure</w:t>
      </w:r>
      <w:r w:rsidRPr="0092756B">
        <w:rPr>
          <w:rFonts w:cstheme="minorHAnsi"/>
          <w:bCs/>
          <w:color w:val="0000FF"/>
          <w:sz w:val="22"/>
        </w:rPr>
        <w:t>.</w:t>
      </w:r>
      <w:r w:rsidRPr="007B766A">
        <w:rPr>
          <w:rFonts w:cstheme="minorHAnsi"/>
          <w:bCs/>
          <w:color w:val="0000FF"/>
        </w:rPr>
        <w:t xml:space="preserve"> </w:t>
      </w:r>
      <w:r w:rsidR="004A7039">
        <w:rPr>
          <w:rFonts w:asciiTheme="minorHAnsi" w:eastAsiaTheme="minorEastAsia" w:hAnsiTheme="minorHAnsi" w:cstheme="minorBidi"/>
          <w:iCs/>
          <w:color w:val="0000FF"/>
          <w:sz w:val="22"/>
        </w:rPr>
        <w:t>Past</w:t>
      </w:r>
      <w:r>
        <w:rPr>
          <w:rFonts w:asciiTheme="minorHAnsi" w:eastAsiaTheme="minorEastAsia" w:hAnsiTheme="minorHAnsi" w:cstheme="minorBidi"/>
          <w:iCs/>
          <w:color w:val="0000FF"/>
          <w:sz w:val="22"/>
        </w:rPr>
        <w:t xml:space="preserve"> RTI analysis (previously submitted to NQF) identified potential clinical </w:t>
      </w:r>
      <w:r w:rsidRPr="0071037F">
        <w:rPr>
          <w:rFonts w:asciiTheme="minorHAnsi" w:eastAsiaTheme="minorEastAsia" w:hAnsiTheme="minorHAnsi" w:cstheme="minorBidi"/>
          <w:iCs/>
          <w:color w:val="0000FF"/>
          <w:sz w:val="22"/>
        </w:rPr>
        <w:t>risk adjustors</w:t>
      </w:r>
      <w:r>
        <w:rPr>
          <w:rFonts w:asciiTheme="minorHAnsi" w:eastAsiaTheme="minorEastAsia" w:hAnsiTheme="minorHAnsi" w:cstheme="minorBidi"/>
          <w:iCs/>
          <w:color w:val="0000FF"/>
          <w:sz w:val="22"/>
        </w:rPr>
        <w:t xml:space="preserve">, </w:t>
      </w:r>
      <w:r w:rsidRPr="0071037F">
        <w:rPr>
          <w:rFonts w:asciiTheme="minorHAnsi" w:eastAsiaTheme="minorEastAsia" w:hAnsiTheme="minorHAnsi" w:cstheme="minorBidi"/>
          <w:iCs/>
          <w:color w:val="0000FF"/>
          <w:sz w:val="22"/>
        </w:rPr>
        <w:t>selec</w:t>
      </w:r>
      <w:r>
        <w:rPr>
          <w:rFonts w:asciiTheme="minorHAnsi" w:eastAsiaTheme="minorEastAsia" w:hAnsiTheme="minorHAnsi" w:cstheme="minorBidi"/>
          <w:iCs/>
          <w:color w:val="0000FF"/>
          <w:sz w:val="22"/>
        </w:rPr>
        <w:t xml:space="preserve">ted based on literature review and clinical relevance, including oldest old (age </w:t>
      </w:r>
      <w:r>
        <w:rPr>
          <w:rFonts w:asciiTheme="minorHAnsi" w:eastAsiaTheme="minorEastAsia" w:hAnsiTheme="minorHAnsi" w:cstheme="minorHAnsi"/>
          <w:iCs/>
          <w:color w:val="0000FF"/>
          <w:sz w:val="22"/>
        </w:rPr>
        <w:t>≥</w:t>
      </w:r>
      <w:r>
        <w:rPr>
          <w:rFonts w:asciiTheme="minorHAnsi" w:eastAsiaTheme="minorEastAsia" w:hAnsiTheme="minorHAnsi" w:cstheme="minorBidi"/>
          <w:iCs/>
          <w:color w:val="0000FF"/>
          <w:sz w:val="22"/>
        </w:rPr>
        <w:t xml:space="preserve"> 85 years), make self understood, stroke, arthritis, and asthma/COPD</w:t>
      </w:r>
      <w:r w:rsidRPr="0071037F">
        <w:rPr>
          <w:rFonts w:asciiTheme="minorHAnsi" w:eastAsiaTheme="minorEastAsia" w:hAnsiTheme="minorHAnsi" w:cstheme="minorBidi"/>
          <w:iCs/>
          <w:color w:val="0000FF"/>
          <w:sz w:val="22"/>
        </w:rPr>
        <w:t xml:space="preserve">. </w:t>
      </w:r>
      <w:r>
        <w:rPr>
          <w:rFonts w:asciiTheme="minorHAnsi" w:eastAsiaTheme="minorEastAsia" w:hAnsiTheme="minorHAnsi" w:cstheme="minorBidi"/>
          <w:iCs/>
          <w:color w:val="0000FF"/>
          <w:sz w:val="22"/>
        </w:rPr>
        <w:t>B</w:t>
      </w:r>
      <w:r w:rsidRPr="0019247D">
        <w:rPr>
          <w:rFonts w:asciiTheme="minorHAnsi" w:eastAsiaTheme="minorEastAsia" w:hAnsiTheme="minorHAnsi" w:cstheme="minorBidi"/>
          <w:iCs/>
          <w:color w:val="0000FF"/>
          <w:sz w:val="22"/>
        </w:rPr>
        <w:t xml:space="preserve">ivariate analyses </w:t>
      </w:r>
      <w:r>
        <w:rPr>
          <w:rFonts w:asciiTheme="minorHAnsi" w:eastAsiaTheme="minorEastAsia" w:hAnsiTheme="minorHAnsi" w:cstheme="minorBidi"/>
          <w:iCs/>
          <w:color w:val="0000FF"/>
          <w:sz w:val="22"/>
        </w:rPr>
        <w:t xml:space="preserve">were conducted to examine these identified potential </w:t>
      </w:r>
      <w:r w:rsidRPr="0019247D">
        <w:rPr>
          <w:rFonts w:asciiTheme="minorHAnsi" w:eastAsiaTheme="minorEastAsia" w:hAnsiTheme="minorHAnsi" w:cstheme="minorBidi"/>
          <w:iCs/>
          <w:color w:val="0000FF"/>
          <w:sz w:val="22"/>
        </w:rPr>
        <w:t xml:space="preserve">risk factors. </w:t>
      </w:r>
      <w:r>
        <w:rPr>
          <w:rFonts w:asciiTheme="minorHAnsi" w:eastAsiaTheme="minorEastAsia" w:hAnsiTheme="minorHAnsi" w:cstheme="minorBidi"/>
          <w:iCs/>
          <w:color w:val="0000FF"/>
          <w:sz w:val="22"/>
        </w:rPr>
        <w:t xml:space="preserve"> C</w:t>
      </w:r>
      <w:r w:rsidRPr="0019247D">
        <w:rPr>
          <w:rFonts w:asciiTheme="minorHAnsi" w:eastAsiaTheme="minorEastAsia" w:hAnsiTheme="minorHAnsi" w:cstheme="minorBidi"/>
          <w:iCs/>
          <w:color w:val="0000FF"/>
          <w:sz w:val="22"/>
        </w:rPr>
        <w:t>linical review of results from the bivariate analyses</w:t>
      </w:r>
      <w:r>
        <w:rPr>
          <w:rFonts w:asciiTheme="minorHAnsi" w:eastAsiaTheme="minorEastAsia" w:hAnsiTheme="minorHAnsi" w:cstheme="minorBidi"/>
          <w:iCs/>
          <w:color w:val="0000FF"/>
          <w:sz w:val="22"/>
        </w:rPr>
        <w:t xml:space="preserve"> was then conducted to determine if there was a clinical rationale to risk adjust for these factors.</w:t>
      </w:r>
      <w:r w:rsidRPr="0019247D">
        <w:rPr>
          <w:rFonts w:asciiTheme="minorHAnsi" w:eastAsiaTheme="minorEastAsia" w:hAnsiTheme="minorHAnsi" w:cstheme="minorBidi"/>
          <w:iCs/>
          <w:color w:val="0000FF"/>
          <w:sz w:val="22"/>
        </w:rPr>
        <w:t xml:space="preserve"> </w:t>
      </w:r>
      <w:r>
        <w:rPr>
          <w:rFonts w:asciiTheme="minorHAnsi" w:eastAsiaTheme="minorEastAsia" w:hAnsiTheme="minorHAnsi" w:cstheme="minorBidi"/>
          <w:iCs/>
          <w:color w:val="0000FF"/>
          <w:sz w:val="22"/>
        </w:rPr>
        <w:t>Two criteria were then applied in the selecti</w:t>
      </w:r>
      <w:r w:rsidR="008C2420">
        <w:rPr>
          <w:rFonts w:asciiTheme="minorHAnsi" w:eastAsiaTheme="minorEastAsia" w:hAnsiTheme="minorHAnsi" w:cstheme="minorBidi"/>
          <w:iCs/>
          <w:color w:val="0000FF"/>
          <w:sz w:val="22"/>
        </w:rPr>
        <w:t>on of</w:t>
      </w:r>
      <w:r>
        <w:rPr>
          <w:rFonts w:asciiTheme="minorHAnsi" w:eastAsiaTheme="minorEastAsia" w:hAnsiTheme="minorHAnsi" w:cstheme="minorBidi"/>
          <w:iCs/>
          <w:color w:val="0000FF"/>
          <w:sz w:val="22"/>
        </w:rPr>
        <w:t xml:space="preserve"> risk factors: 1) at least 5% of residents have the described characteristic; </w:t>
      </w:r>
      <w:r w:rsidR="0072109A">
        <w:rPr>
          <w:rFonts w:asciiTheme="minorHAnsi" w:eastAsiaTheme="minorEastAsia" w:hAnsiTheme="minorHAnsi" w:cstheme="minorBidi"/>
          <w:iCs/>
          <w:color w:val="0000FF"/>
          <w:sz w:val="22"/>
        </w:rPr>
        <w:t xml:space="preserve">and </w:t>
      </w:r>
      <w:r>
        <w:rPr>
          <w:rFonts w:asciiTheme="minorHAnsi" w:eastAsiaTheme="minorEastAsia" w:hAnsiTheme="minorHAnsi" w:cstheme="minorBidi"/>
          <w:iCs/>
          <w:color w:val="0000FF"/>
          <w:sz w:val="22"/>
        </w:rPr>
        <w:t>2) bivariate analyses showed that that the examined resident characteristics were significantly associated with the measured outcome. S</w:t>
      </w:r>
      <w:r w:rsidRPr="0019247D">
        <w:rPr>
          <w:rFonts w:asciiTheme="minorHAnsi" w:eastAsiaTheme="minorEastAsia" w:hAnsiTheme="minorHAnsi" w:cstheme="minorBidi"/>
          <w:iCs/>
          <w:color w:val="0000FF"/>
          <w:sz w:val="22"/>
        </w:rPr>
        <w:t>elected characteristics were then</w:t>
      </w:r>
      <w:r>
        <w:rPr>
          <w:rFonts w:asciiTheme="minorHAnsi" w:eastAsiaTheme="minorEastAsia" w:hAnsiTheme="minorHAnsi" w:cstheme="minorBidi"/>
          <w:iCs/>
          <w:color w:val="0000FF"/>
          <w:sz w:val="22"/>
        </w:rPr>
        <w:t xml:space="preserve"> systematically</w:t>
      </w:r>
      <w:r w:rsidRPr="0019247D">
        <w:rPr>
          <w:rFonts w:asciiTheme="minorHAnsi" w:eastAsiaTheme="minorEastAsia" w:hAnsiTheme="minorHAnsi" w:cstheme="minorBidi"/>
          <w:iCs/>
          <w:color w:val="0000FF"/>
          <w:sz w:val="22"/>
        </w:rPr>
        <w:t xml:space="preserve"> included in a </w:t>
      </w:r>
      <w:r>
        <w:rPr>
          <w:rFonts w:asciiTheme="minorHAnsi" w:eastAsiaTheme="minorEastAsia" w:hAnsiTheme="minorHAnsi" w:cstheme="minorBidi"/>
          <w:iCs/>
          <w:color w:val="0000FF"/>
          <w:sz w:val="22"/>
        </w:rPr>
        <w:t xml:space="preserve">series of </w:t>
      </w:r>
      <w:r w:rsidRPr="0019247D">
        <w:rPr>
          <w:rFonts w:asciiTheme="minorHAnsi" w:eastAsiaTheme="minorEastAsia" w:hAnsiTheme="minorHAnsi" w:cstheme="minorBidi"/>
          <w:iCs/>
          <w:color w:val="0000FF"/>
          <w:sz w:val="22"/>
        </w:rPr>
        <w:t>multivariate logistic regression model</w:t>
      </w:r>
      <w:r>
        <w:rPr>
          <w:rFonts w:asciiTheme="minorHAnsi" w:eastAsiaTheme="minorEastAsia" w:hAnsiTheme="minorHAnsi" w:cstheme="minorBidi"/>
          <w:iCs/>
          <w:color w:val="0000FF"/>
          <w:sz w:val="22"/>
        </w:rPr>
        <w:t>s</w:t>
      </w:r>
      <w:r w:rsidRPr="0019247D">
        <w:rPr>
          <w:rFonts w:asciiTheme="minorHAnsi" w:eastAsiaTheme="minorEastAsia" w:hAnsiTheme="minorHAnsi" w:cstheme="minorBidi"/>
          <w:iCs/>
          <w:color w:val="0000FF"/>
          <w:sz w:val="22"/>
        </w:rPr>
        <w:t xml:space="preserve"> to test their independent importance in predicting the pain outcome and in improving the predictive power</w:t>
      </w:r>
      <w:r>
        <w:rPr>
          <w:rFonts w:asciiTheme="minorHAnsi" w:eastAsiaTheme="minorEastAsia" w:hAnsiTheme="minorHAnsi" w:cstheme="minorBidi"/>
          <w:iCs/>
          <w:color w:val="0000FF"/>
          <w:sz w:val="22"/>
        </w:rPr>
        <w:t xml:space="preserve"> of the model.</w:t>
      </w:r>
      <w:r w:rsidRPr="0019247D">
        <w:rPr>
          <w:rFonts w:asciiTheme="minorHAnsi" w:eastAsiaTheme="minorEastAsia" w:hAnsiTheme="minorHAnsi" w:cstheme="minorBidi"/>
          <w:iCs/>
          <w:color w:val="0000FF"/>
          <w:sz w:val="22"/>
        </w:rPr>
        <w:t xml:space="preserve"> </w:t>
      </w:r>
      <w:r w:rsidRPr="0071037F">
        <w:rPr>
          <w:rFonts w:asciiTheme="minorHAnsi" w:eastAsiaTheme="minorEastAsia" w:hAnsiTheme="minorHAnsi" w:cstheme="minorBidi"/>
          <w:iCs/>
          <w:color w:val="0000FF"/>
          <w:sz w:val="22"/>
        </w:rPr>
        <w:t xml:space="preserve">We made </w:t>
      </w:r>
      <w:r>
        <w:rPr>
          <w:rFonts w:asciiTheme="minorHAnsi" w:eastAsiaTheme="minorEastAsia" w:hAnsiTheme="minorHAnsi" w:cstheme="minorBidi"/>
          <w:iCs/>
          <w:color w:val="0000FF"/>
          <w:sz w:val="22"/>
        </w:rPr>
        <w:t>decisions to retain or drop</w:t>
      </w:r>
      <w:r w:rsidRPr="0071037F">
        <w:rPr>
          <w:rFonts w:asciiTheme="minorHAnsi" w:eastAsiaTheme="minorEastAsia" w:hAnsiTheme="minorHAnsi" w:cstheme="minorBidi"/>
          <w:iCs/>
          <w:color w:val="0000FF"/>
          <w:sz w:val="22"/>
        </w:rPr>
        <w:t xml:space="preserve"> </w:t>
      </w:r>
      <w:r>
        <w:rPr>
          <w:rFonts w:asciiTheme="minorHAnsi" w:eastAsiaTheme="minorEastAsia" w:hAnsiTheme="minorHAnsi" w:cstheme="minorBidi"/>
          <w:iCs/>
          <w:color w:val="0000FF"/>
          <w:sz w:val="22"/>
        </w:rPr>
        <w:t xml:space="preserve">risk adjustors based on </w:t>
      </w:r>
      <w:r w:rsidRPr="0071037F">
        <w:rPr>
          <w:rFonts w:asciiTheme="minorHAnsi" w:eastAsiaTheme="minorEastAsia" w:hAnsiTheme="minorHAnsi" w:cstheme="minorBidi"/>
          <w:iCs/>
          <w:color w:val="0000FF"/>
          <w:sz w:val="22"/>
        </w:rPr>
        <w:t>sample size, regression coefficient, significance level, and clinical relevance</w:t>
      </w:r>
      <w:r>
        <w:rPr>
          <w:rFonts w:asciiTheme="minorHAnsi" w:eastAsiaTheme="minorEastAsia" w:hAnsiTheme="minorHAnsi" w:cstheme="minorBidi"/>
          <w:iCs/>
          <w:color w:val="0000FF"/>
          <w:sz w:val="22"/>
        </w:rPr>
        <w:t>, and predictive power of the model</w:t>
      </w:r>
      <w:r w:rsidRPr="0071037F">
        <w:rPr>
          <w:rFonts w:asciiTheme="minorHAnsi" w:eastAsiaTheme="minorEastAsia" w:hAnsiTheme="minorHAnsi" w:cstheme="minorBidi"/>
          <w:iCs/>
          <w:color w:val="0000FF"/>
          <w:sz w:val="22"/>
        </w:rPr>
        <w:t xml:space="preserve">. </w:t>
      </w:r>
    </w:p>
    <w:p w14:paraId="1D20E2CB" w14:textId="003C9E72" w:rsidR="00747647" w:rsidRDefault="00747647" w:rsidP="00747647">
      <w:pPr>
        <w:spacing w:line="240" w:lineRule="auto"/>
        <w:rPr>
          <w:rFonts w:cstheme="minorHAnsi"/>
          <w:bCs/>
          <w:color w:val="0000FF"/>
        </w:rPr>
      </w:pPr>
      <w:r w:rsidRPr="007B766A">
        <w:rPr>
          <w:rFonts w:cstheme="minorHAnsi"/>
          <w:bCs/>
          <w:color w:val="0000FF"/>
        </w:rPr>
        <w:t>The first model tested included ‘independence’ or ‘modified independence’ in daily decision making on the initial assessment as the predictor variable and numerator inclusion in this measure as the predicted variable. The</w:t>
      </w:r>
      <w:r w:rsidR="002075F5">
        <w:rPr>
          <w:rFonts w:cstheme="minorHAnsi"/>
          <w:bCs/>
          <w:color w:val="0000FF"/>
        </w:rPr>
        <w:t xml:space="preserve"> </w:t>
      </w:r>
      <w:r w:rsidRPr="007B766A">
        <w:rPr>
          <w:rFonts w:cstheme="minorHAnsi"/>
          <w:bCs/>
          <w:color w:val="0000FF"/>
        </w:rPr>
        <w:t xml:space="preserve">unadjusted odds ratio </w:t>
      </w:r>
      <w:r>
        <w:rPr>
          <w:rFonts w:cstheme="minorHAnsi"/>
          <w:bCs/>
          <w:color w:val="0000FF"/>
        </w:rPr>
        <w:t>(</w:t>
      </w:r>
      <w:r w:rsidRPr="007B766A">
        <w:rPr>
          <w:rFonts w:cstheme="minorHAnsi"/>
          <w:bCs/>
          <w:color w:val="0000FF"/>
        </w:rPr>
        <w:t>OR</w:t>
      </w:r>
      <w:r>
        <w:rPr>
          <w:rFonts w:cstheme="minorHAnsi"/>
          <w:bCs/>
          <w:color w:val="0000FF"/>
        </w:rPr>
        <w:t>)</w:t>
      </w:r>
      <w:r w:rsidR="002075F5">
        <w:rPr>
          <w:rFonts w:cstheme="minorHAnsi"/>
          <w:bCs/>
          <w:color w:val="0000FF"/>
        </w:rPr>
        <w:t xml:space="preserve"> for the covariate was</w:t>
      </w:r>
      <w:r w:rsidRPr="007B766A">
        <w:rPr>
          <w:rFonts w:cstheme="minorHAnsi"/>
          <w:bCs/>
          <w:color w:val="0000FF"/>
        </w:rPr>
        <w:t xml:space="preserve"> 2.1</w:t>
      </w:r>
      <w:r w:rsidR="002075F5">
        <w:rPr>
          <w:rFonts w:cstheme="minorHAnsi"/>
          <w:bCs/>
          <w:color w:val="0000FF"/>
        </w:rPr>
        <w:t xml:space="preserve"> [</w:t>
      </w:r>
      <w:r w:rsidRPr="00824AB1">
        <w:rPr>
          <w:rFonts w:cstheme="minorHAnsi"/>
          <w:bCs/>
          <w:i/>
          <w:color w:val="0000FF"/>
        </w:rPr>
        <w:t>p</w:t>
      </w:r>
      <w:r w:rsidRPr="007B766A">
        <w:rPr>
          <w:rFonts w:cstheme="minorHAnsi"/>
          <w:bCs/>
          <w:color w:val="0000FF"/>
        </w:rPr>
        <w:t xml:space="preserve"> &lt; </w:t>
      </w:r>
      <w:r w:rsidR="00EB40B6">
        <w:rPr>
          <w:rFonts w:cstheme="minorHAnsi"/>
          <w:bCs/>
          <w:color w:val="0000FF"/>
        </w:rPr>
        <w:t>0</w:t>
      </w:r>
      <w:r w:rsidRPr="007B766A">
        <w:rPr>
          <w:rFonts w:cstheme="minorHAnsi"/>
          <w:bCs/>
          <w:color w:val="0000FF"/>
        </w:rPr>
        <w:t>.001</w:t>
      </w:r>
      <w:r>
        <w:rPr>
          <w:rFonts w:cstheme="minorHAnsi"/>
          <w:bCs/>
          <w:color w:val="0000FF"/>
        </w:rPr>
        <w:t>]</w:t>
      </w:r>
      <w:r w:rsidR="00FF0DC1">
        <w:rPr>
          <w:rFonts w:cstheme="minorHAnsi"/>
          <w:bCs/>
          <w:color w:val="0000FF"/>
        </w:rPr>
        <w:t>;</w:t>
      </w:r>
      <w:r w:rsidRPr="007B766A">
        <w:rPr>
          <w:rFonts w:cstheme="minorHAnsi"/>
          <w:bCs/>
          <w:color w:val="0000FF"/>
        </w:rPr>
        <w:t xml:space="preserve"> the model did not have good predictive power (c-statistic = 0.577, pseudo </w:t>
      </w:r>
      <w:bookmarkStart w:id="25" w:name="_Hlk502324423"/>
      <w:r w:rsidRPr="00824AB1">
        <w:rPr>
          <w:rFonts w:cstheme="minorHAnsi"/>
          <w:bCs/>
          <w:i/>
          <w:color w:val="0000FF"/>
        </w:rPr>
        <w:t>R</w:t>
      </w:r>
      <w:r w:rsidRPr="00824AB1">
        <w:rPr>
          <w:rFonts w:cstheme="minorHAnsi"/>
          <w:bCs/>
          <w:color w:val="0000FF"/>
          <w:vertAlign w:val="superscript"/>
        </w:rPr>
        <w:t>2</w:t>
      </w:r>
      <w:bookmarkEnd w:id="25"/>
      <w:r w:rsidRPr="007B766A">
        <w:rPr>
          <w:rFonts w:cstheme="minorHAnsi"/>
          <w:bCs/>
          <w:color w:val="0000FF"/>
        </w:rPr>
        <w:t xml:space="preserve"> = 0.018). We then added the ability of the resident to ‘make self understood’ into the model: this added parameter did not substantially improve the predictive power (c-statistic = 0.585, pseudo </w:t>
      </w:r>
      <w:r w:rsidRPr="00824AB1">
        <w:rPr>
          <w:rFonts w:cstheme="minorHAnsi"/>
          <w:bCs/>
          <w:i/>
          <w:color w:val="0000FF"/>
        </w:rPr>
        <w:t>R</w:t>
      </w:r>
      <w:r w:rsidRPr="00824AB1">
        <w:rPr>
          <w:rFonts w:cstheme="minorHAnsi"/>
          <w:bCs/>
          <w:color w:val="0000FF"/>
          <w:vertAlign w:val="superscript"/>
        </w:rPr>
        <w:t>2</w:t>
      </w:r>
      <w:r w:rsidRPr="007B766A">
        <w:rPr>
          <w:rFonts w:cstheme="minorHAnsi"/>
          <w:bCs/>
          <w:color w:val="0000FF"/>
        </w:rPr>
        <w:t xml:space="preserve"> = 0.021). Adding the parameter ‘oldest old’ increased the c-statistic to 0.623 (pseudo </w:t>
      </w:r>
      <w:r w:rsidR="00B84ED4" w:rsidRPr="00824AB1">
        <w:rPr>
          <w:rFonts w:cstheme="minorHAnsi"/>
          <w:bCs/>
          <w:i/>
          <w:color w:val="0000FF"/>
        </w:rPr>
        <w:t>R</w:t>
      </w:r>
      <w:r w:rsidR="00B84ED4" w:rsidRPr="00824AB1">
        <w:rPr>
          <w:rFonts w:cstheme="minorHAnsi"/>
          <w:bCs/>
          <w:color w:val="0000FF"/>
          <w:vertAlign w:val="superscript"/>
        </w:rPr>
        <w:t>2</w:t>
      </w:r>
      <w:r w:rsidRPr="007B766A">
        <w:rPr>
          <w:rFonts w:cstheme="minorHAnsi"/>
          <w:bCs/>
          <w:color w:val="0000FF"/>
        </w:rPr>
        <w:t xml:space="preserve"> = 0.034), and adding the disease diagnoses stroke, arthritis, and asthma/COPD increased the c-statistic to 0.641 (pseudo </w:t>
      </w:r>
      <w:r w:rsidR="00B84ED4" w:rsidRPr="00824AB1">
        <w:rPr>
          <w:rFonts w:cstheme="minorHAnsi"/>
          <w:bCs/>
          <w:i/>
          <w:color w:val="0000FF"/>
        </w:rPr>
        <w:t>R</w:t>
      </w:r>
      <w:r w:rsidR="00B84ED4" w:rsidRPr="00824AB1">
        <w:rPr>
          <w:rFonts w:cstheme="minorHAnsi"/>
          <w:bCs/>
          <w:color w:val="0000FF"/>
          <w:vertAlign w:val="superscript"/>
        </w:rPr>
        <w:t>2</w:t>
      </w:r>
      <w:r w:rsidR="00B84ED4" w:rsidRPr="007B766A">
        <w:rPr>
          <w:rFonts w:cstheme="minorHAnsi"/>
          <w:bCs/>
          <w:color w:val="0000FF"/>
        </w:rPr>
        <w:t xml:space="preserve"> </w:t>
      </w:r>
      <w:r w:rsidRPr="0015492B">
        <w:rPr>
          <w:rFonts w:cstheme="minorHAnsi"/>
          <w:bCs/>
          <w:color w:val="0000FF"/>
        </w:rPr>
        <w:t>= 0.040).</w:t>
      </w:r>
      <w:r w:rsidRPr="007B766A">
        <w:rPr>
          <w:rFonts w:cstheme="minorHAnsi"/>
          <w:bCs/>
          <w:color w:val="0000FF"/>
        </w:rPr>
        <w:t xml:space="preserve"> </w:t>
      </w:r>
    </w:p>
    <w:p w14:paraId="776B7608" w14:textId="40F7F756" w:rsidR="00747647" w:rsidRPr="0015492B" w:rsidRDefault="00747647" w:rsidP="0015492B">
      <w:pPr>
        <w:spacing w:line="240" w:lineRule="auto"/>
        <w:rPr>
          <w:rFonts w:cstheme="minorHAnsi"/>
          <w:bCs/>
          <w:color w:val="0000FF"/>
        </w:rPr>
      </w:pPr>
      <w:r w:rsidRPr="00A44749">
        <w:rPr>
          <w:rFonts w:cstheme="minorHAnsi"/>
          <w:bCs/>
          <w:color w:val="0000FF"/>
        </w:rPr>
        <w:t xml:space="preserve">However, to restrict the measure to only those residents with </w:t>
      </w:r>
      <w:r w:rsidRPr="00143893">
        <w:rPr>
          <w:rFonts w:cstheme="minorHAnsi"/>
          <w:bCs/>
          <w:color w:val="0000FF"/>
        </w:rPr>
        <w:t xml:space="preserve">initial assessments </w:t>
      </w:r>
      <w:r w:rsidR="00A43B2C">
        <w:rPr>
          <w:rFonts w:cstheme="minorHAnsi"/>
          <w:bCs/>
          <w:color w:val="0000FF"/>
        </w:rPr>
        <w:t xml:space="preserve">for the purposes of risk adjustment </w:t>
      </w:r>
      <w:r w:rsidRPr="00143893">
        <w:rPr>
          <w:rFonts w:cstheme="minorHAnsi"/>
          <w:bCs/>
          <w:color w:val="0000FF"/>
        </w:rPr>
        <w:t>would reduce the number of residents included in the denominator of this measure by 2</w:t>
      </w:r>
      <w:r>
        <w:rPr>
          <w:rFonts w:cstheme="minorHAnsi"/>
          <w:bCs/>
          <w:color w:val="0000FF"/>
        </w:rPr>
        <w:t>8</w:t>
      </w:r>
      <w:r w:rsidRPr="00143893">
        <w:rPr>
          <w:rFonts w:cstheme="minorHAnsi"/>
          <w:bCs/>
          <w:color w:val="0000FF"/>
        </w:rPr>
        <w:t>.</w:t>
      </w:r>
      <w:r>
        <w:rPr>
          <w:rFonts w:cstheme="minorHAnsi"/>
          <w:bCs/>
          <w:color w:val="0000FF"/>
        </w:rPr>
        <w:t>1</w:t>
      </w:r>
      <w:r w:rsidRPr="00143893">
        <w:rPr>
          <w:rFonts w:cstheme="minorHAnsi"/>
          <w:bCs/>
          <w:color w:val="0000FF"/>
        </w:rPr>
        <w:t>%, substantially</w:t>
      </w:r>
      <w:r w:rsidRPr="00A44749">
        <w:rPr>
          <w:rFonts w:cstheme="minorHAnsi"/>
          <w:bCs/>
          <w:color w:val="0000FF"/>
        </w:rPr>
        <w:t xml:space="preserve"> restricting the reportability of this measure, and it was determined that the benefits of risk adjustment were outweighed by the large number of resident exclusions that would result. </w:t>
      </w:r>
    </w:p>
    <w:p w14:paraId="533C1F11" w14:textId="4AB418CC" w:rsidR="00747647" w:rsidRPr="009213B3" w:rsidRDefault="00747647" w:rsidP="009213B3">
      <w:pPr>
        <w:pStyle w:val="Response"/>
        <w:spacing w:after="0"/>
        <w:contextualSpacing/>
        <w:rPr>
          <w:sz w:val="20"/>
          <w:szCs w:val="20"/>
        </w:rPr>
      </w:pPr>
      <w:r w:rsidRPr="00824AB1">
        <w:rPr>
          <w:sz w:val="20"/>
          <w:szCs w:val="20"/>
        </w:rPr>
        <w:t>RTI analysis of Q3, 2011 MDS 3.0 Data (programming reference: quarter_3_4_</w:t>
      </w:r>
      <w:r w:rsidR="009213B3">
        <w:rPr>
          <w:sz w:val="20"/>
          <w:szCs w:val="20"/>
        </w:rPr>
        <w:t xml:space="preserve">complete\ntz12_request_010.log; </w:t>
      </w:r>
      <w:r w:rsidR="009213B3">
        <w:rPr>
          <w:bCs w:val="0"/>
          <w:sz w:val="20"/>
          <w:szCs w:val="20"/>
        </w:rPr>
        <w:t xml:space="preserve">tz04_request.xlsx; </w:t>
      </w:r>
      <w:r w:rsidRPr="00824AB1">
        <w:rPr>
          <w:bCs w:val="0"/>
          <w:sz w:val="20"/>
          <w:szCs w:val="20"/>
        </w:rPr>
        <w:t>quarter_3_4_complete\tz03_request_v1.xlsx)</w:t>
      </w:r>
    </w:p>
    <w:p w14:paraId="4480A412" w14:textId="77777777" w:rsidR="00747647" w:rsidRDefault="00747647" w:rsidP="00747647">
      <w:pPr>
        <w:spacing w:after="0" w:line="240" w:lineRule="auto"/>
        <w:contextualSpacing/>
        <w:rPr>
          <w:rFonts w:cstheme="minorHAnsi"/>
          <w:bCs/>
          <w:color w:val="0000FF"/>
          <w:sz w:val="20"/>
          <w:szCs w:val="20"/>
        </w:rPr>
      </w:pPr>
    </w:p>
    <w:p w14:paraId="162318AA" w14:textId="71B8ECB9" w:rsidR="00747647" w:rsidRPr="00824AB1" w:rsidRDefault="007D5985" w:rsidP="00747647">
      <w:pPr>
        <w:spacing w:after="0" w:line="240" w:lineRule="auto"/>
        <w:contextualSpacing/>
        <w:rPr>
          <w:rFonts w:cstheme="minorHAnsi"/>
          <w:bCs/>
          <w:color w:val="0000FF"/>
          <w:sz w:val="20"/>
          <w:szCs w:val="20"/>
        </w:rPr>
      </w:pPr>
      <w:r>
        <w:rPr>
          <w:rFonts w:cstheme="minorHAnsi"/>
          <w:bCs/>
          <w:color w:val="0000FF"/>
          <w:sz w:val="20"/>
          <w:szCs w:val="20"/>
        </w:rPr>
        <w:t>RTI analysis of Q2, 2017</w:t>
      </w:r>
      <w:r w:rsidR="00747647">
        <w:rPr>
          <w:rFonts w:cstheme="minorHAnsi"/>
          <w:bCs/>
          <w:color w:val="0000FF"/>
          <w:sz w:val="20"/>
          <w:szCs w:val="20"/>
        </w:rPr>
        <w:t xml:space="preserve"> MDS 3.0 Data (programming reference: </w:t>
      </w:r>
      <w:r w:rsidR="00747647" w:rsidRPr="00143893">
        <w:rPr>
          <w:rFonts w:eastAsia="Times New Roman" w:cs="Times New Roman"/>
          <w:color w:val="0000FF"/>
          <w:sz w:val="20"/>
          <w:szCs w:val="20"/>
        </w:rPr>
        <w:t xml:space="preserve"> </w:t>
      </w:r>
      <w:r w:rsidR="00747647" w:rsidRPr="00024B54">
        <w:rPr>
          <w:rFonts w:eastAsia="Times New Roman" w:cs="Times New Roman"/>
          <w:color w:val="0000FF"/>
          <w:sz w:val="20"/>
          <w:szCs w:val="20"/>
        </w:rPr>
        <w:t>LJC0</w:t>
      </w:r>
      <w:r w:rsidR="00747647">
        <w:rPr>
          <w:rFonts w:eastAsia="Times New Roman" w:cs="Times New Roman"/>
          <w:color w:val="0000FF"/>
          <w:sz w:val="20"/>
          <w:szCs w:val="20"/>
        </w:rPr>
        <w:t>4</w:t>
      </w:r>
      <w:r w:rsidR="00747647" w:rsidRPr="00024B54">
        <w:rPr>
          <w:rFonts w:eastAsia="Times New Roman" w:cs="Times New Roman"/>
          <w:color w:val="0000FF"/>
          <w:sz w:val="20"/>
          <w:szCs w:val="20"/>
        </w:rPr>
        <w:t>/LJC0</w:t>
      </w:r>
      <w:r w:rsidR="00747647">
        <w:rPr>
          <w:rFonts w:eastAsia="Times New Roman" w:cs="Times New Roman"/>
          <w:color w:val="0000FF"/>
          <w:sz w:val="20"/>
          <w:szCs w:val="20"/>
        </w:rPr>
        <w:t>4</w:t>
      </w:r>
      <w:r w:rsidR="0028596F">
        <w:rPr>
          <w:rFonts w:eastAsia="Times New Roman" w:cs="Times New Roman"/>
          <w:color w:val="0000FF"/>
          <w:sz w:val="20"/>
          <w:szCs w:val="20"/>
        </w:rPr>
        <w:t>_request_</w:t>
      </w:r>
      <w:r w:rsidR="00747647" w:rsidRPr="00024B54">
        <w:rPr>
          <w:rFonts w:eastAsia="Times New Roman" w:cs="Times New Roman"/>
          <w:color w:val="0000FF"/>
          <w:sz w:val="20"/>
          <w:szCs w:val="20"/>
        </w:rPr>
        <w:t>676.log</w:t>
      </w:r>
      <w:r w:rsidR="00747647">
        <w:rPr>
          <w:rFonts w:cstheme="minorHAnsi"/>
          <w:bCs/>
          <w:color w:val="0000FF"/>
          <w:sz w:val="20"/>
          <w:szCs w:val="20"/>
        </w:rPr>
        <w:t>)</w:t>
      </w:r>
    </w:p>
    <w:p w14:paraId="5B75E83B" w14:textId="77777777" w:rsidR="00747647" w:rsidRDefault="00747647" w:rsidP="00747647">
      <w:pPr>
        <w:rPr>
          <w:rFonts w:cstheme="minorHAnsi"/>
          <w:b/>
          <w:bCs/>
        </w:rPr>
      </w:pPr>
    </w:p>
    <w:p w14:paraId="555AFB4B" w14:textId="77777777" w:rsidR="00747647" w:rsidRPr="007B766A" w:rsidRDefault="00747647" w:rsidP="00747647">
      <w:pPr>
        <w:rPr>
          <w:rFonts w:cstheme="minorHAnsi"/>
          <w:bCs/>
        </w:rPr>
      </w:pPr>
      <w:r w:rsidRPr="007B766A">
        <w:rPr>
          <w:rFonts w:cstheme="minorHAnsi"/>
          <w:b/>
          <w:bCs/>
        </w:rPr>
        <w:t xml:space="preserve">2b3.3a. Describe the conceptual/clinical </w:t>
      </w:r>
      <w:r w:rsidRPr="007B766A">
        <w:rPr>
          <w:rFonts w:cstheme="minorHAnsi"/>
          <w:b/>
          <w:bCs/>
          <w:u w:val="single"/>
        </w:rPr>
        <w:t>and</w:t>
      </w:r>
      <w:r w:rsidRPr="007B766A">
        <w:rPr>
          <w:rFonts w:cstheme="minorHAnsi"/>
          <w:b/>
          <w:bCs/>
        </w:rPr>
        <w:t xml:space="preserve"> statistical methods and criteria used to select patient factors (clinical factors or social risk factors) used in the statistical risk model or for stratification by risk </w:t>
      </w:r>
      <w:r w:rsidRPr="007B766A">
        <w:rPr>
          <w:rFonts w:cstheme="minorHAnsi"/>
          <w:bCs/>
        </w:rPr>
        <w:t>(</w:t>
      </w:r>
      <w:r w:rsidRPr="007B766A">
        <w:rPr>
          <w:rFonts w:cstheme="minorHAnsi"/>
          <w:bCs/>
          <w:i/>
        </w:rPr>
        <w:t>e.g., potential factors identified in the literature and/or expert panel; regression analysis; statistical significance of p&lt;0.10; correlation of x or higher; patient factors should be present at the start of care</w:t>
      </w:r>
      <w:r w:rsidRPr="007B766A">
        <w:rPr>
          <w:rFonts w:cstheme="minorHAnsi"/>
          <w:bCs/>
        </w:rPr>
        <w:t xml:space="preserve">)  </w:t>
      </w:r>
      <w:r w:rsidRPr="007B766A">
        <w:rPr>
          <w:rFonts w:cstheme="minorHAnsi"/>
          <w:b/>
          <w:bCs/>
        </w:rPr>
        <w:t>Also discuss any “ordering” of risk factor inclusion</w:t>
      </w:r>
      <w:r w:rsidRPr="007B766A">
        <w:rPr>
          <w:rFonts w:cstheme="minorHAnsi"/>
          <w:bCs/>
        </w:rPr>
        <w:t>; for example, are social risk factors added after all clinical factors?</w:t>
      </w:r>
    </w:p>
    <w:p w14:paraId="1E67609D" w14:textId="77777777" w:rsidR="00747647" w:rsidRPr="007B766A" w:rsidRDefault="00747647" w:rsidP="00747647">
      <w:pPr>
        <w:pStyle w:val="BodyText"/>
        <w:rPr>
          <w:color w:val="0000FF"/>
          <w:sz w:val="22"/>
        </w:rPr>
      </w:pPr>
      <w:r w:rsidRPr="007B766A">
        <w:rPr>
          <w:rFonts w:asciiTheme="minorHAnsi" w:eastAsiaTheme="minorEastAsia" w:hAnsiTheme="minorHAnsi" w:cstheme="minorBidi"/>
          <w:iCs/>
          <w:color w:val="0000FF"/>
          <w:sz w:val="22"/>
        </w:rPr>
        <w:t xml:space="preserve">This quality measure reports the unadjusted percentage of residents self-reporting moderate to severe pain among short-stay nursing facility residents. </w:t>
      </w:r>
      <w:r w:rsidRPr="007B766A">
        <w:rPr>
          <w:color w:val="0000FF"/>
          <w:sz w:val="22"/>
        </w:rPr>
        <w:t xml:space="preserve">The goal of risk adjustment is to control for differences across facilities in patient characteristics that might be related to the outcome of interest. This allows outcomes to be compared across facilities after differences in patient complexity (i.e., patient characteristics) have been accounted for in the analysis. </w:t>
      </w:r>
    </w:p>
    <w:p w14:paraId="7EF21DE1" w14:textId="77777777" w:rsidR="00747647" w:rsidRPr="007B766A" w:rsidRDefault="00747647" w:rsidP="00747647">
      <w:pPr>
        <w:pStyle w:val="BodyText"/>
        <w:rPr>
          <w:rFonts w:asciiTheme="minorHAnsi" w:eastAsiaTheme="minorEastAsia" w:hAnsiTheme="minorHAnsi" w:cstheme="minorBidi"/>
          <w:b/>
          <w:i/>
          <w:iCs/>
          <w:color w:val="0000FF"/>
          <w:sz w:val="22"/>
        </w:rPr>
      </w:pPr>
      <w:r w:rsidRPr="007B766A">
        <w:rPr>
          <w:rFonts w:asciiTheme="minorHAnsi" w:eastAsiaTheme="minorEastAsia" w:hAnsiTheme="minorHAnsi" w:cstheme="minorBidi"/>
          <w:b/>
          <w:i/>
          <w:iCs/>
          <w:color w:val="0000FF"/>
          <w:sz w:val="22"/>
        </w:rPr>
        <w:t>Risk Adjustor Selection – Conceptual Rationale and Statistical Testing</w:t>
      </w:r>
    </w:p>
    <w:p w14:paraId="29713F72" w14:textId="77777777" w:rsidR="00747647" w:rsidRPr="007B766A" w:rsidRDefault="00747647" w:rsidP="00747647">
      <w:pPr>
        <w:pStyle w:val="BodyText"/>
        <w:rPr>
          <w:rFonts w:asciiTheme="minorHAnsi" w:eastAsiaTheme="minorEastAsia" w:hAnsiTheme="minorHAnsi" w:cstheme="minorBidi"/>
          <w:b/>
          <w:iCs/>
          <w:color w:val="0000FF"/>
          <w:sz w:val="22"/>
        </w:rPr>
      </w:pPr>
      <w:r w:rsidRPr="007B766A">
        <w:rPr>
          <w:rFonts w:asciiTheme="minorHAnsi" w:eastAsiaTheme="minorEastAsia" w:hAnsiTheme="minorHAnsi" w:cstheme="minorBidi"/>
          <w:b/>
          <w:iCs/>
          <w:color w:val="0000FF"/>
          <w:sz w:val="22"/>
        </w:rPr>
        <w:t>Clinical Factors</w:t>
      </w:r>
    </w:p>
    <w:p w14:paraId="789BB1E2" w14:textId="1B079BFC" w:rsidR="00747647" w:rsidRDefault="00747647" w:rsidP="00747647">
      <w:pPr>
        <w:pStyle w:val="BodyText"/>
        <w:rPr>
          <w:rFonts w:asciiTheme="minorHAnsi" w:eastAsiaTheme="minorEastAsia" w:hAnsiTheme="minorHAnsi" w:cstheme="minorBidi"/>
          <w:iCs/>
          <w:color w:val="0000FF"/>
          <w:sz w:val="22"/>
        </w:rPr>
      </w:pPr>
      <w:r w:rsidRPr="007B766A">
        <w:rPr>
          <w:rFonts w:asciiTheme="minorHAnsi" w:eastAsiaTheme="minorEastAsia" w:hAnsiTheme="minorHAnsi" w:cstheme="minorBidi"/>
          <w:iCs/>
          <w:color w:val="0000FF"/>
          <w:sz w:val="22"/>
        </w:rPr>
        <w:t xml:space="preserve">Past RTI analyses (previously submitted to NQF) are described in 2b3.2 above.  In addition, this testing form contains updated information on the covariate, </w:t>
      </w:r>
      <w:r w:rsidRPr="007B766A">
        <w:rPr>
          <w:rFonts w:cstheme="minorHAnsi"/>
          <w:bCs/>
          <w:color w:val="0000FF"/>
          <w:sz w:val="22"/>
        </w:rPr>
        <w:t>independence or modified independence in daily decision making</w:t>
      </w:r>
      <w:r>
        <w:rPr>
          <w:rFonts w:cstheme="minorHAnsi"/>
          <w:bCs/>
          <w:color w:val="0000FF"/>
          <w:sz w:val="22"/>
        </w:rPr>
        <w:t xml:space="preserve">.  The current model specification for the related measure titled </w:t>
      </w:r>
      <w:r w:rsidRPr="007B766A">
        <w:rPr>
          <w:rFonts w:cstheme="minorHAnsi"/>
          <w:bCs/>
          <w:color w:val="0000FF"/>
          <w:sz w:val="22"/>
        </w:rPr>
        <w:t>Percent of Residents Who Self-Report Moderate to Severe Pain (Long Stay</w:t>
      </w:r>
      <w:r>
        <w:rPr>
          <w:rFonts w:cstheme="minorHAnsi"/>
          <w:bCs/>
          <w:color w:val="0000FF"/>
          <w:sz w:val="22"/>
        </w:rPr>
        <w:t xml:space="preserve">) NQF </w:t>
      </w:r>
      <w:r w:rsidR="00767ADE">
        <w:rPr>
          <w:rFonts w:cstheme="minorHAnsi"/>
          <w:bCs/>
          <w:color w:val="0000FF"/>
          <w:sz w:val="22"/>
        </w:rPr>
        <w:t>#</w:t>
      </w:r>
      <w:r>
        <w:rPr>
          <w:rFonts w:cstheme="minorHAnsi"/>
          <w:bCs/>
          <w:color w:val="0000FF"/>
          <w:sz w:val="22"/>
        </w:rPr>
        <w:t>0677</w:t>
      </w:r>
      <w:r w:rsidRPr="007B766A">
        <w:rPr>
          <w:rFonts w:cstheme="minorHAnsi"/>
          <w:bCs/>
          <w:color w:val="0000FF"/>
          <w:sz w:val="22"/>
        </w:rPr>
        <w:t>)</w:t>
      </w:r>
      <w:r>
        <w:rPr>
          <w:rFonts w:asciiTheme="minorHAnsi" w:eastAsiaTheme="minorEastAsia" w:hAnsiTheme="minorHAnsi" w:cstheme="minorBidi"/>
          <w:iCs/>
          <w:color w:val="0000FF"/>
          <w:sz w:val="22"/>
        </w:rPr>
        <w:t xml:space="preserve"> </w:t>
      </w:r>
      <w:r w:rsidRPr="007B766A">
        <w:rPr>
          <w:rFonts w:asciiTheme="minorHAnsi" w:eastAsiaTheme="minorEastAsia" w:hAnsiTheme="minorHAnsi" w:cstheme="minorBidi"/>
          <w:iCs/>
          <w:color w:val="0000FF"/>
          <w:sz w:val="22"/>
        </w:rPr>
        <w:t xml:space="preserve">risk adjusts for </w:t>
      </w:r>
      <w:r w:rsidR="00B84ED4">
        <w:rPr>
          <w:rFonts w:asciiTheme="minorHAnsi" w:eastAsiaTheme="minorEastAsia" w:hAnsiTheme="minorHAnsi" w:cstheme="minorBidi"/>
          <w:iCs/>
          <w:color w:val="0000FF"/>
          <w:sz w:val="22"/>
        </w:rPr>
        <w:t xml:space="preserve">this covariate (referred to below as </w:t>
      </w:r>
      <w:r w:rsidRPr="007B766A">
        <w:rPr>
          <w:rFonts w:asciiTheme="minorHAnsi" w:eastAsiaTheme="minorEastAsia" w:hAnsiTheme="minorHAnsi" w:cstheme="minorBidi"/>
          <w:iCs/>
          <w:color w:val="0000FF"/>
          <w:sz w:val="22"/>
        </w:rPr>
        <w:t>cognitive independence</w:t>
      </w:r>
      <w:r w:rsidR="00B84ED4">
        <w:rPr>
          <w:rFonts w:asciiTheme="minorHAnsi" w:eastAsiaTheme="minorEastAsia" w:hAnsiTheme="minorHAnsi" w:cstheme="minorBidi"/>
          <w:iCs/>
          <w:color w:val="0000FF"/>
          <w:sz w:val="22"/>
        </w:rPr>
        <w:t>)</w:t>
      </w:r>
      <w:r w:rsidRPr="007B766A">
        <w:rPr>
          <w:rFonts w:asciiTheme="minorHAnsi" w:eastAsiaTheme="minorEastAsia" w:hAnsiTheme="minorHAnsi" w:cstheme="minorBidi"/>
          <w:iCs/>
          <w:color w:val="0000FF"/>
          <w:sz w:val="22"/>
        </w:rPr>
        <w:t xml:space="preserve"> only.</w:t>
      </w:r>
      <w:r>
        <w:rPr>
          <w:rFonts w:asciiTheme="minorHAnsi" w:eastAsiaTheme="minorEastAsia" w:hAnsiTheme="minorHAnsi" w:cstheme="minorBidi"/>
          <w:iCs/>
          <w:color w:val="0000FF"/>
          <w:sz w:val="22"/>
        </w:rPr>
        <w:t xml:space="preserve">  We conducted a series of analyses to assess whether </w:t>
      </w:r>
      <w:r w:rsidR="00767ADE">
        <w:rPr>
          <w:rFonts w:asciiTheme="minorHAnsi" w:eastAsiaTheme="minorEastAsia" w:hAnsiTheme="minorHAnsi" w:cstheme="minorBidi"/>
          <w:iCs/>
          <w:color w:val="0000FF"/>
          <w:sz w:val="22"/>
        </w:rPr>
        <w:t>the specification for the short-</w:t>
      </w:r>
      <w:r>
        <w:rPr>
          <w:rFonts w:asciiTheme="minorHAnsi" w:eastAsiaTheme="minorEastAsia" w:hAnsiTheme="minorHAnsi" w:cstheme="minorBidi"/>
          <w:iCs/>
          <w:color w:val="0000FF"/>
          <w:sz w:val="22"/>
        </w:rPr>
        <w:t>stay measure co</w:t>
      </w:r>
      <w:r w:rsidR="00767ADE">
        <w:rPr>
          <w:rFonts w:asciiTheme="minorHAnsi" w:eastAsiaTheme="minorEastAsia" w:hAnsiTheme="minorHAnsi" w:cstheme="minorBidi"/>
          <w:iCs/>
          <w:color w:val="0000FF"/>
          <w:sz w:val="22"/>
        </w:rPr>
        <w:t>uld be harmonized with the long-</w:t>
      </w:r>
      <w:r>
        <w:rPr>
          <w:rFonts w:asciiTheme="minorHAnsi" w:eastAsiaTheme="minorEastAsia" w:hAnsiTheme="minorHAnsi" w:cstheme="minorBidi"/>
          <w:iCs/>
          <w:color w:val="0000FF"/>
          <w:sz w:val="22"/>
        </w:rPr>
        <w:t xml:space="preserve">stay measure.  </w:t>
      </w:r>
      <w:r w:rsidRPr="007B766A">
        <w:rPr>
          <w:rFonts w:asciiTheme="minorHAnsi" w:eastAsiaTheme="minorEastAsia" w:hAnsiTheme="minorHAnsi" w:cstheme="minorBidi"/>
          <w:iCs/>
          <w:color w:val="0000FF"/>
          <w:sz w:val="22"/>
        </w:rPr>
        <w:t xml:space="preserve">For </w:t>
      </w:r>
      <w:r>
        <w:rPr>
          <w:rFonts w:asciiTheme="minorHAnsi" w:eastAsiaTheme="minorEastAsia" w:hAnsiTheme="minorHAnsi" w:cstheme="minorBidi"/>
          <w:iCs/>
          <w:color w:val="0000FF"/>
          <w:sz w:val="22"/>
        </w:rPr>
        <w:t>this</w:t>
      </w:r>
      <w:r w:rsidRPr="007B766A">
        <w:rPr>
          <w:rFonts w:asciiTheme="minorHAnsi" w:eastAsiaTheme="minorEastAsia" w:hAnsiTheme="minorHAnsi" w:cstheme="minorBidi"/>
          <w:iCs/>
          <w:color w:val="0000FF"/>
          <w:sz w:val="22"/>
        </w:rPr>
        <w:t xml:space="preserve"> specification, we also provide the results of regression diagnostics assessing model performance, including model fit and calibration statistics.</w:t>
      </w:r>
      <w:r>
        <w:rPr>
          <w:rFonts w:asciiTheme="minorHAnsi" w:eastAsiaTheme="minorEastAsia" w:hAnsiTheme="minorHAnsi" w:cstheme="minorBidi"/>
          <w:iCs/>
          <w:color w:val="0000FF"/>
          <w:sz w:val="22"/>
        </w:rPr>
        <w:t xml:space="preserve">  </w:t>
      </w:r>
    </w:p>
    <w:p w14:paraId="08041128" w14:textId="77777777" w:rsidR="00747647" w:rsidRDefault="00747647" w:rsidP="00747647">
      <w:pPr>
        <w:pStyle w:val="BodyText"/>
        <w:rPr>
          <w:rFonts w:eastAsia="MS Mincho" w:cs="Calibri"/>
          <w:bCs/>
          <w:color w:val="0000FF"/>
          <w:sz w:val="22"/>
        </w:rPr>
      </w:pPr>
      <w:r w:rsidRPr="007B766A">
        <w:rPr>
          <w:rFonts w:asciiTheme="minorHAnsi" w:eastAsiaTheme="minorEastAsia" w:hAnsiTheme="minorHAnsi" w:cstheme="minorBidi"/>
          <w:iCs/>
          <w:color w:val="0000FF"/>
          <w:sz w:val="22"/>
        </w:rPr>
        <w:t>The results of analyses to assess the appropriateness and feasibility of risk-adjusting f</w:t>
      </w:r>
      <w:r>
        <w:rPr>
          <w:rFonts w:asciiTheme="minorHAnsi" w:eastAsiaTheme="minorEastAsia" w:hAnsiTheme="minorHAnsi" w:cstheme="minorBidi"/>
          <w:iCs/>
          <w:color w:val="0000FF"/>
          <w:sz w:val="22"/>
        </w:rPr>
        <w:t xml:space="preserve">or cognitive independence </w:t>
      </w:r>
      <w:r w:rsidRPr="007B766A">
        <w:rPr>
          <w:rFonts w:asciiTheme="minorHAnsi" w:eastAsiaTheme="minorEastAsia" w:hAnsiTheme="minorHAnsi" w:cstheme="minorBidi"/>
          <w:iCs/>
          <w:color w:val="0000FF"/>
          <w:sz w:val="22"/>
        </w:rPr>
        <w:t xml:space="preserve">are </w:t>
      </w:r>
      <w:r w:rsidRPr="007B766A">
        <w:rPr>
          <w:rFonts w:eastAsia="MS Mincho" w:cs="Calibri"/>
          <w:bCs/>
          <w:color w:val="0000FF"/>
          <w:sz w:val="22"/>
        </w:rPr>
        <w:t xml:space="preserve">described below in 2b3.3a. Based on the results of our analyses, which are described below, </w:t>
      </w:r>
      <w:r>
        <w:rPr>
          <w:rFonts w:eastAsia="MS Mincho" w:cs="Calibri"/>
          <w:bCs/>
          <w:color w:val="0000FF"/>
          <w:sz w:val="22"/>
        </w:rPr>
        <w:t xml:space="preserve">and because risk adjustment </w:t>
      </w:r>
      <w:r w:rsidRPr="007B766A">
        <w:rPr>
          <w:rFonts w:cstheme="minorHAnsi"/>
          <w:bCs/>
          <w:color w:val="0000FF"/>
          <w:sz w:val="22"/>
        </w:rPr>
        <w:t xml:space="preserve">would reduce the number of residents included in the denominator of this measure by </w:t>
      </w:r>
      <w:r>
        <w:rPr>
          <w:rFonts w:cstheme="minorHAnsi"/>
          <w:bCs/>
          <w:color w:val="0000FF"/>
          <w:sz w:val="22"/>
        </w:rPr>
        <w:t>28.1</w:t>
      </w:r>
      <w:r w:rsidRPr="007B766A">
        <w:rPr>
          <w:rFonts w:cstheme="minorHAnsi"/>
          <w:bCs/>
          <w:color w:val="0000FF"/>
          <w:sz w:val="22"/>
        </w:rPr>
        <w:t>%</w:t>
      </w:r>
      <w:r>
        <w:rPr>
          <w:rFonts w:cstheme="minorHAnsi"/>
          <w:bCs/>
          <w:color w:val="0000FF"/>
          <w:sz w:val="22"/>
        </w:rPr>
        <w:t xml:space="preserve">, </w:t>
      </w:r>
      <w:r w:rsidRPr="007B766A">
        <w:rPr>
          <w:rFonts w:eastAsia="MS Mincho" w:cs="Calibri"/>
          <w:bCs/>
          <w:color w:val="0000FF"/>
          <w:sz w:val="22"/>
        </w:rPr>
        <w:t>we do not recommend risk adjust</w:t>
      </w:r>
      <w:r>
        <w:rPr>
          <w:rFonts w:eastAsia="MS Mincho" w:cs="Calibri"/>
          <w:bCs/>
          <w:color w:val="0000FF"/>
          <w:sz w:val="22"/>
        </w:rPr>
        <w:t>ing this measure for cognitive independence</w:t>
      </w:r>
      <w:r w:rsidRPr="007B766A">
        <w:rPr>
          <w:rFonts w:eastAsia="MS Mincho" w:cs="Calibri"/>
          <w:bCs/>
          <w:color w:val="0000FF"/>
          <w:sz w:val="22"/>
        </w:rPr>
        <w:t>.</w:t>
      </w:r>
    </w:p>
    <w:p w14:paraId="1F12EE4B" w14:textId="7AB68F7E" w:rsidR="00747647" w:rsidRPr="00A57E24" w:rsidRDefault="00747647" w:rsidP="00747647">
      <w:pPr>
        <w:autoSpaceDE w:val="0"/>
        <w:autoSpaceDN w:val="0"/>
        <w:adjustRightInd w:val="0"/>
        <w:spacing w:after="0" w:line="240" w:lineRule="auto"/>
        <w:rPr>
          <w:rFonts w:eastAsia="Times New Roman" w:cs="Times New Roman"/>
          <w:color w:val="0000FF"/>
          <w:sz w:val="20"/>
          <w:szCs w:val="20"/>
        </w:rPr>
      </w:pPr>
      <w:r w:rsidRPr="00024B54">
        <w:rPr>
          <w:rFonts w:eastAsia="Times New Roman" w:cs="Times New Roman"/>
          <w:color w:val="0000FF"/>
          <w:sz w:val="20"/>
          <w:szCs w:val="20"/>
        </w:rPr>
        <w:t>RTI analysis of MDS 3.0 Data, Q2 2017 (programming reference: LJC0</w:t>
      </w:r>
      <w:r>
        <w:rPr>
          <w:rFonts w:eastAsia="Times New Roman" w:cs="Times New Roman"/>
          <w:color w:val="0000FF"/>
          <w:sz w:val="20"/>
          <w:szCs w:val="20"/>
        </w:rPr>
        <w:t>4</w:t>
      </w:r>
      <w:r w:rsidRPr="00024B54">
        <w:rPr>
          <w:rFonts w:eastAsia="Times New Roman" w:cs="Times New Roman"/>
          <w:color w:val="0000FF"/>
          <w:sz w:val="20"/>
          <w:szCs w:val="20"/>
        </w:rPr>
        <w:t>/LJC0</w:t>
      </w:r>
      <w:r>
        <w:rPr>
          <w:rFonts w:eastAsia="Times New Roman" w:cs="Times New Roman"/>
          <w:color w:val="0000FF"/>
          <w:sz w:val="20"/>
          <w:szCs w:val="20"/>
        </w:rPr>
        <w:t>4</w:t>
      </w:r>
      <w:r w:rsidR="009213B3">
        <w:rPr>
          <w:rFonts w:eastAsia="Times New Roman" w:cs="Times New Roman"/>
          <w:color w:val="0000FF"/>
          <w:sz w:val="20"/>
          <w:szCs w:val="20"/>
        </w:rPr>
        <w:t>_request</w:t>
      </w:r>
      <w:r w:rsidRPr="00024B54">
        <w:rPr>
          <w:rFonts w:eastAsia="Times New Roman" w:cs="Times New Roman"/>
          <w:color w:val="0000FF"/>
          <w:sz w:val="20"/>
          <w:szCs w:val="20"/>
        </w:rPr>
        <w:t>_676.log)</w:t>
      </w:r>
    </w:p>
    <w:p w14:paraId="344C8704" w14:textId="77777777" w:rsidR="00747647" w:rsidRPr="00987D40" w:rsidRDefault="00747647" w:rsidP="00747647">
      <w:pPr>
        <w:spacing w:after="0" w:line="240" w:lineRule="auto"/>
        <w:contextualSpacing/>
        <w:rPr>
          <w:rFonts w:cstheme="minorHAnsi"/>
          <w:bCs/>
          <w:color w:val="0000FF"/>
          <w:sz w:val="20"/>
          <w:szCs w:val="20"/>
        </w:rPr>
      </w:pPr>
    </w:p>
    <w:p w14:paraId="76E48123" w14:textId="77777777" w:rsidR="00747647" w:rsidRPr="007B766A" w:rsidRDefault="00747647" w:rsidP="00747647">
      <w:pPr>
        <w:pStyle w:val="BodyText"/>
        <w:rPr>
          <w:rFonts w:asciiTheme="minorHAnsi" w:eastAsiaTheme="minorEastAsia" w:hAnsiTheme="minorHAnsi" w:cstheme="minorBidi"/>
          <w:b/>
          <w:iCs/>
          <w:color w:val="0000FF"/>
          <w:sz w:val="22"/>
        </w:rPr>
      </w:pPr>
      <w:r w:rsidRPr="007B766A">
        <w:rPr>
          <w:rFonts w:asciiTheme="minorHAnsi" w:eastAsiaTheme="minorEastAsia" w:hAnsiTheme="minorHAnsi" w:cstheme="minorBidi"/>
          <w:b/>
          <w:iCs/>
          <w:color w:val="0000FF"/>
          <w:sz w:val="22"/>
        </w:rPr>
        <w:t>Social Risk Factors</w:t>
      </w:r>
    </w:p>
    <w:p w14:paraId="373B1001" w14:textId="44567EBA" w:rsidR="00747647" w:rsidRPr="007B766A" w:rsidRDefault="00747647" w:rsidP="00747647">
      <w:pPr>
        <w:pStyle w:val="BodyText"/>
        <w:rPr>
          <w:rFonts w:asciiTheme="minorHAnsi" w:eastAsiaTheme="minorEastAsia" w:hAnsiTheme="minorHAnsi" w:cstheme="minorBidi"/>
          <w:iCs/>
          <w:color w:val="0000FF"/>
          <w:sz w:val="22"/>
        </w:rPr>
      </w:pPr>
      <w:r w:rsidRPr="007B766A">
        <w:rPr>
          <w:rFonts w:asciiTheme="minorHAnsi" w:eastAsiaTheme="minorEastAsia" w:hAnsiTheme="minorHAnsi" w:cstheme="minorBidi"/>
          <w:iCs/>
          <w:color w:val="0000FF"/>
          <w:sz w:val="22"/>
        </w:rPr>
        <w:t>In addition, since this measure was last endorsed, NQF has lifted the previous restriction on risk-adjusting for social risk factors on a trial basis. Therefore, we conducted analyses on the feasibility of including several social risk factors in risk</w:t>
      </w:r>
      <w:r w:rsidR="00FF66C4">
        <w:rPr>
          <w:rFonts w:asciiTheme="minorHAnsi" w:eastAsiaTheme="minorEastAsia" w:hAnsiTheme="minorHAnsi" w:cstheme="minorBidi"/>
          <w:iCs/>
          <w:color w:val="0000FF"/>
          <w:sz w:val="22"/>
        </w:rPr>
        <w:t xml:space="preserve"> </w:t>
      </w:r>
      <w:r w:rsidRPr="007B766A">
        <w:rPr>
          <w:rFonts w:asciiTheme="minorHAnsi" w:eastAsiaTheme="minorEastAsia" w:hAnsiTheme="minorHAnsi" w:cstheme="minorBidi"/>
          <w:iCs/>
          <w:color w:val="0000FF"/>
          <w:sz w:val="22"/>
        </w:rPr>
        <w:t>adjustment model</w:t>
      </w:r>
      <w:r w:rsidR="00FF66C4">
        <w:rPr>
          <w:rFonts w:asciiTheme="minorHAnsi" w:eastAsiaTheme="minorEastAsia" w:hAnsiTheme="minorHAnsi" w:cstheme="minorBidi"/>
          <w:iCs/>
          <w:color w:val="0000FF"/>
          <w:sz w:val="22"/>
        </w:rPr>
        <w:t>s</w:t>
      </w:r>
      <w:r w:rsidRPr="007B766A">
        <w:rPr>
          <w:rFonts w:asciiTheme="minorHAnsi" w:eastAsiaTheme="minorEastAsia" w:hAnsiTheme="minorHAnsi" w:cstheme="minorBidi"/>
          <w:iCs/>
          <w:color w:val="0000FF"/>
          <w:sz w:val="22"/>
        </w:rPr>
        <w:t xml:space="preserve"> </w:t>
      </w:r>
      <w:r w:rsidR="00FF66C4">
        <w:rPr>
          <w:rFonts w:asciiTheme="minorHAnsi" w:eastAsiaTheme="minorEastAsia" w:hAnsiTheme="minorHAnsi" w:cstheme="minorBidi"/>
          <w:iCs/>
          <w:color w:val="0000FF"/>
          <w:sz w:val="22"/>
        </w:rPr>
        <w:t>with and without the covariate for cognitive independence</w:t>
      </w:r>
      <w:r w:rsidRPr="007B766A">
        <w:rPr>
          <w:rFonts w:asciiTheme="minorHAnsi" w:eastAsiaTheme="minorEastAsia" w:hAnsiTheme="minorHAnsi" w:cstheme="minorBidi"/>
          <w:iCs/>
          <w:color w:val="0000FF"/>
          <w:sz w:val="22"/>
        </w:rPr>
        <w:t xml:space="preserve">. We identified potential social risk factors that may be related to self-reported pain based on a review of the current literature.  </w:t>
      </w:r>
    </w:p>
    <w:p w14:paraId="6FE1CC9A" w14:textId="77777777" w:rsidR="00747647" w:rsidRPr="007B766A" w:rsidRDefault="00747647" w:rsidP="00747647">
      <w:pPr>
        <w:autoSpaceDE w:val="0"/>
        <w:autoSpaceDN w:val="0"/>
        <w:adjustRightInd w:val="0"/>
        <w:spacing w:after="0" w:line="240" w:lineRule="auto"/>
        <w:rPr>
          <w:rFonts w:ascii="Calibri" w:eastAsia="MS Mincho" w:hAnsi="Calibri" w:cs="Calibri"/>
          <w:bCs/>
          <w:color w:val="0000FF"/>
        </w:rPr>
      </w:pPr>
      <w:r w:rsidRPr="007B766A">
        <w:rPr>
          <w:rFonts w:ascii="Calibri" w:eastAsia="MS Mincho" w:hAnsi="Calibri" w:cs="Calibri"/>
          <w:bCs/>
          <w:color w:val="0000FF"/>
        </w:rPr>
        <w:t>We conducted a series of analyses to assess whether these patient-level social risk factors would be appropriate risk adjustors in multivariate models.  We examined the distribution of each social risk factor across facilities. If a social risk factor was evenly distributed across facilities (</w:t>
      </w:r>
      <w:r w:rsidRPr="00824AB1">
        <w:rPr>
          <w:rFonts w:ascii="Calibri" w:eastAsia="MS Mincho" w:hAnsi="Calibri" w:cs="Calibri"/>
          <w:bCs/>
          <w:i/>
          <w:color w:val="0000FF"/>
        </w:rPr>
        <w:t>i.e.</w:t>
      </w:r>
      <w:r w:rsidRPr="007B766A">
        <w:rPr>
          <w:rFonts w:ascii="Calibri" w:eastAsia="MS Mincho" w:hAnsi="Calibri" w:cs="Calibri"/>
          <w:bCs/>
          <w:color w:val="0000FF"/>
        </w:rPr>
        <w:t xml:space="preserve">, it did not tend to cluster in some facilities), it would not be necessary to risk adjust for this social risk factor. We also conducted bivariate analyses of this quality measure for the social risk factors identified in the literature to assess whether each social risk factor appeared to have a relationship with self-reported pain. These selected characteristics were then included in separate multivariate logistic regression models to examine the impact of adjusting for each social risk factor, </w:t>
      </w:r>
      <w:r>
        <w:rPr>
          <w:rFonts w:ascii="Calibri" w:eastAsia="MS Mincho" w:hAnsi="Calibri" w:cs="Calibri"/>
          <w:bCs/>
          <w:color w:val="0000FF"/>
        </w:rPr>
        <w:t xml:space="preserve">and the impact of adjusting for each social risk factor </w:t>
      </w:r>
      <w:r w:rsidRPr="007B766A">
        <w:rPr>
          <w:rFonts w:ascii="Calibri" w:eastAsia="MS Mincho" w:hAnsi="Calibri" w:cs="Calibri"/>
          <w:bCs/>
          <w:color w:val="0000FF"/>
        </w:rPr>
        <w:t xml:space="preserve">in addition to cognitive independence. </w:t>
      </w:r>
    </w:p>
    <w:p w14:paraId="447332C5" w14:textId="77777777" w:rsidR="00747647" w:rsidRPr="007B766A" w:rsidRDefault="00747647" w:rsidP="00747647">
      <w:pPr>
        <w:pStyle w:val="BodyText"/>
        <w:rPr>
          <w:rFonts w:eastAsia="MS Mincho" w:cs="Calibri"/>
          <w:bCs/>
          <w:color w:val="0000FF"/>
          <w:sz w:val="22"/>
        </w:rPr>
      </w:pPr>
      <w:r w:rsidRPr="007B766A">
        <w:rPr>
          <w:rFonts w:asciiTheme="minorHAnsi" w:eastAsiaTheme="minorEastAsia" w:hAnsiTheme="minorHAnsi" w:cstheme="minorBidi"/>
          <w:iCs/>
          <w:color w:val="0000FF"/>
          <w:sz w:val="22"/>
        </w:rPr>
        <w:t xml:space="preserve">The results of analyses to assess the appropriateness and feasibility of risk-adjusting for these social risk factors are </w:t>
      </w:r>
      <w:r>
        <w:rPr>
          <w:rFonts w:eastAsia="MS Mincho" w:cs="Calibri"/>
          <w:bCs/>
          <w:color w:val="0000FF"/>
          <w:sz w:val="22"/>
        </w:rPr>
        <w:t>described below in 2b3.3b</w:t>
      </w:r>
      <w:r w:rsidRPr="007B766A">
        <w:rPr>
          <w:rFonts w:eastAsia="MS Mincho" w:cs="Calibri"/>
          <w:bCs/>
          <w:color w:val="0000FF"/>
          <w:sz w:val="22"/>
        </w:rPr>
        <w:t xml:space="preserve">. </w:t>
      </w:r>
      <w:r>
        <w:rPr>
          <w:rFonts w:eastAsia="MS Mincho" w:cs="Calibri"/>
          <w:bCs/>
          <w:color w:val="0000FF"/>
          <w:sz w:val="22"/>
        </w:rPr>
        <w:t>Due to</w:t>
      </w:r>
      <w:r w:rsidRPr="007B766A">
        <w:rPr>
          <w:rFonts w:eastAsia="MS Mincho" w:cs="Calibri"/>
          <w:bCs/>
          <w:color w:val="0000FF"/>
          <w:sz w:val="22"/>
        </w:rPr>
        <w:t xml:space="preserve"> the results of our analyses, which are described below, we do not recommend risk adjusting this measure for social risk factors.</w:t>
      </w:r>
    </w:p>
    <w:p w14:paraId="126F8F1A" w14:textId="77777777" w:rsidR="00747647" w:rsidRDefault="00747647" w:rsidP="00747647">
      <w:pPr>
        <w:autoSpaceDE w:val="0"/>
        <w:autoSpaceDN w:val="0"/>
        <w:adjustRightInd w:val="0"/>
        <w:spacing w:after="0" w:line="240" w:lineRule="auto"/>
        <w:rPr>
          <w:rFonts w:cstheme="minorHAnsi"/>
          <w:b/>
          <w:bCs/>
        </w:rPr>
      </w:pPr>
      <w:bookmarkStart w:id="26" w:name="_Hlk496703057"/>
    </w:p>
    <w:p w14:paraId="5CD1A29F" w14:textId="77777777" w:rsidR="00747647" w:rsidRPr="007B766A" w:rsidRDefault="00747647" w:rsidP="00747647">
      <w:pPr>
        <w:autoSpaceDE w:val="0"/>
        <w:autoSpaceDN w:val="0"/>
        <w:adjustRightInd w:val="0"/>
        <w:spacing w:after="0" w:line="240" w:lineRule="auto"/>
        <w:rPr>
          <w:rFonts w:cstheme="minorHAnsi"/>
          <w:b/>
          <w:bCs/>
        </w:rPr>
      </w:pPr>
      <w:r w:rsidRPr="007B766A">
        <w:rPr>
          <w:rFonts w:cstheme="minorHAnsi"/>
          <w:b/>
          <w:bCs/>
        </w:rPr>
        <w:t>2b3.3b</w:t>
      </w:r>
      <w:bookmarkEnd w:id="26"/>
      <w:r w:rsidRPr="007B766A">
        <w:rPr>
          <w:rFonts w:cstheme="minorHAnsi"/>
          <w:b/>
          <w:bCs/>
        </w:rPr>
        <w:t>. How was the conceptual model of how social risk impacts this outcome developed?  Please check all that apply:</w:t>
      </w:r>
    </w:p>
    <w:p w14:paraId="7158A738" w14:textId="77777777" w:rsidR="00747647" w:rsidRPr="007B766A" w:rsidRDefault="001D4EB8" w:rsidP="00747647">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1"/>
            <w14:checkedState w14:val="2612" w14:font="MS Gothic"/>
            <w14:uncheckedState w14:val="2610" w14:font="MS Gothic"/>
          </w14:checkbox>
        </w:sdtPr>
        <w:sdtContent>
          <w:r w:rsidR="00747647" w:rsidRPr="007B766A">
            <w:rPr>
              <w:rFonts w:ascii="MS Gothic" w:eastAsia="MS Gothic" w:hAnsi="MS Gothic" w:cstheme="minorHAnsi" w:hint="eastAsia"/>
              <w:bCs/>
              <w:color w:val="0000FF"/>
            </w:rPr>
            <w:t>☒</w:t>
          </w:r>
        </w:sdtContent>
      </w:sdt>
      <w:r w:rsidR="00747647" w:rsidRPr="007B766A">
        <w:rPr>
          <w:rFonts w:eastAsia="MS Mincho" w:cstheme="minorHAnsi"/>
          <w:b/>
          <w:bCs/>
          <w:color w:val="0000FF"/>
        </w:rPr>
        <w:t xml:space="preserve"> </w:t>
      </w:r>
      <w:r w:rsidR="00747647" w:rsidRPr="007B766A">
        <w:rPr>
          <w:rFonts w:cstheme="minorHAnsi"/>
          <w:b/>
          <w:bCs/>
        </w:rPr>
        <w:t>Published literature</w:t>
      </w:r>
    </w:p>
    <w:p w14:paraId="7113FA0A" w14:textId="77777777" w:rsidR="00747647" w:rsidRPr="007B766A" w:rsidRDefault="001D4EB8" w:rsidP="00747647">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1"/>
            <w14:checkedState w14:val="2612" w14:font="MS Gothic"/>
            <w14:uncheckedState w14:val="2610" w14:font="MS Gothic"/>
          </w14:checkbox>
        </w:sdtPr>
        <w:sdtContent>
          <w:r w:rsidR="00747647" w:rsidRPr="007B766A">
            <w:rPr>
              <w:rFonts w:ascii="MS Gothic" w:eastAsia="MS Gothic" w:hAnsi="MS Gothic" w:cstheme="minorHAnsi" w:hint="eastAsia"/>
              <w:bCs/>
              <w:color w:val="0000FF"/>
            </w:rPr>
            <w:t>☒</w:t>
          </w:r>
        </w:sdtContent>
      </w:sdt>
      <w:r w:rsidR="00747647" w:rsidRPr="007B766A">
        <w:rPr>
          <w:rFonts w:cstheme="minorHAnsi"/>
          <w:bCs/>
          <w:color w:val="0000FF"/>
        </w:rPr>
        <w:t xml:space="preserve"> </w:t>
      </w:r>
      <w:r w:rsidR="00747647" w:rsidRPr="007B766A">
        <w:rPr>
          <w:rFonts w:cstheme="minorHAnsi"/>
          <w:b/>
          <w:bCs/>
        </w:rPr>
        <w:t>Internal data analysis</w:t>
      </w:r>
    </w:p>
    <w:p w14:paraId="266C44A6" w14:textId="77777777" w:rsidR="00747647" w:rsidRDefault="001D4EB8" w:rsidP="00747647">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Content>
          <w:r w:rsidR="00747647" w:rsidRPr="007B766A">
            <w:rPr>
              <w:rFonts w:ascii="MS Gothic" w:eastAsia="MS Gothic" w:cstheme="minorHAnsi" w:hint="eastAsia"/>
              <w:bCs/>
              <w:color w:val="0000FF"/>
            </w:rPr>
            <w:t>☐</w:t>
          </w:r>
        </w:sdtContent>
      </w:sdt>
      <w:r w:rsidR="00747647" w:rsidRPr="007B766A">
        <w:rPr>
          <w:rFonts w:eastAsia="MS Mincho" w:cstheme="minorHAnsi"/>
          <w:b/>
          <w:bCs/>
          <w:color w:val="0000FF"/>
        </w:rPr>
        <w:t xml:space="preserve"> </w:t>
      </w:r>
      <w:r w:rsidR="00747647" w:rsidRPr="007B766A">
        <w:rPr>
          <w:rFonts w:cstheme="minorHAnsi"/>
          <w:b/>
          <w:bCs/>
        </w:rPr>
        <w:t>Other (please describe)</w:t>
      </w:r>
    </w:p>
    <w:p w14:paraId="22926741" w14:textId="77777777" w:rsidR="00747647" w:rsidRPr="00351068" w:rsidRDefault="00747647" w:rsidP="00747647">
      <w:pPr>
        <w:tabs>
          <w:tab w:val="left" w:pos="180"/>
        </w:tabs>
        <w:autoSpaceDE w:val="0"/>
        <w:autoSpaceDN w:val="0"/>
        <w:adjustRightInd w:val="0"/>
        <w:spacing w:after="0" w:line="240" w:lineRule="auto"/>
        <w:ind w:left="180"/>
        <w:rPr>
          <w:rFonts w:cstheme="minorHAnsi"/>
          <w:b/>
          <w:bCs/>
        </w:rPr>
      </w:pPr>
    </w:p>
    <w:p w14:paraId="658FDF02" w14:textId="21A19C71" w:rsidR="00747647" w:rsidRPr="007B766A" w:rsidRDefault="00747647" w:rsidP="00747647">
      <w:pPr>
        <w:autoSpaceDE w:val="0"/>
        <w:autoSpaceDN w:val="0"/>
        <w:adjustRightInd w:val="0"/>
        <w:spacing w:before="240" w:after="240" w:line="240" w:lineRule="auto"/>
        <w:rPr>
          <w:rFonts w:ascii="Calibri" w:eastAsia="MS Mincho" w:hAnsi="Calibri" w:cs="Calibri"/>
          <w:bCs/>
          <w:color w:val="0000FF"/>
        </w:rPr>
      </w:pPr>
      <w:r w:rsidRPr="007B766A">
        <w:rPr>
          <w:rFonts w:ascii="Calibri" w:eastAsia="MS Mincho" w:hAnsi="Calibri" w:cs="Calibri"/>
          <w:bCs/>
          <w:color w:val="0000FF"/>
        </w:rPr>
        <w:t>Based on a review of the current literature, we identified several social risk factors that may be related to self-reported pain and could be measured by items available in the MDS 3.0.  While the literature reported mixed results on the relationship between socio-economic status (SES) and self-reported pain</w:t>
      </w:r>
      <w:r w:rsidR="00FF66C4">
        <w:rPr>
          <w:rFonts w:ascii="Calibri" w:eastAsia="MS Mincho" w:hAnsi="Calibri" w:cs="Calibri"/>
          <w:bCs/>
          <w:color w:val="0000FF"/>
        </w:rPr>
        <w:t>,</w:t>
      </w:r>
      <w:r w:rsidRPr="007B766A">
        <w:rPr>
          <w:rFonts w:ascii="Calibri" w:eastAsia="MS Mincho" w:hAnsi="Calibri" w:cs="Calibri"/>
          <w:bCs/>
          <w:color w:val="0000FF"/>
        </w:rPr>
        <w:t xml:space="preserve"> as well as between marital status and self-reported pain, overall, evidence suggests that self-reported pain is more likely to be associated with lower socio-economic status (Kuntz, et al., 2017; Johannes, Le, Zhou, Johnston, &amp; Dworkin, 2010) and not being married [</w:t>
      </w:r>
      <w:r w:rsidRPr="00F14E72">
        <w:rPr>
          <w:rFonts w:ascii="Calibri" w:eastAsia="MS Mincho" w:hAnsi="Calibri" w:cs="Calibri"/>
          <w:bCs/>
          <w:color w:val="0000FF"/>
        </w:rPr>
        <w:t>i.e.</w:t>
      </w:r>
      <w:r w:rsidRPr="00FF66C4">
        <w:rPr>
          <w:rFonts w:ascii="Calibri" w:eastAsia="MS Mincho" w:hAnsi="Calibri" w:cs="Calibri"/>
          <w:bCs/>
          <w:color w:val="0000FF"/>
        </w:rPr>
        <w:t>,</w:t>
      </w:r>
      <w:r w:rsidRPr="007B766A">
        <w:rPr>
          <w:rFonts w:ascii="Calibri" w:eastAsia="MS Mincho" w:hAnsi="Calibri" w:cs="Calibri"/>
          <w:bCs/>
          <w:color w:val="0000FF"/>
        </w:rPr>
        <w:t xml:space="preserve"> widowed, divorced, separated, and never married (Johannes, et al., 2010; Sjogren, </w:t>
      </w:r>
      <w:proofErr w:type="spellStart"/>
      <w:r w:rsidRPr="007B766A">
        <w:rPr>
          <w:rFonts w:ascii="Calibri" w:eastAsia="MS Mincho" w:hAnsi="Calibri" w:cs="Calibri"/>
          <w:bCs/>
          <w:color w:val="0000FF"/>
        </w:rPr>
        <w:t>Ekholm</w:t>
      </w:r>
      <w:proofErr w:type="spellEnd"/>
      <w:r w:rsidRPr="007B766A">
        <w:rPr>
          <w:rFonts w:ascii="Calibri" w:eastAsia="MS Mincho" w:hAnsi="Calibri" w:cs="Calibri"/>
          <w:bCs/>
          <w:color w:val="0000FF"/>
        </w:rPr>
        <w:t xml:space="preserve">, </w:t>
      </w:r>
      <w:proofErr w:type="spellStart"/>
      <w:r w:rsidRPr="007B766A">
        <w:rPr>
          <w:rFonts w:ascii="Calibri" w:eastAsia="MS Mincho" w:hAnsi="Calibri" w:cs="Calibri"/>
          <w:bCs/>
          <w:color w:val="0000FF"/>
        </w:rPr>
        <w:t>Peuckmann</w:t>
      </w:r>
      <w:proofErr w:type="spellEnd"/>
      <w:r w:rsidRPr="007B766A">
        <w:rPr>
          <w:rFonts w:ascii="Calibri" w:eastAsia="MS Mincho" w:hAnsi="Calibri" w:cs="Calibri"/>
          <w:bCs/>
          <w:color w:val="0000FF"/>
        </w:rPr>
        <w:t xml:space="preserve">, &amp; </w:t>
      </w:r>
      <w:proofErr w:type="spellStart"/>
      <w:r w:rsidRPr="007B766A">
        <w:rPr>
          <w:rFonts w:ascii="Calibri" w:eastAsia="MS Mincho" w:hAnsi="Calibri" w:cs="Calibri"/>
          <w:bCs/>
          <w:color w:val="0000FF"/>
        </w:rPr>
        <w:t>Gronbaek</w:t>
      </w:r>
      <w:proofErr w:type="spellEnd"/>
      <w:r w:rsidRPr="007B766A">
        <w:rPr>
          <w:rFonts w:ascii="Calibri" w:eastAsia="MS Mincho" w:hAnsi="Calibri" w:cs="Calibri"/>
          <w:bCs/>
          <w:color w:val="0000FF"/>
        </w:rPr>
        <w:t xml:space="preserve">, 2009)]. The evidence suggests that this may be </w:t>
      </w:r>
      <w:r w:rsidRPr="007B766A">
        <w:rPr>
          <w:color w:val="0000FF"/>
        </w:rPr>
        <w:t>due to low levels of self-involvement in healthcare and living in a less affluent area with access to fewer supports for those with lower SES (Brekke,</w:t>
      </w:r>
      <w:r w:rsidRPr="007B766A">
        <w:t xml:space="preserve"> </w:t>
      </w:r>
      <w:proofErr w:type="spellStart"/>
      <w:r w:rsidRPr="007B766A">
        <w:rPr>
          <w:color w:val="0000FF"/>
        </w:rPr>
        <w:t>Hjortdahl</w:t>
      </w:r>
      <w:proofErr w:type="spellEnd"/>
      <w:r w:rsidRPr="007B766A">
        <w:rPr>
          <w:color w:val="0000FF"/>
        </w:rPr>
        <w:t xml:space="preserve">, &amp; </w:t>
      </w:r>
      <w:proofErr w:type="spellStart"/>
      <w:r w:rsidRPr="007B766A">
        <w:rPr>
          <w:color w:val="0000FF"/>
        </w:rPr>
        <w:t>Kvien</w:t>
      </w:r>
      <w:proofErr w:type="spellEnd"/>
      <w:r w:rsidRPr="007B766A">
        <w:rPr>
          <w:color w:val="0000FF"/>
        </w:rPr>
        <w:t>, 2002).</w:t>
      </w:r>
      <w:r w:rsidRPr="007B766A">
        <w:rPr>
          <w:rFonts w:ascii="Calibri" w:eastAsia="MS Mincho" w:hAnsi="Calibri" w:cs="Calibri"/>
          <w:bCs/>
          <w:color w:val="0000FF"/>
        </w:rPr>
        <w:t xml:space="preserve"> </w:t>
      </w:r>
      <w:r w:rsidRPr="007B766A">
        <w:rPr>
          <w:color w:val="0000FF"/>
        </w:rPr>
        <w:t xml:space="preserve">Marriage has been shown to be associated with better health and longer life expectancy due to the social and societal connections </w:t>
      </w:r>
      <w:r w:rsidR="00FF66C4">
        <w:rPr>
          <w:color w:val="0000FF"/>
        </w:rPr>
        <w:t>from which</w:t>
      </w:r>
      <w:r w:rsidR="00FF66C4" w:rsidRPr="007B766A">
        <w:rPr>
          <w:color w:val="0000FF"/>
        </w:rPr>
        <w:t xml:space="preserve"> </w:t>
      </w:r>
      <w:r w:rsidRPr="007B766A">
        <w:rPr>
          <w:color w:val="0000FF"/>
        </w:rPr>
        <w:t>married individuals benefit, possibly explaining the lower rates of self-reported pain among married individuals than among non-married individuals (Wade, Hart, Wade, Bajaj, &amp; Price, 2013).</w:t>
      </w:r>
      <w:r w:rsidRPr="007B766A">
        <w:rPr>
          <w:rFonts w:ascii="Calibri" w:eastAsia="MS Mincho" w:hAnsi="Calibri" w:cs="Calibri"/>
          <w:bCs/>
          <w:color w:val="0000FF"/>
        </w:rPr>
        <w:t xml:space="preserve"> However, one study to note by Sawyer and colleagues (2007) found that self-reported pain was higher among married nursing home residents than non-married residents. Due to the mixed results in the literature, SES and marital status were examined.  Given the available MDS data, we examined the effect of eligibility for Medicaid as an indicator of socio-economic status.  </w:t>
      </w:r>
    </w:p>
    <w:p w14:paraId="3E2877AB" w14:textId="44A63089" w:rsidR="00747647" w:rsidRPr="007B766A" w:rsidRDefault="00747647" w:rsidP="00747647">
      <w:pPr>
        <w:autoSpaceDE w:val="0"/>
        <w:autoSpaceDN w:val="0"/>
        <w:adjustRightInd w:val="0"/>
        <w:spacing w:before="240" w:after="240" w:line="240" w:lineRule="auto"/>
        <w:rPr>
          <w:rFonts w:ascii="Calibri" w:eastAsia="MS Mincho" w:hAnsi="Calibri" w:cs="Calibri"/>
          <w:bCs/>
          <w:color w:val="0000FF"/>
        </w:rPr>
      </w:pPr>
      <w:r w:rsidRPr="007B766A">
        <w:rPr>
          <w:rFonts w:ascii="Calibri" w:eastAsia="MS Mincho" w:hAnsi="Calibri" w:cs="Calibri"/>
          <w:bCs/>
          <w:color w:val="0000FF"/>
        </w:rPr>
        <w:t xml:space="preserve">Likewise, the literature points to lower prevalence of self-reported pain among the oldest nursing home residents (Clement, Bradley, &amp; Lin, 2009; </w:t>
      </w:r>
      <w:proofErr w:type="spellStart"/>
      <w:r w:rsidRPr="007B766A">
        <w:rPr>
          <w:rFonts w:ascii="Calibri" w:eastAsia="MS Mincho" w:hAnsi="Calibri" w:cs="Calibri"/>
          <w:bCs/>
          <w:color w:val="0000FF"/>
        </w:rPr>
        <w:t>Takai</w:t>
      </w:r>
      <w:proofErr w:type="spellEnd"/>
      <w:r w:rsidRPr="007B766A">
        <w:rPr>
          <w:rFonts w:ascii="Calibri" w:eastAsia="MS Mincho" w:hAnsi="Calibri" w:cs="Calibri"/>
          <w:bCs/>
          <w:color w:val="0000FF"/>
        </w:rPr>
        <w:t>, Yamamoto-</w:t>
      </w:r>
      <w:proofErr w:type="spellStart"/>
      <w:r w:rsidRPr="007B766A">
        <w:rPr>
          <w:rFonts w:ascii="Calibri" w:eastAsia="MS Mincho" w:hAnsi="Calibri" w:cs="Calibri"/>
          <w:bCs/>
          <w:color w:val="0000FF"/>
        </w:rPr>
        <w:t>Mitani</w:t>
      </w:r>
      <w:proofErr w:type="spellEnd"/>
      <w:r w:rsidRPr="007B766A">
        <w:rPr>
          <w:rFonts w:ascii="Calibri" w:eastAsia="MS Mincho" w:hAnsi="Calibri" w:cs="Calibri"/>
          <w:bCs/>
          <w:color w:val="0000FF"/>
        </w:rPr>
        <w:t xml:space="preserve">, Okamoto, Koyama, &amp; Honda, 2010) and </w:t>
      </w:r>
      <w:r>
        <w:rPr>
          <w:rFonts w:ascii="Calibri" w:eastAsia="MS Mincho" w:hAnsi="Calibri" w:cs="Calibri"/>
          <w:bCs/>
          <w:color w:val="0000FF"/>
        </w:rPr>
        <w:t xml:space="preserve">among </w:t>
      </w:r>
      <w:r w:rsidRPr="007B766A">
        <w:rPr>
          <w:rFonts w:ascii="Calibri" w:eastAsia="MS Mincho" w:hAnsi="Calibri" w:cs="Calibri"/>
          <w:bCs/>
          <w:color w:val="0000FF"/>
        </w:rPr>
        <w:t xml:space="preserve">male residents (Lukas, Mayer, </w:t>
      </w:r>
      <w:proofErr w:type="spellStart"/>
      <w:r w:rsidRPr="007B766A">
        <w:rPr>
          <w:rFonts w:ascii="Calibri" w:eastAsia="MS Mincho" w:hAnsi="Calibri" w:cs="Calibri"/>
          <w:bCs/>
          <w:color w:val="0000FF"/>
        </w:rPr>
        <w:t>Fiavola</w:t>
      </w:r>
      <w:proofErr w:type="spellEnd"/>
      <w:r w:rsidRPr="007B766A">
        <w:rPr>
          <w:rFonts w:ascii="Calibri" w:eastAsia="MS Mincho" w:hAnsi="Calibri" w:cs="Calibri"/>
          <w:bCs/>
          <w:color w:val="0000FF"/>
        </w:rPr>
        <w:t xml:space="preserve">, </w:t>
      </w:r>
      <w:proofErr w:type="spellStart"/>
      <w:r w:rsidRPr="007B766A">
        <w:rPr>
          <w:rFonts w:ascii="Calibri" w:eastAsia="MS Mincho" w:hAnsi="Calibri" w:cs="Calibri"/>
          <w:bCs/>
          <w:color w:val="0000FF"/>
        </w:rPr>
        <w:t>Topinkova</w:t>
      </w:r>
      <w:proofErr w:type="spellEnd"/>
      <w:r w:rsidRPr="007B766A">
        <w:rPr>
          <w:rFonts w:ascii="Calibri" w:eastAsia="MS Mincho" w:hAnsi="Calibri" w:cs="Calibri"/>
          <w:bCs/>
          <w:color w:val="0000FF"/>
        </w:rPr>
        <w:t xml:space="preserve">, </w:t>
      </w:r>
      <w:proofErr w:type="spellStart"/>
      <w:r w:rsidRPr="007B766A">
        <w:rPr>
          <w:rFonts w:ascii="Calibri" w:eastAsia="MS Mincho" w:hAnsi="Calibri" w:cs="Calibri"/>
          <w:bCs/>
          <w:color w:val="0000FF"/>
        </w:rPr>
        <w:t>Gindin</w:t>
      </w:r>
      <w:proofErr w:type="spellEnd"/>
      <w:r w:rsidRPr="007B766A">
        <w:rPr>
          <w:rFonts w:ascii="Calibri" w:eastAsia="MS Mincho" w:hAnsi="Calibri" w:cs="Calibri"/>
          <w:bCs/>
          <w:color w:val="0000FF"/>
        </w:rPr>
        <w:t xml:space="preserve">, </w:t>
      </w:r>
      <w:proofErr w:type="spellStart"/>
      <w:r w:rsidRPr="007B766A">
        <w:rPr>
          <w:rFonts w:ascii="Calibri" w:eastAsia="MS Mincho" w:hAnsi="Calibri" w:cs="Calibri"/>
          <w:bCs/>
          <w:color w:val="0000FF"/>
        </w:rPr>
        <w:t>Onder</w:t>
      </w:r>
      <w:proofErr w:type="spellEnd"/>
      <w:r w:rsidRPr="007B766A">
        <w:rPr>
          <w:rFonts w:ascii="Calibri" w:eastAsia="MS Mincho" w:hAnsi="Calibri" w:cs="Calibri"/>
          <w:bCs/>
          <w:color w:val="0000FF"/>
        </w:rPr>
        <w:t xml:space="preserve">, </w:t>
      </w:r>
      <w:proofErr w:type="spellStart"/>
      <w:r w:rsidRPr="007B766A">
        <w:rPr>
          <w:rFonts w:ascii="Calibri" w:eastAsia="MS Mincho" w:hAnsi="Calibri" w:cs="Calibri"/>
          <w:bCs/>
          <w:color w:val="0000FF"/>
        </w:rPr>
        <w:t>Bernabei</w:t>
      </w:r>
      <w:proofErr w:type="spellEnd"/>
      <w:r w:rsidRPr="007B766A">
        <w:rPr>
          <w:rFonts w:ascii="Calibri" w:eastAsia="MS Mincho" w:hAnsi="Calibri" w:cs="Calibri"/>
          <w:bCs/>
          <w:color w:val="0000FF"/>
        </w:rPr>
        <w:t xml:space="preserve">, Nikolaus, &amp; </w:t>
      </w:r>
      <w:proofErr w:type="spellStart"/>
      <w:r w:rsidRPr="007B766A">
        <w:rPr>
          <w:rFonts w:ascii="Calibri" w:eastAsia="MS Mincho" w:hAnsi="Calibri" w:cs="Calibri"/>
          <w:bCs/>
          <w:color w:val="0000FF"/>
        </w:rPr>
        <w:t>Denkinger</w:t>
      </w:r>
      <w:proofErr w:type="spellEnd"/>
      <w:r w:rsidRPr="007B766A">
        <w:rPr>
          <w:rFonts w:ascii="Calibri" w:eastAsia="MS Mincho" w:hAnsi="Calibri" w:cs="Calibri"/>
          <w:bCs/>
          <w:color w:val="0000FF"/>
        </w:rPr>
        <w:t xml:space="preserve">, 2013; Sawyer, et al., 2007; </w:t>
      </w:r>
      <w:proofErr w:type="spellStart"/>
      <w:r w:rsidRPr="007B766A">
        <w:rPr>
          <w:rFonts w:ascii="Calibri" w:eastAsia="MS Mincho" w:hAnsi="Calibri" w:cs="Calibri"/>
          <w:bCs/>
          <w:color w:val="0000FF"/>
        </w:rPr>
        <w:t>Takai</w:t>
      </w:r>
      <w:proofErr w:type="spellEnd"/>
      <w:r w:rsidRPr="007B766A">
        <w:rPr>
          <w:rFonts w:ascii="Calibri" w:eastAsia="MS Mincho" w:hAnsi="Calibri" w:cs="Calibri"/>
          <w:bCs/>
          <w:color w:val="0000FF"/>
        </w:rPr>
        <w:t xml:space="preserve">, et al., 2010); thus, we also explored the impact of being 85 years or older (‘oldest old’) and gender on this measure. </w:t>
      </w:r>
      <w:r w:rsidRPr="007B766A">
        <w:rPr>
          <w:color w:val="0000FF"/>
        </w:rPr>
        <w:t>The literature attributes much of the differences in self-reported pain between groups to psychosocial factors. The decline in self-reported pain among the oldest old may be related to cohort differences or an acceptance of pain as part of the aging process (</w:t>
      </w:r>
      <w:proofErr w:type="spellStart"/>
      <w:r w:rsidRPr="007B766A">
        <w:rPr>
          <w:color w:val="0000FF"/>
        </w:rPr>
        <w:t>Zarit</w:t>
      </w:r>
      <w:proofErr w:type="spellEnd"/>
      <w:r w:rsidRPr="007B766A">
        <w:rPr>
          <w:color w:val="0000FF"/>
        </w:rPr>
        <w:t xml:space="preserve">, Griffiths, &amp; Berg, 2004).  Differences in self-reported pain between men and women </w:t>
      </w:r>
      <w:r w:rsidR="00FF66C4">
        <w:rPr>
          <w:color w:val="0000FF"/>
        </w:rPr>
        <w:t>are</w:t>
      </w:r>
      <w:r w:rsidRPr="007B766A">
        <w:rPr>
          <w:color w:val="0000FF"/>
        </w:rPr>
        <w:t xml:space="preserve"> thought to be associated with socially learned reactions (Bartley &amp; </w:t>
      </w:r>
      <w:proofErr w:type="spellStart"/>
      <w:r w:rsidRPr="007B766A">
        <w:rPr>
          <w:color w:val="0000FF"/>
        </w:rPr>
        <w:t>Fillingim</w:t>
      </w:r>
      <w:proofErr w:type="spellEnd"/>
      <w:r w:rsidRPr="007B766A">
        <w:rPr>
          <w:color w:val="0000FF"/>
        </w:rPr>
        <w:t xml:space="preserve">, 2013; Robinson, Riley, Myers, Papa, Wise, </w:t>
      </w:r>
      <w:proofErr w:type="spellStart"/>
      <w:r w:rsidRPr="007B766A">
        <w:rPr>
          <w:color w:val="0000FF"/>
        </w:rPr>
        <w:t>Waxenberg</w:t>
      </w:r>
      <w:proofErr w:type="spellEnd"/>
      <w:r w:rsidRPr="007B766A">
        <w:rPr>
          <w:color w:val="0000FF"/>
        </w:rPr>
        <w:t xml:space="preserve">, &amp; </w:t>
      </w:r>
      <w:proofErr w:type="spellStart"/>
      <w:r w:rsidRPr="007B766A">
        <w:rPr>
          <w:color w:val="0000FF"/>
        </w:rPr>
        <w:t>Fillingim</w:t>
      </w:r>
      <w:proofErr w:type="spellEnd"/>
      <w:r w:rsidRPr="007B766A">
        <w:rPr>
          <w:color w:val="0000FF"/>
        </w:rPr>
        <w:t>, 2001), such as pain-related expectations, sex role beliefs, and pain coping strategies (</w:t>
      </w:r>
      <w:proofErr w:type="spellStart"/>
      <w:r w:rsidRPr="007B766A">
        <w:rPr>
          <w:color w:val="0000FF"/>
        </w:rPr>
        <w:t>Fillingim</w:t>
      </w:r>
      <w:proofErr w:type="spellEnd"/>
      <w:r w:rsidRPr="007B766A">
        <w:rPr>
          <w:color w:val="0000FF"/>
        </w:rPr>
        <w:t xml:space="preserve">, 2000). </w:t>
      </w:r>
      <w:r w:rsidR="00850382">
        <w:rPr>
          <w:rFonts w:ascii="Calibri" w:eastAsia="MS Mincho" w:hAnsi="Calibri" w:cs="Calibri"/>
          <w:bCs/>
          <w:color w:val="0000FF"/>
        </w:rPr>
        <w:t xml:space="preserve"> </w:t>
      </w:r>
    </w:p>
    <w:p w14:paraId="3183B7F5" w14:textId="77777777" w:rsidR="00747647" w:rsidRPr="007B766A" w:rsidRDefault="00747647" w:rsidP="00747647">
      <w:pPr>
        <w:autoSpaceDE w:val="0"/>
        <w:autoSpaceDN w:val="0"/>
        <w:adjustRightInd w:val="0"/>
        <w:spacing w:before="240" w:after="240" w:line="240" w:lineRule="auto"/>
        <w:rPr>
          <w:rFonts w:ascii="Calibri" w:eastAsia="MS Mincho" w:hAnsi="Calibri" w:cs="Calibri"/>
          <w:bCs/>
          <w:color w:val="0000FF"/>
        </w:rPr>
      </w:pPr>
      <w:r w:rsidRPr="007B766A">
        <w:rPr>
          <w:rFonts w:ascii="Calibri" w:eastAsia="MS Mincho" w:hAnsi="Calibri" w:cs="Calibri"/>
          <w:bCs/>
          <w:color w:val="0000FF"/>
        </w:rPr>
        <w:t>We created binary variables for each social risk factor described above as follows:</w:t>
      </w:r>
    </w:p>
    <w:p w14:paraId="25350DDE" w14:textId="77777777" w:rsidR="00747647" w:rsidRPr="00627706" w:rsidRDefault="00747647" w:rsidP="00747647">
      <w:pPr>
        <w:pStyle w:val="ListParagraph"/>
        <w:numPr>
          <w:ilvl w:val="0"/>
          <w:numId w:val="11"/>
        </w:numPr>
        <w:autoSpaceDE w:val="0"/>
        <w:autoSpaceDN w:val="0"/>
        <w:adjustRightInd w:val="0"/>
        <w:spacing w:before="240" w:after="240" w:line="240" w:lineRule="auto"/>
        <w:rPr>
          <w:color w:val="0000FF"/>
        </w:rPr>
      </w:pPr>
      <w:r w:rsidRPr="00627706">
        <w:rPr>
          <w:color w:val="0000FF"/>
        </w:rPr>
        <w:t xml:space="preserve">Medicaid eligibility: defined from Item A0700 (Medicaid Number) in the MDS.  Medicaid eligibility is defined as 1 if the resident has a Medicaid number or if a Medicaid number is pending, 0 if Medicaid number = “N”, and missing if Medicaid number is missing.  </w:t>
      </w:r>
    </w:p>
    <w:p w14:paraId="7F61CBA5" w14:textId="77777777" w:rsidR="00747647" w:rsidRPr="00627706" w:rsidRDefault="00747647" w:rsidP="00747647">
      <w:pPr>
        <w:pStyle w:val="ListParagraph"/>
        <w:numPr>
          <w:ilvl w:val="0"/>
          <w:numId w:val="11"/>
        </w:numPr>
        <w:autoSpaceDE w:val="0"/>
        <w:autoSpaceDN w:val="0"/>
        <w:adjustRightInd w:val="0"/>
        <w:spacing w:before="240" w:after="240" w:line="240" w:lineRule="auto"/>
        <w:rPr>
          <w:color w:val="0000FF"/>
        </w:rPr>
      </w:pPr>
      <w:r w:rsidRPr="00627706">
        <w:rPr>
          <w:color w:val="0000FF"/>
        </w:rPr>
        <w:t>Oldest old: defined from Item A0900 (Birth Date) in the MDS.  Oldest old is defined as 1 if the resident is age 85 or older and 0 if otherwise.  Birth Date is not missing on any assessment in the sample.</w:t>
      </w:r>
    </w:p>
    <w:p w14:paraId="65CE7C83" w14:textId="77777777" w:rsidR="00747647" w:rsidRPr="00627706" w:rsidRDefault="00747647" w:rsidP="00747647">
      <w:pPr>
        <w:pStyle w:val="ListParagraph"/>
        <w:numPr>
          <w:ilvl w:val="0"/>
          <w:numId w:val="11"/>
        </w:numPr>
        <w:autoSpaceDE w:val="0"/>
        <w:autoSpaceDN w:val="0"/>
        <w:adjustRightInd w:val="0"/>
        <w:spacing w:before="240" w:after="240" w:line="240" w:lineRule="auto"/>
        <w:rPr>
          <w:color w:val="0000FF"/>
        </w:rPr>
      </w:pPr>
      <w:r w:rsidRPr="00627706">
        <w:rPr>
          <w:color w:val="0000FF"/>
        </w:rPr>
        <w:t>Not married: defined from Item A1200 (Marital Status) in the MDS.  Not married is defined as 1 if the resident is never married, widowed, separated, or divorced; 0 if the resident is married; and missing if marital status is missing on the target assessment.</w:t>
      </w:r>
    </w:p>
    <w:p w14:paraId="3D8BAC4B" w14:textId="77777777" w:rsidR="00747647" w:rsidRPr="00627706" w:rsidRDefault="00747647" w:rsidP="00747647">
      <w:pPr>
        <w:pStyle w:val="ListParagraph"/>
        <w:numPr>
          <w:ilvl w:val="0"/>
          <w:numId w:val="11"/>
        </w:numPr>
        <w:autoSpaceDE w:val="0"/>
        <w:autoSpaceDN w:val="0"/>
        <w:adjustRightInd w:val="0"/>
        <w:spacing w:before="240" w:after="240" w:line="240" w:lineRule="auto"/>
        <w:rPr>
          <w:color w:val="0000FF"/>
        </w:rPr>
      </w:pPr>
      <w:r w:rsidRPr="00627706">
        <w:rPr>
          <w:color w:val="0000FF"/>
        </w:rPr>
        <w:t>Gender: defined from item A0800 (Gender) in the MDS. Male is defined as 1 and Female as 0. Gender is not missing on any assessment in the sample.</w:t>
      </w:r>
    </w:p>
    <w:p w14:paraId="325D9901" w14:textId="77777777" w:rsidR="00747647" w:rsidRPr="007B766A" w:rsidRDefault="00747647" w:rsidP="004D436F">
      <w:pPr>
        <w:spacing w:line="240" w:lineRule="auto"/>
        <w:rPr>
          <w:rFonts w:ascii="Calibri" w:eastAsia="MS Mincho" w:hAnsi="Calibri" w:cs="Calibri"/>
          <w:bCs/>
          <w:color w:val="0000FF"/>
        </w:rPr>
      </w:pPr>
      <w:r w:rsidRPr="007B766A">
        <w:rPr>
          <w:rFonts w:ascii="Calibri" w:eastAsia="MS Mincho" w:hAnsi="Calibri" w:cs="Calibri"/>
          <w:bCs/>
          <w:color w:val="0000FF"/>
        </w:rPr>
        <w:t xml:space="preserve">We would also like to note that while there are observed differences in self-reported pain by race/ethnicity, we did not consider race as a potential social risk factor per NQF guidance on the use of race as an indicator of </w:t>
      </w:r>
      <w:r>
        <w:rPr>
          <w:rFonts w:ascii="Calibri" w:eastAsia="MS Mincho" w:hAnsi="Calibri" w:cs="Calibri"/>
          <w:bCs/>
          <w:color w:val="0000FF"/>
        </w:rPr>
        <w:t>socioeconomic</w:t>
      </w:r>
      <w:r w:rsidRPr="007B766A">
        <w:rPr>
          <w:rFonts w:ascii="Calibri" w:eastAsia="MS Mincho" w:hAnsi="Calibri" w:cs="Calibri"/>
          <w:bCs/>
          <w:color w:val="0000FF"/>
        </w:rPr>
        <w:t xml:space="preserve"> status. Detailed analyses on the impact of race on the percentage of residents who self-report moderate to severe pain can be found in the Measure Submission Form.</w:t>
      </w:r>
    </w:p>
    <w:p w14:paraId="4BC39A72" w14:textId="77777777" w:rsidR="00747647" w:rsidRPr="00987D40" w:rsidRDefault="00747647" w:rsidP="00747647">
      <w:pPr>
        <w:ind w:left="720" w:hanging="720"/>
        <w:rPr>
          <w:rFonts w:ascii="Calibri" w:eastAsia="MS Mincho" w:hAnsi="Calibri" w:cs="Calibri"/>
          <w:bCs/>
          <w:color w:val="0000FF"/>
          <w:sz w:val="20"/>
          <w:szCs w:val="20"/>
        </w:rPr>
      </w:pPr>
      <w:r w:rsidRPr="00987D40">
        <w:rPr>
          <w:rFonts w:ascii="Calibri" w:eastAsia="MS Mincho" w:hAnsi="Calibri" w:cs="Calibri"/>
          <w:bCs/>
          <w:color w:val="0000FF"/>
          <w:sz w:val="20"/>
          <w:szCs w:val="20"/>
        </w:rPr>
        <w:t xml:space="preserve">Bartley, E. &amp; </w:t>
      </w:r>
      <w:proofErr w:type="spellStart"/>
      <w:r w:rsidRPr="00987D40">
        <w:rPr>
          <w:rFonts w:ascii="Calibri" w:eastAsia="MS Mincho" w:hAnsi="Calibri" w:cs="Calibri"/>
          <w:bCs/>
          <w:color w:val="0000FF"/>
          <w:sz w:val="20"/>
          <w:szCs w:val="20"/>
        </w:rPr>
        <w:t>Fillingim</w:t>
      </w:r>
      <w:proofErr w:type="spellEnd"/>
      <w:r w:rsidRPr="00987D40">
        <w:rPr>
          <w:rFonts w:ascii="Calibri" w:eastAsia="MS Mincho" w:hAnsi="Calibri" w:cs="Calibri"/>
          <w:bCs/>
          <w:color w:val="0000FF"/>
          <w:sz w:val="20"/>
          <w:szCs w:val="20"/>
        </w:rPr>
        <w:t xml:space="preserve">, R. (2013) Sex differences in pain: a brief review of clinical and experimental findings. British Journal of Anesthesia, 111(1), 52-58. </w:t>
      </w:r>
    </w:p>
    <w:p w14:paraId="2A08F483" w14:textId="77777777" w:rsidR="00747647" w:rsidRPr="00987D40" w:rsidRDefault="00747647" w:rsidP="00747647">
      <w:pPr>
        <w:ind w:left="720" w:hanging="720"/>
        <w:rPr>
          <w:rFonts w:ascii="Calibri" w:eastAsia="MS Mincho" w:hAnsi="Calibri" w:cs="Calibri"/>
          <w:bCs/>
          <w:color w:val="0000FF"/>
          <w:sz w:val="20"/>
          <w:szCs w:val="20"/>
        </w:rPr>
      </w:pPr>
      <w:r w:rsidRPr="00987D40">
        <w:rPr>
          <w:rFonts w:ascii="Calibri" w:eastAsia="MS Mincho" w:hAnsi="Calibri" w:cs="Calibri"/>
          <w:bCs/>
          <w:color w:val="0000FF"/>
          <w:sz w:val="20"/>
          <w:szCs w:val="20"/>
        </w:rPr>
        <w:t xml:space="preserve">Brekke, M., </w:t>
      </w:r>
      <w:proofErr w:type="spellStart"/>
      <w:r w:rsidRPr="00987D40">
        <w:rPr>
          <w:rFonts w:ascii="Calibri" w:eastAsia="MS Mincho" w:hAnsi="Calibri" w:cs="Calibri"/>
          <w:bCs/>
          <w:color w:val="0000FF"/>
          <w:sz w:val="20"/>
          <w:szCs w:val="20"/>
        </w:rPr>
        <w:t>Hjortdahl</w:t>
      </w:r>
      <w:proofErr w:type="spellEnd"/>
      <w:r w:rsidRPr="00987D40">
        <w:rPr>
          <w:rFonts w:ascii="Calibri" w:eastAsia="MS Mincho" w:hAnsi="Calibri" w:cs="Calibri"/>
          <w:bCs/>
          <w:color w:val="0000FF"/>
          <w:sz w:val="20"/>
          <w:szCs w:val="20"/>
        </w:rPr>
        <w:t xml:space="preserve">, P., &amp; </w:t>
      </w:r>
      <w:proofErr w:type="spellStart"/>
      <w:r w:rsidRPr="00987D40">
        <w:rPr>
          <w:rFonts w:ascii="Calibri" w:eastAsia="MS Mincho" w:hAnsi="Calibri" w:cs="Calibri"/>
          <w:bCs/>
          <w:color w:val="0000FF"/>
          <w:sz w:val="20"/>
          <w:szCs w:val="20"/>
        </w:rPr>
        <w:t>Kvien</w:t>
      </w:r>
      <w:proofErr w:type="spellEnd"/>
      <w:r w:rsidRPr="00987D40">
        <w:rPr>
          <w:rFonts w:ascii="Calibri" w:eastAsia="MS Mincho" w:hAnsi="Calibri" w:cs="Calibri"/>
          <w:bCs/>
          <w:color w:val="0000FF"/>
          <w:sz w:val="20"/>
          <w:szCs w:val="20"/>
        </w:rPr>
        <w:t xml:space="preserve">, T. (2002) Severity of musculoskeletal pain: relations to socioeconomic inequality. Social Science &amp; Medicine, 54(2), 221-228. </w:t>
      </w:r>
    </w:p>
    <w:p w14:paraId="34990B0D" w14:textId="77777777" w:rsidR="00747647" w:rsidRPr="00987D40" w:rsidRDefault="00747647" w:rsidP="00747647">
      <w:pPr>
        <w:ind w:left="720" w:hanging="720"/>
        <w:rPr>
          <w:rFonts w:ascii="Calibri" w:eastAsia="MS Mincho" w:hAnsi="Calibri" w:cs="Calibri"/>
          <w:bCs/>
          <w:color w:val="0000FF"/>
          <w:sz w:val="20"/>
          <w:szCs w:val="20"/>
        </w:rPr>
      </w:pPr>
      <w:r w:rsidRPr="00987D40">
        <w:rPr>
          <w:rFonts w:ascii="Calibri" w:eastAsia="MS Mincho" w:hAnsi="Calibri" w:cs="Calibri"/>
          <w:bCs/>
          <w:color w:val="0000FF"/>
          <w:sz w:val="20"/>
          <w:szCs w:val="20"/>
        </w:rPr>
        <w:t xml:space="preserve">Clement, J., Bradley, C., &amp; Lin, C. (2009) Organizational characteristics and cancer care for nursing home residents. </w:t>
      </w:r>
      <w:r w:rsidRPr="00987D40">
        <w:rPr>
          <w:rFonts w:ascii="Calibri" w:eastAsia="MS Mincho" w:hAnsi="Calibri" w:cs="Calibri"/>
          <w:bCs/>
          <w:i/>
          <w:color w:val="0000FF"/>
          <w:sz w:val="20"/>
          <w:szCs w:val="20"/>
        </w:rPr>
        <w:t>Health Services Research, 44</w:t>
      </w:r>
      <w:r w:rsidRPr="00987D40">
        <w:rPr>
          <w:rFonts w:ascii="Calibri" w:eastAsia="MS Mincho" w:hAnsi="Calibri" w:cs="Calibri"/>
          <w:bCs/>
          <w:color w:val="0000FF"/>
          <w:sz w:val="20"/>
          <w:szCs w:val="20"/>
        </w:rPr>
        <w:t xml:space="preserve">(6), 1983-2003. </w:t>
      </w:r>
    </w:p>
    <w:p w14:paraId="6E49B3CF" w14:textId="77777777" w:rsidR="00747647" w:rsidRPr="00987D40" w:rsidRDefault="00747647" w:rsidP="00747647">
      <w:pPr>
        <w:ind w:left="720" w:hanging="720"/>
        <w:rPr>
          <w:rFonts w:ascii="Calibri" w:eastAsia="MS Mincho" w:hAnsi="Calibri" w:cs="Calibri"/>
          <w:bCs/>
          <w:color w:val="0000FF"/>
          <w:sz w:val="20"/>
          <w:szCs w:val="20"/>
        </w:rPr>
      </w:pPr>
      <w:proofErr w:type="spellStart"/>
      <w:r w:rsidRPr="00987D40">
        <w:rPr>
          <w:rFonts w:ascii="Calibri" w:eastAsia="MS Mincho" w:hAnsi="Calibri" w:cs="Calibri"/>
          <w:bCs/>
          <w:color w:val="0000FF"/>
          <w:sz w:val="20"/>
          <w:szCs w:val="20"/>
        </w:rPr>
        <w:t>Fillingim</w:t>
      </w:r>
      <w:proofErr w:type="spellEnd"/>
      <w:r w:rsidRPr="00987D40">
        <w:rPr>
          <w:rFonts w:ascii="Calibri" w:eastAsia="MS Mincho" w:hAnsi="Calibri" w:cs="Calibri"/>
          <w:bCs/>
          <w:color w:val="0000FF"/>
          <w:sz w:val="20"/>
          <w:szCs w:val="20"/>
        </w:rPr>
        <w:t xml:space="preserve">, R. (2000) Sex, gender, and pain: Women and men really are different. Current Review of Pain, 4(1), 24-30. </w:t>
      </w:r>
    </w:p>
    <w:p w14:paraId="1C83EDFC" w14:textId="77777777" w:rsidR="00747647" w:rsidRPr="00987D40" w:rsidRDefault="00747647" w:rsidP="00747647">
      <w:pPr>
        <w:ind w:left="720" w:hanging="720"/>
        <w:rPr>
          <w:rFonts w:ascii="Calibri" w:eastAsia="MS Mincho" w:hAnsi="Calibri" w:cs="Calibri"/>
          <w:bCs/>
          <w:color w:val="0000FF"/>
          <w:sz w:val="20"/>
          <w:szCs w:val="20"/>
        </w:rPr>
      </w:pPr>
      <w:r w:rsidRPr="00987D40">
        <w:rPr>
          <w:rFonts w:ascii="Calibri" w:eastAsia="MS Mincho" w:hAnsi="Calibri" w:cs="Calibri"/>
          <w:bCs/>
          <w:color w:val="0000FF"/>
          <w:sz w:val="20"/>
          <w:szCs w:val="20"/>
        </w:rPr>
        <w:t xml:space="preserve">Johannes, C., Le, K., Zhou, X., Johnston, J., &amp; Dworkin, R. (2010). The prevalence of chronic pain in united states adults: Result of an internet-based survey. </w:t>
      </w:r>
      <w:r w:rsidRPr="00987D40">
        <w:rPr>
          <w:rFonts w:ascii="Calibri" w:eastAsia="MS Mincho" w:hAnsi="Calibri" w:cs="Calibri"/>
          <w:bCs/>
          <w:i/>
          <w:color w:val="0000FF"/>
          <w:sz w:val="20"/>
          <w:szCs w:val="20"/>
        </w:rPr>
        <w:t>The Journal of Pain, 11</w:t>
      </w:r>
      <w:r w:rsidRPr="00987D40">
        <w:rPr>
          <w:rFonts w:ascii="Calibri" w:eastAsia="MS Mincho" w:hAnsi="Calibri" w:cs="Calibri"/>
          <w:bCs/>
          <w:color w:val="0000FF"/>
          <w:sz w:val="20"/>
          <w:szCs w:val="20"/>
        </w:rPr>
        <w:t xml:space="preserve">(11), 1230-1239. </w:t>
      </w:r>
    </w:p>
    <w:p w14:paraId="0C4D91AD" w14:textId="77777777" w:rsidR="00747647" w:rsidRPr="00987D40" w:rsidRDefault="00747647" w:rsidP="00747647">
      <w:pPr>
        <w:ind w:left="720" w:hanging="720"/>
        <w:rPr>
          <w:rFonts w:ascii="Calibri" w:eastAsia="MS Mincho" w:hAnsi="Calibri" w:cs="Calibri"/>
          <w:bCs/>
          <w:color w:val="0000FF"/>
          <w:sz w:val="20"/>
          <w:szCs w:val="20"/>
        </w:rPr>
      </w:pPr>
      <w:r w:rsidRPr="00987D40">
        <w:rPr>
          <w:rFonts w:ascii="Calibri" w:eastAsia="MS Mincho" w:hAnsi="Calibri" w:cs="Calibri"/>
          <w:bCs/>
          <w:color w:val="0000FF"/>
          <w:sz w:val="20"/>
          <w:szCs w:val="20"/>
        </w:rPr>
        <w:t xml:space="preserve">Kunz, B., </w:t>
      </w:r>
      <w:proofErr w:type="spellStart"/>
      <w:r w:rsidRPr="00987D40">
        <w:rPr>
          <w:rFonts w:ascii="Calibri" w:eastAsia="MS Mincho" w:hAnsi="Calibri" w:cs="Calibri"/>
          <w:bCs/>
          <w:color w:val="0000FF"/>
          <w:sz w:val="20"/>
          <w:szCs w:val="20"/>
        </w:rPr>
        <w:t>Hoebel</w:t>
      </w:r>
      <w:proofErr w:type="spellEnd"/>
      <w:r w:rsidRPr="00987D40">
        <w:rPr>
          <w:rFonts w:ascii="Calibri" w:eastAsia="MS Mincho" w:hAnsi="Calibri" w:cs="Calibri"/>
          <w:bCs/>
          <w:color w:val="0000FF"/>
          <w:sz w:val="20"/>
          <w:szCs w:val="20"/>
        </w:rPr>
        <w:t xml:space="preserve">, J., Fuchs, J., </w:t>
      </w:r>
      <w:proofErr w:type="spellStart"/>
      <w:r w:rsidRPr="00987D40">
        <w:rPr>
          <w:rFonts w:ascii="Calibri" w:eastAsia="MS Mincho" w:hAnsi="Calibri" w:cs="Calibri"/>
          <w:bCs/>
          <w:color w:val="0000FF"/>
          <w:sz w:val="20"/>
          <w:szCs w:val="20"/>
        </w:rPr>
        <w:t>Neuhauser</w:t>
      </w:r>
      <w:proofErr w:type="spellEnd"/>
      <w:r w:rsidRPr="00987D40">
        <w:rPr>
          <w:rFonts w:ascii="Calibri" w:eastAsia="MS Mincho" w:hAnsi="Calibri" w:cs="Calibri"/>
          <w:bCs/>
          <w:color w:val="0000FF"/>
          <w:sz w:val="20"/>
          <w:szCs w:val="20"/>
        </w:rPr>
        <w:t xml:space="preserve">, H., Lampert, T. (2017). Social inequalities in the prevalence of chronic back pain among adults in Germany. </w:t>
      </w:r>
      <w:proofErr w:type="spellStart"/>
      <w:r w:rsidRPr="00987D40">
        <w:rPr>
          <w:rFonts w:ascii="Calibri" w:eastAsia="MS Mincho" w:hAnsi="Calibri" w:cs="Calibri"/>
          <w:bCs/>
          <w:i/>
          <w:color w:val="0000FF"/>
          <w:sz w:val="20"/>
          <w:szCs w:val="20"/>
        </w:rPr>
        <w:t>Bundesgesundheitsblatt</w:t>
      </w:r>
      <w:proofErr w:type="spellEnd"/>
      <w:r w:rsidRPr="00987D40">
        <w:rPr>
          <w:rFonts w:ascii="Calibri" w:eastAsia="MS Mincho" w:hAnsi="Calibri" w:cs="Calibri"/>
          <w:bCs/>
          <w:i/>
          <w:color w:val="0000FF"/>
          <w:sz w:val="20"/>
          <w:szCs w:val="20"/>
        </w:rPr>
        <w:t>, 60</w:t>
      </w:r>
      <w:r w:rsidRPr="00987D40">
        <w:rPr>
          <w:rFonts w:ascii="Calibri" w:eastAsia="MS Mincho" w:hAnsi="Calibri" w:cs="Calibri"/>
          <w:bCs/>
          <w:color w:val="0000FF"/>
          <w:sz w:val="20"/>
          <w:szCs w:val="20"/>
        </w:rPr>
        <w:t xml:space="preserve">(7), 783-791. </w:t>
      </w:r>
    </w:p>
    <w:p w14:paraId="16DA4502" w14:textId="6AB6B72A" w:rsidR="00747647" w:rsidRPr="00987D40" w:rsidRDefault="00747647" w:rsidP="00747647">
      <w:pPr>
        <w:ind w:left="720" w:hanging="720"/>
        <w:rPr>
          <w:rFonts w:ascii="Calibri" w:eastAsia="MS Mincho" w:hAnsi="Calibri" w:cs="Calibri"/>
          <w:bCs/>
          <w:color w:val="0000FF"/>
          <w:sz w:val="20"/>
          <w:szCs w:val="20"/>
        </w:rPr>
      </w:pPr>
      <w:r w:rsidRPr="00987D40">
        <w:rPr>
          <w:rFonts w:ascii="Calibri" w:eastAsia="MS Mincho" w:hAnsi="Calibri" w:cs="Calibri"/>
          <w:bCs/>
          <w:color w:val="0000FF"/>
          <w:sz w:val="20"/>
          <w:szCs w:val="20"/>
        </w:rPr>
        <w:t xml:space="preserve">Lukas, A., Mayer, B., </w:t>
      </w:r>
      <w:proofErr w:type="spellStart"/>
      <w:r w:rsidRPr="00987D40">
        <w:rPr>
          <w:rFonts w:ascii="Calibri" w:eastAsia="MS Mincho" w:hAnsi="Calibri" w:cs="Calibri"/>
          <w:bCs/>
          <w:color w:val="0000FF"/>
          <w:sz w:val="20"/>
          <w:szCs w:val="20"/>
        </w:rPr>
        <w:t>Fiavola</w:t>
      </w:r>
      <w:proofErr w:type="spellEnd"/>
      <w:r w:rsidRPr="00987D40">
        <w:rPr>
          <w:rFonts w:ascii="Calibri" w:eastAsia="MS Mincho" w:hAnsi="Calibri" w:cs="Calibri"/>
          <w:bCs/>
          <w:color w:val="0000FF"/>
          <w:sz w:val="20"/>
          <w:szCs w:val="20"/>
        </w:rPr>
        <w:t xml:space="preserve">, D., </w:t>
      </w:r>
      <w:proofErr w:type="spellStart"/>
      <w:r w:rsidRPr="00987D40">
        <w:rPr>
          <w:rFonts w:ascii="Calibri" w:eastAsia="MS Mincho" w:hAnsi="Calibri" w:cs="Calibri"/>
          <w:bCs/>
          <w:color w:val="0000FF"/>
          <w:sz w:val="20"/>
          <w:szCs w:val="20"/>
        </w:rPr>
        <w:t>Top</w:t>
      </w:r>
      <w:r w:rsidR="00F06D71">
        <w:rPr>
          <w:rFonts w:ascii="Calibri" w:eastAsia="MS Mincho" w:hAnsi="Calibri" w:cs="Calibri"/>
          <w:bCs/>
          <w:color w:val="0000FF"/>
          <w:sz w:val="20"/>
          <w:szCs w:val="20"/>
        </w:rPr>
        <w:t>i</w:t>
      </w:r>
      <w:r w:rsidRPr="00987D40">
        <w:rPr>
          <w:rFonts w:ascii="Calibri" w:eastAsia="MS Mincho" w:hAnsi="Calibri" w:cs="Calibri"/>
          <w:bCs/>
          <w:color w:val="0000FF"/>
          <w:sz w:val="20"/>
          <w:szCs w:val="20"/>
        </w:rPr>
        <w:t>nkova</w:t>
      </w:r>
      <w:proofErr w:type="spellEnd"/>
      <w:r w:rsidRPr="00987D40">
        <w:rPr>
          <w:rFonts w:ascii="Calibri" w:eastAsia="MS Mincho" w:hAnsi="Calibri" w:cs="Calibri"/>
          <w:bCs/>
          <w:color w:val="0000FF"/>
          <w:sz w:val="20"/>
          <w:szCs w:val="20"/>
        </w:rPr>
        <w:t xml:space="preserve">, E., </w:t>
      </w:r>
      <w:proofErr w:type="spellStart"/>
      <w:r w:rsidRPr="00987D40">
        <w:rPr>
          <w:rFonts w:ascii="Calibri" w:eastAsia="MS Mincho" w:hAnsi="Calibri" w:cs="Calibri"/>
          <w:bCs/>
          <w:color w:val="0000FF"/>
          <w:sz w:val="20"/>
          <w:szCs w:val="20"/>
        </w:rPr>
        <w:t>Gindin</w:t>
      </w:r>
      <w:proofErr w:type="spellEnd"/>
      <w:r w:rsidRPr="00987D40">
        <w:rPr>
          <w:rFonts w:ascii="Calibri" w:eastAsia="MS Mincho" w:hAnsi="Calibri" w:cs="Calibri"/>
          <w:bCs/>
          <w:color w:val="0000FF"/>
          <w:sz w:val="20"/>
          <w:szCs w:val="20"/>
        </w:rPr>
        <w:t xml:space="preserve">, J., </w:t>
      </w:r>
      <w:proofErr w:type="spellStart"/>
      <w:r w:rsidRPr="00987D40">
        <w:rPr>
          <w:rFonts w:ascii="Calibri" w:eastAsia="MS Mincho" w:hAnsi="Calibri" w:cs="Calibri"/>
          <w:bCs/>
          <w:color w:val="0000FF"/>
          <w:sz w:val="20"/>
          <w:szCs w:val="20"/>
        </w:rPr>
        <w:t>Onder</w:t>
      </w:r>
      <w:proofErr w:type="spellEnd"/>
      <w:r w:rsidRPr="00987D40">
        <w:rPr>
          <w:rFonts w:ascii="Calibri" w:eastAsia="MS Mincho" w:hAnsi="Calibri" w:cs="Calibri"/>
          <w:bCs/>
          <w:color w:val="0000FF"/>
          <w:sz w:val="20"/>
          <w:szCs w:val="20"/>
        </w:rPr>
        <w:t xml:space="preserve">, G., </w:t>
      </w:r>
      <w:proofErr w:type="spellStart"/>
      <w:r w:rsidRPr="00987D40">
        <w:rPr>
          <w:rFonts w:ascii="Calibri" w:eastAsia="MS Mincho" w:hAnsi="Calibri" w:cs="Calibri"/>
          <w:bCs/>
          <w:color w:val="0000FF"/>
          <w:sz w:val="20"/>
          <w:szCs w:val="20"/>
        </w:rPr>
        <w:t>Bernabei</w:t>
      </w:r>
      <w:proofErr w:type="spellEnd"/>
      <w:r w:rsidRPr="00987D40">
        <w:rPr>
          <w:rFonts w:ascii="Calibri" w:eastAsia="MS Mincho" w:hAnsi="Calibri" w:cs="Calibri"/>
          <w:bCs/>
          <w:color w:val="0000FF"/>
          <w:sz w:val="20"/>
          <w:szCs w:val="20"/>
        </w:rPr>
        <w:t xml:space="preserve">, R., Nikolaus, T., &amp; </w:t>
      </w:r>
      <w:proofErr w:type="spellStart"/>
      <w:r w:rsidRPr="00987D40">
        <w:rPr>
          <w:rFonts w:ascii="Calibri" w:eastAsia="MS Mincho" w:hAnsi="Calibri" w:cs="Calibri"/>
          <w:bCs/>
          <w:color w:val="0000FF"/>
          <w:sz w:val="20"/>
          <w:szCs w:val="20"/>
        </w:rPr>
        <w:t>Denkinger</w:t>
      </w:r>
      <w:proofErr w:type="spellEnd"/>
      <w:r w:rsidRPr="00987D40">
        <w:rPr>
          <w:rFonts w:ascii="Calibri" w:eastAsia="MS Mincho" w:hAnsi="Calibri" w:cs="Calibri"/>
          <w:bCs/>
          <w:color w:val="0000FF"/>
          <w:sz w:val="20"/>
          <w:szCs w:val="20"/>
        </w:rPr>
        <w:t>, M. (2013) Pain characteristics and pain control in European nursing homes: Cross-</w:t>
      </w:r>
      <w:r w:rsidRPr="007B766A">
        <w:rPr>
          <w:rFonts w:ascii="Calibri" w:eastAsia="MS Mincho" w:hAnsi="Calibri" w:cs="Calibri"/>
          <w:bCs/>
          <w:color w:val="0000FF"/>
        </w:rPr>
        <w:t xml:space="preserve">sectional and </w:t>
      </w:r>
      <w:r w:rsidRPr="00987D40">
        <w:rPr>
          <w:rFonts w:ascii="Calibri" w:eastAsia="MS Mincho" w:hAnsi="Calibri" w:cs="Calibri"/>
          <w:bCs/>
          <w:color w:val="0000FF"/>
          <w:sz w:val="20"/>
          <w:szCs w:val="20"/>
        </w:rPr>
        <w:t>longitudinal results from the services an</w:t>
      </w:r>
      <w:r w:rsidR="00B03D05">
        <w:rPr>
          <w:rFonts w:ascii="Calibri" w:eastAsia="MS Mincho" w:hAnsi="Calibri" w:cs="Calibri"/>
          <w:bCs/>
          <w:color w:val="0000FF"/>
          <w:sz w:val="20"/>
          <w:szCs w:val="20"/>
        </w:rPr>
        <w:t>d health for elderly in long ter</w:t>
      </w:r>
      <w:r w:rsidRPr="00987D40">
        <w:rPr>
          <w:rFonts w:ascii="Calibri" w:eastAsia="MS Mincho" w:hAnsi="Calibri" w:cs="Calibri"/>
          <w:bCs/>
          <w:color w:val="0000FF"/>
          <w:sz w:val="20"/>
          <w:szCs w:val="20"/>
        </w:rPr>
        <w:t xml:space="preserve">m care (SHELTER) study. </w:t>
      </w:r>
      <w:r w:rsidRPr="00987D40">
        <w:rPr>
          <w:rFonts w:ascii="Calibri" w:eastAsia="MS Mincho" w:hAnsi="Calibri" w:cs="Calibri"/>
          <w:bCs/>
          <w:i/>
          <w:color w:val="0000FF"/>
          <w:sz w:val="20"/>
          <w:szCs w:val="20"/>
        </w:rPr>
        <w:t>Journal of the American Medical Directors Association, 14</w:t>
      </w:r>
      <w:r w:rsidRPr="00987D40">
        <w:rPr>
          <w:rFonts w:ascii="Calibri" w:eastAsia="MS Mincho" w:hAnsi="Calibri" w:cs="Calibri"/>
          <w:bCs/>
          <w:color w:val="0000FF"/>
          <w:sz w:val="20"/>
          <w:szCs w:val="20"/>
        </w:rPr>
        <w:t xml:space="preserve">(6), 421-428. </w:t>
      </w:r>
    </w:p>
    <w:p w14:paraId="4E96292E" w14:textId="77777777" w:rsidR="00747647" w:rsidRPr="00987D40" w:rsidRDefault="00747647" w:rsidP="00747647">
      <w:pPr>
        <w:ind w:left="720" w:hanging="720"/>
        <w:rPr>
          <w:rFonts w:ascii="Calibri" w:eastAsia="MS Mincho" w:hAnsi="Calibri" w:cs="Calibri"/>
          <w:bCs/>
          <w:color w:val="0000FF"/>
          <w:sz w:val="20"/>
          <w:szCs w:val="20"/>
        </w:rPr>
      </w:pPr>
      <w:r w:rsidRPr="00987D40">
        <w:rPr>
          <w:rFonts w:ascii="Calibri" w:eastAsia="MS Mincho" w:hAnsi="Calibri" w:cs="Calibri"/>
          <w:bCs/>
          <w:color w:val="0000FF"/>
          <w:sz w:val="20"/>
          <w:szCs w:val="20"/>
        </w:rPr>
        <w:t xml:space="preserve">Robinson, M., Rile, J., Myers, C., Papa, R., R., Wise, E., </w:t>
      </w:r>
      <w:proofErr w:type="spellStart"/>
      <w:r w:rsidRPr="00987D40">
        <w:rPr>
          <w:rFonts w:ascii="Calibri" w:eastAsia="MS Mincho" w:hAnsi="Calibri" w:cs="Calibri"/>
          <w:bCs/>
          <w:color w:val="0000FF"/>
          <w:sz w:val="20"/>
          <w:szCs w:val="20"/>
        </w:rPr>
        <w:t>Waxenberg</w:t>
      </w:r>
      <w:proofErr w:type="spellEnd"/>
      <w:r w:rsidRPr="00987D40">
        <w:rPr>
          <w:rFonts w:ascii="Calibri" w:eastAsia="MS Mincho" w:hAnsi="Calibri" w:cs="Calibri"/>
          <w:bCs/>
          <w:color w:val="0000FF"/>
          <w:sz w:val="20"/>
          <w:szCs w:val="20"/>
        </w:rPr>
        <w:t xml:space="preserve">, L., &amp; </w:t>
      </w:r>
      <w:proofErr w:type="spellStart"/>
      <w:r w:rsidRPr="00987D40">
        <w:rPr>
          <w:rFonts w:ascii="Calibri" w:eastAsia="MS Mincho" w:hAnsi="Calibri" w:cs="Calibri"/>
          <w:bCs/>
          <w:color w:val="0000FF"/>
          <w:sz w:val="20"/>
          <w:szCs w:val="20"/>
        </w:rPr>
        <w:t>Fillingim</w:t>
      </w:r>
      <w:proofErr w:type="spellEnd"/>
      <w:r w:rsidRPr="00987D40">
        <w:rPr>
          <w:rFonts w:ascii="Calibri" w:eastAsia="MS Mincho" w:hAnsi="Calibri" w:cs="Calibri"/>
          <w:bCs/>
          <w:color w:val="0000FF"/>
          <w:sz w:val="20"/>
          <w:szCs w:val="20"/>
        </w:rPr>
        <w:t xml:space="preserve">, R. (2001) Gender role expectations of pain: Relationship to sex differences in pain. The Journal of Pain, 2(5), 251-257. </w:t>
      </w:r>
    </w:p>
    <w:p w14:paraId="71B6A02D" w14:textId="77777777" w:rsidR="00747647" w:rsidRPr="00987D40" w:rsidRDefault="00747647" w:rsidP="00747647">
      <w:pPr>
        <w:ind w:left="720" w:hanging="720"/>
        <w:rPr>
          <w:rFonts w:ascii="Calibri" w:eastAsia="MS Mincho" w:hAnsi="Calibri" w:cs="Calibri"/>
          <w:bCs/>
          <w:color w:val="0000FF"/>
          <w:sz w:val="20"/>
          <w:szCs w:val="20"/>
        </w:rPr>
      </w:pPr>
      <w:r w:rsidRPr="00987D40">
        <w:rPr>
          <w:rFonts w:ascii="Calibri" w:eastAsia="MS Mincho" w:hAnsi="Calibri" w:cs="Calibri"/>
          <w:bCs/>
          <w:color w:val="0000FF"/>
          <w:sz w:val="20"/>
          <w:szCs w:val="20"/>
        </w:rPr>
        <w:t xml:space="preserve">Sawyer, P., Lillis, J. P., Bodner, E., &amp; Allman, R. (2007) Substantial daily pain among nursing home residents. </w:t>
      </w:r>
      <w:r w:rsidRPr="00987D40">
        <w:rPr>
          <w:rFonts w:ascii="Calibri" w:eastAsia="MS Mincho" w:hAnsi="Calibri" w:cs="Calibri"/>
          <w:bCs/>
          <w:i/>
          <w:color w:val="0000FF"/>
          <w:sz w:val="20"/>
          <w:szCs w:val="20"/>
        </w:rPr>
        <w:t>Journal of the American Medical Directors Association, 8</w:t>
      </w:r>
      <w:r w:rsidRPr="00987D40">
        <w:rPr>
          <w:rFonts w:ascii="Calibri" w:eastAsia="MS Mincho" w:hAnsi="Calibri" w:cs="Calibri"/>
          <w:bCs/>
          <w:color w:val="0000FF"/>
          <w:sz w:val="20"/>
          <w:szCs w:val="20"/>
        </w:rPr>
        <w:t xml:space="preserve">(3), 158-165. </w:t>
      </w:r>
    </w:p>
    <w:p w14:paraId="062BCFB8" w14:textId="77777777" w:rsidR="00747647" w:rsidRPr="00987D40" w:rsidRDefault="00747647" w:rsidP="00747647">
      <w:pPr>
        <w:ind w:left="720" w:hanging="720"/>
        <w:rPr>
          <w:rFonts w:ascii="Calibri" w:eastAsia="MS Mincho" w:hAnsi="Calibri" w:cs="Calibri"/>
          <w:bCs/>
          <w:color w:val="0000FF"/>
          <w:sz w:val="20"/>
          <w:szCs w:val="20"/>
        </w:rPr>
      </w:pPr>
      <w:r w:rsidRPr="00987D40">
        <w:rPr>
          <w:rFonts w:ascii="Calibri" w:eastAsia="MS Mincho" w:hAnsi="Calibri" w:cs="Calibri"/>
          <w:bCs/>
          <w:color w:val="0000FF"/>
          <w:sz w:val="20"/>
          <w:szCs w:val="20"/>
        </w:rPr>
        <w:t xml:space="preserve">Sjogren, P., </w:t>
      </w:r>
      <w:proofErr w:type="spellStart"/>
      <w:r w:rsidRPr="00987D40">
        <w:rPr>
          <w:rFonts w:ascii="Calibri" w:eastAsia="MS Mincho" w:hAnsi="Calibri" w:cs="Calibri"/>
          <w:bCs/>
          <w:color w:val="0000FF"/>
          <w:sz w:val="20"/>
          <w:szCs w:val="20"/>
        </w:rPr>
        <w:t>Ekholm</w:t>
      </w:r>
      <w:proofErr w:type="spellEnd"/>
      <w:r w:rsidRPr="00987D40">
        <w:rPr>
          <w:rFonts w:ascii="Calibri" w:eastAsia="MS Mincho" w:hAnsi="Calibri" w:cs="Calibri"/>
          <w:bCs/>
          <w:color w:val="0000FF"/>
          <w:sz w:val="20"/>
          <w:szCs w:val="20"/>
        </w:rPr>
        <w:t xml:space="preserve">, O., </w:t>
      </w:r>
      <w:proofErr w:type="spellStart"/>
      <w:r w:rsidRPr="00987D40">
        <w:rPr>
          <w:rFonts w:ascii="Calibri" w:eastAsia="MS Mincho" w:hAnsi="Calibri" w:cs="Calibri"/>
          <w:bCs/>
          <w:color w:val="0000FF"/>
          <w:sz w:val="20"/>
          <w:szCs w:val="20"/>
        </w:rPr>
        <w:t>Peuckmann</w:t>
      </w:r>
      <w:proofErr w:type="spellEnd"/>
      <w:r w:rsidRPr="00987D40">
        <w:rPr>
          <w:rFonts w:ascii="Calibri" w:eastAsia="MS Mincho" w:hAnsi="Calibri" w:cs="Calibri"/>
          <w:bCs/>
          <w:color w:val="0000FF"/>
          <w:sz w:val="20"/>
          <w:szCs w:val="20"/>
        </w:rPr>
        <w:t xml:space="preserve">, V., &amp; </w:t>
      </w:r>
      <w:proofErr w:type="spellStart"/>
      <w:r w:rsidRPr="00987D40">
        <w:rPr>
          <w:rFonts w:ascii="Calibri" w:eastAsia="MS Mincho" w:hAnsi="Calibri" w:cs="Calibri"/>
          <w:bCs/>
          <w:color w:val="0000FF"/>
          <w:sz w:val="20"/>
          <w:szCs w:val="20"/>
        </w:rPr>
        <w:t>Gronbaek</w:t>
      </w:r>
      <w:proofErr w:type="spellEnd"/>
      <w:r w:rsidRPr="00987D40">
        <w:rPr>
          <w:rFonts w:ascii="Calibri" w:eastAsia="MS Mincho" w:hAnsi="Calibri" w:cs="Calibri"/>
          <w:bCs/>
          <w:color w:val="0000FF"/>
          <w:sz w:val="20"/>
          <w:szCs w:val="20"/>
        </w:rPr>
        <w:t xml:space="preserve">, M. (2009) Epidemiology of chronic pain in Denmark: An update. European Journal of Pain, 13(3), 287-292.  </w:t>
      </w:r>
    </w:p>
    <w:p w14:paraId="59CC7293" w14:textId="77777777" w:rsidR="00747647" w:rsidRPr="00987D40" w:rsidRDefault="00747647" w:rsidP="00747647">
      <w:pPr>
        <w:ind w:left="720" w:hanging="720"/>
        <w:rPr>
          <w:rFonts w:ascii="Calibri" w:eastAsia="MS Mincho" w:hAnsi="Calibri" w:cs="Calibri"/>
          <w:bCs/>
          <w:color w:val="0000FF"/>
          <w:sz w:val="20"/>
          <w:szCs w:val="20"/>
        </w:rPr>
      </w:pPr>
      <w:proofErr w:type="spellStart"/>
      <w:r w:rsidRPr="00987D40">
        <w:rPr>
          <w:rFonts w:ascii="Calibri" w:eastAsia="MS Mincho" w:hAnsi="Calibri" w:cs="Calibri"/>
          <w:bCs/>
          <w:color w:val="0000FF"/>
          <w:sz w:val="20"/>
          <w:szCs w:val="20"/>
        </w:rPr>
        <w:t>Takai</w:t>
      </w:r>
      <w:proofErr w:type="spellEnd"/>
      <w:r w:rsidRPr="00987D40">
        <w:rPr>
          <w:rFonts w:ascii="Calibri" w:eastAsia="MS Mincho" w:hAnsi="Calibri" w:cs="Calibri"/>
          <w:bCs/>
          <w:color w:val="0000FF"/>
          <w:sz w:val="20"/>
          <w:szCs w:val="20"/>
        </w:rPr>
        <w:t>, Y., Yamamoto-</w:t>
      </w:r>
      <w:proofErr w:type="spellStart"/>
      <w:r w:rsidRPr="00987D40">
        <w:rPr>
          <w:rFonts w:ascii="Calibri" w:eastAsia="MS Mincho" w:hAnsi="Calibri" w:cs="Calibri"/>
          <w:bCs/>
          <w:color w:val="0000FF"/>
          <w:sz w:val="20"/>
          <w:szCs w:val="20"/>
        </w:rPr>
        <w:t>Mitani</w:t>
      </w:r>
      <w:proofErr w:type="spellEnd"/>
      <w:r w:rsidRPr="00987D40">
        <w:rPr>
          <w:rFonts w:ascii="Calibri" w:eastAsia="MS Mincho" w:hAnsi="Calibri" w:cs="Calibri"/>
          <w:bCs/>
          <w:color w:val="0000FF"/>
          <w:sz w:val="20"/>
          <w:szCs w:val="20"/>
        </w:rPr>
        <w:t xml:space="preserve">, N., Okamoto, Y., Koyama, K., Honda, A. (2010). Literature review of pain prevalence among older residents of nursing homes. </w:t>
      </w:r>
      <w:r w:rsidRPr="00987D40">
        <w:rPr>
          <w:rFonts w:ascii="Calibri" w:eastAsia="MS Mincho" w:hAnsi="Calibri" w:cs="Calibri"/>
          <w:bCs/>
          <w:i/>
          <w:color w:val="0000FF"/>
          <w:sz w:val="20"/>
          <w:szCs w:val="20"/>
        </w:rPr>
        <w:t>Pain Management Nursing, 1</w:t>
      </w:r>
      <w:r w:rsidRPr="00987D40">
        <w:rPr>
          <w:rFonts w:ascii="Calibri" w:eastAsia="MS Mincho" w:hAnsi="Calibri" w:cs="Calibri"/>
          <w:bCs/>
          <w:color w:val="0000FF"/>
          <w:sz w:val="20"/>
          <w:szCs w:val="20"/>
        </w:rPr>
        <w:t xml:space="preserve">(4), 209-223. </w:t>
      </w:r>
    </w:p>
    <w:p w14:paraId="13545C1A" w14:textId="77777777" w:rsidR="00747647" w:rsidRPr="00987D40" w:rsidRDefault="00747647" w:rsidP="00747647">
      <w:pPr>
        <w:ind w:left="720" w:hanging="720"/>
        <w:rPr>
          <w:rFonts w:ascii="Calibri" w:eastAsia="MS Mincho" w:hAnsi="Calibri" w:cs="Calibri"/>
          <w:bCs/>
          <w:color w:val="0000FF"/>
          <w:sz w:val="20"/>
          <w:szCs w:val="20"/>
        </w:rPr>
      </w:pPr>
      <w:r w:rsidRPr="00987D40">
        <w:rPr>
          <w:rFonts w:ascii="Calibri" w:eastAsia="MS Mincho" w:hAnsi="Calibri" w:cs="Calibri"/>
          <w:bCs/>
          <w:color w:val="0000FF"/>
          <w:sz w:val="20"/>
          <w:szCs w:val="20"/>
        </w:rPr>
        <w:t>Wade, J. B., Hart, R., Wade, J. H., Bajaj, J., &amp; Price, D. (2013) The relationship between marital status and psychological resilience in chronic pain. Pain Research and Treatment, 2013, 928473.</w:t>
      </w:r>
    </w:p>
    <w:p w14:paraId="265E1E19" w14:textId="77777777" w:rsidR="00747647" w:rsidRPr="00987D40" w:rsidRDefault="00747647" w:rsidP="00747647">
      <w:pPr>
        <w:ind w:left="720" w:hanging="720"/>
        <w:rPr>
          <w:rFonts w:ascii="Calibri" w:eastAsia="MS Mincho" w:hAnsi="Calibri" w:cs="Calibri"/>
          <w:bCs/>
          <w:color w:val="0000FF"/>
          <w:sz w:val="20"/>
          <w:szCs w:val="20"/>
        </w:rPr>
      </w:pPr>
      <w:proofErr w:type="spellStart"/>
      <w:r w:rsidRPr="00987D40">
        <w:rPr>
          <w:rFonts w:ascii="Calibri" w:eastAsia="MS Mincho" w:hAnsi="Calibri" w:cs="Calibri"/>
          <w:bCs/>
          <w:color w:val="0000FF"/>
          <w:sz w:val="20"/>
          <w:szCs w:val="20"/>
        </w:rPr>
        <w:t>Zarit</w:t>
      </w:r>
      <w:proofErr w:type="spellEnd"/>
      <w:r w:rsidRPr="00987D40">
        <w:rPr>
          <w:rFonts w:ascii="Calibri" w:eastAsia="MS Mincho" w:hAnsi="Calibri" w:cs="Calibri"/>
          <w:bCs/>
          <w:color w:val="0000FF"/>
          <w:sz w:val="20"/>
          <w:szCs w:val="20"/>
        </w:rPr>
        <w:t>, S., Griffiths, P., &amp; Berg, S. (2004) Pain perceptions of the oldest old: A longitudinal study. The Gerontologist, 44(4), 459-468.</w:t>
      </w:r>
    </w:p>
    <w:p w14:paraId="53C30753" w14:textId="6F4EA695" w:rsidR="00423534" w:rsidRDefault="00747647" w:rsidP="000A4DAA">
      <w:pPr>
        <w:pStyle w:val="Response"/>
        <w:rPr>
          <w:bCs w:val="0"/>
        </w:rPr>
      </w:pPr>
      <w:r w:rsidRPr="00984D5D">
        <w:rPr>
          <w:b/>
          <w:color w:val="auto"/>
        </w:rPr>
        <w:t>2b3.4a. What were the statistical results of the analyses used to select risk factors?</w:t>
      </w:r>
      <w:r w:rsidRPr="007B766A">
        <w:rPr>
          <w:b/>
        </w:rPr>
        <w:br/>
      </w:r>
      <w:r w:rsidR="00440DE5">
        <w:t xml:space="preserve">This measure, the short-stay pain measure (NQF #0676), is not currently risk-adjusted. </w:t>
      </w:r>
      <w:r w:rsidRPr="007B766A">
        <w:rPr>
          <w:iCs/>
        </w:rPr>
        <w:t xml:space="preserve">The current risk adjustment model </w:t>
      </w:r>
      <w:r>
        <w:rPr>
          <w:iCs/>
        </w:rPr>
        <w:t>for</w:t>
      </w:r>
      <w:r w:rsidR="00984D5D">
        <w:rPr>
          <w:iCs/>
        </w:rPr>
        <w:t xml:space="preserve"> the related quality measure,</w:t>
      </w:r>
      <w:r>
        <w:rPr>
          <w:iCs/>
        </w:rPr>
        <w:t xml:space="preserve"> NQF </w:t>
      </w:r>
      <w:r w:rsidR="00A06942">
        <w:rPr>
          <w:iCs/>
        </w:rPr>
        <w:t>#</w:t>
      </w:r>
      <w:r>
        <w:rPr>
          <w:iCs/>
        </w:rPr>
        <w:t>0677</w:t>
      </w:r>
      <w:r w:rsidR="00984D5D">
        <w:rPr>
          <w:iCs/>
        </w:rPr>
        <w:t>,</w:t>
      </w:r>
      <w:r>
        <w:rPr>
          <w:iCs/>
        </w:rPr>
        <w:t xml:space="preserve"> </w:t>
      </w:r>
      <w:r w:rsidRPr="007B766A">
        <w:rPr>
          <w:iCs/>
        </w:rPr>
        <w:t xml:space="preserve">includes one covariate, cognitive independence, which is a significant predictor of self-reported pain. </w:t>
      </w:r>
      <w:r w:rsidRPr="007B766A">
        <w:t>For the covariate risk adjustment (indirect standardization), the measure is adjusted for independence or modified independence in daily decision making (C1000=0 or 1) for residents evaluated with the staff assessment, or no cognitive impairments (C0500&gt;12) coded on the prior MDS assessment (referred to hereafter as cognitive independence).</w:t>
      </w:r>
      <w:r w:rsidR="00440DE5">
        <w:t>The short-stay pain measure, however, is not risk-adjusted</w:t>
      </w:r>
      <w:r w:rsidR="00661ADA">
        <w:t>,</w:t>
      </w:r>
      <w:r w:rsidR="00440DE5">
        <w:t xml:space="preserve"> as</w:t>
      </w:r>
      <w:r w:rsidR="00440DE5" w:rsidRPr="00A44749">
        <w:rPr>
          <w:bCs w:val="0"/>
        </w:rPr>
        <w:t xml:space="preserve"> restrict</w:t>
      </w:r>
      <w:r w:rsidR="00440DE5">
        <w:rPr>
          <w:bCs w:val="0"/>
        </w:rPr>
        <w:t>ing</w:t>
      </w:r>
      <w:r w:rsidR="00440DE5" w:rsidRPr="00A44749">
        <w:rPr>
          <w:bCs w:val="0"/>
        </w:rPr>
        <w:t xml:space="preserve"> the measure to only those residents with </w:t>
      </w:r>
      <w:r w:rsidR="00440DE5" w:rsidRPr="00143893">
        <w:rPr>
          <w:bCs w:val="0"/>
        </w:rPr>
        <w:t xml:space="preserve">initial assessments </w:t>
      </w:r>
      <w:r w:rsidR="00440DE5">
        <w:rPr>
          <w:bCs w:val="0"/>
        </w:rPr>
        <w:t xml:space="preserve">for the purposes of risk adjustment </w:t>
      </w:r>
      <w:r w:rsidR="00440DE5" w:rsidRPr="00143893">
        <w:rPr>
          <w:bCs w:val="0"/>
        </w:rPr>
        <w:t>would reduce the number of residents included in the denominator of this measure by 2</w:t>
      </w:r>
      <w:r w:rsidR="00440DE5">
        <w:rPr>
          <w:bCs w:val="0"/>
        </w:rPr>
        <w:t>8</w:t>
      </w:r>
      <w:r w:rsidR="00440DE5" w:rsidRPr="00143893">
        <w:rPr>
          <w:bCs w:val="0"/>
        </w:rPr>
        <w:t>.</w:t>
      </w:r>
      <w:r w:rsidR="00440DE5">
        <w:rPr>
          <w:bCs w:val="0"/>
        </w:rPr>
        <w:t>1</w:t>
      </w:r>
      <w:r w:rsidR="00440DE5" w:rsidRPr="00143893">
        <w:rPr>
          <w:bCs w:val="0"/>
        </w:rPr>
        <w:t>%, substantially</w:t>
      </w:r>
      <w:r w:rsidR="00440DE5" w:rsidRPr="00A44749">
        <w:rPr>
          <w:bCs w:val="0"/>
        </w:rPr>
        <w:t xml:space="preserve"> restricting the</w:t>
      </w:r>
      <w:r w:rsidR="00661ADA">
        <w:rPr>
          <w:bCs w:val="0"/>
        </w:rPr>
        <w:t xml:space="preserve"> reportability of this measure; </w:t>
      </w:r>
      <w:r w:rsidR="00440DE5" w:rsidRPr="00A44749">
        <w:rPr>
          <w:bCs w:val="0"/>
        </w:rPr>
        <w:t xml:space="preserve">it was determined that the benefits of risk adjustment were outweighed by the large number of resident exclusions that would result. </w:t>
      </w:r>
      <w:r w:rsidR="00440DE5">
        <w:rPr>
          <w:bCs w:val="0"/>
        </w:rPr>
        <w:t>This is not an issue for the related long-stay pain measure (NQF #0677)</w:t>
      </w:r>
      <w:r w:rsidR="00661ADA">
        <w:rPr>
          <w:bCs w:val="0"/>
        </w:rPr>
        <w:t>,</w:t>
      </w:r>
      <w:r w:rsidR="00440DE5">
        <w:rPr>
          <w:bCs w:val="0"/>
        </w:rPr>
        <w:t xml:space="preserve"> </w:t>
      </w:r>
      <w:r w:rsidR="00383EBC">
        <w:rPr>
          <w:bCs w:val="0"/>
        </w:rPr>
        <w:t xml:space="preserve">where restricting the </w:t>
      </w:r>
      <w:r w:rsidR="00661ADA">
        <w:rPr>
          <w:bCs w:val="0"/>
        </w:rPr>
        <w:t xml:space="preserve">measure </w:t>
      </w:r>
      <w:r w:rsidR="00603A07">
        <w:rPr>
          <w:iCs/>
        </w:rPr>
        <w:t>to only those residents with both a targ</w:t>
      </w:r>
      <w:r w:rsidR="00661ADA">
        <w:rPr>
          <w:iCs/>
        </w:rPr>
        <w:t>et and a prior assessment</w:t>
      </w:r>
      <w:r w:rsidR="00603A07">
        <w:rPr>
          <w:iCs/>
        </w:rPr>
        <w:t xml:space="preserve"> reduces the number of residents included in the denominator by less than 1%</w:t>
      </w:r>
      <w:r w:rsidR="00603A07">
        <w:rPr>
          <w:bCs w:val="0"/>
        </w:rPr>
        <w:t>.</w:t>
      </w:r>
      <w:r w:rsidR="00423534">
        <w:rPr>
          <w:bCs w:val="0"/>
        </w:rPr>
        <w:t xml:space="preserve">  </w:t>
      </w:r>
    </w:p>
    <w:p w14:paraId="7BF1CEBA" w14:textId="0CECA611" w:rsidR="009A1FF7" w:rsidRPr="00BC7F2D" w:rsidRDefault="00661ADA" w:rsidP="00BC7F2D">
      <w:pPr>
        <w:pStyle w:val="Response"/>
        <w:rPr>
          <w:rFonts w:ascii="Calibri" w:eastAsia="MS Mincho" w:hAnsi="Calibri" w:cs="Calibri"/>
        </w:rPr>
      </w:pPr>
      <w:r w:rsidRPr="00661ADA">
        <w:rPr>
          <w:bCs w:val="0"/>
        </w:rPr>
        <w:t>We conducted a series of analyses to examine potential risk adjustment models for this measure.</w:t>
      </w:r>
      <w:r>
        <w:rPr>
          <w:bCs w:val="0"/>
        </w:rPr>
        <w:t xml:space="preserve">  </w:t>
      </w:r>
      <w:r w:rsidR="00747647" w:rsidRPr="007B766A">
        <w:rPr>
          <w:rFonts w:ascii="Calibri" w:eastAsia="MS Mincho" w:hAnsi="Calibri" w:cs="Calibri"/>
        </w:rPr>
        <w:t xml:space="preserve">First, using data from Quarter 2, 2017, we examined the percentage of </w:t>
      </w:r>
      <w:r w:rsidR="00747647">
        <w:rPr>
          <w:rFonts w:ascii="Calibri" w:eastAsia="MS Mincho" w:hAnsi="Calibri" w:cs="Calibri"/>
        </w:rPr>
        <w:t>short</w:t>
      </w:r>
      <w:r w:rsidR="00747647" w:rsidRPr="007B766A">
        <w:rPr>
          <w:rFonts w:ascii="Calibri" w:eastAsia="MS Mincho" w:hAnsi="Calibri" w:cs="Calibri"/>
        </w:rPr>
        <w:t xml:space="preserve">-stay residents who were cognitively independent who self-reported moderate to severe pain, compared to those who were cognitively impaired, and used Chi-Squared tests to determine whether these differences were statistically significant, as shown in </w:t>
      </w:r>
      <w:r w:rsidR="00747647" w:rsidRPr="004E2A3E">
        <w:rPr>
          <w:rFonts w:ascii="Calibri" w:eastAsia="MS Mincho" w:hAnsi="Calibri" w:cs="Calibri"/>
          <w:b/>
          <w:i/>
        </w:rPr>
        <w:t>Table 3</w:t>
      </w:r>
      <w:r w:rsidR="00747647" w:rsidRPr="007B766A">
        <w:rPr>
          <w:rFonts w:ascii="Calibri" w:eastAsia="MS Mincho" w:hAnsi="Calibri" w:cs="Calibri"/>
        </w:rPr>
        <w:t xml:space="preserve">.  There is a large, significant difference in the proportion of residents who self-report </w:t>
      </w:r>
      <w:proofErr w:type="gramStart"/>
      <w:r w:rsidR="00747647" w:rsidRPr="007B766A">
        <w:rPr>
          <w:rFonts w:ascii="Calibri" w:eastAsia="MS Mincho" w:hAnsi="Calibri" w:cs="Calibri"/>
        </w:rPr>
        <w:t>moderate</w:t>
      </w:r>
      <w:proofErr w:type="gramEnd"/>
      <w:r w:rsidR="00747647" w:rsidRPr="007B766A">
        <w:rPr>
          <w:rFonts w:ascii="Calibri" w:eastAsia="MS Mincho" w:hAnsi="Calibri" w:cs="Calibri"/>
        </w:rPr>
        <w:t xml:space="preserve"> to severe pain by cognitive independence: among residents who</w:t>
      </w:r>
      <w:r w:rsidR="00BC7F2D">
        <w:rPr>
          <w:rFonts w:ascii="Calibri" w:eastAsia="MS Mincho" w:hAnsi="Calibri" w:cs="Calibri"/>
        </w:rPr>
        <w:t xml:space="preserve"> are cognitively independent, 12.7%</w:t>
      </w:r>
      <w:r w:rsidR="00747647" w:rsidRPr="007B766A">
        <w:rPr>
          <w:rFonts w:ascii="Calibri" w:eastAsia="MS Mincho" w:hAnsi="Calibri" w:cs="Calibri"/>
        </w:rPr>
        <w:t xml:space="preserve"> self-report modera</w:t>
      </w:r>
      <w:r w:rsidR="00BC7F2D">
        <w:rPr>
          <w:rFonts w:ascii="Calibri" w:eastAsia="MS Mincho" w:hAnsi="Calibri" w:cs="Calibri"/>
        </w:rPr>
        <w:t xml:space="preserve">te to severe pain, and among residents who are cognitively impaired, </w:t>
      </w:r>
      <w:r w:rsidR="00747647">
        <w:rPr>
          <w:rFonts w:ascii="Calibri" w:eastAsia="MS Mincho" w:hAnsi="Calibri" w:cs="Calibri"/>
        </w:rPr>
        <w:t>6.3</w:t>
      </w:r>
      <w:r w:rsidR="00747647" w:rsidRPr="007B766A">
        <w:rPr>
          <w:rFonts w:ascii="Calibri" w:eastAsia="MS Mincho" w:hAnsi="Calibri" w:cs="Calibri"/>
        </w:rPr>
        <w:t xml:space="preserve">% </w:t>
      </w:r>
      <w:r w:rsidR="00BC7F2D">
        <w:rPr>
          <w:rFonts w:ascii="Calibri" w:eastAsia="MS Mincho" w:hAnsi="Calibri" w:cs="Calibri"/>
        </w:rPr>
        <w:t>self-report moderate to severe pain</w:t>
      </w:r>
      <w:r w:rsidR="00747647" w:rsidRPr="007B766A">
        <w:rPr>
          <w:rFonts w:ascii="Calibri" w:eastAsia="MS Mincho" w:hAnsi="Calibri" w:cs="Calibri"/>
        </w:rPr>
        <w:t xml:space="preserve"> </w:t>
      </w:r>
      <w:bookmarkStart w:id="27" w:name="_Hlk501530641"/>
      <w:r w:rsidR="00747647">
        <w:rPr>
          <w:rFonts w:ascii="Calibri" w:eastAsia="MS Mincho" w:hAnsi="Calibri" w:cs="Calibri"/>
        </w:rPr>
        <w:t>(</w:t>
      </w:r>
      <w:r w:rsidR="00747647" w:rsidRPr="00E55061">
        <w:rPr>
          <w:rFonts w:ascii="Calibri" w:eastAsia="MS Mincho" w:hAnsi="Calibri" w:cs="Calibri"/>
          <w:i/>
        </w:rPr>
        <w:t>χ</w:t>
      </w:r>
      <w:r w:rsidR="00747647" w:rsidRPr="007B766A">
        <w:rPr>
          <w:rFonts w:ascii="Calibri" w:eastAsia="MS Mincho" w:hAnsi="Calibri" w:cs="Calibri"/>
          <w:vertAlign w:val="superscript"/>
        </w:rPr>
        <w:t>2</w:t>
      </w:r>
      <w:r w:rsidR="00747647">
        <w:rPr>
          <w:rFonts w:ascii="Calibri" w:eastAsia="MS Mincho" w:hAnsi="Calibri" w:cs="Calibri"/>
        </w:rPr>
        <w:t>(1) &gt;</w:t>
      </w:r>
      <w:r w:rsidR="00D06803">
        <w:rPr>
          <w:rFonts w:ascii="Calibri" w:eastAsia="MS Mincho" w:hAnsi="Calibri" w:cs="Calibri"/>
        </w:rPr>
        <w:t>8</w:t>
      </w:r>
      <w:r w:rsidR="00747647">
        <w:rPr>
          <w:rFonts w:ascii="Calibri" w:eastAsia="MS Mincho" w:hAnsi="Calibri" w:cs="Calibri"/>
        </w:rPr>
        <w:t xml:space="preserve">,000, </w:t>
      </w:r>
      <w:r w:rsidR="00747647">
        <w:rPr>
          <w:rFonts w:ascii="Calibri" w:eastAsia="MS Mincho" w:hAnsi="Calibri" w:cs="Calibri"/>
          <w:i/>
        </w:rPr>
        <w:t xml:space="preserve">p </w:t>
      </w:r>
      <w:r w:rsidR="00747647" w:rsidRPr="007B766A">
        <w:rPr>
          <w:rFonts w:ascii="Calibri" w:eastAsia="MS Mincho" w:hAnsi="Calibri" w:cs="Calibri"/>
        </w:rPr>
        <w:t>&lt;.001).</w:t>
      </w:r>
      <w:bookmarkEnd w:id="27"/>
    </w:p>
    <w:p w14:paraId="2DABF35B" w14:textId="11B1032C" w:rsidR="00747647" w:rsidRPr="009A1FF7" w:rsidRDefault="009A1FF7" w:rsidP="00747647">
      <w:pPr>
        <w:pStyle w:val="ListParagraph"/>
        <w:ind w:left="765"/>
        <w:rPr>
          <w:color w:val="0000FF"/>
        </w:rPr>
      </w:pPr>
      <w:r w:rsidRPr="009A1FF7">
        <w:rPr>
          <w:rFonts w:eastAsia="Times New Roman" w:cs="Times New Roman"/>
          <w:b/>
          <w:color w:val="0000FF"/>
        </w:rPr>
        <w:t>Table 3. Percent of R</w:t>
      </w:r>
      <w:r w:rsidR="00627706">
        <w:rPr>
          <w:rFonts w:eastAsia="Times New Roman" w:cs="Times New Roman"/>
          <w:b/>
          <w:color w:val="0000FF"/>
        </w:rPr>
        <w:t>esidents Wh</w:t>
      </w:r>
      <w:r w:rsidRPr="009A1FF7">
        <w:rPr>
          <w:rFonts w:eastAsia="Times New Roman" w:cs="Times New Roman"/>
          <w:b/>
          <w:color w:val="0000FF"/>
        </w:rPr>
        <w:t>o Self-Report Moderate to Severe Pain by Cognitive I</w:t>
      </w:r>
      <w:r w:rsidR="00747647" w:rsidRPr="009A1FF7">
        <w:rPr>
          <w:rFonts w:eastAsia="Times New Roman" w:cs="Times New Roman"/>
          <w:b/>
          <w:color w:val="0000FF"/>
        </w:rPr>
        <w:t>ndependence</w:t>
      </w:r>
    </w:p>
    <w:tbl>
      <w:tblPr>
        <w:tblW w:w="5000" w:type="pct"/>
        <w:tblLook w:val="04A0" w:firstRow="1" w:lastRow="0" w:firstColumn="1" w:lastColumn="0" w:noHBand="0" w:noVBand="1"/>
      </w:tblPr>
      <w:tblGrid>
        <w:gridCol w:w="2520"/>
        <w:gridCol w:w="2679"/>
        <w:gridCol w:w="3006"/>
        <w:gridCol w:w="1155"/>
      </w:tblGrid>
      <w:tr w:rsidR="00747647" w:rsidRPr="00FF66C4" w14:paraId="4736F2E3" w14:textId="77777777" w:rsidTr="00184CC7">
        <w:trPr>
          <w:tblHeader/>
        </w:trPr>
        <w:tc>
          <w:tcPr>
            <w:tcW w:w="1346" w:type="pct"/>
            <w:tcBorders>
              <w:top w:val="single" w:sz="12" w:space="0" w:color="auto"/>
              <w:bottom w:val="single" w:sz="4" w:space="0" w:color="auto"/>
            </w:tcBorders>
            <w:shd w:val="clear" w:color="auto" w:fill="auto"/>
            <w:vAlign w:val="center"/>
            <w:hideMark/>
          </w:tcPr>
          <w:p w14:paraId="38A3A421" w14:textId="77777777" w:rsidR="00747647" w:rsidRPr="00F14E72" w:rsidRDefault="00747647" w:rsidP="00184CC7">
            <w:pPr>
              <w:spacing w:after="0" w:line="240" w:lineRule="auto"/>
              <w:contextualSpacing/>
              <w:rPr>
                <w:rFonts w:eastAsia="Times New Roman" w:cs="Times New Roman"/>
                <w:color w:val="0000FF"/>
                <w:sz w:val="20"/>
                <w:szCs w:val="20"/>
              </w:rPr>
            </w:pPr>
            <w:r w:rsidRPr="00F14E72">
              <w:rPr>
                <w:rFonts w:eastAsia="Times New Roman" w:cs="Times New Roman"/>
                <w:color w:val="0000FF"/>
                <w:sz w:val="20"/>
                <w:szCs w:val="20"/>
              </w:rPr>
              <w:t>Resident characteristic (% of all short stay residents)</w:t>
            </w:r>
          </w:p>
        </w:tc>
        <w:tc>
          <w:tcPr>
            <w:tcW w:w="1431" w:type="pct"/>
            <w:tcBorders>
              <w:top w:val="single" w:sz="12" w:space="0" w:color="auto"/>
              <w:bottom w:val="single" w:sz="4" w:space="0" w:color="auto"/>
            </w:tcBorders>
            <w:vAlign w:val="center"/>
          </w:tcPr>
          <w:p w14:paraId="78DC570F" w14:textId="77777777" w:rsidR="00747647" w:rsidRPr="00F14E72" w:rsidRDefault="00747647" w:rsidP="00184CC7">
            <w:pPr>
              <w:spacing w:after="0" w:line="240" w:lineRule="auto"/>
              <w:contextualSpacing/>
              <w:jc w:val="center"/>
              <w:rPr>
                <w:rFonts w:eastAsia="Times New Roman" w:cs="Times New Roman"/>
                <w:color w:val="0000FF"/>
                <w:sz w:val="20"/>
                <w:szCs w:val="20"/>
              </w:rPr>
            </w:pPr>
            <w:r w:rsidRPr="00F14E72">
              <w:rPr>
                <w:rFonts w:eastAsia="Times New Roman" w:cs="Times New Roman"/>
                <w:color w:val="0000FF"/>
                <w:sz w:val="20"/>
                <w:szCs w:val="20"/>
              </w:rPr>
              <w:t xml:space="preserve">Frequency of residents who self-report </w:t>
            </w:r>
            <w:proofErr w:type="gramStart"/>
            <w:r w:rsidRPr="00F14E72">
              <w:rPr>
                <w:rFonts w:eastAsia="Times New Roman" w:cs="Times New Roman"/>
                <w:color w:val="0000FF"/>
                <w:sz w:val="20"/>
                <w:szCs w:val="20"/>
              </w:rPr>
              <w:t>moderate</w:t>
            </w:r>
            <w:proofErr w:type="gramEnd"/>
            <w:r w:rsidRPr="00F14E72">
              <w:rPr>
                <w:rFonts w:eastAsia="Times New Roman" w:cs="Times New Roman"/>
                <w:color w:val="0000FF"/>
                <w:sz w:val="20"/>
                <w:szCs w:val="20"/>
              </w:rPr>
              <w:t xml:space="preserve"> to severe pain (n) </w:t>
            </w:r>
          </w:p>
        </w:tc>
        <w:tc>
          <w:tcPr>
            <w:tcW w:w="1606" w:type="pct"/>
            <w:tcBorders>
              <w:top w:val="single" w:sz="12" w:space="0" w:color="auto"/>
              <w:bottom w:val="single" w:sz="4" w:space="0" w:color="auto"/>
            </w:tcBorders>
            <w:vAlign w:val="center"/>
          </w:tcPr>
          <w:p w14:paraId="3804C8D2" w14:textId="77777777" w:rsidR="00747647" w:rsidRPr="00F14E72" w:rsidRDefault="00747647" w:rsidP="00184CC7">
            <w:pPr>
              <w:spacing w:after="0" w:line="240" w:lineRule="auto"/>
              <w:contextualSpacing/>
              <w:jc w:val="center"/>
              <w:rPr>
                <w:rFonts w:eastAsia="Times New Roman" w:cs="Times New Roman"/>
                <w:color w:val="0000FF"/>
                <w:sz w:val="20"/>
                <w:szCs w:val="20"/>
              </w:rPr>
            </w:pPr>
            <w:r w:rsidRPr="00F14E72">
              <w:rPr>
                <w:rFonts w:eastAsia="Times New Roman" w:cs="Times New Roman"/>
                <w:color w:val="0000FF"/>
                <w:sz w:val="20"/>
                <w:szCs w:val="20"/>
              </w:rPr>
              <w:t xml:space="preserve">Percentage of residents who self-report </w:t>
            </w:r>
            <w:proofErr w:type="gramStart"/>
            <w:r w:rsidRPr="00F14E72">
              <w:rPr>
                <w:rFonts w:eastAsia="Times New Roman" w:cs="Times New Roman"/>
                <w:color w:val="0000FF"/>
                <w:sz w:val="20"/>
                <w:szCs w:val="20"/>
              </w:rPr>
              <w:t>moderate</w:t>
            </w:r>
            <w:proofErr w:type="gramEnd"/>
            <w:r w:rsidRPr="00F14E72">
              <w:rPr>
                <w:rFonts w:eastAsia="Times New Roman" w:cs="Times New Roman"/>
                <w:color w:val="0000FF"/>
                <w:sz w:val="20"/>
                <w:szCs w:val="20"/>
              </w:rPr>
              <w:t xml:space="preserve"> to severe pain, %</w:t>
            </w:r>
          </w:p>
        </w:tc>
        <w:tc>
          <w:tcPr>
            <w:tcW w:w="617" w:type="pct"/>
            <w:tcBorders>
              <w:top w:val="single" w:sz="12" w:space="0" w:color="auto"/>
              <w:bottom w:val="single" w:sz="4" w:space="0" w:color="auto"/>
            </w:tcBorders>
          </w:tcPr>
          <w:p w14:paraId="2A98E932" w14:textId="77777777" w:rsidR="00747647" w:rsidRPr="00F14E72" w:rsidRDefault="00747647" w:rsidP="00184CC7">
            <w:pPr>
              <w:spacing w:after="0" w:line="240" w:lineRule="auto"/>
              <w:contextualSpacing/>
              <w:jc w:val="center"/>
              <w:rPr>
                <w:rFonts w:eastAsia="Times New Roman" w:cs="Times New Roman"/>
                <w:color w:val="0000FF"/>
                <w:sz w:val="20"/>
                <w:szCs w:val="20"/>
              </w:rPr>
            </w:pPr>
            <w:r w:rsidRPr="00F14E72">
              <w:rPr>
                <w:rFonts w:eastAsia="Times New Roman" w:cs="Times New Roman"/>
                <w:color w:val="0000FF"/>
                <w:sz w:val="20"/>
                <w:szCs w:val="20"/>
              </w:rPr>
              <w:t xml:space="preserve">Pearson </w:t>
            </w:r>
            <w:r w:rsidRPr="00F14E72">
              <w:rPr>
                <w:rFonts w:ascii="Calibri" w:eastAsia="MS Mincho" w:hAnsi="Calibri" w:cs="Calibri"/>
                <w:bCs/>
                <w:i/>
                <w:color w:val="0000FF"/>
                <w:sz w:val="20"/>
                <w:szCs w:val="20"/>
              </w:rPr>
              <w:t>χ</w:t>
            </w:r>
            <w:r w:rsidRPr="00F14E72">
              <w:rPr>
                <w:rFonts w:eastAsia="Times New Roman" w:cs="Times New Roman"/>
                <w:color w:val="0000FF"/>
                <w:sz w:val="20"/>
                <w:szCs w:val="20"/>
                <w:vertAlign w:val="superscript"/>
              </w:rPr>
              <w:t>2</w:t>
            </w:r>
            <w:r w:rsidRPr="00F14E72">
              <w:rPr>
                <w:rFonts w:eastAsia="Times New Roman" w:cs="Times New Roman"/>
                <w:color w:val="0000FF"/>
                <w:sz w:val="20"/>
                <w:szCs w:val="20"/>
              </w:rPr>
              <w:t xml:space="preserve"> </w:t>
            </w:r>
            <w:r w:rsidRPr="00F14E72">
              <w:rPr>
                <w:rFonts w:eastAsia="Times New Roman" w:cs="Times New Roman"/>
                <w:i/>
                <w:color w:val="0000FF"/>
                <w:sz w:val="20"/>
                <w:szCs w:val="20"/>
              </w:rPr>
              <w:t>p</w:t>
            </w:r>
            <w:r w:rsidRPr="00F14E72">
              <w:rPr>
                <w:rFonts w:eastAsia="Times New Roman" w:cs="Times New Roman"/>
                <w:color w:val="0000FF"/>
                <w:sz w:val="20"/>
                <w:szCs w:val="20"/>
              </w:rPr>
              <w:t>-value</w:t>
            </w:r>
          </w:p>
        </w:tc>
      </w:tr>
      <w:tr w:rsidR="00747647" w:rsidRPr="00FF66C4" w14:paraId="36D4826F" w14:textId="77777777" w:rsidTr="00184CC7">
        <w:tc>
          <w:tcPr>
            <w:tcW w:w="1346" w:type="pct"/>
            <w:shd w:val="clear" w:color="auto" w:fill="auto"/>
            <w:hideMark/>
          </w:tcPr>
          <w:p w14:paraId="2210D27F" w14:textId="77777777" w:rsidR="00747647" w:rsidRPr="00F14E72" w:rsidRDefault="00747647" w:rsidP="00184CC7">
            <w:pPr>
              <w:spacing w:after="0" w:line="240" w:lineRule="auto"/>
              <w:rPr>
                <w:rFonts w:eastAsia="Times New Roman" w:cs="Times New Roman"/>
                <w:color w:val="0000FF"/>
                <w:sz w:val="20"/>
                <w:szCs w:val="20"/>
              </w:rPr>
            </w:pPr>
            <w:r w:rsidRPr="00F14E72">
              <w:rPr>
                <w:rFonts w:eastAsia="Times New Roman" w:cs="Times New Roman"/>
                <w:color w:val="0000FF"/>
                <w:sz w:val="20"/>
                <w:szCs w:val="20"/>
              </w:rPr>
              <w:t>Cognitively independent (67.7%)</w:t>
            </w:r>
          </w:p>
        </w:tc>
        <w:tc>
          <w:tcPr>
            <w:tcW w:w="1431" w:type="pct"/>
          </w:tcPr>
          <w:p w14:paraId="7A68186B" w14:textId="77777777" w:rsidR="00747647" w:rsidRPr="00F14E72" w:rsidRDefault="00747647" w:rsidP="00184CC7">
            <w:pPr>
              <w:spacing w:after="0" w:line="240" w:lineRule="auto"/>
              <w:ind w:right="327"/>
              <w:jc w:val="right"/>
              <w:rPr>
                <w:rFonts w:eastAsia="Times New Roman" w:cs="Times New Roman"/>
                <w:color w:val="0000FF"/>
                <w:sz w:val="20"/>
                <w:szCs w:val="20"/>
              </w:rPr>
            </w:pPr>
            <w:r w:rsidRPr="00F14E72">
              <w:rPr>
                <w:rFonts w:eastAsia="Times New Roman" w:cs="Times New Roman"/>
                <w:color w:val="0000FF"/>
                <w:sz w:val="20"/>
                <w:szCs w:val="20"/>
              </w:rPr>
              <w:t>72,648</w:t>
            </w:r>
          </w:p>
        </w:tc>
        <w:tc>
          <w:tcPr>
            <w:tcW w:w="1606" w:type="pct"/>
          </w:tcPr>
          <w:p w14:paraId="067DA940" w14:textId="2C4B30D8" w:rsidR="00747647" w:rsidRPr="00F14E72" w:rsidRDefault="004E2A3E" w:rsidP="00184CC7">
            <w:pPr>
              <w:spacing w:after="0" w:line="240" w:lineRule="auto"/>
              <w:ind w:right="327"/>
              <w:jc w:val="right"/>
              <w:rPr>
                <w:rFonts w:eastAsia="Times New Roman" w:cs="Times New Roman"/>
                <w:color w:val="0000FF"/>
                <w:sz w:val="20"/>
                <w:szCs w:val="20"/>
              </w:rPr>
            </w:pPr>
            <w:r w:rsidRPr="00F14E72">
              <w:rPr>
                <w:rFonts w:eastAsia="Times New Roman" w:cs="Times New Roman"/>
                <w:color w:val="0000FF"/>
                <w:sz w:val="20"/>
                <w:szCs w:val="20"/>
              </w:rPr>
              <w:t>12.7%</w:t>
            </w:r>
          </w:p>
        </w:tc>
        <w:tc>
          <w:tcPr>
            <w:tcW w:w="617" w:type="pct"/>
          </w:tcPr>
          <w:p w14:paraId="1DD2B0C7" w14:textId="77777777" w:rsidR="00747647" w:rsidRPr="00F14E72" w:rsidRDefault="00747647" w:rsidP="00184CC7">
            <w:pPr>
              <w:spacing w:after="0" w:line="240" w:lineRule="auto"/>
              <w:ind w:right="327"/>
              <w:jc w:val="right"/>
              <w:rPr>
                <w:rFonts w:eastAsia="Times New Roman" w:cs="Times New Roman"/>
                <w:color w:val="0000FF"/>
                <w:sz w:val="20"/>
                <w:szCs w:val="20"/>
              </w:rPr>
            </w:pPr>
            <w:r w:rsidRPr="00F14E72">
              <w:rPr>
                <w:rFonts w:eastAsia="Times New Roman" w:cs="Times New Roman"/>
                <w:color w:val="0000FF"/>
                <w:sz w:val="20"/>
                <w:szCs w:val="20"/>
              </w:rPr>
              <w:t>&lt;0.001</w:t>
            </w:r>
          </w:p>
        </w:tc>
      </w:tr>
      <w:tr w:rsidR="00747647" w:rsidRPr="00FF66C4" w14:paraId="02F1D393" w14:textId="77777777" w:rsidTr="00184CC7">
        <w:tc>
          <w:tcPr>
            <w:tcW w:w="1346" w:type="pct"/>
            <w:tcBorders>
              <w:bottom w:val="single" w:sz="12" w:space="0" w:color="auto"/>
            </w:tcBorders>
            <w:shd w:val="clear" w:color="auto" w:fill="auto"/>
          </w:tcPr>
          <w:p w14:paraId="119CA263" w14:textId="77777777" w:rsidR="00747647" w:rsidRPr="00F14E72" w:rsidRDefault="00747647" w:rsidP="00184CC7">
            <w:pPr>
              <w:spacing w:after="0" w:line="240" w:lineRule="auto"/>
              <w:rPr>
                <w:rFonts w:eastAsia="Times New Roman" w:cs="Times New Roman"/>
                <w:color w:val="0000FF"/>
                <w:sz w:val="20"/>
                <w:szCs w:val="20"/>
              </w:rPr>
            </w:pPr>
            <w:r w:rsidRPr="00F14E72">
              <w:rPr>
                <w:color w:val="0000FF"/>
                <w:sz w:val="20"/>
                <w:szCs w:val="20"/>
              </w:rPr>
              <w:t>Cognitively impaired (32.3%)</w:t>
            </w:r>
          </w:p>
        </w:tc>
        <w:tc>
          <w:tcPr>
            <w:tcW w:w="1431" w:type="pct"/>
            <w:tcBorders>
              <w:bottom w:val="single" w:sz="12" w:space="0" w:color="auto"/>
            </w:tcBorders>
          </w:tcPr>
          <w:p w14:paraId="410E5D12" w14:textId="77777777" w:rsidR="00747647" w:rsidRPr="00F14E72" w:rsidRDefault="00747647" w:rsidP="00184CC7">
            <w:pPr>
              <w:spacing w:after="0" w:line="240" w:lineRule="auto"/>
              <w:ind w:right="327"/>
              <w:jc w:val="right"/>
              <w:rPr>
                <w:rFonts w:eastAsia="Times New Roman" w:cs="Times New Roman"/>
                <w:color w:val="0000FF"/>
                <w:sz w:val="20"/>
                <w:szCs w:val="20"/>
              </w:rPr>
            </w:pPr>
            <w:r w:rsidRPr="00F14E72">
              <w:rPr>
                <w:rFonts w:eastAsia="Times New Roman" w:cs="Times New Roman"/>
                <w:color w:val="0000FF"/>
                <w:sz w:val="20"/>
                <w:szCs w:val="20"/>
              </w:rPr>
              <w:t>17,191</w:t>
            </w:r>
          </w:p>
        </w:tc>
        <w:tc>
          <w:tcPr>
            <w:tcW w:w="1606" w:type="pct"/>
            <w:tcBorders>
              <w:bottom w:val="single" w:sz="12" w:space="0" w:color="auto"/>
            </w:tcBorders>
          </w:tcPr>
          <w:p w14:paraId="5F1562B7" w14:textId="33050874" w:rsidR="00747647" w:rsidRPr="00F14E72" w:rsidRDefault="004E2A3E" w:rsidP="00184CC7">
            <w:pPr>
              <w:spacing w:after="0" w:line="240" w:lineRule="auto"/>
              <w:ind w:right="327"/>
              <w:jc w:val="right"/>
              <w:rPr>
                <w:rFonts w:eastAsia="Times New Roman" w:cs="Times New Roman"/>
                <w:color w:val="0000FF"/>
                <w:sz w:val="20"/>
                <w:szCs w:val="20"/>
              </w:rPr>
            </w:pPr>
            <w:r w:rsidRPr="00F14E72">
              <w:rPr>
                <w:rFonts w:eastAsia="Times New Roman" w:cs="Times New Roman"/>
                <w:color w:val="0000FF"/>
                <w:sz w:val="20"/>
                <w:szCs w:val="20"/>
              </w:rPr>
              <w:t>6.3%</w:t>
            </w:r>
          </w:p>
        </w:tc>
        <w:tc>
          <w:tcPr>
            <w:tcW w:w="617" w:type="pct"/>
            <w:tcBorders>
              <w:bottom w:val="single" w:sz="12" w:space="0" w:color="auto"/>
            </w:tcBorders>
          </w:tcPr>
          <w:p w14:paraId="5278E4E4" w14:textId="77777777" w:rsidR="00747647" w:rsidRPr="00F14E72" w:rsidRDefault="00747647" w:rsidP="00184CC7">
            <w:pPr>
              <w:spacing w:after="0" w:line="240" w:lineRule="auto"/>
              <w:ind w:right="327"/>
              <w:jc w:val="right"/>
              <w:rPr>
                <w:rFonts w:eastAsia="Times New Roman" w:cs="Times New Roman"/>
                <w:color w:val="0000FF"/>
                <w:sz w:val="20"/>
                <w:szCs w:val="20"/>
              </w:rPr>
            </w:pPr>
          </w:p>
        </w:tc>
      </w:tr>
    </w:tbl>
    <w:p w14:paraId="124E7297" w14:textId="4ACAB8BF" w:rsidR="00747647" w:rsidRPr="00024B54" w:rsidRDefault="00747647" w:rsidP="00747647">
      <w:pPr>
        <w:autoSpaceDE w:val="0"/>
        <w:autoSpaceDN w:val="0"/>
        <w:adjustRightInd w:val="0"/>
        <w:spacing w:after="0" w:line="240" w:lineRule="auto"/>
        <w:rPr>
          <w:rFonts w:eastAsia="Times New Roman" w:cs="Times New Roman"/>
          <w:color w:val="0000FF"/>
          <w:sz w:val="20"/>
          <w:szCs w:val="20"/>
        </w:rPr>
      </w:pPr>
      <w:r w:rsidRPr="00024B54">
        <w:rPr>
          <w:rFonts w:eastAsia="Times New Roman" w:cs="Times New Roman"/>
          <w:color w:val="0000FF"/>
          <w:sz w:val="20"/>
          <w:szCs w:val="20"/>
        </w:rPr>
        <w:t>Source: RTI analysis of MDS 3.0 Data, Q2 2017 (programming reference: LJC03</w:t>
      </w:r>
      <w:r w:rsidR="009213B3">
        <w:rPr>
          <w:rFonts w:eastAsia="Times New Roman" w:cs="Times New Roman"/>
          <w:color w:val="0000FF"/>
          <w:sz w:val="20"/>
          <w:szCs w:val="20"/>
        </w:rPr>
        <w:t>_v2</w:t>
      </w:r>
      <w:r w:rsidRPr="00024B54">
        <w:rPr>
          <w:rFonts w:eastAsia="Times New Roman" w:cs="Times New Roman"/>
          <w:color w:val="0000FF"/>
          <w:sz w:val="20"/>
          <w:szCs w:val="20"/>
        </w:rPr>
        <w:t>/LJC03_re</w:t>
      </w:r>
      <w:r w:rsidR="009213B3">
        <w:rPr>
          <w:rFonts w:eastAsia="Times New Roman" w:cs="Times New Roman"/>
          <w:color w:val="0000FF"/>
          <w:sz w:val="20"/>
          <w:szCs w:val="20"/>
        </w:rPr>
        <w:t>quest</w:t>
      </w:r>
      <w:r w:rsidRPr="00024B54">
        <w:rPr>
          <w:rFonts w:eastAsia="Times New Roman" w:cs="Times New Roman"/>
          <w:color w:val="0000FF"/>
          <w:sz w:val="20"/>
          <w:szCs w:val="20"/>
        </w:rPr>
        <w:t>_676</w:t>
      </w:r>
      <w:r w:rsidR="009213B3">
        <w:rPr>
          <w:rFonts w:eastAsia="Times New Roman" w:cs="Times New Roman"/>
          <w:color w:val="0000FF"/>
          <w:sz w:val="20"/>
          <w:szCs w:val="20"/>
        </w:rPr>
        <w:t>_v2</w:t>
      </w:r>
      <w:r w:rsidRPr="00024B54">
        <w:rPr>
          <w:rFonts w:eastAsia="Times New Roman" w:cs="Times New Roman"/>
          <w:color w:val="0000FF"/>
          <w:sz w:val="20"/>
          <w:szCs w:val="20"/>
        </w:rPr>
        <w:t>.log)</w:t>
      </w:r>
    </w:p>
    <w:p w14:paraId="668EC992" w14:textId="77777777" w:rsidR="00747647" w:rsidRPr="007B766A" w:rsidRDefault="00747647" w:rsidP="00747647">
      <w:pPr>
        <w:autoSpaceDE w:val="0"/>
        <w:autoSpaceDN w:val="0"/>
        <w:adjustRightInd w:val="0"/>
        <w:spacing w:after="0" w:line="240" w:lineRule="auto"/>
        <w:rPr>
          <w:rFonts w:ascii="Calibri" w:eastAsia="MS Mincho" w:hAnsi="Calibri" w:cs="Calibri"/>
          <w:bCs/>
          <w:color w:val="0000FF"/>
        </w:rPr>
      </w:pPr>
    </w:p>
    <w:p w14:paraId="0ED7D828" w14:textId="059E443F" w:rsidR="00747647" w:rsidRPr="007B766A" w:rsidRDefault="00747647" w:rsidP="00747647">
      <w:pPr>
        <w:autoSpaceDE w:val="0"/>
        <w:autoSpaceDN w:val="0"/>
        <w:adjustRightInd w:val="0"/>
        <w:spacing w:after="0" w:line="240" w:lineRule="auto"/>
        <w:rPr>
          <w:rFonts w:ascii="Calibri" w:eastAsia="MS Mincho" w:hAnsi="Calibri" w:cs="Calibri"/>
          <w:bCs/>
          <w:color w:val="0000FF"/>
        </w:rPr>
      </w:pPr>
      <w:r w:rsidRPr="007B766A">
        <w:rPr>
          <w:rFonts w:ascii="Calibri" w:eastAsia="MS Mincho" w:hAnsi="Calibri" w:cs="Calibri"/>
          <w:bCs/>
          <w:color w:val="0000FF"/>
        </w:rPr>
        <w:t xml:space="preserve">Next, we examined the facility-level distribution of the percentage of residents who are cognitively independent (presented in </w:t>
      </w:r>
      <w:r w:rsidRPr="004E2A3E">
        <w:rPr>
          <w:rFonts w:ascii="Calibri" w:eastAsia="MS Mincho" w:hAnsi="Calibri" w:cs="Calibri"/>
          <w:b/>
          <w:bCs/>
          <w:i/>
          <w:color w:val="0000FF"/>
        </w:rPr>
        <w:t>Table 4</w:t>
      </w:r>
      <w:r w:rsidRPr="007B766A">
        <w:rPr>
          <w:rFonts w:ascii="Calibri" w:eastAsia="MS Mincho" w:hAnsi="Calibri" w:cs="Calibri"/>
          <w:bCs/>
          <w:color w:val="0000FF"/>
        </w:rPr>
        <w:t>).</w:t>
      </w:r>
      <w:r>
        <w:rPr>
          <w:rFonts w:ascii="Calibri" w:eastAsia="MS Mincho" w:hAnsi="Calibri" w:cs="Calibri"/>
          <w:bCs/>
          <w:color w:val="0000FF"/>
        </w:rPr>
        <w:t xml:space="preserve">  The facility-level mean was 65.6</w:t>
      </w:r>
      <w:r w:rsidRPr="007B766A">
        <w:rPr>
          <w:rFonts w:ascii="Calibri" w:eastAsia="MS Mincho" w:hAnsi="Calibri" w:cs="Calibri"/>
          <w:bCs/>
          <w:color w:val="0000FF"/>
        </w:rPr>
        <w:t xml:space="preserve">%, </w:t>
      </w:r>
      <w:r w:rsidR="00423534">
        <w:rPr>
          <w:rFonts w:ascii="Calibri" w:eastAsia="MS Mincho" w:hAnsi="Calibri" w:cs="Calibri"/>
          <w:bCs/>
          <w:color w:val="0000FF"/>
        </w:rPr>
        <w:t xml:space="preserve">with a standard deviation of 12.9%. </w:t>
      </w:r>
    </w:p>
    <w:p w14:paraId="098C4283" w14:textId="77777777" w:rsidR="00747647" w:rsidRPr="007B766A" w:rsidRDefault="00747647" w:rsidP="00747647">
      <w:pPr>
        <w:autoSpaceDE w:val="0"/>
        <w:autoSpaceDN w:val="0"/>
        <w:adjustRightInd w:val="0"/>
        <w:spacing w:after="0" w:line="240" w:lineRule="auto"/>
        <w:rPr>
          <w:rFonts w:ascii="Calibri" w:eastAsia="MS Mincho" w:hAnsi="Calibri" w:cs="Calibri"/>
          <w:bCs/>
          <w:color w:val="0000FF"/>
        </w:rPr>
      </w:pPr>
    </w:p>
    <w:p w14:paraId="64E0561B" w14:textId="5D32FA77" w:rsidR="00747647" w:rsidRPr="009A1FF7" w:rsidRDefault="009A1FF7" w:rsidP="00747647">
      <w:pPr>
        <w:pStyle w:val="ListParagraph"/>
        <w:ind w:left="765"/>
        <w:rPr>
          <w:b/>
          <w:color w:val="0000FF"/>
        </w:rPr>
      </w:pPr>
      <w:r w:rsidRPr="009A1FF7">
        <w:rPr>
          <w:rFonts w:eastAsia="Times New Roman" w:cs="Times New Roman"/>
          <w:b/>
          <w:color w:val="0000FF"/>
        </w:rPr>
        <w:t>Table 4. Distribution of Percentage of Residents who are Cognitively Independent Across F</w:t>
      </w:r>
      <w:r w:rsidR="00747647" w:rsidRPr="009A1FF7">
        <w:rPr>
          <w:rFonts w:eastAsia="Times New Roman" w:cs="Times New Roman"/>
          <w:b/>
          <w:color w:val="0000FF"/>
        </w:rPr>
        <w:t>acilities</w:t>
      </w:r>
      <w:r w:rsidR="00747647" w:rsidRPr="009A1FF7">
        <w:rPr>
          <w:b/>
          <w:color w:val="0000FF"/>
        </w:rPr>
        <w:t xml:space="preserve"> </w:t>
      </w:r>
    </w:p>
    <w:tbl>
      <w:tblPr>
        <w:tblStyle w:val="CMSTable"/>
        <w:tblW w:w="4970" w:type="pct"/>
        <w:tblLook w:val="05E0" w:firstRow="1" w:lastRow="1" w:firstColumn="1" w:lastColumn="1" w:noHBand="0" w:noVBand="1"/>
      </w:tblPr>
      <w:tblGrid>
        <w:gridCol w:w="1723"/>
        <w:gridCol w:w="857"/>
        <w:gridCol w:w="910"/>
        <w:gridCol w:w="634"/>
        <w:gridCol w:w="1032"/>
        <w:gridCol w:w="1038"/>
        <w:gridCol w:w="1038"/>
        <w:gridCol w:w="1038"/>
        <w:gridCol w:w="1034"/>
      </w:tblGrid>
      <w:tr w:rsidR="00747647" w:rsidRPr="007B766A" w14:paraId="1BCD0AB3" w14:textId="77777777" w:rsidTr="00184CC7">
        <w:trPr>
          <w:cnfStyle w:val="100000000000" w:firstRow="1" w:lastRow="0" w:firstColumn="0" w:lastColumn="0" w:oddVBand="0" w:evenVBand="0" w:oddHBand="0" w:evenHBand="0" w:firstRowFirstColumn="0" w:firstRowLastColumn="0" w:lastRowFirstColumn="0" w:lastRowLastColumn="0"/>
          <w:trHeight w:val="648"/>
        </w:trPr>
        <w:tc>
          <w:tcPr>
            <w:tcW w:w="938" w:type="pct"/>
          </w:tcPr>
          <w:p w14:paraId="0D5444B2" w14:textId="77777777" w:rsidR="00747647" w:rsidRPr="007B766A" w:rsidRDefault="00747647" w:rsidP="00184CC7">
            <w:pPr>
              <w:keepNext/>
              <w:spacing w:before="40" w:after="40"/>
              <w:rPr>
                <w:iCs/>
                <w:snapToGrid w:val="0"/>
                <w:color w:val="0000FF"/>
                <w:sz w:val="22"/>
                <w:szCs w:val="22"/>
              </w:rPr>
            </w:pPr>
            <w:r w:rsidRPr="007B766A">
              <w:rPr>
                <w:iCs/>
                <w:snapToGrid w:val="0"/>
                <w:color w:val="0000FF"/>
                <w:sz w:val="22"/>
                <w:szCs w:val="22"/>
              </w:rPr>
              <w:t>Resident characteristics</w:t>
            </w:r>
          </w:p>
        </w:tc>
        <w:tc>
          <w:tcPr>
            <w:tcW w:w="426" w:type="pct"/>
          </w:tcPr>
          <w:p w14:paraId="74DC0FF1" w14:textId="77777777" w:rsidR="00747647" w:rsidRPr="007B766A" w:rsidRDefault="00747647" w:rsidP="00184CC7">
            <w:pPr>
              <w:keepNext/>
              <w:spacing w:before="40" w:after="40"/>
              <w:rPr>
                <w:i/>
                <w:iCs/>
                <w:snapToGrid w:val="0"/>
                <w:color w:val="0000FF"/>
                <w:sz w:val="22"/>
                <w:szCs w:val="22"/>
              </w:rPr>
            </w:pPr>
            <w:r w:rsidRPr="007B766A">
              <w:rPr>
                <w:iCs/>
                <w:snapToGrid w:val="0"/>
                <w:color w:val="0000FF"/>
                <w:sz w:val="22"/>
                <w:szCs w:val="22"/>
              </w:rPr>
              <w:t>Facilities (</w:t>
            </w:r>
            <w:r w:rsidRPr="007B766A">
              <w:rPr>
                <w:i/>
                <w:iCs/>
                <w:snapToGrid w:val="0"/>
                <w:color w:val="0000FF"/>
                <w:sz w:val="22"/>
                <w:szCs w:val="22"/>
              </w:rPr>
              <w:t>k)</w:t>
            </w:r>
          </w:p>
        </w:tc>
        <w:tc>
          <w:tcPr>
            <w:tcW w:w="444" w:type="pct"/>
          </w:tcPr>
          <w:p w14:paraId="395C81FE" w14:textId="77777777" w:rsidR="00747647" w:rsidRPr="007B766A" w:rsidRDefault="00747647" w:rsidP="00184CC7">
            <w:pPr>
              <w:keepNext/>
              <w:spacing w:before="40" w:after="40"/>
              <w:rPr>
                <w:snapToGrid w:val="0"/>
                <w:color w:val="0000FF"/>
                <w:sz w:val="22"/>
                <w:szCs w:val="22"/>
              </w:rPr>
            </w:pPr>
            <w:r w:rsidRPr="007B766A">
              <w:rPr>
                <w:snapToGrid w:val="0"/>
                <w:color w:val="0000FF"/>
                <w:sz w:val="22"/>
                <w:szCs w:val="22"/>
              </w:rPr>
              <w:t>Mean % of residents</w:t>
            </w:r>
          </w:p>
        </w:tc>
        <w:tc>
          <w:tcPr>
            <w:tcW w:w="349" w:type="pct"/>
          </w:tcPr>
          <w:p w14:paraId="2CF3C76A" w14:textId="77777777" w:rsidR="00747647" w:rsidRPr="007B766A" w:rsidRDefault="00747647" w:rsidP="00184CC7">
            <w:pPr>
              <w:keepNext/>
              <w:spacing w:before="40" w:after="40"/>
              <w:rPr>
                <w:snapToGrid w:val="0"/>
                <w:color w:val="0000FF"/>
                <w:sz w:val="22"/>
                <w:szCs w:val="22"/>
              </w:rPr>
            </w:pPr>
            <w:proofErr w:type="spellStart"/>
            <w:r w:rsidRPr="007B766A">
              <w:rPr>
                <w:snapToGrid w:val="0"/>
                <w:color w:val="0000FF"/>
                <w:sz w:val="22"/>
                <w:szCs w:val="22"/>
              </w:rPr>
              <w:t>Std</w:t>
            </w:r>
            <w:proofErr w:type="spellEnd"/>
            <w:r w:rsidRPr="007B766A">
              <w:rPr>
                <w:snapToGrid w:val="0"/>
                <w:color w:val="0000FF"/>
                <w:sz w:val="22"/>
                <w:szCs w:val="22"/>
              </w:rPr>
              <w:t xml:space="preserve"> dev.</w:t>
            </w:r>
          </w:p>
        </w:tc>
        <w:tc>
          <w:tcPr>
            <w:tcW w:w="569" w:type="pct"/>
          </w:tcPr>
          <w:p w14:paraId="1F35F4B1" w14:textId="77777777" w:rsidR="00747647" w:rsidRPr="007B766A" w:rsidRDefault="00747647" w:rsidP="00184CC7">
            <w:pPr>
              <w:keepNext/>
              <w:spacing w:before="40" w:after="40"/>
              <w:rPr>
                <w:snapToGrid w:val="0"/>
                <w:color w:val="0000FF"/>
                <w:sz w:val="22"/>
                <w:szCs w:val="22"/>
              </w:rPr>
            </w:pPr>
            <w:r w:rsidRPr="007B766A">
              <w:rPr>
                <w:snapToGrid w:val="0"/>
                <w:color w:val="0000FF"/>
                <w:sz w:val="22"/>
                <w:szCs w:val="22"/>
              </w:rPr>
              <w:t xml:space="preserve">10th </w:t>
            </w:r>
            <w:r w:rsidRPr="007B766A">
              <w:rPr>
                <w:snapToGrid w:val="0"/>
                <w:color w:val="0000FF"/>
                <w:sz w:val="22"/>
                <w:szCs w:val="22"/>
              </w:rPr>
              <w:br/>
              <w:t>percentile</w:t>
            </w:r>
          </w:p>
        </w:tc>
        <w:tc>
          <w:tcPr>
            <w:tcW w:w="569" w:type="pct"/>
          </w:tcPr>
          <w:p w14:paraId="73F8F334" w14:textId="77777777" w:rsidR="00747647" w:rsidRPr="007B766A" w:rsidRDefault="00747647" w:rsidP="00184CC7">
            <w:pPr>
              <w:keepNext/>
              <w:spacing w:before="40" w:after="40"/>
              <w:rPr>
                <w:snapToGrid w:val="0"/>
                <w:color w:val="0000FF"/>
                <w:sz w:val="22"/>
                <w:szCs w:val="22"/>
              </w:rPr>
            </w:pPr>
            <w:r w:rsidRPr="007B766A">
              <w:rPr>
                <w:snapToGrid w:val="0"/>
                <w:color w:val="0000FF"/>
                <w:sz w:val="22"/>
                <w:szCs w:val="22"/>
              </w:rPr>
              <w:t xml:space="preserve">25th </w:t>
            </w:r>
            <w:r w:rsidRPr="007B766A">
              <w:rPr>
                <w:snapToGrid w:val="0"/>
                <w:color w:val="0000FF"/>
                <w:sz w:val="22"/>
                <w:szCs w:val="22"/>
              </w:rPr>
              <w:br/>
              <w:t>percentile</w:t>
            </w:r>
          </w:p>
        </w:tc>
        <w:tc>
          <w:tcPr>
            <w:tcW w:w="569" w:type="pct"/>
          </w:tcPr>
          <w:p w14:paraId="309707FB" w14:textId="77777777" w:rsidR="00747647" w:rsidRPr="007B766A" w:rsidRDefault="00747647" w:rsidP="00184CC7">
            <w:pPr>
              <w:keepNext/>
              <w:spacing w:before="40" w:after="40"/>
              <w:rPr>
                <w:snapToGrid w:val="0"/>
                <w:color w:val="0000FF"/>
                <w:sz w:val="22"/>
                <w:szCs w:val="22"/>
              </w:rPr>
            </w:pPr>
            <w:r w:rsidRPr="007B766A">
              <w:rPr>
                <w:snapToGrid w:val="0"/>
                <w:color w:val="0000FF"/>
                <w:sz w:val="22"/>
                <w:szCs w:val="22"/>
              </w:rPr>
              <w:t xml:space="preserve">50th </w:t>
            </w:r>
            <w:r w:rsidRPr="007B766A">
              <w:rPr>
                <w:snapToGrid w:val="0"/>
                <w:color w:val="0000FF"/>
                <w:sz w:val="22"/>
                <w:szCs w:val="22"/>
              </w:rPr>
              <w:br/>
              <w:t>percentile</w:t>
            </w:r>
          </w:p>
        </w:tc>
        <w:tc>
          <w:tcPr>
            <w:tcW w:w="569" w:type="pct"/>
          </w:tcPr>
          <w:p w14:paraId="2D19E5DA" w14:textId="77777777" w:rsidR="00747647" w:rsidRPr="007B766A" w:rsidRDefault="00747647" w:rsidP="00184CC7">
            <w:pPr>
              <w:keepNext/>
              <w:spacing w:before="40" w:after="40"/>
              <w:rPr>
                <w:snapToGrid w:val="0"/>
                <w:color w:val="0000FF"/>
                <w:sz w:val="22"/>
                <w:szCs w:val="22"/>
              </w:rPr>
            </w:pPr>
            <w:r w:rsidRPr="007B766A">
              <w:rPr>
                <w:snapToGrid w:val="0"/>
                <w:color w:val="0000FF"/>
                <w:sz w:val="22"/>
                <w:szCs w:val="22"/>
              </w:rPr>
              <w:t xml:space="preserve">75th </w:t>
            </w:r>
            <w:r w:rsidRPr="007B766A">
              <w:rPr>
                <w:snapToGrid w:val="0"/>
                <w:color w:val="0000FF"/>
                <w:sz w:val="22"/>
                <w:szCs w:val="22"/>
              </w:rPr>
              <w:br/>
              <w:t>percentile</w:t>
            </w:r>
          </w:p>
        </w:tc>
        <w:tc>
          <w:tcPr>
            <w:tcW w:w="567" w:type="pct"/>
          </w:tcPr>
          <w:p w14:paraId="5593A27A" w14:textId="77777777" w:rsidR="00747647" w:rsidRPr="007B766A" w:rsidRDefault="00747647" w:rsidP="00184CC7">
            <w:pPr>
              <w:keepNext/>
              <w:spacing w:before="40" w:after="40"/>
              <w:rPr>
                <w:snapToGrid w:val="0"/>
                <w:color w:val="0000FF"/>
                <w:sz w:val="22"/>
                <w:szCs w:val="22"/>
              </w:rPr>
            </w:pPr>
            <w:r w:rsidRPr="007B766A">
              <w:rPr>
                <w:snapToGrid w:val="0"/>
                <w:color w:val="0000FF"/>
                <w:sz w:val="22"/>
                <w:szCs w:val="22"/>
              </w:rPr>
              <w:t xml:space="preserve">90th </w:t>
            </w:r>
            <w:r w:rsidRPr="007B766A">
              <w:rPr>
                <w:snapToGrid w:val="0"/>
                <w:color w:val="0000FF"/>
                <w:sz w:val="22"/>
                <w:szCs w:val="22"/>
              </w:rPr>
              <w:br/>
              <w:t>percentile</w:t>
            </w:r>
          </w:p>
        </w:tc>
      </w:tr>
      <w:tr w:rsidR="00747647" w:rsidRPr="007B766A" w14:paraId="5871129B" w14:textId="77777777" w:rsidTr="00184CC7">
        <w:trPr>
          <w:cnfStyle w:val="010000000000" w:firstRow="0" w:lastRow="1" w:firstColumn="0" w:lastColumn="0" w:oddVBand="0" w:evenVBand="0" w:oddHBand="0" w:evenHBand="0" w:firstRowFirstColumn="0" w:firstRowLastColumn="0" w:lastRowFirstColumn="0" w:lastRowLastColumn="0"/>
          <w:trHeight w:val="242"/>
        </w:trPr>
        <w:tc>
          <w:tcPr>
            <w:tcW w:w="938" w:type="pct"/>
          </w:tcPr>
          <w:p w14:paraId="2420297B" w14:textId="77777777" w:rsidR="00747647" w:rsidRPr="007B766A" w:rsidRDefault="00747647" w:rsidP="00184CC7">
            <w:pPr>
              <w:pStyle w:val="TableText-cent"/>
              <w:jc w:val="left"/>
              <w:rPr>
                <w:color w:val="0000FF"/>
                <w:sz w:val="22"/>
                <w:szCs w:val="22"/>
              </w:rPr>
            </w:pPr>
            <w:r w:rsidRPr="007B766A">
              <w:rPr>
                <w:color w:val="0000FF"/>
                <w:sz w:val="22"/>
                <w:szCs w:val="22"/>
              </w:rPr>
              <w:t>Cognitively independent</w:t>
            </w:r>
          </w:p>
        </w:tc>
        <w:tc>
          <w:tcPr>
            <w:tcW w:w="426" w:type="pct"/>
          </w:tcPr>
          <w:p w14:paraId="00E40CDC" w14:textId="77777777" w:rsidR="00747647" w:rsidRPr="007B766A" w:rsidRDefault="00747647" w:rsidP="00184CC7">
            <w:pPr>
              <w:pStyle w:val="TableText-cent"/>
              <w:rPr>
                <w:color w:val="0000FF"/>
                <w:sz w:val="22"/>
                <w:szCs w:val="22"/>
              </w:rPr>
            </w:pPr>
            <w:r>
              <w:rPr>
                <w:color w:val="0000FF"/>
                <w:sz w:val="22"/>
                <w:szCs w:val="22"/>
              </w:rPr>
              <w:t>10,235</w:t>
            </w:r>
          </w:p>
        </w:tc>
        <w:tc>
          <w:tcPr>
            <w:tcW w:w="444" w:type="pct"/>
          </w:tcPr>
          <w:p w14:paraId="47CDF7BD" w14:textId="7912D834" w:rsidR="00747647" w:rsidRPr="007B766A" w:rsidRDefault="00747647" w:rsidP="00184CC7">
            <w:pPr>
              <w:pStyle w:val="TableText-cent"/>
              <w:rPr>
                <w:color w:val="0000FF"/>
                <w:sz w:val="22"/>
                <w:szCs w:val="22"/>
              </w:rPr>
            </w:pPr>
            <w:r>
              <w:rPr>
                <w:color w:val="0000FF"/>
                <w:sz w:val="22"/>
                <w:szCs w:val="22"/>
              </w:rPr>
              <w:t>65.6</w:t>
            </w:r>
            <w:r w:rsidR="004E2A3E">
              <w:rPr>
                <w:color w:val="0000FF"/>
                <w:sz w:val="22"/>
                <w:szCs w:val="22"/>
              </w:rPr>
              <w:t>%</w:t>
            </w:r>
          </w:p>
        </w:tc>
        <w:tc>
          <w:tcPr>
            <w:tcW w:w="349" w:type="pct"/>
          </w:tcPr>
          <w:p w14:paraId="43A5E0C2" w14:textId="523051A5" w:rsidR="00747647" w:rsidRPr="007B766A" w:rsidRDefault="00747647" w:rsidP="00184CC7">
            <w:pPr>
              <w:pStyle w:val="TableText-cent"/>
              <w:rPr>
                <w:color w:val="0000FF"/>
                <w:sz w:val="22"/>
                <w:szCs w:val="22"/>
              </w:rPr>
            </w:pPr>
            <w:r>
              <w:rPr>
                <w:color w:val="0000FF"/>
                <w:sz w:val="22"/>
                <w:szCs w:val="22"/>
              </w:rPr>
              <w:t>12.9</w:t>
            </w:r>
            <w:r w:rsidR="004E2A3E">
              <w:rPr>
                <w:color w:val="0000FF"/>
                <w:sz w:val="22"/>
                <w:szCs w:val="22"/>
              </w:rPr>
              <w:t>%</w:t>
            </w:r>
          </w:p>
        </w:tc>
        <w:tc>
          <w:tcPr>
            <w:tcW w:w="569" w:type="pct"/>
          </w:tcPr>
          <w:p w14:paraId="4DAC4246" w14:textId="64BBD250" w:rsidR="00747647" w:rsidRPr="007B766A" w:rsidRDefault="00747647" w:rsidP="00184CC7">
            <w:pPr>
              <w:pStyle w:val="TableText-cent"/>
              <w:rPr>
                <w:color w:val="0000FF"/>
                <w:sz w:val="22"/>
                <w:szCs w:val="22"/>
              </w:rPr>
            </w:pPr>
            <w:r>
              <w:rPr>
                <w:color w:val="0000FF"/>
                <w:sz w:val="22"/>
                <w:szCs w:val="22"/>
              </w:rPr>
              <w:t>48.9</w:t>
            </w:r>
            <w:r w:rsidR="004E2A3E">
              <w:rPr>
                <w:color w:val="0000FF"/>
                <w:sz w:val="22"/>
                <w:szCs w:val="22"/>
              </w:rPr>
              <w:t>%</w:t>
            </w:r>
          </w:p>
        </w:tc>
        <w:tc>
          <w:tcPr>
            <w:tcW w:w="569" w:type="pct"/>
          </w:tcPr>
          <w:p w14:paraId="6477626D" w14:textId="4E9C30A3" w:rsidR="00747647" w:rsidRPr="007B766A" w:rsidRDefault="00747647" w:rsidP="00184CC7">
            <w:pPr>
              <w:pStyle w:val="TableText-cent"/>
              <w:rPr>
                <w:color w:val="0000FF"/>
                <w:sz w:val="22"/>
                <w:szCs w:val="22"/>
              </w:rPr>
            </w:pPr>
            <w:r>
              <w:rPr>
                <w:color w:val="0000FF"/>
                <w:sz w:val="22"/>
                <w:szCs w:val="22"/>
              </w:rPr>
              <w:t>58.1</w:t>
            </w:r>
            <w:r w:rsidR="004E2A3E">
              <w:rPr>
                <w:color w:val="0000FF"/>
                <w:sz w:val="22"/>
                <w:szCs w:val="22"/>
              </w:rPr>
              <w:t>%</w:t>
            </w:r>
          </w:p>
        </w:tc>
        <w:tc>
          <w:tcPr>
            <w:tcW w:w="569" w:type="pct"/>
          </w:tcPr>
          <w:p w14:paraId="5307D81F" w14:textId="60E01C0E" w:rsidR="00747647" w:rsidRPr="007B766A" w:rsidRDefault="00747647" w:rsidP="00184CC7">
            <w:pPr>
              <w:pStyle w:val="TableText-cent"/>
              <w:rPr>
                <w:color w:val="0000FF"/>
                <w:sz w:val="22"/>
                <w:szCs w:val="22"/>
              </w:rPr>
            </w:pPr>
            <w:r>
              <w:rPr>
                <w:color w:val="0000FF"/>
                <w:sz w:val="22"/>
                <w:szCs w:val="22"/>
              </w:rPr>
              <w:t>66.7</w:t>
            </w:r>
            <w:r w:rsidR="004E2A3E">
              <w:rPr>
                <w:color w:val="0000FF"/>
                <w:sz w:val="22"/>
                <w:szCs w:val="22"/>
              </w:rPr>
              <w:t>%</w:t>
            </w:r>
          </w:p>
        </w:tc>
        <w:tc>
          <w:tcPr>
            <w:tcW w:w="569" w:type="pct"/>
          </w:tcPr>
          <w:p w14:paraId="6EFB0602" w14:textId="55F69F2D" w:rsidR="00747647" w:rsidRPr="007B766A" w:rsidRDefault="00747647" w:rsidP="00184CC7">
            <w:pPr>
              <w:pStyle w:val="TableText-cent"/>
              <w:rPr>
                <w:color w:val="0000FF"/>
                <w:sz w:val="22"/>
                <w:szCs w:val="22"/>
              </w:rPr>
            </w:pPr>
            <w:r>
              <w:rPr>
                <w:color w:val="0000FF"/>
                <w:sz w:val="22"/>
                <w:szCs w:val="22"/>
              </w:rPr>
              <w:t>74.4</w:t>
            </w:r>
            <w:r w:rsidR="004E2A3E">
              <w:rPr>
                <w:color w:val="0000FF"/>
                <w:sz w:val="22"/>
                <w:szCs w:val="22"/>
              </w:rPr>
              <w:t>%</w:t>
            </w:r>
          </w:p>
        </w:tc>
        <w:tc>
          <w:tcPr>
            <w:tcW w:w="567" w:type="pct"/>
          </w:tcPr>
          <w:p w14:paraId="2F227862" w14:textId="4CC105A7" w:rsidR="00747647" w:rsidRPr="007B766A" w:rsidRDefault="00747647" w:rsidP="00184CC7">
            <w:pPr>
              <w:pStyle w:val="TableText-cent"/>
              <w:rPr>
                <w:color w:val="0000FF"/>
                <w:sz w:val="22"/>
                <w:szCs w:val="22"/>
              </w:rPr>
            </w:pPr>
            <w:r>
              <w:rPr>
                <w:color w:val="0000FF"/>
                <w:sz w:val="22"/>
                <w:szCs w:val="22"/>
              </w:rPr>
              <w:t>81.0</w:t>
            </w:r>
            <w:r w:rsidR="004E2A3E">
              <w:rPr>
                <w:color w:val="0000FF"/>
                <w:sz w:val="22"/>
                <w:szCs w:val="22"/>
              </w:rPr>
              <w:t>%</w:t>
            </w:r>
          </w:p>
        </w:tc>
      </w:tr>
    </w:tbl>
    <w:p w14:paraId="04E39755" w14:textId="16C9DC9B" w:rsidR="00747647" w:rsidRPr="00024B54" w:rsidRDefault="00747647" w:rsidP="00747647">
      <w:pPr>
        <w:autoSpaceDE w:val="0"/>
        <w:autoSpaceDN w:val="0"/>
        <w:adjustRightInd w:val="0"/>
        <w:spacing w:before="240" w:after="240" w:line="240" w:lineRule="auto"/>
        <w:rPr>
          <w:rFonts w:ascii="Calibri" w:eastAsia="MS Mincho" w:hAnsi="Calibri" w:cs="Calibri"/>
          <w:bCs/>
          <w:color w:val="0000FF"/>
          <w:sz w:val="20"/>
          <w:szCs w:val="20"/>
        </w:rPr>
      </w:pPr>
      <w:r w:rsidRPr="00024B54">
        <w:rPr>
          <w:rFonts w:eastAsia="Times New Roman" w:cs="Times New Roman"/>
          <w:color w:val="0000FF"/>
          <w:sz w:val="20"/>
          <w:szCs w:val="20"/>
        </w:rPr>
        <w:t>Source: RTI analysis of MDS 3.0 Data, Q2</w:t>
      </w:r>
      <w:r w:rsidR="009213B3">
        <w:rPr>
          <w:rFonts w:eastAsia="Times New Roman" w:cs="Times New Roman"/>
          <w:color w:val="0000FF"/>
          <w:sz w:val="20"/>
          <w:szCs w:val="20"/>
        </w:rPr>
        <w:t xml:space="preserve"> 2017 (programming reference: </w:t>
      </w:r>
      <w:r w:rsidR="009213B3" w:rsidRPr="00024B54">
        <w:rPr>
          <w:rFonts w:eastAsia="Times New Roman" w:cs="Times New Roman"/>
          <w:color w:val="0000FF"/>
          <w:sz w:val="20"/>
          <w:szCs w:val="20"/>
        </w:rPr>
        <w:t>LJC03</w:t>
      </w:r>
      <w:r w:rsidR="009213B3">
        <w:rPr>
          <w:rFonts w:eastAsia="Times New Roman" w:cs="Times New Roman"/>
          <w:color w:val="0000FF"/>
          <w:sz w:val="20"/>
          <w:szCs w:val="20"/>
        </w:rPr>
        <w:t>_v2</w:t>
      </w:r>
      <w:r w:rsidR="009213B3" w:rsidRPr="00024B54">
        <w:rPr>
          <w:rFonts w:eastAsia="Times New Roman" w:cs="Times New Roman"/>
          <w:color w:val="0000FF"/>
          <w:sz w:val="20"/>
          <w:szCs w:val="20"/>
        </w:rPr>
        <w:t>/LJC03_re</w:t>
      </w:r>
      <w:r w:rsidR="009213B3">
        <w:rPr>
          <w:rFonts w:eastAsia="Times New Roman" w:cs="Times New Roman"/>
          <w:color w:val="0000FF"/>
          <w:sz w:val="20"/>
          <w:szCs w:val="20"/>
        </w:rPr>
        <w:t>quest</w:t>
      </w:r>
      <w:r w:rsidR="009213B3" w:rsidRPr="00024B54">
        <w:rPr>
          <w:rFonts w:eastAsia="Times New Roman" w:cs="Times New Roman"/>
          <w:color w:val="0000FF"/>
          <w:sz w:val="20"/>
          <w:szCs w:val="20"/>
        </w:rPr>
        <w:t>_676</w:t>
      </w:r>
      <w:r w:rsidR="009213B3">
        <w:rPr>
          <w:rFonts w:eastAsia="Times New Roman" w:cs="Times New Roman"/>
          <w:color w:val="0000FF"/>
          <w:sz w:val="20"/>
          <w:szCs w:val="20"/>
        </w:rPr>
        <w:t>_v2</w:t>
      </w:r>
      <w:r w:rsidR="009213B3" w:rsidRPr="00024B54">
        <w:rPr>
          <w:rFonts w:eastAsia="Times New Roman" w:cs="Times New Roman"/>
          <w:color w:val="0000FF"/>
          <w:sz w:val="20"/>
          <w:szCs w:val="20"/>
        </w:rPr>
        <w:t>.log</w:t>
      </w:r>
      <w:r w:rsidR="009213B3">
        <w:rPr>
          <w:rFonts w:eastAsia="Times New Roman" w:cs="Times New Roman"/>
          <w:color w:val="0000FF"/>
          <w:sz w:val="20"/>
          <w:szCs w:val="20"/>
        </w:rPr>
        <w:t>)</w:t>
      </w:r>
      <w:r w:rsidRPr="00024B54">
        <w:rPr>
          <w:rFonts w:ascii="Calibri" w:eastAsia="MS Mincho" w:hAnsi="Calibri" w:cs="Calibri"/>
          <w:bCs/>
          <w:color w:val="0000FF"/>
          <w:sz w:val="20"/>
          <w:szCs w:val="20"/>
        </w:rPr>
        <w:t xml:space="preserve"> </w:t>
      </w:r>
      <w:bookmarkStart w:id="28" w:name="_Hlk501369312"/>
    </w:p>
    <w:p w14:paraId="2A31553F" w14:textId="1D44D9F8" w:rsidR="00747647" w:rsidRPr="007B766A" w:rsidRDefault="00747647" w:rsidP="00747647">
      <w:pPr>
        <w:autoSpaceDE w:val="0"/>
        <w:autoSpaceDN w:val="0"/>
        <w:adjustRightInd w:val="0"/>
        <w:spacing w:before="240" w:after="240" w:line="240" w:lineRule="auto"/>
        <w:rPr>
          <w:rFonts w:ascii="Calibri" w:eastAsia="MS Mincho" w:hAnsi="Calibri" w:cs="Calibri"/>
          <w:bCs/>
          <w:color w:val="0000FF"/>
        </w:rPr>
      </w:pPr>
      <w:r w:rsidRPr="007B766A">
        <w:rPr>
          <w:iCs/>
          <w:color w:val="0000FF"/>
        </w:rPr>
        <w:t>The odds ratio fo</w:t>
      </w:r>
      <w:r>
        <w:rPr>
          <w:iCs/>
          <w:color w:val="0000FF"/>
        </w:rPr>
        <w:t>r cognitive independence is 2.17</w:t>
      </w:r>
      <w:r w:rsidRPr="007B766A">
        <w:rPr>
          <w:iCs/>
          <w:color w:val="0000FF"/>
        </w:rPr>
        <w:t xml:space="preserve"> and is statistically significant at </w:t>
      </w:r>
      <w:r>
        <w:rPr>
          <w:iCs/>
          <w:color w:val="0000FF"/>
        </w:rPr>
        <w:t>the 0.05 level</w:t>
      </w:r>
      <w:r w:rsidRPr="007B766A">
        <w:rPr>
          <w:iCs/>
          <w:color w:val="0000FF"/>
        </w:rPr>
        <w:t xml:space="preserve"> [95% CI</w:t>
      </w:r>
      <w:r w:rsidR="00D06803">
        <w:rPr>
          <w:iCs/>
          <w:color w:val="0000FF"/>
        </w:rPr>
        <w:t xml:space="preserve"> =</w:t>
      </w:r>
      <w:r w:rsidRPr="007B766A">
        <w:rPr>
          <w:iCs/>
          <w:color w:val="0000FF"/>
        </w:rPr>
        <w:t xml:space="preserve"> </w:t>
      </w:r>
      <w:r w:rsidR="00D06803">
        <w:rPr>
          <w:iCs/>
          <w:color w:val="0000FF"/>
        </w:rPr>
        <w:t>[</w:t>
      </w:r>
      <w:r>
        <w:rPr>
          <w:iCs/>
          <w:color w:val="0000FF"/>
        </w:rPr>
        <w:t>2.13</w:t>
      </w:r>
      <w:r w:rsidR="00D06803">
        <w:rPr>
          <w:iCs/>
          <w:color w:val="0000FF"/>
        </w:rPr>
        <w:t xml:space="preserve">, </w:t>
      </w:r>
      <w:r>
        <w:rPr>
          <w:iCs/>
          <w:color w:val="0000FF"/>
        </w:rPr>
        <w:t>2.20</w:t>
      </w:r>
      <w:r w:rsidRPr="007B766A">
        <w:rPr>
          <w:iCs/>
          <w:color w:val="0000FF"/>
        </w:rPr>
        <w:t xml:space="preserve">]. The odds of </w:t>
      </w:r>
      <w:r w:rsidRPr="007B766A">
        <w:rPr>
          <w:rFonts w:ascii="Calibri" w:eastAsia="MS Mincho" w:hAnsi="Calibri" w:cs="Calibri"/>
          <w:bCs/>
          <w:color w:val="0000FF"/>
        </w:rPr>
        <w:t xml:space="preserve">self-reporting moderate to severe pain are </w:t>
      </w:r>
      <w:r>
        <w:rPr>
          <w:iCs/>
          <w:color w:val="0000FF"/>
        </w:rPr>
        <w:t>1.17</w:t>
      </w:r>
      <w:r w:rsidRPr="007B766A">
        <w:rPr>
          <w:iCs/>
          <w:color w:val="0000FF"/>
        </w:rPr>
        <w:t xml:space="preserve"> times higher among those with </w:t>
      </w:r>
      <w:r w:rsidRPr="007B766A">
        <w:rPr>
          <w:rFonts w:ascii="Calibri" w:eastAsia="MS Mincho" w:hAnsi="Calibri" w:cs="Calibri"/>
          <w:bCs/>
          <w:color w:val="0000FF"/>
        </w:rPr>
        <w:t>no impairment in cognitive status, compared to those with cognitive impairments.</w:t>
      </w:r>
      <w:r w:rsidRPr="007B766A">
        <w:rPr>
          <w:iCs/>
          <w:color w:val="0000FF"/>
        </w:rPr>
        <w:t xml:space="preserve">  </w:t>
      </w:r>
    </w:p>
    <w:bookmarkEnd w:id="28"/>
    <w:p w14:paraId="41A022A9" w14:textId="77777777" w:rsidR="00747647" w:rsidRPr="007B766A" w:rsidRDefault="00747647" w:rsidP="00747647">
      <w:pPr>
        <w:autoSpaceDE w:val="0"/>
        <w:autoSpaceDN w:val="0"/>
        <w:adjustRightInd w:val="0"/>
        <w:spacing w:before="240" w:after="240" w:line="240" w:lineRule="auto"/>
        <w:rPr>
          <w:rFonts w:ascii="Calibri" w:eastAsia="MS Mincho" w:hAnsi="Calibri" w:cs="Calibri"/>
          <w:bCs/>
          <w:color w:val="0000FF"/>
        </w:rPr>
      </w:pPr>
      <w:r w:rsidRPr="007B766A">
        <w:rPr>
          <w:rFonts w:ascii="Calibri" w:eastAsia="MS Mincho" w:hAnsi="Calibri" w:cs="Calibri"/>
          <w:bCs/>
          <w:color w:val="0000FF"/>
        </w:rPr>
        <w:t>Results of the statistical analyses to examine social risk factors as potential risk adjustors are detailed in 2b3.4b.</w:t>
      </w:r>
    </w:p>
    <w:p w14:paraId="375E7FE4" w14:textId="77777777" w:rsidR="00747647" w:rsidRPr="007B766A" w:rsidRDefault="00747647" w:rsidP="00747647">
      <w:pPr>
        <w:autoSpaceDE w:val="0"/>
        <w:autoSpaceDN w:val="0"/>
        <w:adjustRightInd w:val="0"/>
        <w:spacing w:after="0" w:line="240" w:lineRule="auto"/>
        <w:rPr>
          <w:rFonts w:cstheme="minorHAnsi"/>
          <w:b/>
          <w:bCs/>
        </w:rPr>
      </w:pPr>
      <w:r w:rsidRPr="007B766A">
        <w:rPr>
          <w:rFonts w:cstheme="minorHAnsi"/>
          <w:b/>
          <w:bCs/>
        </w:rPr>
        <w:t xml:space="preserve">2b3.4b. Describe the analyses and interpretation resulting in the decision to select social risk factors </w:t>
      </w:r>
      <w:r w:rsidRPr="007B766A">
        <w:rPr>
          <w:rFonts w:cstheme="minorHAnsi"/>
          <w:bCs/>
          <w:i/>
        </w:rPr>
        <w:t xml:space="preserve">(e.g. prevalence of the factor across measured entities, empirical association with the outcome, contribution of unique variation in the outcome, assessment of between-unit effects and within-unit effects.)  </w:t>
      </w:r>
      <w:r w:rsidRPr="007B766A">
        <w:rPr>
          <w:rFonts w:cstheme="minorHAnsi"/>
          <w:b/>
          <w:bCs/>
        </w:rPr>
        <w:t>Also describe the impact of adjusting for social risk (or not) on providers at high or low extremes of risk.</w:t>
      </w:r>
    </w:p>
    <w:p w14:paraId="3F5D2725" w14:textId="77777777" w:rsidR="00747647" w:rsidRPr="007B766A" w:rsidRDefault="00747647" w:rsidP="00747647">
      <w:pPr>
        <w:autoSpaceDE w:val="0"/>
        <w:autoSpaceDN w:val="0"/>
        <w:adjustRightInd w:val="0"/>
        <w:spacing w:after="0" w:line="240" w:lineRule="auto"/>
        <w:rPr>
          <w:rFonts w:cstheme="minorHAnsi"/>
          <w:b/>
          <w:bCs/>
        </w:rPr>
      </w:pPr>
    </w:p>
    <w:p w14:paraId="73B37DB2" w14:textId="3D5ECEAC" w:rsidR="00747647" w:rsidRPr="007B766A" w:rsidRDefault="00747647" w:rsidP="00747647">
      <w:pPr>
        <w:autoSpaceDE w:val="0"/>
        <w:autoSpaceDN w:val="0"/>
        <w:adjustRightInd w:val="0"/>
        <w:spacing w:after="0" w:line="240" w:lineRule="auto"/>
        <w:rPr>
          <w:rFonts w:ascii="Calibri" w:eastAsia="MS Mincho" w:hAnsi="Calibri" w:cs="Calibri"/>
          <w:bCs/>
          <w:color w:val="0000FF"/>
        </w:rPr>
      </w:pPr>
      <w:r w:rsidRPr="007B766A">
        <w:rPr>
          <w:rFonts w:ascii="Calibri" w:eastAsia="MS Mincho" w:hAnsi="Calibri" w:cs="Calibri"/>
          <w:bCs/>
          <w:color w:val="0000FF"/>
        </w:rPr>
        <w:t xml:space="preserve">First, we examined the percentage of </w:t>
      </w:r>
      <w:r>
        <w:rPr>
          <w:rFonts w:ascii="Calibri" w:eastAsia="MS Mincho" w:hAnsi="Calibri" w:cs="Calibri"/>
          <w:bCs/>
          <w:color w:val="0000FF"/>
        </w:rPr>
        <w:t>short</w:t>
      </w:r>
      <w:r w:rsidRPr="007B766A">
        <w:rPr>
          <w:rFonts w:ascii="Calibri" w:eastAsia="MS Mincho" w:hAnsi="Calibri" w:cs="Calibri"/>
          <w:bCs/>
          <w:color w:val="0000FF"/>
        </w:rPr>
        <w:t xml:space="preserve">-stay residents with each social risk factor who self-reported moderate to severe pain compared to those without that social risk </w:t>
      </w:r>
      <w:proofErr w:type="gramStart"/>
      <w:r w:rsidRPr="007B766A">
        <w:rPr>
          <w:rFonts w:ascii="Calibri" w:eastAsia="MS Mincho" w:hAnsi="Calibri" w:cs="Calibri"/>
          <w:bCs/>
          <w:color w:val="0000FF"/>
        </w:rPr>
        <w:t>factor</w:t>
      </w:r>
      <w:r w:rsidR="00D06803">
        <w:rPr>
          <w:rFonts w:ascii="Calibri" w:eastAsia="MS Mincho" w:hAnsi="Calibri" w:cs="Calibri"/>
          <w:bCs/>
          <w:color w:val="0000FF"/>
        </w:rPr>
        <w:t>,</w:t>
      </w:r>
      <w:r w:rsidRPr="007B766A">
        <w:rPr>
          <w:rFonts w:ascii="Calibri" w:eastAsia="MS Mincho" w:hAnsi="Calibri" w:cs="Calibri"/>
          <w:bCs/>
          <w:color w:val="0000FF"/>
        </w:rPr>
        <w:t xml:space="preserve"> and</w:t>
      </w:r>
      <w:proofErr w:type="gramEnd"/>
      <w:r w:rsidRPr="007B766A">
        <w:rPr>
          <w:rFonts w:ascii="Calibri" w:eastAsia="MS Mincho" w:hAnsi="Calibri" w:cs="Calibri"/>
          <w:bCs/>
          <w:color w:val="0000FF"/>
        </w:rPr>
        <w:t xml:space="preserve"> used Chi-Squared tests to determine whether these differences were statistically significant, as shown in </w:t>
      </w:r>
      <w:r w:rsidRPr="004E2A3E">
        <w:rPr>
          <w:rFonts w:ascii="Calibri" w:eastAsia="MS Mincho" w:hAnsi="Calibri" w:cs="Calibri"/>
          <w:b/>
          <w:bCs/>
          <w:i/>
          <w:color w:val="0000FF"/>
        </w:rPr>
        <w:t>Table 5</w:t>
      </w:r>
      <w:r w:rsidRPr="007B766A">
        <w:rPr>
          <w:rFonts w:ascii="Calibri" w:eastAsia="MS Mincho" w:hAnsi="Calibri" w:cs="Calibri"/>
          <w:bCs/>
          <w:color w:val="0000FF"/>
        </w:rPr>
        <w:t xml:space="preserve">.  </w:t>
      </w:r>
    </w:p>
    <w:p w14:paraId="47EA0BE7" w14:textId="77777777" w:rsidR="00747647" w:rsidRPr="007B766A" w:rsidRDefault="00747647" w:rsidP="00747647">
      <w:pPr>
        <w:autoSpaceDE w:val="0"/>
        <w:autoSpaceDN w:val="0"/>
        <w:adjustRightInd w:val="0"/>
        <w:spacing w:after="0" w:line="240" w:lineRule="auto"/>
        <w:rPr>
          <w:rFonts w:ascii="Calibri" w:eastAsia="MS Mincho" w:hAnsi="Calibri" w:cs="Calibri"/>
          <w:bCs/>
          <w:color w:val="0000FF"/>
        </w:rPr>
      </w:pPr>
    </w:p>
    <w:p w14:paraId="78D768AB" w14:textId="1CB73270" w:rsidR="00747647" w:rsidRPr="007B766A" w:rsidRDefault="00747647" w:rsidP="00747647">
      <w:pPr>
        <w:autoSpaceDE w:val="0"/>
        <w:autoSpaceDN w:val="0"/>
        <w:adjustRightInd w:val="0"/>
        <w:spacing w:after="0" w:line="240" w:lineRule="auto"/>
        <w:rPr>
          <w:rFonts w:ascii="Calibri" w:eastAsia="MS Mincho" w:hAnsi="Calibri" w:cs="Calibri"/>
          <w:bCs/>
          <w:color w:val="0000FF"/>
        </w:rPr>
      </w:pPr>
      <w:r w:rsidRPr="007B766A">
        <w:rPr>
          <w:rFonts w:ascii="Calibri" w:eastAsia="MS Mincho" w:hAnsi="Calibri" w:cs="Calibri"/>
          <w:bCs/>
          <w:color w:val="0000FF"/>
        </w:rPr>
        <w:t>While all</w:t>
      </w:r>
      <w:r w:rsidR="00BA16CF">
        <w:rPr>
          <w:rFonts w:ascii="Calibri" w:eastAsia="MS Mincho" w:hAnsi="Calibri" w:cs="Calibri"/>
          <w:bCs/>
          <w:color w:val="0000FF"/>
        </w:rPr>
        <w:t xml:space="preserve"> but one of these</w:t>
      </w:r>
      <w:r w:rsidRPr="007B766A">
        <w:rPr>
          <w:rFonts w:ascii="Calibri" w:eastAsia="MS Mincho" w:hAnsi="Calibri" w:cs="Calibri"/>
          <w:bCs/>
          <w:color w:val="0000FF"/>
        </w:rPr>
        <w:t xml:space="preserve"> differences were statistically significant, the differences across subpopulations are mostly small.  Among residents who </w:t>
      </w:r>
      <w:r>
        <w:rPr>
          <w:rFonts w:ascii="Calibri" w:eastAsia="MS Mincho" w:hAnsi="Calibri" w:cs="Calibri"/>
          <w:bCs/>
          <w:color w:val="0000FF"/>
        </w:rPr>
        <w:t>are eligible for Medicaid</w:t>
      </w:r>
      <w:r w:rsidRPr="007B766A">
        <w:rPr>
          <w:rFonts w:ascii="Calibri" w:eastAsia="MS Mincho" w:hAnsi="Calibri" w:cs="Calibri"/>
          <w:bCs/>
          <w:color w:val="0000FF"/>
        </w:rPr>
        <w:t xml:space="preserve">, </w:t>
      </w:r>
      <w:r>
        <w:rPr>
          <w:rFonts w:ascii="Calibri" w:eastAsia="MS Mincho" w:hAnsi="Calibri" w:cs="Calibri"/>
          <w:bCs/>
          <w:color w:val="0000FF"/>
        </w:rPr>
        <w:t>12.6</w:t>
      </w:r>
      <w:r w:rsidRPr="007B766A">
        <w:rPr>
          <w:rFonts w:ascii="Calibri" w:eastAsia="MS Mincho" w:hAnsi="Calibri" w:cs="Calibri"/>
          <w:bCs/>
          <w:color w:val="0000FF"/>
        </w:rPr>
        <w:t xml:space="preserve">% </w:t>
      </w:r>
      <w:r>
        <w:rPr>
          <w:rFonts w:ascii="Calibri" w:eastAsia="MS Mincho" w:hAnsi="Calibri" w:cs="Calibri"/>
          <w:bCs/>
          <w:color w:val="0000FF"/>
        </w:rPr>
        <w:t>self-reported moderate to severe pain</w:t>
      </w:r>
      <w:r w:rsidRPr="007B766A">
        <w:rPr>
          <w:rFonts w:ascii="Calibri" w:eastAsia="MS Mincho" w:hAnsi="Calibri" w:cs="Calibri"/>
          <w:bCs/>
          <w:color w:val="0000FF"/>
        </w:rPr>
        <w:t xml:space="preserve"> and</w:t>
      </w:r>
      <w:r>
        <w:rPr>
          <w:rFonts w:ascii="Calibri" w:eastAsia="MS Mincho" w:hAnsi="Calibri" w:cs="Calibri"/>
          <w:bCs/>
          <w:color w:val="0000FF"/>
        </w:rPr>
        <w:t>, among those ineligible for Medicaid,</w:t>
      </w:r>
      <w:r w:rsidRPr="007B766A">
        <w:rPr>
          <w:rFonts w:ascii="Calibri" w:eastAsia="MS Mincho" w:hAnsi="Calibri" w:cs="Calibri"/>
          <w:bCs/>
          <w:color w:val="0000FF"/>
        </w:rPr>
        <w:t xml:space="preserve"> </w:t>
      </w:r>
      <w:r>
        <w:rPr>
          <w:rFonts w:ascii="Calibri" w:eastAsia="MS Mincho" w:hAnsi="Calibri" w:cs="Calibri"/>
          <w:bCs/>
          <w:color w:val="0000FF"/>
        </w:rPr>
        <w:t>10.1</w:t>
      </w:r>
      <w:r w:rsidRPr="007B766A">
        <w:rPr>
          <w:rFonts w:ascii="Calibri" w:eastAsia="MS Mincho" w:hAnsi="Calibri" w:cs="Calibri"/>
          <w:bCs/>
          <w:color w:val="0000FF"/>
        </w:rPr>
        <w:t xml:space="preserve">% </w:t>
      </w:r>
      <w:r>
        <w:rPr>
          <w:rFonts w:ascii="Calibri" w:eastAsia="MS Mincho" w:hAnsi="Calibri" w:cs="Calibri"/>
          <w:bCs/>
          <w:color w:val="0000FF"/>
        </w:rPr>
        <w:t>self-reported moderate to severe pain</w:t>
      </w:r>
      <w:r w:rsidRPr="007B766A">
        <w:rPr>
          <w:rFonts w:ascii="Calibri" w:eastAsia="MS Mincho" w:hAnsi="Calibri" w:cs="Calibri"/>
          <w:bCs/>
          <w:color w:val="0000FF"/>
        </w:rPr>
        <w:t xml:space="preserve"> (</w:t>
      </w:r>
      <w:r w:rsidRPr="005C0514">
        <w:rPr>
          <w:rFonts w:ascii="Calibri" w:eastAsia="MS Mincho" w:hAnsi="Calibri" w:cs="Calibri"/>
          <w:bCs/>
          <w:i/>
          <w:color w:val="0000FF"/>
        </w:rPr>
        <w:t>χ</w:t>
      </w:r>
      <w:r w:rsidRPr="007B766A">
        <w:rPr>
          <w:rFonts w:ascii="Calibri" w:eastAsia="MS Mincho" w:hAnsi="Calibri" w:cs="Calibri"/>
          <w:bCs/>
          <w:color w:val="0000FF"/>
          <w:vertAlign w:val="superscript"/>
        </w:rPr>
        <w:t>2</w:t>
      </w:r>
      <w:r>
        <w:rPr>
          <w:rFonts w:ascii="Calibri" w:eastAsia="MS Mincho" w:hAnsi="Calibri" w:cs="Calibri"/>
          <w:bCs/>
          <w:color w:val="0000FF"/>
        </w:rPr>
        <w:t>(1) = 765.61,</w:t>
      </w:r>
      <w:r>
        <w:rPr>
          <w:rFonts w:ascii="Calibri" w:eastAsia="MS Mincho" w:hAnsi="Calibri" w:cs="Calibri"/>
          <w:bCs/>
          <w:i/>
          <w:color w:val="0000FF"/>
        </w:rPr>
        <w:t xml:space="preserve"> </w:t>
      </w:r>
      <w:r w:rsidRPr="00E55061">
        <w:rPr>
          <w:rFonts w:ascii="Calibri" w:eastAsia="MS Mincho" w:hAnsi="Calibri" w:cs="Calibri"/>
          <w:bCs/>
          <w:i/>
          <w:color w:val="0000FF"/>
        </w:rPr>
        <w:t>p</w:t>
      </w:r>
      <w:r w:rsidRPr="005A41C2">
        <w:rPr>
          <w:rFonts w:ascii="Calibri" w:eastAsia="MS Mincho" w:hAnsi="Calibri" w:cs="Calibri"/>
          <w:bCs/>
          <w:color w:val="0000FF"/>
        </w:rPr>
        <w:t xml:space="preserve"> &lt;</w:t>
      </w:r>
      <w:r>
        <w:rPr>
          <w:rFonts w:ascii="Calibri" w:eastAsia="MS Mincho" w:hAnsi="Calibri" w:cs="Calibri"/>
          <w:bCs/>
          <w:color w:val="0000FF"/>
        </w:rPr>
        <w:t xml:space="preserve"> </w:t>
      </w:r>
      <w:r w:rsidRPr="005A41C2">
        <w:rPr>
          <w:rFonts w:ascii="Calibri" w:eastAsia="MS Mincho" w:hAnsi="Calibri" w:cs="Calibri"/>
          <w:bCs/>
          <w:color w:val="0000FF"/>
        </w:rPr>
        <w:t>.001</w:t>
      </w:r>
      <w:r>
        <w:rPr>
          <w:rFonts w:ascii="Calibri" w:eastAsia="MS Mincho" w:hAnsi="Calibri" w:cs="Calibri"/>
          <w:bCs/>
          <w:color w:val="0000FF"/>
        </w:rPr>
        <w:t>).  Among unmarried residents, 10.6% self-reported moderate to severe pain</w:t>
      </w:r>
      <w:r w:rsidRPr="007B766A">
        <w:rPr>
          <w:rFonts w:ascii="Calibri" w:eastAsia="MS Mincho" w:hAnsi="Calibri" w:cs="Calibri"/>
          <w:bCs/>
          <w:color w:val="0000FF"/>
        </w:rPr>
        <w:t xml:space="preserve">, whereas </w:t>
      </w:r>
      <w:r>
        <w:rPr>
          <w:rFonts w:ascii="Calibri" w:eastAsia="MS Mincho" w:hAnsi="Calibri" w:cs="Calibri"/>
          <w:bCs/>
          <w:color w:val="0000FF"/>
        </w:rPr>
        <w:t>10.5</w:t>
      </w:r>
      <w:r w:rsidRPr="007B766A">
        <w:rPr>
          <w:rFonts w:ascii="Calibri" w:eastAsia="MS Mincho" w:hAnsi="Calibri" w:cs="Calibri"/>
          <w:bCs/>
          <w:color w:val="0000FF"/>
        </w:rPr>
        <w:t xml:space="preserve">% of </w:t>
      </w:r>
      <w:r>
        <w:rPr>
          <w:rFonts w:ascii="Calibri" w:eastAsia="MS Mincho" w:hAnsi="Calibri" w:cs="Calibri"/>
          <w:bCs/>
          <w:color w:val="0000FF"/>
        </w:rPr>
        <w:t xml:space="preserve">married residents self-reported moderate to severe pain </w:t>
      </w:r>
      <w:r w:rsidRPr="007B766A">
        <w:rPr>
          <w:rFonts w:ascii="Calibri" w:eastAsia="MS Mincho" w:hAnsi="Calibri" w:cs="Calibri"/>
          <w:bCs/>
          <w:color w:val="0000FF"/>
        </w:rPr>
        <w:t>(</w:t>
      </w:r>
      <w:r w:rsidRPr="005C0514">
        <w:rPr>
          <w:rFonts w:ascii="Calibri" w:eastAsia="MS Mincho" w:hAnsi="Calibri" w:cs="Calibri"/>
          <w:bCs/>
          <w:i/>
          <w:color w:val="0000FF"/>
        </w:rPr>
        <w:t>χ</w:t>
      </w:r>
      <w:r w:rsidRPr="007B766A">
        <w:rPr>
          <w:rFonts w:ascii="Calibri" w:eastAsia="MS Mincho" w:hAnsi="Calibri" w:cs="Calibri"/>
          <w:bCs/>
          <w:color w:val="0000FF"/>
          <w:vertAlign w:val="superscript"/>
        </w:rPr>
        <w:t>2</w:t>
      </w:r>
      <w:r>
        <w:rPr>
          <w:rFonts w:ascii="Calibri" w:eastAsia="MS Mincho" w:hAnsi="Calibri" w:cs="Calibri"/>
          <w:bCs/>
          <w:color w:val="0000FF"/>
        </w:rPr>
        <w:t xml:space="preserve">(1) = 1.0678, </w:t>
      </w:r>
      <w:r>
        <w:rPr>
          <w:rFonts w:ascii="Calibri" w:eastAsia="MS Mincho" w:hAnsi="Calibri" w:cs="Calibri"/>
          <w:bCs/>
          <w:i/>
          <w:color w:val="0000FF"/>
        </w:rPr>
        <w:t>p</w:t>
      </w:r>
      <w:r w:rsidRPr="007B766A">
        <w:rPr>
          <w:rFonts w:ascii="Calibri" w:eastAsia="MS Mincho" w:hAnsi="Calibri" w:cs="Calibri"/>
          <w:bCs/>
          <w:color w:val="0000FF"/>
        </w:rPr>
        <w:t xml:space="preserve"> </w:t>
      </w:r>
      <w:r>
        <w:rPr>
          <w:rFonts w:ascii="Calibri" w:eastAsia="MS Mincho" w:hAnsi="Calibri" w:cs="Calibri"/>
          <w:bCs/>
          <w:color w:val="0000FF"/>
        </w:rPr>
        <w:t>= 0.301</w:t>
      </w:r>
      <w:r w:rsidRPr="007B766A">
        <w:rPr>
          <w:rFonts w:ascii="Calibri" w:eastAsia="MS Mincho" w:hAnsi="Calibri" w:cs="Calibri"/>
          <w:bCs/>
          <w:color w:val="0000FF"/>
        </w:rPr>
        <w:t xml:space="preserve">). The age and gender related differences we found were relatively larger. For residents aged 85 years or older, only </w:t>
      </w:r>
      <w:r>
        <w:rPr>
          <w:rFonts w:ascii="Calibri" w:eastAsia="MS Mincho" w:hAnsi="Calibri" w:cs="Calibri"/>
          <w:bCs/>
          <w:color w:val="0000FF"/>
        </w:rPr>
        <w:t>5.6</w:t>
      </w:r>
      <w:r w:rsidRPr="007B766A">
        <w:rPr>
          <w:rFonts w:ascii="Calibri" w:eastAsia="MS Mincho" w:hAnsi="Calibri" w:cs="Calibri"/>
          <w:bCs/>
          <w:color w:val="0000FF"/>
        </w:rPr>
        <w:t xml:space="preserve">% reported moderate to severe pain, compared with </w:t>
      </w:r>
      <w:r>
        <w:rPr>
          <w:rFonts w:ascii="Calibri" w:eastAsia="MS Mincho" w:hAnsi="Calibri" w:cs="Calibri"/>
          <w:bCs/>
          <w:color w:val="0000FF"/>
        </w:rPr>
        <w:t>12.9</w:t>
      </w:r>
      <w:r w:rsidRPr="007B766A">
        <w:rPr>
          <w:rFonts w:ascii="Calibri" w:eastAsia="MS Mincho" w:hAnsi="Calibri" w:cs="Calibri"/>
          <w:bCs/>
          <w:color w:val="0000FF"/>
        </w:rPr>
        <w:t>% of younger residents</w:t>
      </w:r>
      <w:r>
        <w:rPr>
          <w:rFonts w:ascii="Calibri" w:eastAsia="MS Mincho" w:hAnsi="Calibri" w:cs="Calibri"/>
          <w:bCs/>
          <w:color w:val="0000FF"/>
        </w:rPr>
        <w:t xml:space="preserve"> </w:t>
      </w:r>
      <w:r w:rsidRPr="007B766A">
        <w:rPr>
          <w:rFonts w:ascii="Calibri" w:eastAsia="MS Mincho" w:hAnsi="Calibri" w:cs="Calibri"/>
          <w:bCs/>
          <w:color w:val="0000FF"/>
        </w:rPr>
        <w:t>(</w:t>
      </w:r>
      <w:r w:rsidRPr="005C0514">
        <w:rPr>
          <w:rFonts w:ascii="Calibri" w:eastAsia="MS Mincho" w:hAnsi="Calibri" w:cs="Calibri"/>
          <w:bCs/>
          <w:i/>
          <w:color w:val="0000FF"/>
        </w:rPr>
        <w:t>χ</w:t>
      </w:r>
      <w:r w:rsidRPr="007B766A">
        <w:rPr>
          <w:rFonts w:ascii="Calibri" w:eastAsia="MS Mincho" w:hAnsi="Calibri" w:cs="Calibri"/>
          <w:bCs/>
          <w:color w:val="0000FF"/>
          <w:vertAlign w:val="superscript"/>
        </w:rPr>
        <w:t>2</w:t>
      </w:r>
      <w:r>
        <w:rPr>
          <w:rFonts w:ascii="Calibri" w:eastAsia="MS Mincho" w:hAnsi="Calibri" w:cs="Calibri"/>
          <w:bCs/>
          <w:color w:val="0000FF"/>
        </w:rPr>
        <w:t xml:space="preserve">(1) = 10,000, </w:t>
      </w:r>
      <w:r>
        <w:rPr>
          <w:rFonts w:ascii="Calibri" w:eastAsia="MS Mincho" w:hAnsi="Calibri" w:cs="Calibri"/>
          <w:bCs/>
          <w:i/>
          <w:color w:val="0000FF"/>
        </w:rPr>
        <w:t>p</w:t>
      </w:r>
      <w:r w:rsidRPr="007B766A">
        <w:rPr>
          <w:rFonts w:ascii="Calibri" w:eastAsia="MS Mincho" w:hAnsi="Calibri" w:cs="Calibri"/>
          <w:bCs/>
          <w:color w:val="0000FF"/>
        </w:rPr>
        <w:t xml:space="preserve"> </w:t>
      </w:r>
      <w:r w:rsidRPr="005A41C2">
        <w:rPr>
          <w:rFonts w:ascii="Calibri" w:eastAsia="MS Mincho" w:hAnsi="Calibri" w:cs="Calibri"/>
          <w:bCs/>
          <w:color w:val="0000FF"/>
        </w:rPr>
        <w:t>&lt;</w:t>
      </w:r>
      <w:r w:rsidR="00D06803">
        <w:rPr>
          <w:rFonts w:ascii="Calibri" w:eastAsia="MS Mincho" w:hAnsi="Calibri" w:cs="Calibri"/>
          <w:bCs/>
          <w:color w:val="0000FF"/>
        </w:rPr>
        <w:t xml:space="preserve"> </w:t>
      </w:r>
      <w:r w:rsidRPr="005A41C2">
        <w:rPr>
          <w:rFonts w:ascii="Calibri" w:eastAsia="MS Mincho" w:hAnsi="Calibri" w:cs="Calibri"/>
          <w:bCs/>
          <w:color w:val="0000FF"/>
        </w:rPr>
        <w:t>.001</w:t>
      </w:r>
      <w:r>
        <w:rPr>
          <w:rFonts w:ascii="Calibri" w:eastAsia="MS Mincho" w:hAnsi="Calibri" w:cs="Calibri"/>
          <w:bCs/>
          <w:color w:val="0000FF"/>
        </w:rPr>
        <w:t>)</w:t>
      </w:r>
      <w:r w:rsidRPr="007B766A">
        <w:rPr>
          <w:rFonts w:ascii="Calibri" w:eastAsia="MS Mincho" w:hAnsi="Calibri" w:cs="Calibri"/>
          <w:bCs/>
          <w:color w:val="0000FF"/>
        </w:rPr>
        <w:t xml:space="preserve">. </w:t>
      </w:r>
      <w:r>
        <w:rPr>
          <w:rFonts w:ascii="Calibri" w:eastAsia="MS Mincho" w:hAnsi="Calibri" w:cs="Calibri"/>
          <w:bCs/>
          <w:color w:val="0000FF"/>
        </w:rPr>
        <w:t>In addition, w</w:t>
      </w:r>
      <w:r w:rsidRPr="007B766A">
        <w:rPr>
          <w:rFonts w:ascii="Calibri" w:eastAsia="MS Mincho" w:hAnsi="Calibri" w:cs="Calibri"/>
          <w:bCs/>
          <w:color w:val="0000FF"/>
        </w:rPr>
        <w:t xml:space="preserve">hereas </w:t>
      </w:r>
      <w:r>
        <w:rPr>
          <w:rFonts w:ascii="Calibri" w:eastAsia="MS Mincho" w:hAnsi="Calibri" w:cs="Calibri"/>
          <w:bCs/>
          <w:color w:val="0000FF"/>
        </w:rPr>
        <w:t>9.1</w:t>
      </w:r>
      <w:r w:rsidRPr="007B766A">
        <w:rPr>
          <w:rFonts w:ascii="Calibri" w:eastAsia="MS Mincho" w:hAnsi="Calibri" w:cs="Calibri"/>
          <w:bCs/>
          <w:color w:val="0000FF"/>
        </w:rPr>
        <w:t xml:space="preserve">% of the male residents reported moderate to severe pain, </w:t>
      </w:r>
      <w:r>
        <w:rPr>
          <w:rFonts w:ascii="Calibri" w:eastAsia="MS Mincho" w:hAnsi="Calibri" w:cs="Calibri"/>
          <w:bCs/>
          <w:color w:val="0000FF"/>
        </w:rPr>
        <w:t>11.6</w:t>
      </w:r>
      <w:r w:rsidRPr="007B766A">
        <w:rPr>
          <w:rFonts w:ascii="Calibri" w:eastAsia="MS Mincho" w:hAnsi="Calibri" w:cs="Calibri"/>
          <w:bCs/>
          <w:color w:val="0000FF"/>
        </w:rPr>
        <w:t>% of the female residents reported this level of pain</w:t>
      </w:r>
      <w:r>
        <w:rPr>
          <w:rFonts w:ascii="Calibri" w:eastAsia="MS Mincho" w:hAnsi="Calibri" w:cs="Calibri"/>
          <w:bCs/>
          <w:color w:val="0000FF"/>
        </w:rPr>
        <w:t xml:space="preserve"> </w:t>
      </w:r>
      <w:r w:rsidRPr="007B766A">
        <w:rPr>
          <w:rFonts w:ascii="Calibri" w:eastAsia="MS Mincho" w:hAnsi="Calibri" w:cs="Calibri"/>
          <w:bCs/>
          <w:color w:val="0000FF"/>
        </w:rPr>
        <w:t>(</w:t>
      </w:r>
      <w:r w:rsidRPr="005C0514">
        <w:rPr>
          <w:rFonts w:ascii="Calibri" w:eastAsia="MS Mincho" w:hAnsi="Calibri" w:cs="Calibri"/>
          <w:bCs/>
          <w:i/>
          <w:color w:val="0000FF"/>
        </w:rPr>
        <w:t>χ</w:t>
      </w:r>
      <w:r w:rsidRPr="007B766A">
        <w:rPr>
          <w:rFonts w:ascii="Calibri" w:eastAsia="MS Mincho" w:hAnsi="Calibri" w:cs="Calibri"/>
          <w:bCs/>
          <w:color w:val="0000FF"/>
          <w:vertAlign w:val="superscript"/>
        </w:rPr>
        <w:t>2</w:t>
      </w:r>
      <w:r>
        <w:rPr>
          <w:rFonts w:ascii="Calibri" w:eastAsia="MS Mincho" w:hAnsi="Calibri" w:cs="Calibri"/>
          <w:bCs/>
          <w:color w:val="0000FF"/>
        </w:rPr>
        <w:t xml:space="preserve">(1) = 1,300, </w:t>
      </w:r>
      <w:r>
        <w:rPr>
          <w:rFonts w:ascii="Calibri" w:eastAsia="MS Mincho" w:hAnsi="Calibri" w:cs="Calibri"/>
          <w:bCs/>
          <w:i/>
          <w:color w:val="0000FF"/>
        </w:rPr>
        <w:t>p</w:t>
      </w:r>
      <w:r w:rsidRPr="007B766A">
        <w:rPr>
          <w:rFonts w:ascii="Calibri" w:eastAsia="MS Mincho" w:hAnsi="Calibri" w:cs="Calibri"/>
          <w:bCs/>
          <w:color w:val="0000FF"/>
        </w:rPr>
        <w:t xml:space="preserve"> </w:t>
      </w:r>
      <w:r w:rsidRPr="005A41C2">
        <w:rPr>
          <w:rFonts w:ascii="Calibri" w:eastAsia="MS Mincho" w:hAnsi="Calibri" w:cs="Calibri"/>
          <w:bCs/>
          <w:color w:val="0000FF"/>
        </w:rPr>
        <w:t>&lt;</w:t>
      </w:r>
      <w:r w:rsidR="00D06803">
        <w:rPr>
          <w:rFonts w:ascii="Calibri" w:eastAsia="MS Mincho" w:hAnsi="Calibri" w:cs="Calibri"/>
          <w:bCs/>
          <w:color w:val="0000FF"/>
        </w:rPr>
        <w:t xml:space="preserve"> </w:t>
      </w:r>
      <w:r w:rsidRPr="005A41C2">
        <w:rPr>
          <w:rFonts w:ascii="Calibri" w:eastAsia="MS Mincho" w:hAnsi="Calibri" w:cs="Calibri"/>
          <w:bCs/>
          <w:color w:val="0000FF"/>
        </w:rPr>
        <w:t>.001</w:t>
      </w:r>
      <w:r>
        <w:rPr>
          <w:rFonts w:ascii="Calibri" w:eastAsia="MS Mincho" w:hAnsi="Calibri" w:cs="Calibri"/>
          <w:bCs/>
          <w:color w:val="0000FF"/>
        </w:rPr>
        <w:t>)</w:t>
      </w:r>
      <w:r w:rsidRPr="007B766A">
        <w:rPr>
          <w:rFonts w:ascii="Calibri" w:eastAsia="MS Mincho" w:hAnsi="Calibri" w:cs="Calibri"/>
          <w:bCs/>
          <w:color w:val="0000FF"/>
        </w:rPr>
        <w:t>.</w:t>
      </w:r>
    </w:p>
    <w:p w14:paraId="7AD75A75" w14:textId="77777777" w:rsidR="00747647" w:rsidRPr="007B766A" w:rsidRDefault="00747647" w:rsidP="00747647">
      <w:pPr>
        <w:autoSpaceDE w:val="0"/>
        <w:autoSpaceDN w:val="0"/>
        <w:adjustRightInd w:val="0"/>
        <w:spacing w:after="0" w:line="240" w:lineRule="auto"/>
        <w:rPr>
          <w:rFonts w:ascii="Calibri" w:eastAsia="MS Mincho" w:hAnsi="Calibri" w:cs="Calibri"/>
          <w:bCs/>
          <w:color w:val="0000FF"/>
        </w:rPr>
      </w:pPr>
    </w:p>
    <w:p w14:paraId="32B641E7" w14:textId="68D0D375" w:rsidR="00747647" w:rsidRDefault="00747647" w:rsidP="00747647">
      <w:pPr>
        <w:autoSpaceDE w:val="0"/>
        <w:autoSpaceDN w:val="0"/>
        <w:adjustRightInd w:val="0"/>
        <w:spacing w:after="0" w:line="240" w:lineRule="auto"/>
        <w:rPr>
          <w:rFonts w:ascii="Calibri" w:eastAsia="MS Mincho" w:hAnsi="Calibri" w:cs="Calibri"/>
          <w:bCs/>
          <w:color w:val="0000FF"/>
        </w:rPr>
      </w:pPr>
      <w:r w:rsidRPr="007B766A">
        <w:rPr>
          <w:rFonts w:ascii="Calibri" w:eastAsia="MS Mincho" w:hAnsi="Calibri" w:cs="Calibri"/>
          <w:bCs/>
          <w:color w:val="0000FF"/>
        </w:rPr>
        <w:t>Overall, the differences in percentages of individuals self-reporting moderate to severe pain were in the expected direction</w:t>
      </w:r>
      <w:r>
        <w:rPr>
          <w:rFonts w:ascii="Calibri" w:eastAsia="MS Mincho" w:hAnsi="Calibri" w:cs="Calibri"/>
          <w:bCs/>
          <w:color w:val="0000FF"/>
        </w:rPr>
        <w:t xml:space="preserve">: </w:t>
      </w:r>
      <w:r w:rsidRPr="007B766A">
        <w:rPr>
          <w:rFonts w:ascii="Calibri" w:eastAsia="MS Mincho" w:hAnsi="Calibri" w:cs="Calibri"/>
          <w:bCs/>
          <w:color w:val="0000FF"/>
        </w:rPr>
        <w:t xml:space="preserve">younger residents, non-married residents, </w:t>
      </w:r>
      <w:r>
        <w:rPr>
          <w:rFonts w:ascii="Calibri" w:eastAsia="MS Mincho" w:hAnsi="Calibri" w:cs="Calibri"/>
          <w:bCs/>
          <w:color w:val="0000FF"/>
        </w:rPr>
        <w:t xml:space="preserve">female residents, </w:t>
      </w:r>
      <w:r w:rsidRPr="007B766A">
        <w:rPr>
          <w:rFonts w:ascii="Calibri" w:eastAsia="MS Mincho" w:hAnsi="Calibri" w:cs="Calibri"/>
          <w:bCs/>
          <w:color w:val="0000FF"/>
        </w:rPr>
        <w:t xml:space="preserve">and Medicaid-eligible residents have higher proportions of individuals who self-reported moderate to severe pain.  </w:t>
      </w:r>
    </w:p>
    <w:p w14:paraId="2E4D1901" w14:textId="77777777" w:rsidR="009A1FF7" w:rsidRPr="009A1FF7" w:rsidRDefault="009A1FF7" w:rsidP="00747647">
      <w:pPr>
        <w:autoSpaceDE w:val="0"/>
        <w:autoSpaceDN w:val="0"/>
        <w:adjustRightInd w:val="0"/>
        <w:spacing w:after="0" w:line="240" w:lineRule="auto"/>
        <w:rPr>
          <w:rFonts w:ascii="Calibri" w:eastAsia="MS Mincho" w:hAnsi="Calibri" w:cs="Calibri"/>
          <w:bCs/>
          <w:color w:val="0000FF"/>
        </w:rPr>
      </w:pPr>
    </w:p>
    <w:p w14:paraId="150AF717" w14:textId="4355F89C" w:rsidR="00747647" w:rsidRPr="009A1FF7" w:rsidRDefault="00747647" w:rsidP="00747647">
      <w:pPr>
        <w:pStyle w:val="ListParagraph"/>
        <w:ind w:left="765"/>
        <w:rPr>
          <w:color w:val="0000FF"/>
        </w:rPr>
      </w:pPr>
      <w:r w:rsidRPr="009A1FF7">
        <w:rPr>
          <w:rFonts w:eastAsia="Times New Roman" w:cs="Times New Roman"/>
          <w:b/>
          <w:color w:val="0000FF"/>
        </w:rPr>
        <w:t xml:space="preserve">Table 5. </w:t>
      </w:r>
      <w:r w:rsidR="009A1FF7" w:rsidRPr="009A1FF7">
        <w:rPr>
          <w:rFonts w:eastAsia="Times New Roman" w:cs="Times New Roman"/>
          <w:b/>
          <w:color w:val="0000FF"/>
        </w:rPr>
        <w:t>Percent of Residents W</w:t>
      </w:r>
      <w:r w:rsidRPr="009A1FF7">
        <w:rPr>
          <w:rFonts w:eastAsia="Times New Roman" w:cs="Times New Roman"/>
          <w:b/>
          <w:color w:val="0000FF"/>
        </w:rPr>
        <w:t>ho Self-Report Moderate to Severe Pain by Social Risk Factors</w:t>
      </w:r>
    </w:p>
    <w:tbl>
      <w:tblPr>
        <w:tblW w:w="5000" w:type="pct"/>
        <w:tblLook w:val="04A0" w:firstRow="1" w:lastRow="0" w:firstColumn="1" w:lastColumn="0" w:noHBand="0" w:noVBand="1"/>
      </w:tblPr>
      <w:tblGrid>
        <w:gridCol w:w="2521"/>
        <w:gridCol w:w="2880"/>
        <w:gridCol w:w="2804"/>
        <w:gridCol w:w="1155"/>
      </w:tblGrid>
      <w:tr w:rsidR="00747647" w:rsidRPr="00D06803" w14:paraId="5B8925A8" w14:textId="77777777" w:rsidTr="00B24618">
        <w:trPr>
          <w:tblHeader/>
        </w:trPr>
        <w:tc>
          <w:tcPr>
            <w:tcW w:w="1346" w:type="pct"/>
            <w:tcBorders>
              <w:top w:val="single" w:sz="12" w:space="0" w:color="auto"/>
              <w:bottom w:val="single" w:sz="4" w:space="0" w:color="auto"/>
            </w:tcBorders>
            <w:shd w:val="clear" w:color="auto" w:fill="auto"/>
            <w:vAlign w:val="center"/>
            <w:hideMark/>
          </w:tcPr>
          <w:p w14:paraId="60B5DB5C" w14:textId="77777777" w:rsidR="00747647" w:rsidRPr="00F14E72" w:rsidRDefault="00747647" w:rsidP="00184CC7">
            <w:pPr>
              <w:spacing w:after="0" w:line="240" w:lineRule="auto"/>
              <w:contextualSpacing/>
              <w:rPr>
                <w:rFonts w:eastAsia="Times New Roman" w:cs="Times New Roman"/>
                <w:color w:val="0000FF"/>
                <w:sz w:val="20"/>
                <w:szCs w:val="20"/>
              </w:rPr>
            </w:pPr>
            <w:r w:rsidRPr="00F14E72">
              <w:rPr>
                <w:rFonts w:eastAsia="Times New Roman" w:cs="Times New Roman"/>
                <w:color w:val="0000FF"/>
                <w:sz w:val="20"/>
                <w:szCs w:val="20"/>
              </w:rPr>
              <w:t>Resident characteristic (% of all short stay residents)</w:t>
            </w:r>
          </w:p>
        </w:tc>
        <w:tc>
          <w:tcPr>
            <w:tcW w:w="1538" w:type="pct"/>
            <w:tcBorders>
              <w:top w:val="single" w:sz="12" w:space="0" w:color="auto"/>
              <w:bottom w:val="single" w:sz="4" w:space="0" w:color="auto"/>
            </w:tcBorders>
            <w:vAlign w:val="center"/>
          </w:tcPr>
          <w:p w14:paraId="3BAD467E" w14:textId="77777777" w:rsidR="00747647" w:rsidRPr="00F14E72" w:rsidRDefault="00747647" w:rsidP="00184CC7">
            <w:pPr>
              <w:spacing w:after="0" w:line="240" w:lineRule="auto"/>
              <w:contextualSpacing/>
              <w:jc w:val="center"/>
              <w:rPr>
                <w:rFonts w:eastAsia="Times New Roman" w:cs="Times New Roman"/>
                <w:color w:val="0000FF"/>
                <w:sz w:val="20"/>
                <w:szCs w:val="20"/>
              </w:rPr>
            </w:pPr>
            <w:r w:rsidRPr="00F14E72">
              <w:rPr>
                <w:rFonts w:eastAsia="Times New Roman" w:cs="Times New Roman"/>
                <w:color w:val="0000FF"/>
                <w:sz w:val="20"/>
                <w:szCs w:val="20"/>
              </w:rPr>
              <w:t xml:space="preserve">Frequency of residents who self-report </w:t>
            </w:r>
            <w:proofErr w:type="gramStart"/>
            <w:r w:rsidRPr="00F14E72">
              <w:rPr>
                <w:rFonts w:eastAsia="Times New Roman" w:cs="Times New Roman"/>
                <w:color w:val="0000FF"/>
                <w:sz w:val="20"/>
                <w:szCs w:val="20"/>
              </w:rPr>
              <w:t>moderate</w:t>
            </w:r>
            <w:proofErr w:type="gramEnd"/>
            <w:r w:rsidRPr="00F14E72">
              <w:rPr>
                <w:rFonts w:eastAsia="Times New Roman" w:cs="Times New Roman"/>
                <w:color w:val="0000FF"/>
                <w:sz w:val="20"/>
                <w:szCs w:val="20"/>
              </w:rPr>
              <w:t xml:space="preserve"> to severe pain (n) </w:t>
            </w:r>
          </w:p>
        </w:tc>
        <w:tc>
          <w:tcPr>
            <w:tcW w:w="1498" w:type="pct"/>
            <w:tcBorders>
              <w:top w:val="single" w:sz="12" w:space="0" w:color="auto"/>
              <w:bottom w:val="single" w:sz="4" w:space="0" w:color="auto"/>
            </w:tcBorders>
            <w:vAlign w:val="center"/>
          </w:tcPr>
          <w:p w14:paraId="01762319" w14:textId="4C7ED0E5" w:rsidR="00747647" w:rsidRPr="00F14E72" w:rsidRDefault="00747647" w:rsidP="00184CC7">
            <w:pPr>
              <w:spacing w:after="0" w:line="240" w:lineRule="auto"/>
              <w:contextualSpacing/>
              <w:jc w:val="center"/>
              <w:rPr>
                <w:rFonts w:eastAsia="Times New Roman" w:cs="Times New Roman"/>
                <w:color w:val="0000FF"/>
                <w:sz w:val="20"/>
                <w:szCs w:val="20"/>
              </w:rPr>
            </w:pPr>
            <w:r w:rsidRPr="00F14E72">
              <w:rPr>
                <w:rFonts w:eastAsia="Times New Roman" w:cs="Times New Roman"/>
                <w:color w:val="0000FF"/>
                <w:sz w:val="20"/>
                <w:szCs w:val="20"/>
              </w:rPr>
              <w:t>Percentage of residents who self-</w:t>
            </w:r>
            <w:r w:rsidR="00B24618" w:rsidRPr="00F14E72">
              <w:rPr>
                <w:rFonts w:eastAsia="Times New Roman" w:cs="Times New Roman"/>
                <w:color w:val="0000FF"/>
                <w:sz w:val="20"/>
                <w:szCs w:val="20"/>
              </w:rPr>
              <w:t xml:space="preserve">report </w:t>
            </w:r>
            <w:proofErr w:type="gramStart"/>
            <w:r w:rsidR="00B24618" w:rsidRPr="00F14E72">
              <w:rPr>
                <w:rFonts w:eastAsia="Times New Roman" w:cs="Times New Roman"/>
                <w:color w:val="0000FF"/>
                <w:sz w:val="20"/>
                <w:szCs w:val="20"/>
              </w:rPr>
              <w:t>moderate</w:t>
            </w:r>
            <w:proofErr w:type="gramEnd"/>
            <w:r w:rsidR="00B24618" w:rsidRPr="00F14E72">
              <w:rPr>
                <w:rFonts w:eastAsia="Times New Roman" w:cs="Times New Roman"/>
                <w:color w:val="0000FF"/>
                <w:sz w:val="20"/>
                <w:szCs w:val="20"/>
              </w:rPr>
              <w:t xml:space="preserve"> to severe pain (</w:t>
            </w:r>
            <w:r w:rsidRPr="00F14E72">
              <w:rPr>
                <w:rFonts w:eastAsia="Times New Roman" w:cs="Times New Roman"/>
                <w:color w:val="0000FF"/>
                <w:sz w:val="20"/>
                <w:szCs w:val="20"/>
              </w:rPr>
              <w:t>%</w:t>
            </w:r>
            <w:r w:rsidR="00B24618" w:rsidRPr="00F14E72">
              <w:rPr>
                <w:rFonts w:eastAsia="Times New Roman" w:cs="Times New Roman"/>
                <w:color w:val="0000FF"/>
                <w:sz w:val="20"/>
                <w:szCs w:val="20"/>
              </w:rPr>
              <w:t>)</w:t>
            </w:r>
          </w:p>
        </w:tc>
        <w:tc>
          <w:tcPr>
            <w:tcW w:w="617" w:type="pct"/>
            <w:tcBorders>
              <w:top w:val="single" w:sz="12" w:space="0" w:color="auto"/>
              <w:bottom w:val="single" w:sz="4" w:space="0" w:color="auto"/>
            </w:tcBorders>
          </w:tcPr>
          <w:p w14:paraId="2C2D28F6" w14:textId="77777777" w:rsidR="00747647" w:rsidRPr="00F14E72" w:rsidRDefault="00747647" w:rsidP="00184CC7">
            <w:pPr>
              <w:spacing w:after="0" w:line="240" w:lineRule="auto"/>
              <w:contextualSpacing/>
              <w:jc w:val="center"/>
              <w:rPr>
                <w:rFonts w:eastAsia="Times New Roman" w:cs="Times New Roman"/>
                <w:color w:val="0000FF"/>
                <w:sz w:val="20"/>
                <w:szCs w:val="20"/>
              </w:rPr>
            </w:pPr>
            <w:r w:rsidRPr="00F14E72">
              <w:rPr>
                <w:rFonts w:eastAsia="Times New Roman" w:cs="Times New Roman"/>
                <w:color w:val="0000FF"/>
                <w:sz w:val="20"/>
                <w:szCs w:val="20"/>
              </w:rPr>
              <w:t>Pearson chi</w:t>
            </w:r>
            <w:r w:rsidRPr="00F14E72">
              <w:rPr>
                <w:rFonts w:eastAsia="Times New Roman" w:cs="Times New Roman"/>
                <w:color w:val="0000FF"/>
                <w:sz w:val="20"/>
                <w:szCs w:val="20"/>
                <w:vertAlign w:val="superscript"/>
              </w:rPr>
              <w:t>2</w:t>
            </w:r>
            <w:r w:rsidRPr="00F14E72">
              <w:rPr>
                <w:rFonts w:eastAsia="Times New Roman" w:cs="Times New Roman"/>
                <w:color w:val="0000FF"/>
                <w:sz w:val="20"/>
                <w:szCs w:val="20"/>
              </w:rPr>
              <w:t xml:space="preserve"> P-value</w:t>
            </w:r>
          </w:p>
        </w:tc>
      </w:tr>
      <w:tr w:rsidR="00747647" w:rsidRPr="00D06803" w14:paraId="1BBC9138" w14:textId="77777777" w:rsidTr="00B24618">
        <w:tc>
          <w:tcPr>
            <w:tcW w:w="1346" w:type="pct"/>
            <w:shd w:val="clear" w:color="auto" w:fill="auto"/>
            <w:hideMark/>
          </w:tcPr>
          <w:p w14:paraId="37767D87" w14:textId="77777777" w:rsidR="00747647" w:rsidRPr="00F14E72" w:rsidRDefault="00747647" w:rsidP="00184CC7">
            <w:pPr>
              <w:spacing w:after="0" w:line="240" w:lineRule="auto"/>
              <w:rPr>
                <w:rFonts w:eastAsia="Times New Roman" w:cs="Times New Roman"/>
                <w:color w:val="0000FF"/>
                <w:sz w:val="20"/>
                <w:szCs w:val="20"/>
              </w:rPr>
            </w:pPr>
            <w:r w:rsidRPr="00F14E72">
              <w:rPr>
                <w:rFonts w:eastAsia="Times New Roman" w:cs="Times New Roman"/>
                <w:color w:val="0000FF"/>
                <w:sz w:val="20"/>
                <w:szCs w:val="20"/>
              </w:rPr>
              <w:t>Age</w:t>
            </w:r>
          </w:p>
        </w:tc>
        <w:tc>
          <w:tcPr>
            <w:tcW w:w="1538" w:type="pct"/>
          </w:tcPr>
          <w:p w14:paraId="57BA7DF5" w14:textId="77777777" w:rsidR="00747647" w:rsidRPr="00F14E72" w:rsidRDefault="00747647" w:rsidP="00184CC7">
            <w:pPr>
              <w:spacing w:after="0" w:line="240" w:lineRule="auto"/>
              <w:ind w:right="327"/>
              <w:jc w:val="right"/>
              <w:rPr>
                <w:rFonts w:eastAsia="Times New Roman" w:cs="Times New Roman"/>
                <w:color w:val="0000FF"/>
                <w:sz w:val="20"/>
                <w:szCs w:val="20"/>
              </w:rPr>
            </w:pPr>
          </w:p>
        </w:tc>
        <w:tc>
          <w:tcPr>
            <w:tcW w:w="1498" w:type="pct"/>
          </w:tcPr>
          <w:p w14:paraId="287EF8A5" w14:textId="77777777" w:rsidR="00747647" w:rsidRPr="00F14E72" w:rsidRDefault="00747647" w:rsidP="00184CC7">
            <w:pPr>
              <w:spacing w:after="0" w:line="240" w:lineRule="auto"/>
              <w:ind w:right="327"/>
              <w:jc w:val="right"/>
              <w:rPr>
                <w:rFonts w:eastAsia="Times New Roman" w:cs="Times New Roman"/>
                <w:color w:val="0000FF"/>
                <w:sz w:val="20"/>
                <w:szCs w:val="20"/>
              </w:rPr>
            </w:pPr>
          </w:p>
        </w:tc>
        <w:tc>
          <w:tcPr>
            <w:tcW w:w="617" w:type="pct"/>
          </w:tcPr>
          <w:p w14:paraId="2A15A736" w14:textId="77777777" w:rsidR="00747647" w:rsidRPr="00F14E72" w:rsidRDefault="00747647" w:rsidP="00184CC7">
            <w:pPr>
              <w:spacing w:after="0" w:line="240" w:lineRule="auto"/>
              <w:ind w:right="327"/>
              <w:jc w:val="right"/>
              <w:rPr>
                <w:rFonts w:eastAsia="Times New Roman" w:cs="Times New Roman"/>
                <w:color w:val="0000FF"/>
                <w:sz w:val="20"/>
                <w:szCs w:val="20"/>
              </w:rPr>
            </w:pPr>
          </w:p>
        </w:tc>
      </w:tr>
      <w:tr w:rsidR="00747647" w:rsidRPr="00D06803" w14:paraId="2E79855B" w14:textId="77777777" w:rsidTr="00B24618">
        <w:tc>
          <w:tcPr>
            <w:tcW w:w="1346" w:type="pct"/>
            <w:shd w:val="clear" w:color="auto" w:fill="auto"/>
            <w:hideMark/>
          </w:tcPr>
          <w:p w14:paraId="2C1BD993" w14:textId="77777777" w:rsidR="00747647" w:rsidRPr="00F14E72" w:rsidRDefault="00747647" w:rsidP="00184CC7">
            <w:pPr>
              <w:spacing w:after="0" w:line="240" w:lineRule="auto"/>
              <w:ind w:firstLineChars="100" w:firstLine="200"/>
              <w:rPr>
                <w:rFonts w:eastAsia="Times New Roman" w:cs="Times New Roman"/>
                <w:color w:val="0000FF"/>
                <w:sz w:val="20"/>
                <w:szCs w:val="20"/>
              </w:rPr>
            </w:pPr>
            <w:r w:rsidRPr="00F14E72">
              <w:rPr>
                <w:color w:val="0000FF"/>
                <w:sz w:val="20"/>
                <w:szCs w:val="20"/>
              </w:rPr>
              <w:t>≥ 85 (31.7%)</w:t>
            </w:r>
          </w:p>
        </w:tc>
        <w:tc>
          <w:tcPr>
            <w:tcW w:w="1538" w:type="pct"/>
          </w:tcPr>
          <w:p w14:paraId="4376BA23" w14:textId="77777777" w:rsidR="00747647" w:rsidRPr="00F14E72" w:rsidRDefault="00747647" w:rsidP="00184CC7">
            <w:pPr>
              <w:spacing w:after="0" w:line="240" w:lineRule="auto"/>
              <w:ind w:right="327"/>
              <w:jc w:val="right"/>
              <w:rPr>
                <w:rFonts w:eastAsia="Times New Roman" w:cs="Times New Roman"/>
                <w:color w:val="0000FF"/>
                <w:sz w:val="20"/>
                <w:szCs w:val="20"/>
              </w:rPr>
            </w:pPr>
            <w:r w:rsidRPr="00F14E72">
              <w:rPr>
                <w:rFonts w:eastAsia="Times New Roman" w:cs="Times New Roman"/>
                <w:color w:val="0000FF"/>
                <w:sz w:val="20"/>
                <w:szCs w:val="20"/>
              </w:rPr>
              <w:t>15,056</w:t>
            </w:r>
          </w:p>
        </w:tc>
        <w:tc>
          <w:tcPr>
            <w:tcW w:w="1498" w:type="pct"/>
          </w:tcPr>
          <w:p w14:paraId="3CCFB379" w14:textId="4501F3D6" w:rsidR="00747647" w:rsidRPr="00F14E72" w:rsidRDefault="00B24618" w:rsidP="00184CC7">
            <w:pPr>
              <w:spacing w:after="0" w:line="240" w:lineRule="auto"/>
              <w:ind w:right="327"/>
              <w:jc w:val="right"/>
              <w:rPr>
                <w:rFonts w:eastAsia="Times New Roman" w:cs="Times New Roman"/>
                <w:color w:val="0000FF"/>
                <w:sz w:val="20"/>
                <w:szCs w:val="20"/>
              </w:rPr>
            </w:pPr>
            <w:r w:rsidRPr="00F14E72">
              <w:rPr>
                <w:rFonts w:eastAsia="Times New Roman" w:cs="Times New Roman"/>
                <w:color w:val="0000FF"/>
                <w:sz w:val="20"/>
                <w:szCs w:val="20"/>
              </w:rPr>
              <w:t>5.6%</w:t>
            </w:r>
          </w:p>
        </w:tc>
        <w:tc>
          <w:tcPr>
            <w:tcW w:w="617" w:type="pct"/>
          </w:tcPr>
          <w:p w14:paraId="0724EBDF" w14:textId="77777777" w:rsidR="00747647" w:rsidRPr="00F14E72" w:rsidRDefault="00747647" w:rsidP="00184CC7">
            <w:pPr>
              <w:spacing w:after="0" w:line="240" w:lineRule="auto"/>
              <w:ind w:right="327"/>
              <w:jc w:val="right"/>
              <w:rPr>
                <w:rFonts w:eastAsia="Times New Roman" w:cs="Times New Roman"/>
                <w:color w:val="0000FF"/>
                <w:sz w:val="20"/>
                <w:szCs w:val="20"/>
              </w:rPr>
            </w:pPr>
            <w:r w:rsidRPr="00F14E72">
              <w:rPr>
                <w:rFonts w:eastAsia="Times New Roman" w:cs="Times New Roman"/>
                <w:color w:val="0000FF"/>
                <w:sz w:val="20"/>
                <w:szCs w:val="20"/>
              </w:rPr>
              <w:t>&lt;0.001</w:t>
            </w:r>
          </w:p>
        </w:tc>
      </w:tr>
      <w:tr w:rsidR="00747647" w:rsidRPr="00D06803" w14:paraId="55E45EE7" w14:textId="77777777" w:rsidTr="00B24618">
        <w:tc>
          <w:tcPr>
            <w:tcW w:w="1346" w:type="pct"/>
            <w:shd w:val="clear" w:color="auto" w:fill="auto"/>
            <w:hideMark/>
          </w:tcPr>
          <w:p w14:paraId="06FDC882" w14:textId="77777777" w:rsidR="00747647" w:rsidRPr="00F14E72" w:rsidRDefault="00747647" w:rsidP="00184CC7">
            <w:pPr>
              <w:spacing w:after="0" w:line="240" w:lineRule="auto"/>
              <w:ind w:firstLineChars="100" w:firstLine="200"/>
              <w:rPr>
                <w:rFonts w:eastAsia="Times New Roman" w:cs="Times New Roman"/>
                <w:color w:val="0000FF"/>
                <w:sz w:val="20"/>
                <w:szCs w:val="20"/>
              </w:rPr>
            </w:pPr>
            <w:r w:rsidRPr="00F14E72">
              <w:rPr>
                <w:rFonts w:eastAsia="Times New Roman" w:cs="Times New Roman"/>
                <w:color w:val="0000FF"/>
                <w:sz w:val="20"/>
                <w:szCs w:val="20"/>
              </w:rPr>
              <w:t>&lt; 85 (68.3%)</w:t>
            </w:r>
          </w:p>
        </w:tc>
        <w:tc>
          <w:tcPr>
            <w:tcW w:w="1538" w:type="pct"/>
          </w:tcPr>
          <w:p w14:paraId="5101CB8A" w14:textId="77777777" w:rsidR="00747647" w:rsidRPr="00F14E72" w:rsidRDefault="00747647" w:rsidP="00184CC7">
            <w:pPr>
              <w:spacing w:after="0" w:line="240" w:lineRule="auto"/>
              <w:ind w:right="327"/>
              <w:jc w:val="right"/>
              <w:rPr>
                <w:rFonts w:eastAsia="Times New Roman" w:cs="Times New Roman"/>
                <w:color w:val="0000FF"/>
                <w:sz w:val="20"/>
                <w:szCs w:val="20"/>
              </w:rPr>
            </w:pPr>
            <w:r w:rsidRPr="00F14E72">
              <w:rPr>
                <w:rFonts w:eastAsia="Times New Roman" w:cs="Times New Roman"/>
                <w:color w:val="0000FF"/>
                <w:sz w:val="20"/>
                <w:szCs w:val="20"/>
              </w:rPr>
              <w:t>74,783</w:t>
            </w:r>
          </w:p>
        </w:tc>
        <w:tc>
          <w:tcPr>
            <w:tcW w:w="1498" w:type="pct"/>
          </w:tcPr>
          <w:p w14:paraId="4CEA3C55" w14:textId="2FEE364D" w:rsidR="00747647" w:rsidRPr="00F14E72" w:rsidRDefault="00B24618" w:rsidP="00184CC7">
            <w:pPr>
              <w:spacing w:after="0" w:line="240" w:lineRule="auto"/>
              <w:ind w:right="327"/>
              <w:jc w:val="right"/>
              <w:rPr>
                <w:rFonts w:eastAsia="Times New Roman" w:cs="Times New Roman"/>
                <w:color w:val="0000FF"/>
                <w:sz w:val="20"/>
                <w:szCs w:val="20"/>
              </w:rPr>
            </w:pPr>
            <w:r w:rsidRPr="00F14E72">
              <w:rPr>
                <w:rFonts w:eastAsia="Times New Roman" w:cs="Times New Roman"/>
                <w:color w:val="0000FF"/>
                <w:sz w:val="20"/>
                <w:szCs w:val="20"/>
              </w:rPr>
              <w:t>12.9%</w:t>
            </w:r>
          </w:p>
        </w:tc>
        <w:tc>
          <w:tcPr>
            <w:tcW w:w="617" w:type="pct"/>
          </w:tcPr>
          <w:p w14:paraId="5119627E" w14:textId="77777777" w:rsidR="00747647" w:rsidRPr="00F14E72" w:rsidRDefault="00747647" w:rsidP="00184CC7">
            <w:pPr>
              <w:spacing w:after="0" w:line="240" w:lineRule="auto"/>
              <w:ind w:right="327"/>
              <w:jc w:val="right"/>
              <w:rPr>
                <w:rFonts w:eastAsia="Times New Roman" w:cs="Times New Roman"/>
                <w:color w:val="0000FF"/>
                <w:sz w:val="20"/>
                <w:szCs w:val="20"/>
              </w:rPr>
            </w:pPr>
          </w:p>
        </w:tc>
      </w:tr>
      <w:tr w:rsidR="00747647" w:rsidRPr="00D06803" w14:paraId="2FDCEBD4" w14:textId="77777777" w:rsidTr="00B24618">
        <w:tc>
          <w:tcPr>
            <w:tcW w:w="1346" w:type="pct"/>
            <w:shd w:val="clear" w:color="auto" w:fill="auto"/>
            <w:hideMark/>
          </w:tcPr>
          <w:p w14:paraId="3519A9AC" w14:textId="77777777" w:rsidR="00747647" w:rsidRPr="00F14E72" w:rsidRDefault="00747647" w:rsidP="00184CC7">
            <w:pPr>
              <w:spacing w:after="0" w:line="240" w:lineRule="auto"/>
              <w:rPr>
                <w:rFonts w:eastAsia="Times New Roman" w:cs="Times New Roman"/>
                <w:color w:val="0000FF"/>
                <w:sz w:val="20"/>
                <w:szCs w:val="20"/>
              </w:rPr>
            </w:pPr>
            <w:r w:rsidRPr="00F14E72">
              <w:rPr>
                <w:rFonts w:eastAsia="Times New Roman" w:cs="Times New Roman"/>
                <w:color w:val="0000FF"/>
                <w:sz w:val="20"/>
                <w:szCs w:val="20"/>
              </w:rPr>
              <w:t>Sex</w:t>
            </w:r>
          </w:p>
        </w:tc>
        <w:tc>
          <w:tcPr>
            <w:tcW w:w="1538" w:type="pct"/>
          </w:tcPr>
          <w:p w14:paraId="348EF896" w14:textId="77777777" w:rsidR="00747647" w:rsidRPr="00F14E72" w:rsidRDefault="00747647" w:rsidP="00184CC7">
            <w:pPr>
              <w:spacing w:after="0" w:line="240" w:lineRule="auto"/>
              <w:ind w:right="327"/>
              <w:jc w:val="right"/>
              <w:rPr>
                <w:rFonts w:eastAsia="Times New Roman" w:cs="Times New Roman"/>
                <w:color w:val="0000FF"/>
                <w:sz w:val="20"/>
                <w:szCs w:val="20"/>
              </w:rPr>
            </w:pPr>
          </w:p>
        </w:tc>
        <w:tc>
          <w:tcPr>
            <w:tcW w:w="1498" w:type="pct"/>
          </w:tcPr>
          <w:p w14:paraId="6BE368CF" w14:textId="77777777" w:rsidR="00747647" w:rsidRPr="00F14E72" w:rsidRDefault="00747647" w:rsidP="00184CC7">
            <w:pPr>
              <w:spacing w:after="0" w:line="240" w:lineRule="auto"/>
              <w:ind w:right="327"/>
              <w:jc w:val="right"/>
              <w:rPr>
                <w:rFonts w:eastAsia="Times New Roman" w:cs="Times New Roman"/>
                <w:color w:val="0000FF"/>
                <w:sz w:val="20"/>
                <w:szCs w:val="20"/>
              </w:rPr>
            </w:pPr>
          </w:p>
        </w:tc>
        <w:tc>
          <w:tcPr>
            <w:tcW w:w="617" w:type="pct"/>
          </w:tcPr>
          <w:p w14:paraId="0E38B0A2" w14:textId="77777777" w:rsidR="00747647" w:rsidRPr="00F14E72" w:rsidRDefault="00747647" w:rsidP="00184CC7">
            <w:pPr>
              <w:spacing w:after="0" w:line="240" w:lineRule="auto"/>
              <w:ind w:right="327"/>
              <w:jc w:val="right"/>
              <w:rPr>
                <w:rFonts w:eastAsia="Times New Roman" w:cs="Times New Roman"/>
                <w:color w:val="0000FF"/>
                <w:sz w:val="20"/>
                <w:szCs w:val="20"/>
              </w:rPr>
            </w:pPr>
          </w:p>
        </w:tc>
      </w:tr>
      <w:tr w:rsidR="00747647" w:rsidRPr="00D06803" w14:paraId="2A0BCEE7" w14:textId="77777777" w:rsidTr="00B24618">
        <w:tc>
          <w:tcPr>
            <w:tcW w:w="1346" w:type="pct"/>
            <w:shd w:val="clear" w:color="auto" w:fill="auto"/>
            <w:hideMark/>
          </w:tcPr>
          <w:p w14:paraId="494FE79A" w14:textId="77777777" w:rsidR="00747647" w:rsidRPr="00F14E72" w:rsidRDefault="00747647" w:rsidP="00184CC7">
            <w:pPr>
              <w:spacing w:after="0" w:line="240" w:lineRule="auto"/>
              <w:ind w:firstLineChars="100" w:firstLine="200"/>
              <w:rPr>
                <w:rFonts w:eastAsia="Times New Roman" w:cs="Times New Roman"/>
                <w:color w:val="0000FF"/>
                <w:sz w:val="20"/>
                <w:szCs w:val="20"/>
              </w:rPr>
            </w:pPr>
            <w:r w:rsidRPr="00F14E72">
              <w:rPr>
                <w:rFonts w:eastAsia="Times New Roman" w:cs="Times New Roman"/>
                <w:color w:val="0000FF"/>
                <w:sz w:val="20"/>
                <w:szCs w:val="20"/>
              </w:rPr>
              <w:t>Male (35.11%)</w:t>
            </w:r>
          </w:p>
        </w:tc>
        <w:tc>
          <w:tcPr>
            <w:tcW w:w="1538" w:type="pct"/>
          </w:tcPr>
          <w:p w14:paraId="1974D2A5" w14:textId="77777777" w:rsidR="00747647" w:rsidRPr="00F14E72" w:rsidRDefault="00747647" w:rsidP="00184CC7">
            <w:pPr>
              <w:spacing w:after="0" w:line="240" w:lineRule="auto"/>
              <w:ind w:right="327"/>
              <w:jc w:val="right"/>
              <w:rPr>
                <w:rFonts w:eastAsia="Times New Roman" w:cs="Times New Roman"/>
                <w:color w:val="0000FF"/>
                <w:sz w:val="20"/>
                <w:szCs w:val="20"/>
              </w:rPr>
            </w:pPr>
            <w:r w:rsidRPr="00F14E72">
              <w:rPr>
                <w:rFonts w:eastAsia="Times New Roman" w:cs="Times New Roman"/>
                <w:color w:val="0000FF"/>
                <w:sz w:val="20"/>
                <w:szCs w:val="20"/>
              </w:rPr>
              <w:t>29,981</w:t>
            </w:r>
          </w:p>
        </w:tc>
        <w:tc>
          <w:tcPr>
            <w:tcW w:w="1498" w:type="pct"/>
          </w:tcPr>
          <w:p w14:paraId="31C1B34C" w14:textId="38151069" w:rsidR="00747647" w:rsidRPr="00F14E72" w:rsidRDefault="00B24618" w:rsidP="00184CC7">
            <w:pPr>
              <w:spacing w:after="0" w:line="240" w:lineRule="auto"/>
              <w:ind w:right="327"/>
              <w:jc w:val="right"/>
              <w:rPr>
                <w:rFonts w:eastAsia="Times New Roman" w:cs="Times New Roman"/>
                <w:color w:val="0000FF"/>
                <w:sz w:val="20"/>
                <w:szCs w:val="20"/>
              </w:rPr>
            </w:pPr>
            <w:r w:rsidRPr="00F14E72">
              <w:rPr>
                <w:rFonts w:eastAsia="Times New Roman" w:cs="Times New Roman"/>
                <w:color w:val="0000FF"/>
                <w:sz w:val="20"/>
                <w:szCs w:val="20"/>
              </w:rPr>
              <w:t>9.1%</w:t>
            </w:r>
          </w:p>
        </w:tc>
        <w:tc>
          <w:tcPr>
            <w:tcW w:w="617" w:type="pct"/>
          </w:tcPr>
          <w:p w14:paraId="6F083CA7" w14:textId="77777777" w:rsidR="00747647" w:rsidRPr="00F14E72" w:rsidRDefault="00747647" w:rsidP="00184CC7">
            <w:pPr>
              <w:spacing w:after="0" w:line="240" w:lineRule="auto"/>
              <w:ind w:right="327"/>
              <w:jc w:val="right"/>
              <w:rPr>
                <w:rFonts w:eastAsia="Times New Roman" w:cs="Times New Roman"/>
                <w:color w:val="0000FF"/>
                <w:sz w:val="20"/>
                <w:szCs w:val="20"/>
              </w:rPr>
            </w:pPr>
            <w:r w:rsidRPr="00F14E72">
              <w:rPr>
                <w:rFonts w:eastAsia="Times New Roman" w:cs="Times New Roman"/>
                <w:color w:val="0000FF"/>
                <w:sz w:val="20"/>
                <w:szCs w:val="20"/>
              </w:rPr>
              <w:t>&lt;0.001</w:t>
            </w:r>
          </w:p>
        </w:tc>
      </w:tr>
      <w:tr w:rsidR="00747647" w:rsidRPr="00D06803" w14:paraId="7BD4A605" w14:textId="77777777" w:rsidTr="00B24618">
        <w:tc>
          <w:tcPr>
            <w:tcW w:w="1346" w:type="pct"/>
            <w:shd w:val="clear" w:color="auto" w:fill="auto"/>
            <w:hideMark/>
          </w:tcPr>
          <w:p w14:paraId="220D2DB1" w14:textId="77777777" w:rsidR="00747647" w:rsidRPr="00F14E72" w:rsidRDefault="00747647" w:rsidP="00184CC7">
            <w:pPr>
              <w:spacing w:after="0" w:line="240" w:lineRule="auto"/>
              <w:ind w:firstLineChars="100" w:firstLine="200"/>
              <w:rPr>
                <w:rFonts w:eastAsia="Times New Roman" w:cs="Times New Roman"/>
                <w:color w:val="0000FF"/>
                <w:sz w:val="20"/>
                <w:szCs w:val="20"/>
              </w:rPr>
            </w:pPr>
            <w:r w:rsidRPr="00F14E72">
              <w:rPr>
                <w:rFonts w:eastAsia="Times New Roman" w:cs="Times New Roman"/>
                <w:color w:val="0000FF"/>
                <w:sz w:val="20"/>
                <w:szCs w:val="20"/>
              </w:rPr>
              <w:t>Female (64.89%)</w:t>
            </w:r>
          </w:p>
        </w:tc>
        <w:tc>
          <w:tcPr>
            <w:tcW w:w="1538" w:type="pct"/>
          </w:tcPr>
          <w:p w14:paraId="6E9E947F" w14:textId="77777777" w:rsidR="00747647" w:rsidRPr="00F14E72" w:rsidRDefault="00747647" w:rsidP="00184CC7">
            <w:pPr>
              <w:spacing w:after="0" w:line="240" w:lineRule="auto"/>
              <w:ind w:right="327"/>
              <w:jc w:val="right"/>
              <w:rPr>
                <w:rFonts w:eastAsia="Times New Roman" w:cs="Times New Roman"/>
                <w:color w:val="0000FF"/>
                <w:sz w:val="20"/>
                <w:szCs w:val="20"/>
              </w:rPr>
            </w:pPr>
            <w:r w:rsidRPr="00F14E72">
              <w:rPr>
                <w:rFonts w:eastAsia="Times New Roman" w:cs="Times New Roman"/>
                <w:color w:val="0000FF"/>
                <w:sz w:val="20"/>
                <w:szCs w:val="20"/>
              </w:rPr>
              <w:t>59,858</w:t>
            </w:r>
          </w:p>
        </w:tc>
        <w:tc>
          <w:tcPr>
            <w:tcW w:w="1498" w:type="pct"/>
          </w:tcPr>
          <w:p w14:paraId="54B3CAFD" w14:textId="75D764C9" w:rsidR="00747647" w:rsidRPr="00F14E72" w:rsidRDefault="00B24618" w:rsidP="00184CC7">
            <w:pPr>
              <w:spacing w:after="0" w:line="240" w:lineRule="auto"/>
              <w:ind w:right="327"/>
              <w:jc w:val="right"/>
              <w:rPr>
                <w:rFonts w:eastAsia="Times New Roman" w:cs="Times New Roman"/>
                <w:color w:val="0000FF"/>
                <w:sz w:val="20"/>
                <w:szCs w:val="20"/>
              </w:rPr>
            </w:pPr>
            <w:r w:rsidRPr="00F14E72">
              <w:rPr>
                <w:rFonts w:eastAsia="Times New Roman" w:cs="Times New Roman"/>
                <w:color w:val="0000FF"/>
                <w:sz w:val="20"/>
                <w:szCs w:val="20"/>
              </w:rPr>
              <w:t>11.6%</w:t>
            </w:r>
          </w:p>
        </w:tc>
        <w:tc>
          <w:tcPr>
            <w:tcW w:w="617" w:type="pct"/>
          </w:tcPr>
          <w:p w14:paraId="107F39AF" w14:textId="77777777" w:rsidR="00747647" w:rsidRPr="00F14E72" w:rsidRDefault="00747647" w:rsidP="00184CC7">
            <w:pPr>
              <w:spacing w:after="0" w:line="240" w:lineRule="auto"/>
              <w:ind w:right="327"/>
              <w:jc w:val="right"/>
              <w:rPr>
                <w:rFonts w:eastAsia="Times New Roman" w:cs="Times New Roman"/>
                <w:color w:val="0000FF"/>
                <w:sz w:val="20"/>
                <w:szCs w:val="20"/>
              </w:rPr>
            </w:pPr>
          </w:p>
        </w:tc>
      </w:tr>
      <w:tr w:rsidR="00747647" w:rsidRPr="00D06803" w14:paraId="1A85B149" w14:textId="77777777" w:rsidTr="00B24618">
        <w:tc>
          <w:tcPr>
            <w:tcW w:w="1346" w:type="pct"/>
            <w:shd w:val="clear" w:color="auto" w:fill="auto"/>
            <w:hideMark/>
          </w:tcPr>
          <w:p w14:paraId="27F1F78B" w14:textId="77777777" w:rsidR="00747647" w:rsidRPr="00F14E72" w:rsidRDefault="00747647" w:rsidP="00184CC7">
            <w:pPr>
              <w:spacing w:after="0" w:line="240" w:lineRule="auto"/>
              <w:rPr>
                <w:rFonts w:eastAsia="Times New Roman" w:cs="Times New Roman"/>
                <w:color w:val="0000FF"/>
                <w:sz w:val="20"/>
                <w:szCs w:val="20"/>
              </w:rPr>
            </w:pPr>
            <w:r w:rsidRPr="00F14E72">
              <w:rPr>
                <w:rFonts w:eastAsia="Times New Roman" w:cs="Times New Roman"/>
                <w:color w:val="0000FF"/>
                <w:sz w:val="20"/>
                <w:szCs w:val="20"/>
              </w:rPr>
              <w:t>Marital Status</w:t>
            </w:r>
          </w:p>
        </w:tc>
        <w:tc>
          <w:tcPr>
            <w:tcW w:w="1538" w:type="pct"/>
          </w:tcPr>
          <w:p w14:paraId="08B24E5D" w14:textId="77777777" w:rsidR="00747647" w:rsidRPr="00F14E72" w:rsidRDefault="00747647" w:rsidP="00184CC7">
            <w:pPr>
              <w:spacing w:after="0" w:line="240" w:lineRule="auto"/>
              <w:ind w:right="327"/>
              <w:jc w:val="right"/>
              <w:rPr>
                <w:rFonts w:eastAsia="Times New Roman" w:cs="Times New Roman"/>
                <w:color w:val="0000FF"/>
                <w:sz w:val="20"/>
                <w:szCs w:val="20"/>
              </w:rPr>
            </w:pPr>
          </w:p>
        </w:tc>
        <w:tc>
          <w:tcPr>
            <w:tcW w:w="1498" w:type="pct"/>
          </w:tcPr>
          <w:p w14:paraId="3B750879" w14:textId="77777777" w:rsidR="00747647" w:rsidRPr="00F14E72" w:rsidRDefault="00747647" w:rsidP="00184CC7">
            <w:pPr>
              <w:spacing w:after="0" w:line="240" w:lineRule="auto"/>
              <w:ind w:right="327"/>
              <w:jc w:val="right"/>
              <w:rPr>
                <w:rFonts w:eastAsia="Times New Roman" w:cs="Times New Roman"/>
                <w:color w:val="0000FF"/>
                <w:sz w:val="20"/>
                <w:szCs w:val="20"/>
              </w:rPr>
            </w:pPr>
          </w:p>
        </w:tc>
        <w:tc>
          <w:tcPr>
            <w:tcW w:w="617" w:type="pct"/>
          </w:tcPr>
          <w:p w14:paraId="13D2D6C3" w14:textId="77777777" w:rsidR="00747647" w:rsidRPr="00F14E72" w:rsidRDefault="00747647" w:rsidP="00184CC7">
            <w:pPr>
              <w:spacing w:after="0" w:line="240" w:lineRule="auto"/>
              <w:ind w:right="327"/>
              <w:jc w:val="right"/>
              <w:rPr>
                <w:rFonts w:eastAsia="Times New Roman" w:cs="Times New Roman"/>
                <w:color w:val="0000FF"/>
                <w:sz w:val="20"/>
                <w:szCs w:val="20"/>
              </w:rPr>
            </w:pPr>
          </w:p>
        </w:tc>
      </w:tr>
      <w:tr w:rsidR="00747647" w:rsidRPr="00D06803" w14:paraId="35626C4B" w14:textId="77777777" w:rsidTr="00B24618">
        <w:tc>
          <w:tcPr>
            <w:tcW w:w="1346" w:type="pct"/>
            <w:shd w:val="clear" w:color="auto" w:fill="auto"/>
            <w:hideMark/>
          </w:tcPr>
          <w:p w14:paraId="15EF0B13" w14:textId="77777777" w:rsidR="00747647" w:rsidRPr="00F14E72" w:rsidRDefault="00747647" w:rsidP="00184CC7">
            <w:pPr>
              <w:spacing w:after="0" w:line="240" w:lineRule="auto"/>
              <w:ind w:firstLineChars="100" w:firstLine="200"/>
              <w:rPr>
                <w:rFonts w:eastAsia="Times New Roman" w:cs="Times New Roman"/>
                <w:color w:val="0000FF"/>
                <w:sz w:val="20"/>
                <w:szCs w:val="20"/>
              </w:rPr>
            </w:pPr>
            <w:r w:rsidRPr="00F14E72">
              <w:rPr>
                <w:rFonts w:eastAsia="Times New Roman" w:cs="Times New Roman"/>
                <w:color w:val="0000FF"/>
                <w:sz w:val="20"/>
                <w:szCs w:val="20"/>
              </w:rPr>
              <w:t>Not married (65.2%)</w:t>
            </w:r>
          </w:p>
        </w:tc>
        <w:tc>
          <w:tcPr>
            <w:tcW w:w="1538" w:type="pct"/>
          </w:tcPr>
          <w:p w14:paraId="0E888B4E" w14:textId="77777777" w:rsidR="00747647" w:rsidRPr="00F14E72" w:rsidRDefault="00747647" w:rsidP="00184CC7">
            <w:pPr>
              <w:spacing w:after="0" w:line="240" w:lineRule="auto"/>
              <w:ind w:right="327"/>
              <w:jc w:val="right"/>
              <w:rPr>
                <w:rFonts w:eastAsia="Times New Roman" w:cs="Times New Roman"/>
                <w:color w:val="0000FF"/>
                <w:sz w:val="20"/>
                <w:szCs w:val="20"/>
              </w:rPr>
            </w:pPr>
            <w:r w:rsidRPr="00F14E72">
              <w:rPr>
                <w:rFonts w:eastAsia="Times New Roman" w:cs="Times New Roman"/>
                <w:color w:val="0000FF"/>
                <w:sz w:val="20"/>
                <w:szCs w:val="20"/>
              </w:rPr>
              <w:t>56,232</w:t>
            </w:r>
          </w:p>
        </w:tc>
        <w:tc>
          <w:tcPr>
            <w:tcW w:w="1498" w:type="pct"/>
          </w:tcPr>
          <w:p w14:paraId="2754FA0B" w14:textId="59A02816" w:rsidR="00747647" w:rsidRPr="00F14E72" w:rsidRDefault="00747647" w:rsidP="00184CC7">
            <w:pPr>
              <w:spacing w:after="0" w:line="240" w:lineRule="auto"/>
              <w:ind w:right="327"/>
              <w:jc w:val="right"/>
              <w:rPr>
                <w:rFonts w:eastAsia="Times New Roman" w:cs="Times New Roman"/>
                <w:color w:val="0000FF"/>
                <w:sz w:val="20"/>
                <w:szCs w:val="20"/>
              </w:rPr>
            </w:pPr>
            <w:r w:rsidRPr="00F14E72">
              <w:rPr>
                <w:rFonts w:eastAsia="Times New Roman" w:cs="Times New Roman"/>
                <w:color w:val="0000FF"/>
                <w:sz w:val="20"/>
                <w:szCs w:val="20"/>
              </w:rPr>
              <w:t>10.</w:t>
            </w:r>
            <w:r w:rsidR="00B24618" w:rsidRPr="00F14E72">
              <w:rPr>
                <w:rFonts w:eastAsia="Times New Roman" w:cs="Times New Roman"/>
                <w:color w:val="0000FF"/>
                <w:sz w:val="20"/>
                <w:szCs w:val="20"/>
              </w:rPr>
              <w:t>6%</w:t>
            </w:r>
          </w:p>
        </w:tc>
        <w:tc>
          <w:tcPr>
            <w:tcW w:w="617" w:type="pct"/>
          </w:tcPr>
          <w:p w14:paraId="02092F26" w14:textId="77777777" w:rsidR="00747647" w:rsidRPr="00F14E72" w:rsidRDefault="00747647" w:rsidP="00184CC7">
            <w:pPr>
              <w:spacing w:after="0" w:line="240" w:lineRule="auto"/>
              <w:ind w:right="327"/>
              <w:jc w:val="right"/>
              <w:rPr>
                <w:rFonts w:eastAsia="Times New Roman" w:cs="Times New Roman"/>
                <w:color w:val="0000FF"/>
                <w:sz w:val="20"/>
                <w:szCs w:val="20"/>
              </w:rPr>
            </w:pPr>
            <w:r w:rsidRPr="00F14E72">
              <w:rPr>
                <w:rFonts w:eastAsia="Times New Roman" w:cs="Times New Roman"/>
                <w:color w:val="0000FF"/>
                <w:sz w:val="20"/>
                <w:szCs w:val="20"/>
              </w:rPr>
              <w:t>0.301</w:t>
            </w:r>
          </w:p>
        </w:tc>
      </w:tr>
      <w:tr w:rsidR="00747647" w:rsidRPr="00D06803" w14:paraId="57648CE1" w14:textId="77777777" w:rsidTr="00B24618">
        <w:tc>
          <w:tcPr>
            <w:tcW w:w="1346" w:type="pct"/>
            <w:shd w:val="clear" w:color="auto" w:fill="auto"/>
            <w:hideMark/>
          </w:tcPr>
          <w:p w14:paraId="1BE14886" w14:textId="77777777" w:rsidR="00747647" w:rsidRPr="00F14E72" w:rsidRDefault="00747647" w:rsidP="00184CC7">
            <w:pPr>
              <w:spacing w:after="0" w:line="240" w:lineRule="auto"/>
              <w:ind w:firstLineChars="100" w:firstLine="200"/>
              <w:rPr>
                <w:rFonts w:eastAsia="Times New Roman" w:cs="Times New Roman"/>
                <w:color w:val="0000FF"/>
                <w:sz w:val="20"/>
                <w:szCs w:val="20"/>
              </w:rPr>
            </w:pPr>
            <w:r w:rsidRPr="00F14E72">
              <w:rPr>
                <w:rFonts w:eastAsia="Times New Roman" w:cs="Times New Roman"/>
                <w:color w:val="0000FF"/>
                <w:sz w:val="20"/>
                <w:szCs w:val="20"/>
              </w:rPr>
              <w:t>Married (34.8%)</w:t>
            </w:r>
          </w:p>
        </w:tc>
        <w:tc>
          <w:tcPr>
            <w:tcW w:w="1538" w:type="pct"/>
          </w:tcPr>
          <w:p w14:paraId="2CA80DE7" w14:textId="77777777" w:rsidR="00747647" w:rsidRPr="00F14E72" w:rsidRDefault="00747647" w:rsidP="00184CC7">
            <w:pPr>
              <w:spacing w:after="0" w:line="240" w:lineRule="auto"/>
              <w:ind w:right="327"/>
              <w:jc w:val="right"/>
              <w:rPr>
                <w:rFonts w:eastAsia="Times New Roman" w:cs="Times New Roman"/>
                <w:color w:val="0000FF"/>
                <w:sz w:val="20"/>
                <w:szCs w:val="20"/>
              </w:rPr>
            </w:pPr>
            <w:r w:rsidRPr="00F14E72">
              <w:rPr>
                <w:rFonts w:eastAsia="Times New Roman" w:cs="Times New Roman"/>
                <w:color w:val="0000FF"/>
                <w:sz w:val="20"/>
                <w:szCs w:val="20"/>
              </w:rPr>
              <w:t>29,813</w:t>
            </w:r>
          </w:p>
        </w:tc>
        <w:tc>
          <w:tcPr>
            <w:tcW w:w="1498" w:type="pct"/>
          </w:tcPr>
          <w:p w14:paraId="462A2CDC" w14:textId="3FED02A5" w:rsidR="00747647" w:rsidRPr="00F14E72" w:rsidRDefault="00B24618" w:rsidP="00184CC7">
            <w:pPr>
              <w:spacing w:after="0" w:line="240" w:lineRule="auto"/>
              <w:ind w:right="327"/>
              <w:jc w:val="right"/>
              <w:rPr>
                <w:rFonts w:eastAsia="Times New Roman" w:cs="Times New Roman"/>
                <w:color w:val="0000FF"/>
                <w:sz w:val="20"/>
                <w:szCs w:val="20"/>
              </w:rPr>
            </w:pPr>
            <w:r w:rsidRPr="00F14E72">
              <w:rPr>
                <w:rFonts w:eastAsia="Times New Roman" w:cs="Times New Roman"/>
                <w:color w:val="0000FF"/>
                <w:sz w:val="20"/>
                <w:szCs w:val="20"/>
              </w:rPr>
              <w:t>10.5%</w:t>
            </w:r>
          </w:p>
        </w:tc>
        <w:tc>
          <w:tcPr>
            <w:tcW w:w="617" w:type="pct"/>
          </w:tcPr>
          <w:p w14:paraId="5B07DADF" w14:textId="77777777" w:rsidR="00747647" w:rsidRPr="00F14E72" w:rsidRDefault="00747647" w:rsidP="00184CC7">
            <w:pPr>
              <w:spacing w:after="0" w:line="240" w:lineRule="auto"/>
              <w:ind w:right="327"/>
              <w:jc w:val="right"/>
              <w:rPr>
                <w:rFonts w:eastAsia="Times New Roman" w:cs="Times New Roman"/>
                <w:color w:val="0000FF"/>
                <w:sz w:val="20"/>
                <w:szCs w:val="20"/>
              </w:rPr>
            </w:pPr>
          </w:p>
        </w:tc>
      </w:tr>
      <w:tr w:rsidR="00747647" w:rsidRPr="00D06803" w14:paraId="5442EB64" w14:textId="77777777" w:rsidTr="00B24618">
        <w:tc>
          <w:tcPr>
            <w:tcW w:w="1346" w:type="pct"/>
            <w:shd w:val="clear" w:color="auto" w:fill="auto"/>
            <w:hideMark/>
          </w:tcPr>
          <w:p w14:paraId="477D74D8" w14:textId="77777777" w:rsidR="00747647" w:rsidRPr="00F14E72" w:rsidRDefault="00747647" w:rsidP="00184CC7">
            <w:pPr>
              <w:spacing w:after="0" w:line="240" w:lineRule="auto"/>
              <w:rPr>
                <w:rFonts w:eastAsia="Times New Roman" w:cs="Times New Roman"/>
                <w:color w:val="0000FF"/>
                <w:sz w:val="20"/>
                <w:szCs w:val="20"/>
              </w:rPr>
            </w:pPr>
            <w:r w:rsidRPr="00F14E72">
              <w:rPr>
                <w:rFonts w:eastAsia="Times New Roman" w:cs="Times New Roman"/>
                <w:color w:val="0000FF"/>
                <w:sz w:val="20"/>
                <w:szCs w:val="20"/>
              </w:rPr>
              <w:t>Medicaid</w:t>
            </w:r>
          </w:p>
        </w:tc>
        <w:tc>
          <w:tcPr>
            <w:tcW w:w="1538" w:type="pct"/>
          </w:tcPr>
          <w:p w14:paraId="32F86BE5" w14:textId="77777777" w:rsidR="00747647" w:rsidRPr="00F14E72" w:rsidRDefault="00747647" w:rsidP="00184CC7">
            <w:pPr>
              <w:spacing w:after="0" w:line="240" w:lineRule="auto"/>
              <w:ind w:right="327"/>
              <w:jc w:val="right"/>
              <w:rPr>
                <w:rFonts w:eastAsia="Times New Roman" w:cs="Times New Roman"/>
                <w:color w:val="0000FF"/>
                <w:sz w:val="20"/>
                <w:szCs w:val="20"/>
              </w:rPr>
            </w:pPr>
          </w:p>
        </w:tc>
        <w:tc>
          <w:tcPr>
            <w:tcW w:w="1498" w:type="pct"/>
          </w:tcPr>
          <w:p w14:paraId="7F4FF978" w14:textId="77777777" w:rsidR="00747647" w:rsidRPr="00F14E72" w:rsidRDefault="00747647" w:rsidP="00184CC7">
            <w:pPr>
              <w:spacing w:after="0" w:line="240" w:lineRule="auto"/>
              <w:ind w:right="327"/>
              <w:jc w:val="right"/>
              <w:rPr>
                <w:rFonts w:eastAsia="Times New Roman" w:cs="Times New Roman"/>
                <w:color w:val="0000FF"/>
                <w:sz w:val="20"/>
                <w:szCs w:val="20"/>
              </w:rPr>
            </w:pPr>
          </w:p>
        </w:tc>
        <w:tc>
          <w:tcPr>
            <w:tcW w:w="617" w:type="pct"/>
          </w:tcPr>
          <w:p w14:paraId="3A226329" w14:textId="77777777" w:rsidR="00747647" w:rsidRPr="00F14E72" w:rsidRDefault="00747647" w:rsidP="00184CC7">
            <w:pPr>
              <w:spacing w:after="0" w:line="240" w:lineRule="auto"/>
              <w:ind w:right="327"/>
              <w:jc w:val="right"/>
              <w:rPr>
                <w:rFonts w:eastAsia="Times New Roman" w:cs="Times New Roman"/>
                <w:color w:val="0000FF"/>
                <w:sz w:val="20"/>
                <w:szCs w:val="20"/>
              </w:rPr>
            </w:pPr>
          </w:p>
        </w:tc>
      </w:tr>
      <w:tr w:rsidR="00747647" w:rsidRPr="00D06803" w14:paraId="467D32B4" w14:textId="77777777" w:rsidTr="00B24618">
        <w:tc>
          <w:tcPr>
            <w:tcW w:w="1346" w:type="pct"/>
            <w:shd w:val="clear" w:color="auto" w:fill="auto"/>
            <w:hideMark/>
          </w:tcPr>
          <w:p w14:paraId="264D50D1" w14:textId="77777777" w:rsidR="00747647" w:rsidRPr="00F14E72" w:rsidRDefault="00747647" w:rsidP="00184CC7">
            <w:pPr>
              <w:spacing w:after="0" w:line="240" w:lineRule="auto"/>
              <w:ind w:firstLineChars="100" w:firstLine="200"/>
              <w:rPr>
                <w:rFonts w:eastAsia="Times New Roman" w:cs="Times New Roman"/>
                <w:color w:val="0000FF"/>
                <w:sz w:val="20"/>
                <w:szCs w:val="20"/>
              </w:rPr>
            </w:pPr>
            <w:r w:rsidRPr="00F14E72">
              <w:rPr>
                <w:rFonts w:eastAsia="Times New Roman" w:cs="Times New Roman"/>
                <w:color w:val="0000FF"/>
                <w:sz w:val="20"/>
                <w:szCs w:val="20"/>
              </w:rPr>
              <w:t>Medicaid (33.2%)</w:t>
            </w:r>
          </w:p>
        </w:tc>
        <w:tc>
          <w:tcPr>
            <w:tcW w:w="1538" w:type="pct"/>
          </w:tcPr>
          <w:p w14:paraId="7F223491" w14:textId="77777777" w:rsidR="00747647" w:rsidRPr="00F14E72" w:rsidRDefault="00747647" w:rsidP="00184CC7">
            <w:pPr>
              <w:spacing w:after="0" w:line="240" w:lineRule="auto"/>
              <w:ind w:right="327"/>
              <w:jc w:val="right"/>
              <w:rPr>
                <w:rFonts w:eastAsia="Times New Roman" w:cs="Times New Roman"/>
                <w:color w:val="0000FF"/>
                <w:sz w:val="20"/>
                <w:szCs w:val="20"/>
              </w:rPr>
            </w:pPr>
            <w:r w:rsidRPr="00F14E72">
              <w:rPr>
                <w:rFonts w:eastAsia="Times New Roman" w:cs="Times New Roman"/>
                <w:color w:val="0000FF"/>
                <w:sz w:val="20"/>
                <w:szCs w:val="20"/>
              </w:rPr>
              <w:t>23,116</w:t>
            </w:r>
          </w:p>
        </w:tc>
        <w:tc>
          <w:tcPr>
            <w:tcW w:w="1498" w:type="pct"/>
          </w:tcPr>
          <w:p w14:paraId="5E47AC4A" w14:textId="7DF8EE7A" w:rsidR="00747647" w:rsidRPr="00F14E72" w:rsidRDefault="00B24618" w:rsidP="00184CC7">
            <w:pPr>
              <w:spacing w:after="0" w:line="240" w:lineRule="auto"/>
              <w:ind w:right="327"/>
              <w:jc w:val="right"/>
              <w:rPr>
                <w:rFonts w:eastAsia="Times New Roman" w:cs="Times New Roman"/>
                <w:color w:val="0000FF"/>
                <w:sz w:val="20"/>
                <w:szCs w:val="20"/>
              </w:rPr>
            </w:pPr>
            <w:r w:rsidRPr="00F14E72">
              <w:rPr>
                <w:rFonts w:eastAsia="Times New Roman" w:cs="Times New Roman"/>
                <w:color w:val="0000FF"/>
                <w:sz w:val="20"/>
                <w:szCs w:val="20"/>
              </w:rPr>
              <w:t>12.6%</w:t>
            </w:r>
          </w:p>
        </w:tc>
        <w:tc>
          <w:tcPr>
            <w:tcW w:w="617" w:type="pct"/>
          </w:tcPr>
          <w:p w14:paraId="7EA97868" w14:textId="77777777" w:rsidR="00747647" w:rsidRPr="00F14E72" w:rsidRDefault="00747647" w:rsidP="00184CC7">
            <w:pPr>
              <w:spacing w:after="0" w:line="240" w:lineRule="auto"/>
              <w:ind w:right="327"/>
              <w:jc w:val="right"/>
              <w:rPr>
                <w:rFonts w:eastAsia="Times New Roman" w:cs="Times New Roman"/>
                <w:color w:val="0000FF"/>
                <w:sz w:val="20"/>
                <w:szCs w:val="20"/>
              </w:rPr>
            </w:pPr>
            <w:r w:rsidRPr="00F14E72">
              <w:rPr>
                <w:rFonts w:eastAsia="Times New Roman" w:cs="Times New Roman"/>
                <w:color w:val="0000FF"/>
                <w:sz w:val="20"/>
                <w:szCs w:val="20"/>
              </w:rPr>
              <w:t>&lt;0.001</w:t>
            </w:r>
          </w:p>
        </w:tc>
      </w:tr>
      <w:tr w:rsidR="00747647" w:rsidRPr="00D06803" w14:paraId="28BB9D05" w14:textId="77777777" w:rsidTr="00B24618">
        <w:tc>
          <w:tcPr>
            <w:tcW w:w="1346" w:type="pct"/>
            <w:tcBorders>
              <w:bottom w:val="single" w:sz="12" w:space="0" w:color="auto"/>
            </w:tcBorders>
            <w:shd w:val="clear" w:color="auto" w:fill="auto"/>
          </w:tcPr>
          <w:p w14:paraId="4C0F0638" w14:textId="77777777" w:rsidR="00747647" w:rsidRPr="00F14E72" w:rsidRDefault="00747647" w:rsidP="00184CC7">
            <w:pPr>
              <w:spacing w:after="0" w:line="240" w:lineRule="auto"/>
              <w:ind w:firstLine="162"/>
              <w:rPr>
                <w:rFonts w:eastAsia="Times New Roman" w:cs="Times New Roman"/>
                <w:color w:val="0000FF"/>
                <w:sz w:val="20"/>
                <w:szCs w:val="20"/>
              </w:rPr>
            </w:pPr>
            <w:r w:rsidRPr="00F14E72">
              <w:rPr>
                <w:rFonts w:eastAsia="Times New Roman" w:cs="Times New Roman"/>
                <w:color w:val="0000FF"/>
                <w:sz w:val="20"/>
                <w:szCs w:val="20"/>
              </w:rPr>
              <w:t>Non-Medicaid (66.8%)</w:t>
            </w:r>
          </w:p>
        </w:tc>
        <w:tc>
          <w:tcPr>
            <w:tcW w:w="1538" w:type="pct"/>
            <w:tcBorders>
              <w:bottom w:val="single" w:sz="12" w:space="0" w:color="auto"/>
            </w:tcBorders>
          </w:tcPr>
          <w:p w14:paraId="776E8295" w14:textId="77777777" w:rsidR="00747647" w:rsidRPr="00F14E72" w:rsidRDefault="00747647" w:rsidP="00184CC7">
            <w:pPr>
              <w:spacing w:after="0" w:line="240" w:lineRule="auto"/>
              <w:ind w:right="327"/>
              <w:jc w:val="right"/>
              <w:rPr>
                <w:rFonts w:eastAsia="Times New Roman" w:cs="Times New Roman"/>
                <w:color w:val="0000FF"/>
                <w:sz w:val="20"/>
                <w:szCs w:val="20"/>
              </w:rPr>
            </w:pPr>
            <w:r w:rsidRPr="00F14E72">
              <w:rPr>
                <w:rFonts w:eastAsia="Times New Roman" w:cs="Times New Roman"/>
                <w:color w:val="0000FF"/>
                <w:sz w:val="20"/>
                <w:szCs w:val="20"/>
              </w:rPr>
              <w:t>37,427</w:t>
            </w:r>
          </w:p>
        </w:tc>
        <w:tc>
          <w:tcPr>
            <w:tcW w:w="1498" w:type="pct"/>
            <w:tcBorders>
              <w:bottom w:val="single" w:sz="12" w:space="0" w:color="auto"/>
            </w:tcBorders>
          </w:tcPr>
          <w:p w14:paraId="65949213" w14:textId="7F32B1FC" w:rsidR="00747647" w:rsidRPr="00F14E72" w:rsidRDefault="00B24618" w:rsidP="00184CC7">
            <w:pPr>
              <w:spacing w:after="0" w:line="240" w:lineRule="auto"/>
              <w:ind w:right="327"/>
              <w:jc w:val="right"/>
              <w:rPr>
                <w:rFonts w:eastAsia="Times New Roman" w:cs="Times New Roman"/>
                <w:color w:val="0000FF"/>
                <w:sz w:val="20"/>
                <w:szCs w:val="20"/>
              </w:rPr>
            </w:pPr>
            <w:r w:rsidRPr="00F14E72">
              <w:rPr>
                <w:rFonts w:eastAsia="Times New Roman" w:cs="Times New Roman"/>
                <w:color w:val="0000FF"/>
                <w:sz w:val="20"/>
                <w:szCs w:val="20"/>
              </w:rPr>
              <w:t>10.1%</w:t>
            </w:r>
          </w:p>
        </w:tc>
        <w:tc>
          <w:tcPr>
            <w:tcW w:w="617" w:type="pct"/>
            <w:tcBorders>
              <w:bottom w:val="single" w:sz="12" w:space="0" w:color="auto"/>
            </w:tcBorders>
          </w:tcPr>
          <w:p w14:paraId="0FB4DE2A" w14:textId="77777777" w:rsidR="00747647" w:rsidRPr="00F14E72" w:rsidRDefault="00747647" w:rsidP="00184CC7">
            <w:pPr>
              <w:spacing w:after="0" w:line="240" w:lineRule="auto"/>
              <w:ind w:right="327"/>
              <w:jc w:val="right"/>
              <w:rPr>
                <w:rFonts w:eastAsia="Times New Roman" w:cs="Times New Roman"/>
                <w:color w:val="0000FF"/>
                <w:sz w:val="20"/>
                <w:szCs w:val="20"/>
              </w:rPr>
            </w:pPr>
          </w:p>
        </w:tc>
      </w:tr>
    </w:tbl>
    <w:p w14:paraId="40837F4A" w14:textId="58308EF6" w:rsidR="00747647" w:rsidRPr="00024B54" w:rsidRDefault="00747647" w:rsidP="00747647">
      <w:pPr>
        <w:autoSpaceDE w:val="0"/>
        <w:autoSpaceDN w:val="0"/>
        <w:adjustRightInd w:val="0"/>
        <w:spacing w:after="0" w:line="240" w:lineRule="auto"/>
        <w:rPr>
          <w:rFonts w:eastAsia="Times New Roman" w:cs="Times New Roman"/>
          <w:color w:val="0000FF"/>
          <w:sz w:val="20"/>
          <w:szCs w:val="20"/>
        </w:rPr>
      </w:pPr>
      <w:r w:rsidRPr="00024B54">
        <w:rPr>
          <w:rFonts w:eastAsia="Times New Roman" w:cs="Times New Roman"/>
          <w:color w:val="0000FF"/>
          <w:sz w:val="20"/>
          <w:szCs w:val="20"/>
        </w:rPr>
        <w:t>Source: RTI analysis of MDS 3.0 Data, Q</w:t>
      </w:r>
      <w:r w:rsidR="009213B3">
        <w:rPr>
          <w:rFonts w:eastAsia="Times New Roman" w:cs="Times New Roman"/>
          <w:color w:val="0000FF"/>
          <w:sz w:val="20"/>
          <w:szCs w:val="20"/>
        </w:rPr>
        <w:t xml:space="preserve">2 2017 (programming reference: </w:t>
      </w:r>
      <w:r w:rsidR="009213B3" w:rsidRPr="00024B54">
        <w:rPr>
          <w:rFonts w:eastAsia="Times New Roman" w:cs="Times New Roman"/>
          <w:color w:val="0000FF"/>
          <w:sz w:val="20"/>
          <w:szCs w:val="20"/>
        </w:rPr>
        <w:t>LJC03</w:t>
      </w:r>
      <w:r w:rsidR="009213B3">
        <w:rPr>
          <w:rFonts w:eastAsia="Times New Roman" w:cs="Times New Roman"/>
          <w:color w:val="0000FF"/>
          <w:sz w:val="20"/>
          <w:szCs w:val="20"/>
        </w:rPr>
        <w:t>_v2</w:t>
      </w:r>
      <w:r w:rsidR="009213B3" w:rsidRPr="00024B54">
        <w:rPr>
          <w:rFonts w:eastAsia="Times New Roman" w:cs="Times New Roman"/>
          <w:color w:val="0000FF"/>
          <w:sz w:val="20"/>
          <w:szCs w:val="20"/>
        </w:rPr>
        <w:t>/LJC03_re</w:t>
      </w:r>
      <w:r w:rsidR="009213B3">
        <w:rPr>
          <w:rFonts w:eastAsia="Times New Roman" w:cs="Times New Roman"/>
          <w:color w:val="0000FF"/>
          <w:sz w:val="20"/>
          <w:szCs w:val="20"/>
        </w:rPr>
        <w:t>quest</w:t>
      </w:r>
      <w:r w:rsidR="009213B3" w:rsidRPr="00024B54">
        <w:rPr>
          <w:rFonts w:eastAsia="Times New Roman" w:cs="Times New Roman"/>
          <w:color w:val="0000FF"/>
          <w:sz w:val="20"/>
          <w:szCs w:val="20"/>
        </w:rPr>
        <w:t>_676</w:t>
      </w:r>
      <w:r w:rsidR="009213B3">
        <w:rPr>
          <w:rFonts w:eastAsia="Times New Roman" w:cs="Times New Roman"/>
          <w:color w:val="0000FF"/>
          <w:sz w:val="20"/>
          <w:szCs w:val="20"/>
        </w:rPr>
        <w:t>_v2</w:t>
      </w:r>
      <w:r w:rsidR="009213B3" w:rsidRPr="00024B54">
        <w:rPr>
          <w:rFonts w:eastAsia="Times New Roman" w:cs="Times New Roman"/>
          <w:color w:val="0000FF"/>
          <w:sz w:val="20"/>
          <w:szCs w:val="20"/>
        </w:rPr>
        <w:t>.log</w:t>
      </w:r>
      <w:r w:rsidRPr="00024B54">
        <w:rPr>
          <w:rFonts w:eastAsia="Times New Roman" w:cs="Times New Roman"/>
          <w:color w:val="0000FF"/>
          <w:sz w:val="20"/>
          <w:szCs w:val="20"/>
        </w:rPr>
        <w:t>)</w:t>
      </w:r>
    </w:p>
    <w:p w14:paraId="0FB715C0" w14:textId="77777777" w:rsidR="00747647" w:rsidRPr="007B766A" w:rsidRDefault="00747647" w:rsidP="00747647">
      <w:pPr>
        <w:autoSpaceDE w:val="0"/>
        <w:autoSpaceDN w:val="0"/>
        <w:adjustRightInd w:val="0"/>
        <w:spacing w:after="0" w:line="240" w:lineRule="auto"/>
        <w:rPr>
          <w:rFonts w:ascii="Calibri" w:eastAsia="MS Mincho" w:hAnsi="Calibri" w:cs="Calibri"/>
          <w:bCs/>
          <w:color w:val="0000FF"/>
        </w:rPr>
      </w:pPr>
    </w:p>
    <w:p w14:paraId="7DCA0E62" w14:textId="77777777" w:rsidR="00747647" w:rsidRPr="007B766A" w:rsidRDefault="00747647" w:rsidP="00747647">
      <w:pPr>
        <w:autoSpaceDE w:val="0"/>
        <w:autoSpaceDN w:val="0"/>
        <w:adjustRightInd w:val="0"/>
        <w:spacing w:after="0" w:line="240" w:lineRule="auto"/>
        <w:rPr>
          <w:rFonts w:ascii="Calibri" w:eastAsia="MS Mincho" w:hAnsi="Calibri" w:cs="Calibri"/>
          <w:bCs/>
          <w:color w:val="0000FF"/>
        </w:rPr>
      </w:pPr>
      <w:r w:rsidRPr="007B766A">
        <w:rPr>
          <w:rFonts w:ascii="Calibri" w:eastAsia="MS Mincho" w:hAnsi="Calibri" w:cs="Calibri"/>
          <w:bCs/>
          <w:color w:val="0000FF"/>
        </w:rPr>
        <w:t xml:space="preserve">Next, we examined the facility-level distribution of each social risk factor (presented in </w:t>
      </w:r>
      <w:r w:rsidRPr="004E65D4">
        <w:rPr>
          <w:rFonts w:ascii="Calibri" w:eastAsia="MS Mincho" w:hAnsi="Calibri" w:cs="Calibri"/>
          <w:b/>
          <w:bCs/>
          <w:i/>
          <w:color w:val="0000FF"/>
        </w:rPr>
        <w:t>Table 6</w:t>
      </w:r>
      <w:r w:rsidRPr="007B766A">
        <w:rPr>
          <w:rFonts w:ascii="Calibri" w:eastAsia="MS Mincho" w:hAnsi="Calibri" w:cs="Calibri"/>
          <w:bCs/>
          <w:color w:val="0000FF"/>
        </w:rPr>
        <w:t>). Among the tested social risk factors, there was considerable cross-facility variation; this variation was relatively smaller in the percentage of residents who are not married.</w:t>
      </w:r>
    </w:p>
    <w:p w14:paraId="4B96C92D" w14:textId="77777777" w:rsidR="00747647" w:rsidRPr="007B766A" w:rsidRDefault="00747647" w:rsidP="00747647">
      <w:pPr>
        <w:autoSpaceDE w:val="0"/>
        <w:autoSpaceDN w:val="0"/>
        <w:adjustRightInd w:val="0"/>
        <w:spacing w:after="0" w:line="240" w:lineRule="auto"/>
        <w:rPr>
          <w:rFonts w:ascii="Calibri" w:eastAsia="MS Mincho" w:hAnsi="Calibri" w:cs="Calibri"/>
          <w:bCs/>
          <w:color w:val="0000FF"/>
        </w:rPr>
      </w:pPr>
    </w:p>
    <w:p w14:paraId="72B09BAF" w14:textId="77777777" w:rsidR="00747647" w:rsidRPr="007B766A" w:rsidRDefault="00747647" w:rsidP="00747647">
      <w:pPr>
        <w:autoSpaceDE w:val="0"/>
        <w:autoSpaceDN w:val="0"/>
        <w:adjustRightInd w:val="0"/>
        <w:spacing w:after="0" w:line="240" w:lineRule="auto"/>
        <w:rPr>
          <w:rFonts w:ascii="Calibri" w:eastAsia="MS Mincho" w:hAnsi="Calibri" w:cs="Calibri"/>
          <w:bCs/>
          <w:color w:val="0000FF"/>
        </w:rPr>
      </w:pPr>
      <w:r w:rsidRPr="007B766A">
        <w:rPr>
          <w:rFonts w:ascii="Calibri" w:eastAsia="MS Mincho" w:hAnsi="Calibri" w:cs="Calibri"/>
          <w:bCs/>
          <w:color w:val="0000FF"/>
        </w:rPr>
        <w:t>In addition, we used the facility-level distributions to assess whether each social risk factor may be appropriate to include in risk adjustment models.  It may not be appropriate to risk adjust for social risk factors that:</w:t>
      </w:r>
    </w:p>
    <w:p w14:paraId="7C518EB1" w14:textId="77777777" w:rsidR="00747647" w:rsidRPr="009A1FF7" w:rsidRDefault="00747647" w:rsidP="00747647">
      <w:pPr>
        <w:pStyle w:val="ListParagraph"/>
        <w:numPr>
          <w:ilvl w:val="0"/>
          <w:numId w:val="14"/>
        </w:numPr>
        <w:autoSpaceDE w:val="0"/>
        <w:autoSpaceDN w:val="0"/>
        <w:adjustRightInd w:val="0"/>
        <w:spacing w:before="240" w:after="0" w:line="240" w:lineRule="auto"/>
        <w:rPr>
          <w:color w:val="0000FF"/>
        </w:rPr>
      </w:pPr>
      <w:r w:rsidRPr="009A1FF7">
        <w:rPr>
          <w:color w:val="0000FF"/>
        </w:rPr>
        <w:t>Have either a very high or very low prevalence</w:t>
      </w:r>
    </w:p>
    <w:p w14:paraId="5FDC21E5" w14:textId="77777777" w:rsidR="00747647" w:rsidRPr="009A1FF7" w:rsidRDefault="00747647" w:rsidP="00747647">
      <w:pPr>
        <w:pStyle w:val="ListParagraph"/>
        <w:numPr>
          <w:ilvl w:val="0"/>
          <w:numId w:val="14"/>
        </w:numPr>
        <w:autoSpaceDE w:val="0"/>
        <w:autoSpaceDN w:val="0"/>
        <w:adjustRightInd w:val="0"/>
        <w:spacing w:before="240" w:after="0" w:line="240" w:lineRule="auto"/>
        <w:rPr>
          <w:color w:val="0000FF"/>
        </w:rPr>
      </w:pPr>
      <w:r w:rsidRPr="009A1FF7">
        <w:rPr>
          <w:color w:val="0000FF"/>
        </w:rPr>
        <w:t xml:space="preserve">Are evenly distributed across facilities (i.e., they did not cluster in some facilities) </w:t>
      </w:r>
    </w:p>
    <w:p w14:paraId="1B0D494D" w14:textId="77777777" w:rsidR="00747647" w:rsidRPr="007B766A" w:rsidRDefault="00747647" w:rsidP="00747647">
      <w:pPr>
        <w:autoSpaceDE w:val="0"/>
        <w:autoSpaceDN w:val="0"/>
        <w:adjustRightInd w:val="0"/>
        <w:spacing w:after="0" w:line="240" w:lineRule="auto"/>
        <w:rPr>
          <w:rFonts w:ascii="Calibri" w:eastAsia="MS Mincho" w:hAnsi="Calibri" w:cs="Calibri"/>
          <w:bCs/>
          <w:color w:val="0000FF"/>
        </w:rPr>
      </w:pPr>
    </w:p>
    <w:p w14:paraId="67C1D328" w14:textId="167AB5BF" w:rsidR="00747647" w:rsidRDefault="00747647" w:rsidP="00747647">
      <w:pPr>
        <w:autoSpaceDE w:val="0"/>
        <w:autoSpaceDN w:val="0"/>
        <w:adjustRightInd w:val="0"/>
        <w:spacing w:after="0" w:line="240" w:lineRule="auto"/>
        <w:rPr>
          <w:rFonts w:ascii="Calibri" w:eastAsia="MS Mincho" w:hAnsi="Calibri" w:cs="Calibri"/>
          <w:bCs/>
          <w:color w:val="0000FF"/>
        </w:rPr>
      </w:pPr>
      <w:r>
        <w:rPr>
          <w:rFonts w:ascii="Calibri" w:eastAsia="MS Mincho" w:hAnsi="Calibri" w:cs="Calibri"/>
          <w:bCs/>
          <w:color w:val="0000FF"/>
        </w:rPr>
        <w:t xml:space="preserve">The facility-level means of residents who are Medicaid-eligible, male, age 85 or older, and not married are 51.8%, 40.0%, 30.7%, and 66.0%, respectively.  </w:t>
      </w:r>
      <w:r w:rsidR="003258DB">
        <w:rPr>
          <w:rFonts w:ascii="Calibri" w:eastAsia="MS Mincho" w:hAnsi="Calibri" w:cs="Calibri"/>
          <w:bCs/>
          <w:color w:val="0000FF"/>
        </w:rPr>
        <w:t xml:space="preserve"> </w:t>
      </w:r>
    </w:p>
    <w:p w14:paraId="654E7319" w14:textId="77777777" w:rsidR="009A1FF7" w:rsidRPr="009A1FF7" w:rsidRDefault="009A1FF7" w:rsidP="00747647">
      <w:pPr>
        <w:autoSpaceDE w:val="0"/>
        <w:autoSpaceDN w:val="0"/>
        <w:adjustRightInd w:val="0"/>
        <w:spacing w:after="0" w:line="240" w:lineRule="auto"/>
        <w:rPr>
          <w:rFonts w:ascii="Calibri" w:eastAsia="MS Mincho" w:hAnsi="Calibri" w:cs="Calibri"/>
          <w:bCs/>
          <w:color w:val="0000FF"/>
        </w:rPr>
      </w:pPr>
    </w:p>
    <w:p w14:paraId="11CE8A9D" w14:textId="77777777" w:rsidR="00747647" w:rsidRPr="009A1FF7" w:rsidRDefault="00747647" w:rsidP="00747647">
      <w:pPr>
        <w:pStyle w:val="ListParagraph"/>
        <w:ind w:left="765"/>
        <w:rPr>
          <w:b/>
          <w:color w:val="0000FF"/>
        </w:rPr>
      </w:pPr>
      <w:r w:rsidRPr="009A1FF7">
        <w:rPr>
          <w:rFonts w:eastAsia="Times New Roman" w:cs="Times New Roman"/>
          <w:b/>
          <w:color w:val="0000FF"/>
        </w:rPr>
        <w:t>Table 6. Distribution of Percentage of Residents with Select Resident Characteristics Across Facilities</w:t>
      </w:r>
      <w:r w:rsidRPr="009A1FF7">
        <w:rPr>
          <w:b/>
          <w:color w:val="0000FF"/>
        </w:rPr>
        <w:t xml:space="preserve"> </w:t>
      </w:r>
    </w:p>
    <w:tbl>
      <w:tblPr>
        <w:tblStyle w:val="CMSTable"/>
        <w:tblW w:w="4970" w:type="pct"/>
        <w:tblLook w:val="05E0" w:firstRow="1" w:lastRow="1" w:firstColumn="1" w:lastColumn="1" w:noHBand="0" w:noVBand="1"/>
      </w:tblPr>
      <w:tblGrid>
        <w:gridCol w:w="1743"/>
        <w:gridCol w:w="792"/>
        <w:gridCol w:w="835"/>
        <w:gridCol w:w="648"/>
        <w:gridCol w:w="1058"/>
        <w:gridCol w:w="1058"/>
        <w:gridCol w:w="1058"/>
        <w:gridCol w:w="1058"/>
        <w:gridCol w:w="1054"/>
      </w:tblGrid>
      <w:tr w:rsidR="00747647" w:rsidRPr="00D06803" w14:paraId="2EBDBCAB" w14:textId="77777777" w:rsidTr="00184CC7">
        <w:trPr>
          <w:cnfStyle w:val="100000000000" w:firstRow="1" w:lastRow="0" w:firstColumn="0" w:lastColumn="0" w:oddVBand="0" w:evenVBand="0" w:oddHBand="0" w:evenHBand="0" w:firstRowFirstColumn="0" w:firstRowLastColumn="0" w:lastRowFirstColumn="0" w:lastRowLastColumn="0"/>
          <w:trHeight w:val="648"/>
        </w:trPr>
        <w:tc>
          <w:tcPr>
            <w:tcW w:w="938" w:type="pct"/>
          </w:tcPr>
          <w:p w14:paraId="3BA85DC9" w14:textId="77777777" w:rsidR="00747647" w:rsidRPr="00F14E72" w:rsidRDefault="00747647" w:rsidP="00184CC7">
            <w:pPr>
              <w:keepNext/>
              <w:spacing w:before="40" w:after="40"/>
              <w:rPr>
                <w:iCs/>
                <w:snapToGrid w:val="0"/>
                <w:color w:val="0000FF"/>
              </w:rPr>
            </w:pPr>
            <w:r w:rsidRPr="00D06803">
              <w:rPr>
                <w:iCs/>
                <w:snapToGrid w:val="0"/>
                <w:color w:val="0000FF"/>
              </w:rPr>
              <w:t>Resident characteristics</w:t>
            </w:r>
          </w:p>
        </w:tc>
        <w:tc>
          <w:tcPr>
            <w:tcW w:w="426" w:type="pct"/>
          </w:tcPr>
          <w:p w14:paraId="4522BD10" w14:textId="77777777" w:rsidR="00747647" w:rsidRPr="00F14E72" w:rsidRDefault="00747647" w:rsidP="00184CC7">
            <w:pPr>
              <w:keepNext/>
              <w:spacing w:before="40" w:after="40"/>
              <w:rPr>
                <w:i/>
                <w:iCs/>
                <w:snapToGrid w:val="0"/>
                <w:color w:val="0000FF"/>
              </w:rPr>
            </w:pPr>
            <w:r w:rsidRPr="00D06803">
              <w:rPr>
                <w:iCs/>
                <w:snapToGrid w:val="0"/>
                <w:color w:val="0000FF"/>
              </w:rPr>
              <w:t>Facilities (</w:t>
            </w:r>
            <w:r w:rsidRPr="00D06803">
              <w:rPr>
                <w:i/>
                <w:iCs/>
                <w:snapToGrid w:val="0"/>
                <w:color w:val="0000FF"/>
              </w:rPr>
              <w:t>k)</w:t>
            </w:r>
          </w:p>
        </w:tc>
        <w:tc>
          <w:tcPr>
            <w:tcW w:w="444" w:type="pct"/>
          </w:tcPr>
          <w:p w14:paraId="60BBEEDE" w14:textId="77777777" w:rsidR="00747647" w:rsidRPr="00F14E72" w:rsidRDefault="00747647" w:rsidP="00184CC7">
            <w:pPr>
              <w:keepNext/>
              <w:spacing w:before="40" w:after="40"/>
              <w:rPr>
                <w:snapToGrid w:val="0"/>
                <w:color w:val="0000FF"/>
              </w:rPr>
            </w:pPr>
            <w:r w:rsidRPr="00D06803">
              <w:rPr>
                <w:snapToGrid w:val="0"/>
                <w:color w:val="0000FF"/>
              </w:rPr>
              <w:t>Mean % of residents</w:t>
            </w:r>
          </w:p>
        </w:tc>
        <w:tc>
          <w:tcPr>
            <w:tcW w:w="349" w:type="pct"/>
          </w:tcPr>
          <w:p w14:paraId="24C7B59C" w14:textId="77777777" w:rsidR="00747647" w:rsidRPr="00F14E72" w:rsidRDefault="00747647" w:rsidP="00184CC7">
            <w:pPr>
              <w:keepNext/>
              <w:spacing w:before="40" w:after="40"/>
              <w:rPr>
                <w:snapToGrid w:val="0"/>
                <w:color w:val="0000FF"/>
              </w:rPr>
            </w:pPr>
            <w:proofErr w:type="spellStart"/>
            <w:r w:rsidRPr="00D06803">
              <w:rPr>
                <w:snapToGrid w:val="0"/>
                <w:color w:val="0000FF"/>
              </w:rPr>
              <w:t>Std</w:t>
            </w:r>
            <w:proofErr w:type="spellEnd"/>
            <w:r w:rsidRPr="00D06803">
              <w:rPr>
                <w:snapToGrid w:val="0"/>
                <w:color w:val="0000FF"/>
              </w:rPr>
              <w:t xml:space="preserve"> dev.</w:t>
            </w:r>
          </w:p>
        </w:tc>
        <w:tc>
          <w:tcPr>
            <w:tcW w:w="569" w:type="pct"/>
          </w:tcPr>
          <w:p w14:paraId="1C8ED7EC" w14:textId="77777777" w:rsidR="00747647" w:rsidRPr="00F14E72" w:rsidRDefault="00747647" w:rsidP="00184CC7">
            <w:pPr>
              <w:keepNext/>
              <w:spacing w:before="40" w:after="40"/>
              <w:rPr>
                <w:snapToGrid w:val="0"/>
                <w:color w:val="0000FF"/>
              </w:rPr>
            </w:pPr>
            <w:r w:rsidRPr="00D06803">
              <w:rPr>
                <w:snapToGrid w:val="0"/>
                <w:color w:val="0000FF"/>
              </w:rPr>
              <w:t xml:space="preserve">10th </w:t>
            </w:r>
            <w:r w:rsidRPr="00D06803">
              <w:rPr>
                <w:snapToGrid w:val="0"/>
                <w:color w:val="0000FF"/>
              </w:rPr>
              <w:br/>
              <w:t>percentile</w:t>
            </w:r>
          </w:p>
        </w:tc>
        <w:tc>
          <w:tcPr>
            <w:tcW w:w="569" w:type="pct"/>
          </w:tcPr>
          <w:p w14:paraId="2EFE3FB1" w14:textId="77777777" w:rsidR="00747647" w:rsidRPr="00F14E72" w:rsidRDefault="00747647" w:rsidP="00184CC7">
            <w:pPr>
              <w:keepNext/>
              <w:spacing w:before="40" w:after="40"/>
              <w:rPr>
                <w:snapToGrid w:val="0"/>
                <w:color w:val="0000FF"/>
              </w:rPr>
            </w:pPr>
            <w:r w:rsidRPr="00D06803">
              <w:rPr>
                <w:snapToGrid w:val="0"/>
                <w:color w:val="0000FF"/>
              </w:rPr>
              <w:t xml:space="preserve">25th </w:t>
            </w:r>
            <w:r w:rsidRPr="00D06803">
              <w:rPr>
                <w:snapToGrid w:val="0"/>
                <w:color w:val="0000FF"/>
              </w:rPr>
              <w:br/>
              <w:t>percentile</w:t>
            </w:r>
          </w:p>
        </w:tc>
        <w:tc>
          <w:tcPr>
            <w:tcW w:w="569" w:type="pct"/>
          </w:tcPr>
          <w:p w14:paraId="6ADE43A9" w14:textId="77777777" w:rsidR="00747647" w:rsidRPr="00F14E72" w:rsidRDefault="00747647" w:rsidP="00184CC7">
            <w:pPr>
              <w:keepNext/>
              <w:spacing w:before="40" w:after="40"/>
              <w:rPr>
                <w:snapToGrid w:val="0"/>
                <w:color w:val="0000FF"/>
              </w:rPr>
            </w:pPr>
            <w:r w:rsidRPr="00D06803">
              <w:rPr>
                <w:snapToGrid w:val="0"/>
                <w:color w:val="0000FF"/>
              </w:rPr>
              <w:t xml:space="preserve">50th </w:t>
            </w:r>
            <w:r w:rsidRPr="00D06803">
              <w:rPr>
                <w:snapToGrid w:val="0"/>
                <w:color w:val="0000FF"/>
              </w:rPr>
              <w:br/>
              <w:t>percentile</w:t>
            </w:r>
          </w:p>
        </w:tc>
        <w:tc>
          <w:tcPr>
            <w:tcW w:w="569" w:type="pct"/>
          </w:tcPr>
          <w:p w14:paraId="6BD6ACD8" w14:textId="77777777" w:rsidR="00747647" w:rsidRPr="00F14E72" w:rsidRDefault="00747647" w:rsidP="00184CC7">
            <w:pPr>
              <w:keepNext/>
              <w:spacing w:before="40" w:after="40"/>
              <w:rPr>
                <w:snapToGrid w:val="0"/>
                <w:color w:val="0000FF"/>
              </w:rPr>
            </w:pPr>
            <w:r w:rsidRPr="00D06803">
              <w:rPr>
                <w:snapToGrid w:val="0"/>
                <w:color w:val="0000FF"/>
              </w:rPr>
              <w:t xml:space="preserve">75th </w:t>
            </w:r>
            <w:r w:rsidRPr="00D06803">
              <w:rPr>
                <w:snapToGrid w:val="0"/>
                <w:color w:val="0000FF"/>
              </w:rPr>
              <w:br/>
              <w:t>percentile</w:t>
            </w:r>
          </w:p>
        </w:tc>
        <w:tc>
          <w:tcPr>
            <w:tcW w:w="567" w:type="pct"/>
          </w:tcPr>
          <w:p w14:paraId="25B1BD73" w14:textId="77777777" w:rsidR="00747647" w:rsidRPr="00F14E72" w:rsidRDefault="00747647" w:rsidP="00184CC7">
            <w:pPr>
              <w:keepNext/>
              <w:spacing w:before="40" w:after="40"/>
              <w:rPr>
                <w:snapToGrid w:val="0"/>
                <w:color w:val="0000FF"/>
              </w:rPr>
            </w:pPr>
            <w:r w:rsidRPr="00D06803">
              <w:rPr>
                <w:snapToGrid w:val="0"/>
                <w:color w:val="0000FF"/>
              </w:rPr>
              <w:t xml:space="preserve">90th </w:t>
            </w:r>
            <w:r w:rsidRPr="00D06803">
              <w:rPr>
                <w:snapToGrid w:val="0"/>
                <w:color w:val="0000FF"/>
              </w:rPr>
              <w:br/>
              <w:t>percentile</w:t>
            </w:r>
          </w:p>
        </w:tc>
      </w:tr>
      <w:tr w:rsidR="00747647" w:rsidRPr="00D06803" w14:paraId="48FF697B" w14:textId="77777777" w:rsidTr="00184CC7">
        <w:trPr>
          <w:trHeight w:val="242"/>
        </w:trPr>
        <w:tc>
          <w:tcPr>
            <w:tcW w:w="938" w:type="pct"/>
          </w:tcPr>
          <w:p w14:paraId="3FFBC86F" w14:textId="77777777" w:rsidR="00747647" w:rsidRPr="00F14E72" w:rsidRDefault="00747647" w:rsidP="00184CC7">
            <w:pPr>
              <w:pStyle w:val="TableText-cent"/>
              <w:jc w:val="left"/>
              <w:rPr>
                <w:color w:val="0000FF"/>
              </w:rPr>
            </w:pPr>
            <w:r w:rsidRPr="00F14E72">
              <w:rPr>
                <w:color w:val="0000FF"/>
              </w:rPr>
              <w:t>Age ≥ 85</w:t>
            </w:r>
          </w:p>
        </w:tc>
        <w:tc>
          <w:tcPr>
            <w:tcW w:w="426" w:type="pct"/>
          </w:tcPr>
          <w:p w14:paraId="39451BC6" w14:textId="77777777" w:rsidR="00747647" w:rsidRPr="00F14E72" w:rsidRDefault="00747647" w:rsidP="00184CC7">
            <w:pPr>
              <w:pStyle w:val="TableText-cent"/>
              <w:rPr>
                <w:color w:val="0000FF"/>
              </w:rPr>
            </w:pPr>
            <w:r w:rsidRPr="00F14E72">
              <w:rPr>
                <w:color w:val="0000FF"/>
              </w:rPr>
              <w:t>10,235</w:t>
            </w:r>
          </w:p>
        </w:tc>
        <w:tc>
          <w:tcPr>
            <w:tcW w:w="444" w:type="pct"/>
          </w:tcPr>
          <w:p w14:paraId="2B473F6A" w14:textId="77777777" w:rsidR="00747647" w:rsidRPr="00F14E72" w:rsidRDefault="00747647" w:rsidP="00184CC7">
            <w:pPr>
              <w:pStyle w:val="TableText-cent"/>
              <w:rPr>
                <w:color w:val="0000FF"/>
              </w:rPr>
            </w:pPr>
            <w:r w:rsidRPr="00F14E72">
              <w:rPr>
                <w:color w:val="0000FF"/>
              </w:rPr>
              <w:t>30.7</w:t>
            </w:r>
          </w:p>
        </w:tc>
        <w:tc>
          <w:tcPr>
            <w:tcW w:w="349" w:type="pct"/>
          </w:tcPr>
          <w:p w14:paraId="6758A018" w14:textId="77777777" w:rsidR="00747647" w:rsidRPr="00F14E72" w:rsidRDefault="00747647" w:rsidP="00184CC7">
            <w:pPr>
              <w:pStyle w:val="TableText-cent"/>
              <w:rPr>
                <w:color w:val="0000FF"/>
              </w:rPr>
            </w:pPr>
            <w:r w:rsidRPr="00F14E72">
              <w:rPr>
                <w:color w:val="0000FF"/>
              </w:rPr>
              <w:t>14.0</w:t>
            </w:r>
          </w:p>
        </w:tc>
        <w:tc>
          <w:tcPr>
            <w:tcW w:w="569" w:type="pct"/>
          </w:tcPr>
          <w:p w14:paraId="4E02A9B6" w14:textId="77777777" w:rsidR="00747647" w:rsidRPr="00F14E72" w:rsidRDefault="00747647" w:rsidP="00184CC7">
            <w:pPr>
              <w:pStyle w:val="TableText-cent"/>
              <w:rPr>
                <w:color w:val="0000FF"/>
              </w:rPr>
            </w:pPr>
            <w:r w:rsidRPr="00F14E72">
              <w:rPr>
                <w:color w:val="0000FF"/>
              </w:rPr>
              <w:t>13.3</w:t>
            </w:r>
          </w:p>
        </w:tc>
        <w:tc>
          <w:tcPr>
            <w:tcW w:w="569" w:type="pct"/>
          </w:tcPr>
          <w:p w14:paraId="573581A9" w14:textId="77777777" w:rsidR="00747647" w:rsidRPr="00F14E72" w:rsidRDefault="00747647" w:rsidP="00184CC7">
            <w:pPr>
              <w:pStyle w:val="TableText-cent"/>
              <w:rPr>
                <w:color w:val="0000FF"/>
              </w:rPr>
            </w:pPr>
            <w:r w:rsidRPr="00F14E72">
              <w:rPr>
                <w:color w:val="0000FF"/>
              </w:rPr>
              <w:t>20.9</w:t>
            </w:r>
          </w:p>
        </w:tc>
        <w:tc>
          <w:tcPr>
            <w:tcW w:w="569" w:type="pct"/>
          </w:tcPr>
          <w:p w14:paraId="3ABC025E" w14:textId="77777777" w:rsidR="00747647" w:rsidRPr="00F14E72" w:rsidRDefault="00747647" w:rsidP="00184CC7">
            <w:pPr>
              <w:pStyle w:val="TableText-cent"/>
              <w:rPr>
                <w:color w:val="0000FF"/>
              </w:rPr>
            </w:pPr>
            <w:r w:rsidRPr="00F14E72">
              <w:rPr>
                <w:color w:val="0000FF"/>
              </w:rPr>
              <w:t>29.9</w:t>
            </w:r>
          </w:p>
        </w:tc>
        <w:tc>
          <w:tcPr>
            <w:tcW w:w="569" w:type="pct"/>
          </w:tcPr>
          <w:p w14:paraId="59B39F0C" w14:textId="77777777" w:rsidR="00747647" w:rsidRPr="00F14E72" w:rsidRDefault="00747647" w:rsidP="00184CC7">
            <w:pPr>
              <w:pStyle w:val="TableText-cent"/>
              <w:rPr>
                <w:color w:val="0000FF"/>
              </w:rPr>
            </w:pPr>
            <w:r w:rsidRPr="00F14E72">
              <w:rPr>
                <w:color w:val="0000FF"/>
              </w:rPr>
              <w:t>39.1</w:t>
            </w:r>
          </w:p>
        </w:tc>
        <w:tc>
          <w:tcPr>
            <w:tcW w:w="567" w:type="pct"/>
          </w:tcPr>
          <w:p w14:paraId="5AE97376" w14:textId="77777777" w:rsidR="00747647" w:rsidRPr="00F14E72" w:rsidRDefault="00747647" w:rsidP="00184CC7">
            <w:pPr>
              <w:pStyle w:val="TableText-cent"/>
              <w:rPr>
                <w:color w:val="0000FF"/>
              </w:rPr>
            </w:pPr>
            <w:r w:rsidRPr="00F14E72">
              <w:rPr>
                <w:color w:val="0000FF"/>
              </w:rPr>
              <w:t>49.0</w:t>
            </w:r>
          </w:p>
        </w:tc>
      </w:tr>
      <w:tr w:rsidR="00747647" w:rsidRPr="00D06803" w14:paraId="097B6531" w14:textId="77777777" w:rsidTr="00184CC7">
        <w:trPr>
          <w:trHeight w:val="242"/>
        </w:trPr>
        <w:tc>
          <w:tcPr>
            <w:tcW w:w="938" w:type="pct"/>
          </w:tcPr>
          <w:p w14:paraId="097E77F1" w14:textId="77777777" w:rsidR="00747647" w:rsidRPr="00F14E72" w:rsidRDefault="00747647" w:rsidP="00184CC7">
            <w:pPr>
              <w:pStyle w:val="TableText-cent"/>
              <w:jc w:val="left"/>
              <w:rPr>
                <w:color w:val="0000FF"/>
              </w:rPr>
            </w:pPr>
            <w:r w:rsidRPr="00F14E72">
              <w:rPr>
                <w:color w:val="0000FF"/>
              </w:rPr>
              <w:t>Male</w:t>
            </w:r>
          </w:p>
        </w:tc>
        <w:tc>
          <w:tcPr>
            <w:tcW w:w="426" w:type="pct"/>
          </w:tcPr>
          <w:p w14:paraId="53CC0D60" w14:textId="77777777" w:rsidR="00747647" w:rsidRPr="00F14E72" w:rsidRDefault="00747647" w:rsidP="00184CC7">
            <w:pPr>
              <w:pStyle w:val="TableText-cent"/>
              <w:rPr>
                <w:color w:val="0000FF"/>
              </w:rPr>
            </w:pPr>
            <w:r w:rsidRPr="00F14E72">
              <w:rPr>
                <w:color w:val="0000FF"/>
              </w:rPr>
              <w:t>10,235</w:t>
            </w:r>
          </w:p>
        </w:tc>
        <w:tc>
          <w:tcPr>
            <w:tcW w:w="444" w:type="pct"/>
          </w:tcPr>
          <w:p w14:paraId="5629F7E3" w14:textId="77777777" w:rsidR="00747647" w:rsidRPr="00F14E72" w:rsidRDefault="00747647" w:rsidP="00184CC7">
            <w:pPr>
              <w:pStyle w:val="TableText-cent"/>
              <w:rPr>
                <w:color w:val="0000FF"/>
              </w:rPr>
            </w:pPr>
            <w:r w:rsidRPr="00F14E72">
              <w:rPr>
                <w:color w:val="0000FF"/>
              </w:rPr>
              <w:t>40.0</w:t>
            </w:r>
          </w:p>
        </w:tc>
        <w:tc>
          <w:tcPr>
            <w:tcW w:w="349" w:type="pct"/>
          </w:tcPr>
          <w:p w14:paraId="23179B67" w14:textId="77777777" w:rsidR="00747647" w:rsidRPr="00F14E72" w:rsidRDefault="00747647" w:rsidP="00184CC7">
            <w:pPr>
              <w:pStyle w:val="TableText-cent"/>
              <w:rPr>
                <w:color w:val="0000FF"/>
              </w:rPr>
            </w:pPr>
            <w:r w:rsidRPr="00F14E72">
              <w:rPr>
                <w:color w:val="0000FF"/>
              </w:rPr>
              <w:t>10.3</w:t>
            </w:r>
          </w:p>
        </w:tc>
        <w:tc>
          <w:tcPr>
            <w:tcW w:w="569" w:type="pct"/>
          </w:tcPr>
          <w:p w14:paraId="5BB19363" w14:textId="77777777" w:rsidR="00747647" w:rsidRPr="00F14E72" w:rsidRDefault="00747647" w:rsidP="00184CC7">
            <w:pPr>
              <w:pStyle w:val="TableText-cent"/>
              <w:rPr>
                <w:color w:val="0000FF"/>
              </w:rPr>
            </w:pPr>
            <w:r w:rsidRPr="00F14E72">
              <w:rPr>
                <w:color w:val="0000FF"/>
              </w:rPr>
              <w:t>28.3</w:t>
            </w:r>
          </w:p>
        </w:tc>
        <w:tc>
          <w:tcPr>
            <w:tcW w:w="569" w:type="pct"/>
          </w:tcPr>
          <w:p w14:paraId="4670160E" w14:textId="77777777" w:rsidR="00747647" w:rsidRPr="00F14E72" w:rsidRDefault="00747647" w:rsidP="00184CC7">
            <w:pPr>
              <w:pStyle w:val="TableText-cent"/>
              <w:rPr>
                <w:color w:val="0000FF"/>
              </w:rPr>
            </w:pPr>
            <w:r w:rsidRPr="00F14E72">
              <w:rPr>
                <w:color w:val="0000FF"/>
              </w:rPr>
              <w:t>33.3</w:t>
            </w:r>
          </w:p>
        </w:tc>
        <w:tc>
          <w:tcPr>
            <w:tcW w:w="569" w:type="pct"/>
          </w:tcPr>
          <w:p w14:paraId="550AEFCD" w14:textId="77777777" w:rsidR="00747647" w:rsidRPr="00F14E72" w:rsidRDefault="00747647" w:rsidP="00184CC7">
            <w:pPr>
              <w:pStyle w:val="TableText-cent"/>
              <w:rPr>
                <w:color w:val="0000FF"/>
              </w:rPr>
            </w:pPr>
            <w:r w:rsidRPr="00F14E72">
              <w:rPr>
                <w:color w:val="0000FF"/>
              </w:rPr>
              <w:t>39.1</w:t>
            </w:r>
          </w:p>
        </w:tc>
        <w:tc>
          <w:tcPr>
            <w:tcW w:w="569" w:type="pct"/>
          </w:tcPr>
          <w:p w14:paraId="1F9E67B6" w14:textId="77777777" w:rsidR="00747647" w:rsidRPr="00F14E72" w:rsidRDefault="00747647" w:rsidP="00184CC7">
            <w:pPr>
              <w:pStyle w:val="TableText-cent"/>
              <w:rPr>
                <w:color w:val="0000FF"/>
              </w:rPr>
            </w:pPr>
            <w:r w:rsidRPr="00F14E72">
              <w:rPr>
                <w:color w:val="0000FF"/>
              </w:rPr>
              <w:t>45.8</w:t>
            </w:r>
          </w:p>
        </w:tc>
        <w:tc>
          <w:tcPr>
            <w:tcW w:w="567" w:type="pct"/>
          </w:tcPr>
          <w:p w14:paraId="1AFD7B99" w14:textId="77777777" w:rsidR="00747647" w:rsidRPr="00F14E72" w:rsidRDefault="00747647" w:rsidP="00184CC7">
            <w:pPr>
              <w:pStyle w:val="TableText-cent"/>
              <w:rPr>
                <w:color w:val="0000FF"/>
              </w:rPr>
            </w:pPr>
            <w:r w:rsidRPr="00F14E72">
              <w:rPr>
                <w:color w:val="0000FF"/>
              </w:rPr>
              <w:t>53.0</w:t>
            </w:r>
          </w:p>
        </w:tc>
      </w:tr>
      <w:tr w:rsidR="00747647" w:rsidRPr="00D06803" w14:paraId="3DAD69B9" w14:textId="77777777" w:rsidTr="00184CC7">
        <w:trPr>
          <w:trHeight w:val="255"/>
        </w:trPr>
        <w:tc>
          <w:tcPr>
            <w:tcW w:w="938" w:type="pct"/>
          </w:tcPr>
          <w:p w14:paraId="5DE5BCA6" w14:textId="77777777" w:rsidR="00747647" w:rsidRPr="00F14E72" w:rsidRDefault="00747647" w:rsidP="00184CC7">
            <w:pPr>
              <w:pStyle w:val="TableText-cent"/>
              <w:jc w:val="left"/>
              <w:rPr>
                <w:color w:val="0000FF"/>
              </w:rPr>
            </w:pPr>
            <w:r w:rsidRPr="00F14E72">
              <w:rPr>
                <w:color w:val="0000FF"/>
              </w:rPr>
              <w:t>Not married</w:t>
            </w:r>
          </w:p>
        </w:tc>
        <w:tc>
          <w:tcPr>
            <w:tcW w:w="426" w:type="pct"/>
          </w:tcPr>
          <w:p w14:paraId="518320D1" w14:textId="77777777" w:rsidR="00747647" w:rsidRPr="00F14E72" w:rsidRDefault="00747647" w:rsidP="00184CC7">
            <w:pPr>
              <w:pStyle w:val="TableText-cent"/>
              <w:rPr>
                <w:color w:val="0000FF"/>
              </w:rPr>
            </w:pPr>
            <w:r w:rsidRPr="00F14E72">
              <w:rPr>
                <w:color w:val="0000FF"/>
              </w:rPr>
              <w:t>10,235</w:t>
            </w:r>
          </w:p>
        </w:tc>
        <w:tc>
          <w:tcPr>
            <w:tcW w:w="444" w:type="pct"/>
          </w:tcPr>
          <w:p w14:paraId="2E8EDD13" w14:textId="77777777" w:rsidR="00747647" w:rsidRPr="00F14E72" w:rsidRDefault="00747647" w:rsidP="00184CC7">
            <w:pPr>
              <w:pStyle w:val="TableText-cent"/>
              <w:rPr>
                <w:color w:val="0000FF"/>
              </w:rPr>
            </w:pPr>
            <w:r w:rsidRPr="00F14E72">
              <w:rPr>
                <w:color w:val="0000FF"/>
              </w:rPr>
              <w:t>66.0</w:t>
            </w:r>
          </w:p>
        </w:tc>
        <w:tc>
          <w:tcPr>
            <w:tcW w:w="349" w:type="pct"/>
          </w:tcPr>
          <w:p w14:paraId="39C3F200" w14:textId="77777777" w:rsidR="00747647" w:rsidRPr="00F14E72" w:rsidRDefault="00747647" w:rsidP="00184CC7">
            <w:pPr>
              <w:pStyle w:val="TableText-cent"/>
              <w:rPr>
                <w:color w:val="0000FF"/>
              </w:rPr>
            </w:pPr>
            <w:r w:rsidRPr="00F14E72">
              <w:rPr>
                <w:color w:val="0000FF"/>
              </w:rPr>
              <w:t>10.1</w:t>
            </w:r>
          </w:p>
        </w:tc>
        <w:tc>
          <w:tcPr>
            <w:tcW w:w="569" w:type="pct"/>
          </w:tcPr>
          <w:p w14:paraId="2D27CA82" w14:textId="77777777" w:rsidR="00747647" w:rsidRPr="00F14E72" w:rsidRDefault="00747647" w:rsidP="00184CC7">
            <w:pPr>
              <w:pStyle w:val="TableText-cent"/>
              <w:rPr>
                <w:color w:val="0000FF"/>
              </w:rPr>
            </w:pPr>
            <w:r w:rsidRPr="00F14E72">
              <w:rPr>
                <w:color w:val="0000FF"/>
              </w:rPr>
              <w:t>54.0</w:t>
            </w:r>
          </w:p>
        </w:tc>
        <w:tc>
          <w:tcPr>
            <w:tcW w:w="569" w:type="pct"/>
          </w:tcPr>
          <w:p w14:paraId="6A90B544" w14:textId="77777777" w:rsidR="00747647" w:rsidRPr="00F14E72" w:rsidRDefault="00747647" w:rsidP="00184CC7">
            <w:pPr>
              <w:pStyle w:val="TableText-cent"/>
              <w:rPr>
                <w:color w:val="0000FF"/>
              </w:rPr>
            </w:pPr>
            <w:r w:rsidRPr="00F14E72">
              <w:rPr>
                <w:color w:val="0000FF"/>
              </w:rPr>
              <w:t>60.0</w:t>
            </w:r>
          </w:p>
        </w:tc>
        <w:tc>
          <w:tcPr>
            <w:tcW w:w="569" w:type="pct"/>
          </w:tcPr>
          <w:p w14:paraId="4C86DBF3" w14:textId="77777777" w:rsidR="00747647" w:rsidRPr="00F14E72" w:rsidRDefault="00747647" w:rsidP="00184CC7">
            <w:pPr>
              <w:pStyle w:val="TableText-cent"/>
              <w:rPr>
                <w:color w:val="0000FF"/>
              </w:rPr>
            </w:pPr>
            <w:r w:rsidRPr="00F14E72">
              <w:rPr>
                <w:color w:val="0000FF"/>
              </w:rPr>
              <w:t>65.8</w:t>
            </w:r>
          </w:p>
        </w:tc>
        <w:tc>
          <w:tcPr>
            <w:tcW w:w="569" w:type="pct"/>
          </w:tcPr>
          <w:p w14:paraId="6CB0E8D8" w14:textId="77777777" w:rsidR="00747647" w:rsidRPr="00F14E72" w:rsidRDefault="00747647" w:rsidP="00184CC7">
            <w:pPr>
              <w:pStyle w:val="TableText-cent"/>
              <w:rPr>
                <w:color w:val="0000FF"/>
              </w:rPr>
            </w:pPr>
            <w:r w:rsidRPr="00F14E72">
              <w:rPr>
                <w:color w:val="0000FF"/>
              </w:rPr>
              <w:t>72.2</w:t>
            </w:r>
          </w:p>
        </w:tc>
        <w:tc>
          <w:tcPr>
            <w:tcW w:w="567" w:type="pct"/>
          </w:tcPr>
          <w:p w14:paraId="59E19211" w14:textId="77777777" w:rsidR="00747647" w:rsidRPr="00F14E72" w:rsidRDefault="00747647" w:rsidP="00184CC7">
            <w:pPr>
              <w:pStyle w:val="TableText-cent"/>
              <w:rPr>
                <w:color w:val="0000FF"/>
              </w:rPr>
            </w:pPr>
            <w:r w:rsidRPr="00F14E72">
              <w:rPr>
                <w:color w:val="0000FF"/>
              </w:rPr>
              <w:t>78.8</w:t>
            </w:r>
          </w:p>
        </w:tc>
      </w:tr>
      <w:tr w:rsidR="00747647" w:rsidRPr="00D06803" w14:paraId="1AA7EE3D" w14:textId="77777777" w:rsidTr="00184CC7">
        <w:trPr>
          <w:cnfStyle w:val="010000000000" w:firstRow="0" w:lastRow="1" w:firstColumn="0" w:lastColumn="0" w:oddVBand="0" w:evenVBand="0" w:oddHBand="0" w:evenHBand="0" w:firstRowFirstColumn="0" w:firstRowLastColumn="0" w:lastRowFirstColumn="0" w:lastRowLastColumn="0"/>
          <w:trHeight w:val="242"/>
        </w:trPr>
        <w:tc>
          <w:tcPr>
            <w:tcW w:w="938" w:type="pct"/>
          </w:tcPr>
          <w:p w14:paraId="40BDA5FD" w14:textId="77777777" w:rsidR="00747647" w:rsidRPr="00F14E72" w:rsidRDefault="00747647" w:rsidP="00184CC7">
            <w:pPr>
              <w:pStyle w:val="TableText-cent"/>
              <w:jc w:val="left"/>
              <w:rPr>
                <w:color w:val="0000FF"/>
              </w:rPr>
            </w:pPr>
            <w:r w:rsidRPr="00F14E72">
              <w:rPr>
                <w:color w:val="0000FF"/>
              </w:rPr>
              <w:t>Medicaid eligible</w:t>
            </w:r>
          </w:p>
        </w:tc>
        <w:tc>
          <w:tcPr>
            <w:tcW w:w="426" w:type="pct"/>
          </w:tcPr>
          <w:p w14:paraId="4695B533" w14:textId="77777777" w:rsidR="00747647" w:rsidRPr="00F14E72" w:rsidRDefault="00747647" w:rsidP="00184CC7">
            <w:pPr>
              <w:pStyle w:val="TableText-cent"/>
              <w:rPr>
                <w:color w:val="0000FF"/>
              </w:rPr>
            </w:pPr>
            <w:r w:rsidRPr="00F14E72">
              <w:rPr>
                <w:color w:val="0000FF"/>
              </w:rPr>
              <w:t>10,063</w:t>
            </w:r>
          </w:p>
        </w:tc>
        <w:tc>
          <w:tcPr>
            <w:tcW w:w="444" w:type="pct"/>
          </w:tcPr>
          <w:p w14:paraId="78553AA5" w14:textId="77777777" w:rsidR="00747647" w:rsidRPr="00F14E72" w:rsidRDefault="00747647" w:rsidP="00184CC7">
            <w:pPr>
              <w:pStyle w:val="TableText-cent"/>
              <w:rPr>
                <w:color w:val="0000FF"/>
              </w:rPr>
            </w:pPr>
            <w:r w:rsidRPr="00F14E72">
              <w:rPr>
                <w:color w:val="0000FF"/>
              </w:rPr>
              <w:t>51.8</w:t>
            </w:r>
          </w:p>
        </w:tc>
        <w:tc>
          <w:tcPr>
            <w:tcW w:w="349" w:type="pct"/>
          </w:tcPr>
          <w:p w14:paraId="78B7B2F7" w14:textId="77777777" w:rsidR="00747647" w:rsidRPr="00F14E72" w:rsidRDefault="00747647" w:rsidP="00184CC7">
            <w:pPr>
              <w:pStyle w:val="TableText-cent"/>
              <w:rPr>
                <w:color w:val="0000FF"/>
              </w:rPr>
            </w:pPr>
            <w:r w:rsidRPr="00F14E72">
              <w:rPr>
                <w:color w:val="0000FF"/>
              </w:rPr>
              <w:t>38.6</w:t>
            </w:r>
          </w:p>
        </w:tc>
        <w:tc>
          <w:tcPr>
            <w:tcW w:w="569" w:type="pct"/>
          </w:tcPr>
          <w:p w14:paraId="3A59A4A4" w14:textId="77777777" w:rsidR="00747647" w:rsidRPr="00F14E72" w:rsidRDefault="00747647" w:rsidP="00184CC7">
            <w:pPr>
              <w:pStyle w:val="TableText-cent"/>
              <w:rPr>
                <w:color w:val="0000FF"/>
              </w:rPr>
            </w:pPr>
            <w:r w:rsidRPr="00F14E72">
              <w:rPr>
                <w:color w:val="0000FF"/>
              </w:rPr>
              <w:t>4.2</w:t>
            </w:r>
          </w:p>
        </w:tc>
        <w:tc>
          <w:tcPr>
            <w:tcW w:w="569" w:type="pct"/>
          </w:tcPr>
          <w:p w14:paraId="1C0E0B9C" w14:textId="77777777" w:rsidR="00747647" w:rsidRPr="00F14E72" w:rsidRDefault="00747647" w:rsidP="00184CC7">
            <w:pPr>
              <w:pStyle w:val="TableText-cent"/>
              <w:rPr>
                <w:color w:val="0000FF"/>
              </w:rPr>
            </w:pPr>
            <w:r w:rsidRPr="00F14E72">
              <w:rPr>
                <w:color w:val="0000FF"/>
              </w:rPr>
              <w:t>15.0</w:t>
            </w:r>
          </w:p>
        </w:tc>
        <w:tc>
          <w:tcPr>
            <w:tcW w:w="569" w:type="pct"/>
          </w:tcPr>
          <w:p w14:paraId="61E025F4" w14:textId="77777777" w:rsidR="00747647" w:rsidRPr="00F14E72" w:rsidRDefault="00747647" w:rsidP="00184CC7">
            <w:pPr>
              <w:pStyle w:val="TableText-cent"/>
              <w:rPr>
                <w:color w:val="0000FF"/>
              </w:rPr>
            </w:pPr>
            <w:r w:rsidRPr="00F14E72">
              <w:rPr>
                <w:color w:val="0000FF"/>
              </w:rPr>
              <w:t>42.3</w:t>
            </w:r>
          </w:p>
        </w:tc>
        <w:tc>
          <w:tcPr>
            <w:tcW w:w="569" w:type="pct"/>
          </w:tcPr>
          <w:p w14:paraId="6F1CEA03" w14:textId="77777777" w:rsidR="00747647" w:rsidRPr="00F14E72" w:rsidRDefault="00747647" w:rsidP="00184CC7">
            <w:pPr>
              <w:pStyle w:val="TableText-cent"/>
              <w:rPr>
                <w:color w:val="0000FF"/>
              </w:rPr>
            </w:pPr>
            <w:r w:rsidRPr="00F14E72">
              <w:rPr>
                <w:color w:val="0000FF"/>
              </w:rPr>
              <w:t>100</w:t>
            </w:r>
          </w:p>
        </w:tc>
        <w:tc>
          <w:tcPr>
            <w:tcW w:w="567" w:type="pct"/>
          </w:tcPr>
          <w:p w14:paraId="434A7644" w14:textId="77777777" w:rsidR="00747647" w:rsidRPr="00F14E72" w:rsidRDefault="00747647" w:rsidP="00184CC7">
            <w:pPr>
              <w:pStyle w:val="TableText-cent"/>
              <w:rPr>
                <w:color w:val="0000FF"/>
              </w:rPr>
            </w:pPr>
            <w:r w:rsidRPr="00F14E72">
              <w:rPr>
                <w:color w:val="0000FF"/>
              </w:rPr>
              <w:t>100</w:t>
            </w:r>
          </w:p>
        </w:tc>
      </w:tr>
    </w:tbl>
    <w:p w14:paraId="376B6457" w14:textId="3557C937" w:rsidR="00747647" w:rsidRPr="00024B54" w:rsidRDefault="00747647" w:rsidP="00747647">
      <w:pPr>
        <w:autoSpaceDE w:val="0"/>
        <w:autoSpaceDN w:val="0"/>
        <w:adjustRightInd w:val="0"/>
        <w:spacing w:before="240" w:after="240" w:line="240" w:lineRule="auto"/>
        <w:rPr>
          <w:rFonts w:ascii="Calibri" w:eastAsia="MS Mincho" w:hAnsi="Calibri" w:cs="Calibri"/>
          <w:bCs/>
          <w:color w:val="0000FF"/>
          <w:sz w:val="20"/>
          <w:szCs w:val="20"/>
        </w:rPr>
      </w:pPr>
      <w:r w:rsidRPr="00024B54">
        <w:rPr>
          <w:rFonts w:eastAsia="Times New Roman" w:cs="Times New Roman"/>
          <w:color w:val="0000FF"/>
          <w:sz w:val="20"/>
          <w:szCs w:val="20"/>
        </w:rPr>
        <w:t xml:space="preserve">Source: RTI analysis of MDS 3.0 Data, Q2 2017 (programming reference: </w:t>
      </w:r>
      <w:r w:rsidR="009213B3" w:rsidRPr="00024B54">
        <w:rPr>
          <w:rFonts w:eastAsia="Times New Roman" w:cs="Times New Roman"/>
          <w:color w:val="0000FF"/>
          <w:sz w:val="20"/>
          <w:szCs w:val="20"/>
        </w:rPr>
        <w:t>LJC03</w:t>
      </w:r>
      <w:r w:rsidR="009213B3">
        <w:rPr>
          <w:rFonts w:eastAsia="Times New Roman" w:cs="Times New Roman"/>
          <w:color w:val="0000FF"/>
          <w:sz w:val="20"/>
          <w:szCs w:val="20"/>
        </w:rPr>
        <w:t>_v2</w:t>
      </w:r>
      <w:r w:rsidR="009213B3" w:rsidRPr="00024B54">
        <w:rPr>
          <w:rFonts w:eastAsia="Times New Roman" w:cs="Times New Roman"/>
          <w:color w:val="0000FF"/>
          <w:sz w:val="20"/>
          <w:szCs w:val="20"/>
        </w:rPr>
        <w:t>/LJC03_re</w:t>
      </w:r>
      <w:r w:rsidR="009213B3">
        <w:rPr>
          <w:rFonts w:eastAsia="Times New Roman" w:cs="Times New Roman"/>
          <w:color w:val="0000FF"/>
          <w:sz w:val="20"/>
          <w:szCs w:val="20"/>
        </w:rPr>
        <w:t>quest</w:t>
      </w:r>
      <w:r w:rsidR="009213B3" w:rsidRPr="00024B54">
        <w:rPr>
          <w:rFonts w:eastAsia="Times New Roman" w:cs="Times New Roman"/>
          <w:color w:val="0000FF"/>
          <w:sz w:val="20"/>
          <w:szCs w:val="20"/>
        </w:rPr>
        <w:t>_676</w:t>
      </w:r>
      <w:r w:rsidR="009213B3">
        <w:rPr>
          <w:rFonts w:eastAsia="Times New Roman" w:cs="Times New Roman"/>
          <w:color w:val="0000FF"/>
          <w:sz w:val="20"/>
          <w:szCs w:val="20"/>
        </w:rPr>
        <w:t>_v2</w:t>
      </w:r>
      <w:r w:rsidR="009213B3" w:rsidRPr="00024B54">
        <w:rPr>
          <w:rFonts w:eastAsia="Times New Roman" w:cs="Times New Roman"/>
          <w:color w:val="0000FF"/>
          <w:sz w:val="20"/>
          <w:szCs w:val="20"/>
        </w:rPr>
        <w:t>.log</w:t>
      </w:r>
      <w:r w:rsidRPr="00024B54">
        <w:rPr>
          <w:rFonts w:eastAsia="Times New Roman" w:cs="Times New Roman"/>
          <w:color w:val="0000FF"/>
          <w:sz w:val="20"/>
          <w:szCs w:val="20"/>
        </w:rPr>
        <w:t>)</w:t>
      </w:r>
      <w:r w:rsidRPr="00024B54">
        <w:rPr>
          <w:rFonts w:ascii="Calibri" w:eastAsia="MS Mincho" w:hAnsi="Calibri" w:cs="Calibri"/>
          <w:bCs/>
          <w:color w:val="0000FF"/>
          <w:sz w:val="20"/>
          <w:szCs w:val="20"/>
        </w:rPr>
        <w:t xml:space="preserve"> </w:t>
      </w:r>
    </w:p>
    <w:p w14:paraId="2DF530B4" w14:textId="3D93347D" w:rsidR="00747647" w:rsidRPr="00D92546" w:rsidRDefault="00747647" w:rsidP="00747647">
      <w:pPr>
        <w:autoSpaceDE w:val="0"/>
        <w:autoSpaceDN w:val="0"/>
        <w:adjustRightInd w:val="0"/>
        <w:spacing w:after="0" w:line="240" w:lineRule="auto"/>
        <w:rPr>
          <w:rFonts w:eastAsia="Times New Roman" w:cs="Times New Roman"/>
          <w:color w:val="0000FF"/>
        </w:rPr>
      </w:pPr>
      <w:r>
        <w:rPr>
          <w:rFonts w:eastAsia="Times New Roman" w:cs="Times New Roman"/>
          <w:color w:val="0000FF"/>
        </w:rPr>
        <w:t xml:space="preserve">Medicaid eligibility was associated with self-reported pain in the expected direction; although the proportion of residents who trigger the numerator for this measure was significantly higher among Medicaid-eligible residents than residents who were not eligible for Medicaid, the facility-level mean is not particularly high.  Being unmarried was also associated with self-reported pain in the expected direction; however, the proportion of residents who trigger the numerator for </w:t>
      </w:r>
      <w:r w:rsidRPr="00184CC7">
        <w:rPr>
          <w:rFonts w:eastAsia="Times New Roman" w:cs="Times New Roman"/>
          <w:color w:val="0000FF"/>
        </w:rPr>
        <w:t>this</w:t>
      </w:r>
      <w:r>
        <w:rPr>
          <w:rFonts w:eastAsia="Times New Roman" w:cs="Times New Roman"/>
          <w:color w:val="0000FF"/>
        </w:rPr>
        <w:t xml:space="preserve"> measure was not significantly different in married and unmarried residents.  In addition, the facility-level mean is not very high</w:t>
      </w:r>
      <w:r w:rsidR="003258DB">
        <w:rPr>
          <w:rFonts w:eastAsia="Times New Roman" w:cs="Times New Roman"/>
          <w:color w:val="0000FF"/>
        </w:rPr>
        <w:t>.</w:t>
      </w:r>
      <w:r>
        <w:rPr>
          <w:rFonts w:eastAsia="Times New Roman" w:cs="Times New Roman"/>
          <w:color w:val="0000FF"/>
        </w:rPr>
        <w:t xml:space="preserve">  Therefore, </w:t>
      </w:r>
      <w:r w:rsidRPr="007B766A">
        <w:rPr>
          <w:rFonts w:ascii="Calibri" w:eastAsia="MS Mincho" w:hAnsi="Calibri" w:cs="Calibri"/>
          <w:bCs/>
          <w:color w:val="0000FF"/>
        </w:rPr>
        <w:t xml:space="preserve">these social risk factors were not further considered as potential risk adjustors for this measure. </w:t>
      </w:r>
    </w:p>
    <w:p w14:paraId="325A2DBA" w14:textId="77777777" w:rsidR="00747647" w:rsidRPr="007B766A" w:rsidRDefault="00747647" w:rsidP="00747647">
      <w:pPr>
        <w:autoSpaceDE w:val="0"/>
        <w:autoSpaceDN w:val="0"/>
        <w:adjustRightInd w:val="0"/>
        <w:spacing w:after="0" w:line="240" w:lineRule="auto"/>
        <w:rPr>
          <w:rFonts w:ascii="Calibri" w:eastAsia="MS Mincho" w:hAnsi="Calibri" w:cs="Calibri"/>
          <w:bCs/>
          <w:color w:val="0000FF"/>
        </w:rPr>
      </w:pPr>
    </w:p>
    <w:p w14:paraId="48990539" w14:textId="0FDEF0DB" w:rsidR="00747647" w:rsidRPr="007B766A" w:rsidRDefault="00747647" w:rsidP="00747647">
      <w:pPr>
        <w:autoSpaceDE w:val="0"/>
        <w:autoSpaceDN w:val="0"/>
        <w:adjustRightInd w:val="0"/>
        <w:spacing w:after="0" w:line="240" w:lineRule="auto"/>
        <w:rPr>
          <w:rFonts w:ascii="Calibri" w:eastAsia="MS Mincho" w:hAnsi="Calibri" w:cs="Calibri"/>
          <w:bCs/>
          <w:color w:val="0000FF"/>
        </w:rPr>
      </w:pPr>
      <w:r>
        <w:rPr>
          <w:rFonts w:ascii="Calibri" w:eastAsia="MS Mincho" w:hAnsi="Calibri" w:cs="Calibri"/>
          <w:bCs/>
          <w:color w:val="0000FF"/>
        </w:rPr>
        <w:t xml:space="preserve">Being male was associated with self-reported pain in the expected direction, with the proportion of residents who trigger the numerator for this measure being significantly higher among females than males; thus, </w:t>
      </w:r>
      <w:r>
        <w:rPr>
          <w:rFonts w:eastAsia="Times New Roman" w:cs="Times New Roman"/>
          <w:color w:val="0000FF"/>
        </w:rPr>
        <w:t xml:space="preserve">we further </w:t>
      </w:r>
      <w:r w:rsidRPr="00184CC7">
        <w:rPr>
          <w:rFonts w:eastAsia="Times New Roman" w:cs="Times New Roman"/>
          <w:color w:val="0000FF"/>
        </w:rPr>
        <w:t>considered</w:t>
      </w:r>
      <w:r>
        <w:rPr>
          <w:rFonts w:eastAsia="Times New Roman" w:cs="Times New Roman"/>
          <w:color w:val="0000FF"/>
        </w:rPr>
        <w:t xml:space="preserve"> male gender as a potential risk adjustor for this measure. </w:t>
      </w:r>
      <w:r w:rsidRPr="007B766A">
        <w:rPr>
          <w:rFonts w:ascii="Calibri" w:eastAsia="MS Mincho" w:hAnsi="Calibri" w:cs="Calibri"/>
          <w:bCs/>
          <w:color w:val="0000FF"/>
        </w:rPr>
        <w:t>Age of 85 years and older was also associated with self-reported pain</w:t>
      </w:r>
      <w:r w:rsidR="00F06D71">
        <w:rPr>
          <w:rFonts w:ascii="Calibri" w:eastAsia="MS Mincho" w:hAnsi="Calibri" w:cs="Calibri"/>
          <w:bCs/>
          <w:color w:val="0000FF"/>
        </w:rPr>
        <w:t xml:space="preserve"> in the hypothesized direction;</w:t>
      </w:r>
      <w:r w:rsidRPr="007B766A">
        <w:rPr>
          <w:rFonts w:ascii="Calibri" w:eastAsia="MS Mincho" w:hAnsi="Calibri" w:cs="Calibri"/>
          <w:bCs/>
          <w:color w:val="0000FF"/>
        </w:rPr>
        <w:t xml:space="preserve"> the difference in the proportion of residents who trigger the numerator by age is large and statistically significant and, therefore, we further considered age of 85 years and older as a potential risk adjustor for this measure.</w:t>
      </w:r>
    </w:p>
    <w:p w14:paraId="316A2E94" w14:textId="77777777" w:rsidR="00747647" w:rsidRPr="007B766A" w:rsidRDefault="00747647" w:rsidP="00747647">
      <w:pPr>
        <w:autoSpaceDE w:val="0"/>
        <w:autoSpaceDN w:val="0"/>
        <w:adjustRightInd w:val="0"/>
        <w:spacing w:after="0" w:line="240" w:lineRule="auto"/>
        <w:rPr>
          <w:rFonts w:ascii="Calibri" w:eastAsia="MS Mincho" w:hAnsi="Calibri" w:cs="Calibri"/>
          <w:bCs/>
          <w:color w:val="0000FF"/>
          <w:highlight w:val="green"/>
        </w:rPr>
      </w:pPr>
    </w:p>
    <w:p w14:paraId="5189B98F" w14:textId="77777777" w:rsidR="00747647" w:rsidRPr="00184CC7" w:rsidRDefault="00747647" w:rsidP="00747647">
      <w:pPr>
        <w:autoSpaceDE w:val="0"/>
        <w:autoSpaceDN w:val="0"/>
        <w:adjustRightInd w:val="0"/>
        <w:spacing w:after="0" w:line="240" w:lineRule="auto"/>
        <w:rPr>
          <w:rFonts w:ascii="Calibri" w:eastAsia="MS Mincho" w:hAnsi="Calibri" w:cs="Calibri"/>
          <w:bCs/>
          <w:color w:val="0000FF"/>
        </w:rPr>
      </w:pPr>
      <w:r w:rsidRPr="00184CC7">
        <w:rPr>
          <w:rFonts w:ascii="Calibri" w:eastAsia="MS Mincho" w:hAnsi="Calibri" w:cs="Calibri"/>
          <w:bCs/>
          <w:color w:val="0000FF"/>
        </w:rPr>
        <w:t>Based on the results of bivariate analyses, we examined six additional logistic regression models:</w:t>
      </w:r>
    </w:p>
    <w:p w14:paraId="2BA07BF7" w14:textId="77777777" w:rsidR="00747647" w:rsidRPr="00184CC7" w:rsidRDefault="00747647" w:rsidP="00747647">
      <w:pPr>
        <w:pStyle w:val="ListParagraph"/>
        <w:numPr>
          <w:ilvl w:val="0"/>
          <w:numId w:val="15"/>
        </w:numPr>
        <w:autoSpaceDE w:val="0"/>
        <w:autoSpaceDN w:val="0"/>
        <w:adjustRightInd w:val="0"/>
        <w:spacing w:before="240" w:after="0" w:line="240" w:lineRule="auto"/>
        <w:rPr>
          <w:color w:val="0000FF"/>
        </w:rPr>
      </w:pPr>
      <w:r w:rsidRPr="00184CC7">
        <w:rPr>
          <w:color w:val="0000FF"/>
        </w:rPr>
        <w:t>Risk adjusted for oldest old (Model 1)</w:t>
      </w:r>
    </w:p>
    <w:p w14:paraId="46C0847A" w14:textId="77777777" w:rsidR="00747647" w:rsidRPr="00184CC7" w:rsidRDefault="00747647" w:rsidP="00747647">
      <w:pPr>
        <w:pStyle w:val="ListParagraph"/>
        <w:numPr>
          <w:ilvl w:val="0"/>
          <w:numId w:val="15"/>
        </w:numPr>
        <w:autoSpaceDE w:val="0"/>
        <w:autoSpaceDN w:val="0"/>
        <w:adjustRightInd w:val="0"/>
        <w:spacing w:before="240" w:after="0" w:line="240" w:lineRule="auto"/>
        <w:rPr>
          <w:color w:val="0000FF"/>
        </w:rPr>
      </w:pPr>
      <w:r w:rsidRPr="00184CC7">
        <w:rPr>
          <w:color w:val="0000FF"/>
        </w:rPr>
        <w:t>Risk adjusted for male gender (Model 2)</w:t>
      </w:r>
    </w:p>
    <w:p w14:paraId="62A71CAD" w14:textId="77777777" w:rsidR="00747647" w:rsidRPr="00184CC7" w:rsidRDefault="00747647" w:rsidP="00747647">
      <w:pPr>
        <w:pStyle w:val="ListParagraph"/>
        <w:numPr>
          <w:ilvl w:val="0"/>
          <w:numId w:val="15"/>
        </w:numPr>
        <w:autoSpaceDE w:val="0"/>
        <w:autoSpaceDN w:val="0"/>
        <w:adjustRightInd w:val="0"/>
        <w:spacing w:before="240" w:after="0" w:line="240" w:lineRule="auto"/>
        <w:rPr>
          <w:color w:val="0000FF"/>
        </w:rPr>
      </w:pPr>
      <w:r w:rsidRPr="00184CC7">
        <w:rPr>
          <w:color w:val="0000FF"/>
        </w:rPr>
        <w:t>Risk adjusted for oldest old and male gender (Model 3)</w:t>
      </w:r>
    </w:p>
    <w:p w14:paraId="40040951" w14:textId="77777777" w:rsidR="00747647" w:rsidRPr="00184CC7" w:rsidRDefault="00747647" w:rsidP="00747647">
      <w:pPr>
        <w:pStyle w:val="ListParagraph"/>
        <w:numPr>
          <w:ilvl w:val="0"/>
          <w:numId w:val="15"/>
        </w:numPr>
        <w:autoSpaceDE w:val="0"/>
        <w:autoSpaceDN w:val="0"/>
        <w:adjustRightInd w:val="0"/>
        <w:spacing w:before="240" w:after="0" w:line="240" w:lineRule="auto"/>
        <w:rPr>
          <w:color w:val="0000FF"/>
        </w:rPr>
      </w:pPr>
      <w:r w:rsidRPr="00184CC7">
        <w:rPr>
          <w:color w:val="0000FF"/>
        </w:rPr>
        <w:t>Risk adjusted for cognitive independence and oldest old (Model 4)</w:t>
      </w:r>
    </w:p>
    <w:p w14:paraId="75E6348D" w14:textId="77777777" w:rsidR="00747647" w:rsidRPr="00184CC7" w:rsidRDefault="00747647" w:rsidP="00747647">
      <w:pPr>
        <w:pStyle w:val="ListParagraph"/>
        <w:numPr>
          <w:ilvl w:val="0"/>
          <w:numId w:val="15"/>
        </w:numPr>
        <w:autoSpaceDE w:val="0"/>
        <w:autoSpaceDN w:val="0"/>
        <w:adjustRightInd w:val="0"/>
        <w:spacing w:before="240" w:after="0" w:line="240" w:lineRule="auto"/>
        <w:rPr>
          <w:color w:val="0000FF"/>
        </w:rPr>
      </w:pPr>
      <w:r w:rsidRPr="00184CC7">
        <w:rPr>
          <w:color w:val="0000FF"/>
        </w:rPr>
        <w:t>Risk adjusted for cognitive independence and male gender (Model 5)</w:t>
      </w:r>
    </w:p>
    <w:p w14:paraId="1B7AF40B" w14:textId="77777777" w:rsidR="00747647" w:rsidRPr="00184CC7" w:rsidRDefault="00747647" w:rsidP="00747647">
      <w:pPr>
        <w:pStyle w:val="ListParagraph"/>
        <w:numPr>
          <w:ilvl w:val="0"/>
          <w:numId w:val="15"/>
        </w:numPr>
        <w:autoSpaceDE w:val="0"/>
        <w:autoSpaceDN w:val="0"/>
        <w:adjustRightInd w:val="0"/>
        <w:spacing w:before="240" w:after="0" w:line="240" w:lineRule="auto"/>
        <w:rPr>
          <w:color w:val="0000FF"/>
        </w:rPr>
      </w:pPr>
      <w:r w:rsidRPr="00184CC7">
        <w:rPr>
          <w:color w:val="0000FF"/>
        </w:rPr>
        <w:t>Risk adjusted for cognitive independence, oldest old, and male gender (Model 6)</w:t>
      </w:r>
    </w:p>
    <w:p w14:paraId="56F11659" w14:textId="77777777" w:rsidR="00747647" w:rsidRPr="007B766A" w:rsidRDefault="00747647" w:rsidP="00747647">
      <w:pPr>
        <w:spacing w:after="0"/>
      </w:pPr>
    </w:p>
    <w:p w14:paraId="79F331B1" w14:textId="77777777" w:rsidR="00747647" w:rsidRDefault="00747647" w:rsidP="00747647">
      <w:pPr>
        <w:autoSpaceDE w:val="0"/>
        <w:autoSpaceDN w:val="0"/>
        <w:adjustRightInd w:val="0"/>
        <w:spacing w:after="0" w:line="240" w:lineRule="auto"/>
        <w:rPr>
          <w:iCs/>
          <w:color w:val="0000FF"/>
        </w:rPr>
      </w:pPr>
      <w:r w:rsidRPr="007B766A">
        <w:rPr>
          <w:rFonts w:ascii="Calibri" w:eastAsia="MS Mincho" w:hAnsi="Calibri" w:cs="Calibri"/>
          <w:bCs/>
          <w:color w:val="0000FF"/>
        </w:rPr>
        <w:t>In Model 1, t</w:t>
      </w:r>
      <w:r>
        <w:rPr>
          <w:iCs/>
          <w:color w:val="0000FF"/>
        </w:rPr>
        <w:t xml:space="preserve">he </w:t>
      </w:r>
      <w:r w:rsidRPr="007B766A">
        <w:rPr>
          <w:iCs/>
          <w:color w:val="0000FF"/>
        </w:rPr>
        <w:t xml:space="preserve">odds ratio for oldest old is </w:t>
      </w:r>
      <w:r>
        <w:rPr>
          <w:iCs/>
          <w:color w:val="0000FF"/>
        </w:rPr>
        <w:t>0.40</w:t>
      </w:r>
      <w:r w:rsidRPr="007B766A">
        <w:rPr>
          <w:iCs/>
          <w:color w:val="0000FF"/>
        </w:rPr>
        <w:t xml:space="preserve"> </w:t>
      </w:r>
      <w:r>
        <w:rPr>
          <w:iCs/>
          <w:color w:val="0000FF"/>
        </w:rPr>
        <w:t>(</w:t>
      </w:r>
      <w:r w:rsidRPr="007B766A">
        <w:rPr>
          <w:iCs/>
          <w:color w:val="0000FF"/>
        </w:rPr>
        <w:t>95% CI</w:t>
      </w:r>
      <w:r>
        <w:rPr>
          <w:iCs/>
          <w:color w:val="0000FF"/>
        </w:rPr>
        <w:t xml:space="preserve"> =</w:t>
      </w:r>
      <w:r w:rsidRPr="007B766A">
        <w:rPr>
          <w:iCs/>
          <w:color w:val="0000FF"/>
        </w:rPr>
        <w:t xml:space="preserve"> </w:t>
      </w:r>
      <w:r>
        <w:rPr>
          <w:iCs/>
          <w:color w:val="0000FF"/>
        </w:rPr>
        <w:t xml:space="preserve">[0.399, 0.411]), and is </w:t>
      </w:r>
      <w:r w:rsidRPr="007B766A">
        <w:rPr>
          <w:iCs/>
          <w:color w:val="0000FF"/>
        </w:rPr>
        <w:t xml:space="preserve">statistically significant at </w:t>
      </w:r>
      <w:r>
        <w:rPr>
          <w:iCs/>
          <w:color w:val="0000FF"/>
        </w:rPr>
        <w:t>the 0.05 level</w:t>
      </w:r>
      <w:r w:rsidRPr="007B766A">
        <w:rPr>
          <w:iCs/>
          <w:color w:val="0000FF"/>
        </w:rPr>
        <w:t xml:space="preserve">.  </w:t>
      </w:r>
      <w:r w:rsidRPr="007B766A">
        <w:rPr>
          <w:rFonts w:ascii="Calibri" w:eastAsia="MS Mincho" w:hAnsi="Calibri" w:cs="Calibri"/>
          <w:bCs/>
          <w:color w:val="0000FF"/>
        </w:rPr>
        <w:t xml:space="preserve">Consistent with previous studies, the odds of self-reporting moderate to severe pain are </w:t>
      </w:r>
      <w:r>
        <w:rPr>
          <w:rFonts w:ascii="Calibri" w:eastAsia="MS Mincho" w:hAnsi="Calibri" w:cs="Calibri"/>
          <w:bCs/>
          <w:color w:val="0000FF"/>
        </w:rPr>
        <w:t>60</w:t>
      </w:r>
      <w:r w:rsidRPr="007B766A">
        <w:rPr>
          <w:rFonts w:ascii="Calibri" w:eastAsia="MS Mincho" w:hAnsi="Calibri" w:cs="Calibri"/>
          <w:bCs/>
          <w:color w:val="0000FF"/>
        </w:rPr>
        <w:t xml:space="preserve">% lower among residents aged 85 and older, compared to younger residents.  </w:t>
      </w:r>
      <w:r w:rsidRPr="007B766A">
        <w:rPr>
          <w:iCs/>
          <w:color w:val="0000FF"/>
        </w:rPr>
        <w:t xml:space="preserve">   </w:t>
      </w:r>
    </w:p>
    <w:p w14:paraId="01C63995" w14:textId="77777777" w:rsidR="00747647" w:rsidRDefault="00747647" w:rsidP="00747647">
      <w:pPr>
        <w:autoSpaceDE w:val="0"/>
        <w:autoSpaceDN w:val="0"/>
        <w:adjustRightInd w:val="0"/>
        <w:spacing w:after="0" w:line="240" w:lineRule="auto"/>
        <w:rPr>
          <w:iCs/>
          <w:color w:val="0000FF"/>
        </w:rPr>
      </w:pPr>
    </w:p>
    <w:p w14:paraId="2C9BBA5C" w14:textId="77777777" w:rsidR="00747647" w:rsidRPr="007B766A" w:rsidRDefault="00747647" w:rsidP="00747647">
      <w:pPr>
        <w:autoSpaceDE w:val="0"/>
        <w:autoSpaceDN w:val="0"/>
        <w:adjustRightInd w:val="0"/>
        <w:spacing w:after="0" w:line="240" w:lineRule="auto"/>
        <w:rPr>
          <w:rFonts w:ascii="Calibri" w:eastAsia="MS Mincho" w:hAnsi="Calibri" w:cs="Calibri"/>
          <w:bCs/>
          <w:color w:val="0000FF"/>
        </w:rPr>
      </w:pPr>
      <w:r>
        <w:rPr>
          <w:rFonts w:ascii="Calibri" w:eastAsia="MS Mincho" w:hAnsi="Calibri" w:cs="Calibri"/>
          <w:bCs/>
          <w:color w:val="0000FF"/>
        </w:rPr>
        <w:t>In Model 2</w:t>
      </w:r>
      <w:r w:rsidRPr="007B766A">
        <w:rPr>
          <w:rFonts w:ascii="Calibri" w:eastAsia="MS Mincho" w:hAnsi="Calibri" w:cs="Calibri"/>
          <w:bCs/>
          <w:color w:val="0000FF"/>
        </w:rPr>
        <w:t>, t</w:t>
      </w:r>
      <w:r>
        <w:rPr>
          <w:iCs/>
          <w:color w:val="0000FF"/>
        </w:rPr>
        <w:t xml:space="preserve">he </w:t>
      </w:r>
      <w:r w:rsidRPr="007B766A">
        <w:rPr>
          <w:iCs/>
          <w:color w:val="0000FF"/>
        </w:rPr>
        <w:t xml:space="preserve">odds ratio for </w:t>
      </w:r>
      <w:r>
        <w:rPr>
          <w:iCs/>
          <w:color w:val="0000FF"/>
        </w:rPr>
        <w:t>male gender</w:t>
      </w:r>
      <w:r w:rsidRPr="007B766A">
        <w:rPr>
          <w:iCs/>
          <w:color w:val="0000FF"/>
        </w:rPr>
        <w:t xml:space="preserve"> is </w:t>
      </w:r>
      <w:r>
        <w:rPr>
          <w:iCs/>
          <w:color w:val="0000FF"/>
        </w:rPr>
        <w:t>0.775</w:t>
      </w:r>
      <w:r w:rsidRPr="007B766A">
        <w:rPr>
          <w:iCs/>
          <w:color w:val="0000FF"/>
        </w:rPr>
        <w:t xml:space="preserve"> </w:t>
      </w:r>
      <w:r>
        <w:rPr>
          <w:iCs/>
          <w:color w:val="0000FF"/>
        </w:rPr>
        <w:t>(</w:t>
      </w:r>
      <w:r w:rsidRPr="007B766A">
        <w:rPr>
          <w:iCs/>
          <w:color w:val="0000FF"/>
        </w:rPr>
        <w:t xml:space="preserve">95% CI </w:t>
      </w:r>
      <w:r>
        <w:rPr>
          <w:iCs/>
          <w:color w:val="0000FF"/>
        </w:rPr>
        <w:t>=</w:t>
      </w:r>
      <w:r w:rsidRPr="007B766A">
        <w:rPr>
          <w:iCs/>
          <w:color w:val="0000FF"/>
        </w:rPr>
        <w:t xml:space="preserve"> </w:t>
      </w:r>
      <w:r>
        <w:rPr>
          <w:iCs/>
          <w:color w:val="0000FF"/>
        </w:rPr>
        <w:t>[0.766,</w:t>
      </w:r>
      <w:r w:rsidRPr="007B766A">
        <w:rPr>
          <w:iCs/>
          <w:color w:val="0000FF"/>
        </w:rPr>
        <w:t xml:space="preserve"> </w:t>
      </w:r>
      <w:r>
        <w:rPr>
          <w:iCs/>
          <w:color w:val="0000FF"/>
        </w:rPr>
        <w:t xml:space="preserve">0.784]), and is </w:t>
      </w:r>
      <w:r w:rsidRPr="007B766A">
        <w:rPr>
          <w:iCs/>
          <w:color w:val="0000FF"/>
        </w:rPr>
        <w:t xml:space="preserve">statistically significant </w:t>
      </w:r>
      <w:r>
        <w:rPr>
          <w:iCs/>
          <w:color w:val="0000FF"/>
        </w:rPr>
        <w:t>the 0.05 level</w:t>
      </w:r>
      <w:r w:rsidRPr="007B766A">
        <w:rPr>
          <w:iCs/>
          <w:color w:val="0000FF"/>
        </w:rPr>
        <w:t xml:space="preserve">.  </w:t>
      </w:r>
      <w:r w:rsidRPr="007B766A">
        <w:rPr>
          <w:rFonts w:ascii="Calibri" w:eastAsia="MS Mincho" w:hAnsi="Calibri" w:cs="Calibri"/>
          <w:bCs/>
          <w:color w:val="0000FF"/>
        </w:rPr>
        <w:t xml:space="preserve">Consistent with previous studies, the odds of self-reporting moderate to severe pain are </w:t>
      </w:r>
      <w:r>
        <w:rPr>
          <w:rFonts w:ascii="Calibri" w:eastAsia="MS Mincho" w:hAnsi="Calibri" w:cs="Calibri"/>
          <w:bCs/>
          <w:color w:val="0000FF"/>
        </w:rPr>
        <w:t>22.5</w:t>
      </w:r>
      <w:r w:rsidRPr="007B766A">
        <w:rPr>
          <w:rFonts w:ascii="Calibri" w:eastAsia="MS Mincho" w:hAnsi="Calibri" w:cs="Calibri"/>
          <w:bCs/>
          <w:color w:val="0000FF"/>
        </w:rPr>
        <w:t xml:space="preserve">% lower among </w:t>
      </w:r>
      <w:r>
        <w:rPr>
          <w:rFonts w:ascii="Calibri" w:eastAsia="MS Mincho" w:hAnsi="Calibri" w:cs="Calibri"/>
          <w:bCs/>
          <w:color w:val="0000FF"/>
        </w:rPr>
        <w:t>male residents</w:t>
      </w:r>
      <w:r w:rsidRPr="007B766A">
        <w:rPr>
          <w:rFonts w:ascii="Calibri" w:eastAsia="MS Mincho" w:hAnsi="Calibri" w:cs="Calibri"/>
          <w:bCs/>
          <w:color w:val="0000FF"/>
        </w:rPr>
        <w:t xml:space="preserve">, compared to </w:t>
      </w:r>
      <w:r>
        <w:rPr>
          <w:rFonts w:ascii="Calibri" w:eastAsia="MS Mincho" w:hAnsi="Calibri" w:cs="Calibri"/>
          <w:bCs/>
          <w:color w:val="0000FF"/>
        </w:rPr>
        <w:t>female</w:t>
      </w:r>
      <w:r w:rsidRPr="007B766A">
        <w:rPr>
          <w:rFonts w:ascii="Calibri" w:eastAsia="MS Mincho" w:hAnsi="Calibri" w:cs="Calibri"/>
          <w:bCs/>
          <w:color w:val="0000FF"/>
        </w:rPr>
        <w:t xml:space="preserve"> residents.  </w:t>
      </w:r>
      <w:r w:rsidRPr="007B766A">
        <w:rPr>
          <w:iCs/>
          <w:color w:val="0000FF"/>
        </w:rPr>
        <w:t xml:space="preserve">   </w:t>
      </w:r>
    </w:p>
    <w:p w14:paraId="6D491BDC" w14:textId="77777777" w:rsidR="00747647" w:rsidRPr="007B766A" w:rsidRDefault="00747647" w:rsidP="00747647">
      <w:pPr>
        <w:autoSpaceDE w:val="0"/>
        <w:autoSpaceDN w:val="0"/>
        <w:adjustRightInd w:val="0"/>
        <w:spacing w:after="0" w:line="240" w:lineRule="auto"/>
        <w:rPr>
          <w:rFonts w:ascii="Calibri" w:eastAsia="MS Mincho" w:hAnsi="Calibri" w:cs="Calibri"/>
          <w:bCs/>
          <w:color w:val="0000FF"/>
        </w:rPr>
      </w:pPr>
    </w:p>
    <w:p w14:paraId="28BEBFDC" w14:textId="77777777" w:rsidR="00747647" w:rsidRPr="007B766A" w:rsidRDefault="00747647" w:rsidP="00747647">
      <w:pPr>
        <w:autoSpaceDE w:val="0"/>
        <w:autoSpaceDN w:val="0"/>
        <w:adjustRightInd w:val="0"/>
        <w:spacing w:after="0" w:line="240" w:lineRule="auto"/>
        <w:rPr>
          <w:rFonts w:ascii="Calibri" w:eastAsia="MS Mincho" w:hAnsi="Calibri" w:cs="Calibri"/>
          <w:bCs/>
          <w:color w:val="0000FF"/>
        </w:rPr>
      </w:pPr>
      <w:r>
        <w:rPr>
          <w:rFonts w:ascii="Calibri" w:eastAsia="MS Mincho" w:hAnsi="Calibri" w:cs="Calibri"/>
          <w:bCs/>
          <w:color w:val="0000FF"/>
        </w:rPr>
        <w:t>In Model 3</w:t>
      </w:r>
      <w:r w:rsidRPr="007B766A">
        <w:rPr>
          <w:rFonts w:ascii="Calibri" w:eastAsia="MS Mincho" w:hAnsi="Calibri" w:cs="Calibri"/>
          <w:bCs/>
          <w:color w:val="0000FF"/>
        </w:rPr>
        <w:t>, t</w:t>
      </w:r>
      <w:r w:rsidRPr="007B766A">
        <w:rPr>
          <w:iCs/>
          <w:color w:val="0000FF"/>
        </w:rPr>
        <w:t xml:space="preserve">he odds ratio for </w:t>
      </w:r>
      <w:r>
        <w:rPr>
          <w:iCs/>
          <w:color w:val="0000FF"/>
        </w:rPr>
        <w:t>oldest old</w:t>
      </w:r>
      <w:r w:rsidRPr="007B766A">
        <w:rPr>
          <w:iCs/>
          <w:color w:val="0000FF"/>
        </w:rPr>
        <w:t xml:space="preserve"> is </w:t>
      </w:r>
      <w:r>
        <w:rPr>
          <w:iCs/>
          <w:color w:val="0000FF"/>
        </w:rPr>
        <w:t>0.39</w:t>
      </w:r>
      <w:r w:rsidRPr="007B766A">
        <w:rPr>
          <w:iCs/>
          <w:color w:val="0000FF"/>
        </w:rPr>
        <w:t xml:space="preserve"> </w:t>
      </w:r>
      <w:r>
        <w:rPr>
          <w:iCs/>
          <w:color w:val="0000FF"/>
        </w:rPr>
        <w:t>(</w:t>
      </w:r>
      <w:r w:rsidRPr="007B766A">
        <w:rPr>
          <w:iCs/>
          <w:color w:val="0000FF"/>
        </w:rPr>
        <w:t xml:space="preserve">95% CI </w:t>
      </w:r>
      <w:r>
        <w:rPr>
          <w:iCs/>
          <w:color w:val="0000FF"/>
        </w:rPr>
        <w:t>=</w:t>
      </w:r>
      <w:r w:rsidRPr="007B766A">
        <w:rPr>
          <w:iCs/>
          <w:color w:val="0000FF"/>
        </w:rPr>
        <w:t xml:space="preserve"> </w:t>
      </w:r>
      <w:r>
        <w:rPr>
          <w:iCs/>
          <w:color w:val="0000FF"/>
        </w:rPr>
        <w:t>[0.385,</w:t>
      </w:r>
      <w:r w:rsidRPr="007B766A">
        <w:rPr>
          <w:iCs/>
          <w:color w:val="0000FF"/>
        </w:rPr>
        <w:t xml:space="preserve"> </w:t>
      </w:r>
      <w:r>
        <w:rPr>
          <w:iCs/>
          <w:color w:val="0000FF"/>
        </w:rPr>
        <w:t>0.397</w:t>
      </w:r>
      <w:r w:rsidRPr="007B766A">
        <w:rPr>
          <w:iCs/>
          <w:color w:val="0000FF"/>
        </w:rPr>
        <w:t>]</w:t>
      </w:r>
      <w:r>
        <w:rPr>
          <w:iCs/>
          <w:color w:val="0000FF"/>
        </w:rPr>
        <w:t>)</w:t>
      </w:r>
      <w:r w:rsidRPr="007B766A">
        <w:rPr>
          <w:iCs/>
          <w:color w:val="0000FF"/>
        </w:rPr>
        <w:t xml:space="preserve">, and the odds ratio for male gender is </w:t>
      </w:r>
      <w:r>
        <w:rPr>
          <w:iCs/>
          <w:color w:val="0000FF"/>
        </w:rPr>
        <w:t>0.72</w:t>
      </w:r>
      <w:r w:rsidRPr="007B766A">
        <w:rPr>
          <w:iCs/>
          <w:color w:val="0000FF"/>
        </w:rPr>
        <w:t xml:space="preserve"> </w:t>
      </w:r>
      <w:r>
        <w:rPr>
          <w:iCs/>
          <w:color w:val="0000FF"/>
        </w:rPr>
        <w:t>(</w:t>
      </w:r>
      <w:r w:rsidRPr="007B766A">
        <w:rPr>
          <w:iCs/>
          <w:color w:val="0000FF"/>
        </w:rPr>
        <w:t xml:space="preserve">95% CI </w:t>
      </w:r>
      <w:r>
        <w:rPr>
          <w:iCs/>
          <w:color w:val="0000FF"/>
        </w:rPr>
        <w:t>=</w:t>
      </w:r>
      <w:r w:rsidRPr="007B766A">
        <w:rPr>
          <w:iCs/>
          <w:color w:val="0000FF"/>
        </w:rPr>
        <w:t xml:space="preserve"> </w:t>
      </w:r>
      <w:r>
        <w:rPr>
          <w:iCs/>
          <w:color w:val="0000FF"/>
        </w:rPr>
        <w:t>[0.71,</w:t>
      </w:r>
      <w:r w:rsidRPr="007B766A">
        <w:rPr>
          <w:iCs/>
          <w:color w:val="0000FF"/>
        </w:rPr>
        <w:t xml:space="preserve"> </w:t>
      </w:r>
      <w:r>
        <w:rPr>
          <w:iCs/>
          <w:color w:val="0000FF"/>
        </w:rPr>
        <w:t>0.73</w:t>
      </w:r>
      <w:r w:rsidRPr="007B766A">
        <w:rPr>
          <w:iCs/>
          <w:color w:val="0000FF"/>
        </w:rPr>
        <w:t>]</w:t>
      </w:r>
      <w:r>
        <w:rPr>
          <w:iCs/>
          <w:color w:val="0000FF"/>
        </w:rPr>
        <w:t>)</w:t>
      </w:r>
      <w:r w:rsidRPr="007B766A">
        <w:rPr>
          <w:iCs/>
          <w:color w:val="0000FF"/>
        </w:rPr>
        <w:t xml:space="preserve">. Both odds ratios are statistically significant </w:t>
      </w:r>
      <w:r>
        <w:rPr>
          <w:iCs/>
          <w:color w:val="0000FF"/>
        </w:rPr>
        <w:t>the 0.05 level</w:t>
      </w:r>
      <w:r w:rsidRPr="007B766A">
        <w:rPr>
          <w:iCs/>
          <w:color w:val="0000FF"/>
        </w:rPr>
        <w:t xml:space="preserve">. </w:t>
      </w:r>
      <w:proofErr w:type="gramStart"/>
      <w:r w:rsidRPr="007B766A">
        <w:rPr>
          <w:iCs/>
          <w:color w:val="0000FF"/>
        </w:rPr>
        <w:t>Similar to</w:t>
      </w:r>
      <w:proofErr w:type="gramEnd"/>
      <w:r w:rsidRPr="007B766A">
        <w:rPr>
          <w:iCs/>
          <w:color w:val="0000FF"/>
        </w:rPr>
        <w:t xml:space="preserve"> </w:t>
      </w:r>
      <w:r>
        <w:rPr>
          <w:iCs/>
          <w:color w:val="0000FF"/>
        </w:rPr>
        <w:t xml:space="preserve">Models 1 and 2, </w:t>
      </w:r>
      <w:r w:rsidRPr="007B766A">
        <w:rPr>
          <w:iCs/>
          <w:color w:val="0000FF"/>
        </w:rPr>
        <w:t xml:space="preserve">the odds of self-reporting moderate to severe pain are </w:t>
      </w:r>
      <w:r>
        <w:rPr>
          <w:iCs/>
          <w:color w:val="0000FF"/>
        </w:rPr>
        <w:t>61</w:t>
      </w:r>
      <w:r w:rsidRPr="007B766A">
        <w:rPr>
          <w:iCs/>
          <w:color w:val="0000FF"/>
        </w:rPr>
        <w:t xml:space="preserve">% lower among </w:t>
      </w:r>
      <w:r w:rsidRPr="007B766A">
        <w:rPr>
          <w:rFonts w:ascii="Calibri" w:eastAsia="MS Mincho" w:hAnsi="Calibri" w:cs="Calibri"/>
          <w:bCs/>
          <w:color w:val="0000FF"/>
        </w:rPr>
        <w:t>residents aged 85 and older, compared to younger residents</w:t>
      </w:r>
      <w:r>
        <w:rPr>
          <w:iCs/>
          <w:color w:val="0000FF"/>
        </w:rPr>
        <w:t xml:space="preserve">, and 28% lower among </w:t>
      </w:r>
      <w:r w:rsidRPr="007B766A">
        <w:rPr>
          <w:iCs/>
          <w:color w:val="0000FF"/>
        </w:rPr>
        <w:t xml:space="preserve">male residents than female residents. </w:t>
      </w:r>
    </w:p>
    <w:p w14:paraId="38D314FE" w14:textId="77777777" w:rsidR="00747647" w:rsidRDefault="00747647" w:rsidP="00747647">
      <w:pPr>
        <w:autoSpaceDE w:val="0"/>
        <w:autoSpaceDN w:val="0"/>
        <w:adjustRightInd w:val="0"/>
        <w:spacing w:after="0" w:line="240" w:lineRule="auto"/>
        <w:rPr>
          <w:rFonts w:ascii="Calibri" w:eastAsia="MS Mincho" w:hAnsi="Calibri" w:cs="Calibri"/>
          <w:bCs/>
          <w:color w:val="0000FF"/>
        </w:rPr>
      </w:pPr>
    </w:p>
    <w:p w14:paraId="14D92559" w14:textId="77777777" w:rsidR="00747647" w:rsidRDefault="00747647" w:rsidP="00747647">
      <w:pPr>
        <w:autoSpaceDE w:val="0"/>
        <w:autoSpaceDN w:val="0"/>
        <w:adjustRightInd w:val="0"/>
        <w:spacing w:after="0" w:line="240" w:lineRule="auto"/>
        <w:rPr>
          <w:iCs/>
          <w:color w:val="0000FF"/>
        </w:rPr>
      </w:pPr>
      <w:r>
        <w:rPr>
          <w:rFonts w:ascii="Calibri" w:eastAsia="MS Mincho" w:hAnsi="Calibri" w:cs="Calibri"/>
          <w:bCs/>
          <w:color w:val="0000FF"/>
        </w:rPr>
        <w:t>In Model 4</w:t>
      </w:r>
      <w:r w:rsidRPr="007B766A">
        <w:rPr>
          <w:rFonts w:ascii="Calibri" w:eastAsia="MS Mincho" w:hAnsi="Calibri" w:cs="Calibri"/>
          <w:bCs/>
          <w:color w:val="0000FF"/>
        </w:rPr>
        <w:t>, t</w:t>
      </w:r>
      <w:r w:rsidRPr="007B766A">
        <w:rPr>
          <w:iCs/>
          <w:color w:val="0000FF"/>
        </w:rPr>
        <w:t xml:space="preserve">he odds ratio for cognitive independence is </w:t>
      </w:r>
      <w:r>
        <w:rPr>
          <w:iCs/>
          <w:color w:val="0000FF"/>
        </w:rPr>
        <w:t>1.89</w:t>
      </w:r>
      <w:r w:rsidRPr="007B766A">
        <w:rPr>
          <w:iCs/>
          <w:color w:val="0000FF"/>
        </w:rPr>
        <w:t xml:space="preserve"> </w:t>
      </w:r>
      <w:r>
        <w:rPr>
          <w:iCs/>
          <w:color w:val="0000FF"/>
        </w:rPr>
        <w:t>(</w:t>
      </w:r>
      <w:r w:rsidRPr="007B766A">
        <w:rPr>
          <w:iCs/>
          <w:color w:val="0000FF"/>
        </w:rPr>
        <w:t xml:space="preserve">95% CI </w:t>
      </w:r>
      <w:r>
        <w:rPr>
          <w:iCs/>
          <w:color w:val="0000FF"/>
        </w:rPr>
        <w:t>=</w:t>
      </w:r>
      <w:r w:rsidRPr="007B766A">
        <w:rPr>
          <w:iCs/>
          <w:color w:val="0000FF"/>
        </w:rPr>
        <w:t xml:space="preserve"> </w:t>
      </w:r>
      <w:r>
        <w:rPr>
          <w:iCs/>
          <w:color w:val="0000FF"/>
        </w:rPr>
        <w:t>[1.85,</w:t>
      </w:r>
      <w:r w:rsidRPr="007B766A">
        <w:rPr>
          <w:iCs/>
          <w:color w:val="0000FF"/>
        </w:rPr>
        <w:t xml:space="preserve"> </w:t>
      </w:r>
      <w:r>
        <w:rPr>
          <w:iCs/>
          <w:color w:val="0000FF"/>
        </w:rPr>
        <w:t>1.92</w:t>
      </w:r>
      <w:r w:rsidRPr="007B766A">
        <w:rPr>
          <w:iCs/>
          <w:color w:val="0000FF"/>
        </w:rPr>
        <w:t>]</w:t>
      </w:r>
      <w:r>
        <w:rPr>
          <w:iCs/>
          <w:color w:val="0000FF"/>
        </w:rPr>
        <w:t>)</w:t>
      </w:r>
      <w:r w:rsidRPr="007B766A">
        <w:rPr>
          <w:iCs/>
          <w:color w:val="0000FF"/>
        </w:rPr>
        <w:t xml:space="preserve">, and the odds ratio for </w:t>
      </w:r>
      <w:r>
        <w:rPr>
          <w:iCs/>
          <w:color w:val="0000FF"/>
        </w:rPr>
        <w:t>oldest old</w:t>
      </w:r>
      <w:r w:rsidRPr="007B766A">
        <w:rPr>
          <w:iCs/>
          <w:color w:val="0000FF"/>
        </w:rPr>
        <w:t xml:space="preserve"> is </w:t>
      </w:r>
      <w:r>
        <w:rPr>
          <w:iCs/>
          <w:color w:val="0000FF"/>
        </w:rPr>
        <w:t>0.45</w:t>
      </w:r>
      <w:r w:rsidRPr="007B766A">
        <w:rPr>
          <w:iCs/>
          <w:color w:val="0000FF"/>
        </w:rPr>
        <w:t xml:space="preserve"> </w:t>
      </w:r>
      <w:r>
        <w:rPr>
          <w:iCs/>
          <w:color w:val="0000FF"/>
        </w:rPr>
        <w:t>(</w:t>
      </w:r>
      <w:r w:rsidRPr="007B766A">
        <w:rPr>
          <w:iCs/>
          <w:color w:val="0000FF"/>
        </w:rPr>
        <w:t xml:space="preserve">95% CI </w:t>
      </w:r>
      <w:r>
        <w:rPr>
          <w:iCs/>
          <w:color w:val="0000FF"/>
        </w:rPr>
        <w:t>=</w:t>
      </w:r>
      <w:r w:rsidRPr="007B766A">
        <w:rPr>
          <w:iCs/>
          <w:color w:val="0000FF"/>
        </w:rPr>
        <w:t xml:space="preserve"> </w:t>
      </w:r>
      <w:r>
        <w:rPr>
          <w:iCs/>
          <w:color w:val="0000FF"/>
        </w:rPr>
        <w:t>[0.44, 0.46</w:t>
      </w:r>
      <w:r w:rsidRPr="007B766A">
        <w:rPr>
          <w:iCs/>
          <w:color w:val="0000FF"/>
        </w:rPr>
        <w:t>]</w:t>
      </w:r>
      <w:r>
        <w:rPr>
          <w:iCs/>
          <w:color w:val="0000FF"/>
        </w:rPr>
        <w:t>)</w:t>
      </w:r>
      <w:r w:rsidRPr="007B766A">
        <w:rPr>
          <w:iCs/>
          <w:color w:val="0000FF"/>
        </w:rPr>
        <w:t xml:space="preserve">. Both odds ratios are statistically significant at </w:t>
      </w:r>
      <w:r>
        <w:rPr>
          <w:iCs/>
          <w:color w:val="0000FF"/>
        </w:rPr>
        <w:t>the 0.05 level. Consistent with the literature and with the model adjusting for cognitive independence only, t</w:t>
      </w:r>
      <w:r w:rsidRPr="007B766A">
        <w:rPr>
          <w:iCs/>
          <w:color w:val="0000FF"/>
        </w:rPr>
        <w:t xml:space="preserve">he odds of self-reporting moderate to severe pain are </w:t>
      </w:r>
      <w:r>
        <w:rPr>
          <w:iCs/>
          <w:color w:val="0000FF"/>
        </w:rPr>
        <w:t>0.89</w:t>
      </w:r>
      <w:r w:rsidRPr="007B766A">
        <w:rPr>
          <w:iCs/>
          <w:color w:val="0000FF"/>
        </w:rPr>
        <w:t xml:space="preserve"> times higher among those with no impairment in cognitive status, compared to those with cognitive impairments.  In addition, the odds of self-reporting moderate to severe pain are </w:t>
      </w:r>
      <w:r>
        <w:rPr>
          <w:iCs/>
          <w:color w:val="0000FF"/>
        </w:rPr>
        <w:t>55</w:t>
      </w:r>
      <w:r w:rsidRPr="007B766A">
        <w:rPr>
          <w:iCs/>
          <w:color w:val="0000FF"/>
        </w:rPr>
        <w:t xml:space="preserve">% lower among </w:t>
      </w:r>
      <w:r w:rsidRPr="007B766A">
        <w:rPr>
          <w:rFonts w:ascii="Calibri" w:eastAsia="MS Mincho" w:hAnsi="Calibri" w:cs="Calibri"/>
          <w:bCs/>
          <w:color w:val="0000FF"/>
        </w:rPr>
        <w:t>residents aged 85 and older, compared to younger residents</w:t>
      </w:r>
      <w:r w:rsidRPr="007B766A">
        <w:rPr>
          <w:iCs/>
          <w:color w:val="0000FF"/>
        </w:rPr>
        <w:t xml:space="preserve">. </w:t>
      </w:r>
    </w:p>
    <w:p w14:paraId="697A8F56" w14:textId="77777777" w:rsidR="00747647" w:rsidRDefault="00747647" w:rsidP="00747647">
      <w:pPr>
        <w:autoSpaceDE w:val="0"/>
        <w:autoSpaceDN w:val="0"/>
        <w:adjustRightInd w:val="0"/>
        <w:spacing w:after="0" w:line="240" w:lineRule="auto"/>
        <w:rPr>
          <w:iCs/>
          <w:color w:val="0000FF"/>
        </w:rPr>
      </w:pPr>
    </w:p>
    <w:p w14:paraId="1DD9C570" w14:textId="77777777" w:rsidR="00747647" w:rsidRPr="007B766A" w:rsidRDefault="00747647" w:rsidP="00747647">
      <w:pPr>
        <w:autoSpaceDE w:val="0"/>
        <w:autoSpaceDN w:val="0"/>
        <w:adjustRightInd w:val="0"/>
        <w:spacing w:after="0" w:line="240" w:lineRule="auto"/>
        <w:rPr>
          <w:rFonts w:ascii="Calibri" w:eastAsia="MS Mincho" w:hAnsi="Calibri" w:cs="Calibri"/>
          <w:bCs/>
          <w:color w:val="0000FF"/>
        </w:rPr>
      </w:pPr>
      <w:r>
        <w:rPr>
          <w:rFonts w:ascii="Calibri" w:eastAsia="MS Mincho" w:hAnsi="Calibri" w:cs="Calibri"/>
          <w:bCs/>
          <w:color w:val="0000FF"/>
        </w:rPr>
        <w:t>In Model 5</w:t>
      </w:r>
      <w:r w:rsidRPr="007B766A">
        <w:rPr>
          <w:rFonts w:ascii="Calibri" w:eastAsia="MS Mincho" w:hAnsi="Calibri" w:cs="Calibri"/>
          <w:bCs/>
          <w:color w:val="0000FF"/>
        </w:rPr>
        <w:t>, t</w:t>
      </w:r>
      <w:r w:rsidRPr="007B766A">
        <w:rPr>
          <w:iCs/>
          <w:color w:val="0000FF"/>
        </w:rPr>
        <w:t xml:space="preserve">he odds ratio for cognitive independence is </w:t>
      </w:r>
      <w:r>
        <w:rPr>
          <w:iCs/>
          <w:color w:val="0000FF"/>
        </w:rPr>
        <w:t>2.15</w:t>
      </w:r>
      <w:r w:rsidRPr="007B766A">
        <w:rPr>
          <w:iCs/>
          <w:color w:val="0000FF"/>
        </w:rPr>
        <w:t xml:space="preserve"> </w:t>
      </w:r>
      <w:r>
        <w:rPr>
          <w:iCs/>
          <w:color w:val="0000FF"/>
        </w:rPr>
        <w:t>(</w:t>
      </w:r>
      <w:r w:rsidRPr="007B766A">
        <w:rPr>
          <w:iCs/>
          <w:color w:val="0000FF"/>
        </w:rPr>
        <w:t xml:space="preserve">95% CI </w:t>
      </w:r>
      <w:r>
        <w:rPr>
          <w:iCs/>
          <w:color w:val="0000FF"/>
        </w:rPr>
        <w:t>=</w:t>
      </w:r>
      <w:r w:rsidRPr="007B766A">
        <w:rPr>
          <w:iCs/>
          <w:color w:val="0000FF"/>
        </w:rPr>
        <w:t xml:space="preserve"> </w:t>
      </w:r>
      <w:r>
        <w:rPr>
          <w:iCs/>
          <w:color w:val="0000FF"/>
        </w:rPr>
        <w:t>[2.11,</w:t>
      </w:r>
      <w:r w:rsidRPr="007B766A">
        <w:rPr>
          <w:iCs/>
          <w:color w:val="0000FF"/>
        </w:rPr>
        <w:t xml:space="preserve"> </w:t>
      </w:r>
      <w:r>
        <w:rPr>
          <w:iCs/>
          <w:color w:val="0000FF"/>
        </w:rPr>
        <w:t>2.19</w:t>
      </w:r>
      <w:r w:rsidRPr="007B766A">
        <w:rPr>
          <w:iCs/>
          <w:color w:val="0000FF"/>
        </w:rPr>
        <w:t>]</w:t>
      </w:r>
      <w:r>
        <w:rPr>
          <w:iCs/>
          <w:color w:val="0000FF"/>
        </w:rPr>
        <w:t>)</w:t>
      </w:r>
      <w:r w:rsidRPr="007B766A">
        <w:rPr>
          <w:iCs/>
          <w:color w:val="0000FF"/>
        </w:rPr>
        <w:t xml:space="preserve">, and the odds ratio for </w:t>
      </w:r>
      <w:r>
        <w:rPr>
          <w:iCs/>
          <w:color w:val="0000FF"/>
        </w:rPr>
        <w:t>male gender</w:t>
      </w:r>
      <w:r w:rsidRPr="007B766A">
        <w:rPr>
          <w:iCs/>
          <w:color w:val="0000FF"/>
        </w:rPr>
        <w:t xml:space="preserve"> is </w:t>
      </w:r>
      <w:r>
        <w:rPr>
          <w:iCs/>
          <w:color w:val="0000FF"/>
        </w:rPr>
        <w:t>0.78</w:t>
      </w:r>
      <w:r w:rsidRPr="007B766A">
        <w:rPr>
          <w:iCs/>
          <w:color w:val="0000FF"/>
        </w:rPr>
        <w:t xml:space="preserve"> </w:t>
      </w:r>
      <w:r>
        <w:rPr>
          <w:iCs/>
          <w:color w:val="0000FF"/>
        </w:rPr>
        <w:t>(</w:t>
      </w:r>
      <w:r w:rsidRPr="007B766A">
        <w:rPr>
          <w:iCs/>
          <w:color w:val="0000FF"/>
        </w:rPr>
        <w:t xml:space="preserve">95% CI </w:t>
      </w:r>
      <w:r>
        <w:rPr>
          <w:iCs/>
          <w:color w:val="0000FF"/>
        </w:rPr>
        <w:t>=</w:t>
      </w:r>
      <w:r w:rsidRPr="007B766A">
        <w:rPr>
          <w:iCs/>
          <w:color w:val="0000FF"/>
        </w:rPr>
        <w:t xml:space="preserve"> </w:t>
      </w:r>
      <w:r>
        <w:rPr>
          <w:iCs/>
          <w:color w:val="0000FF"/>
        </w:rPr>
        <w:t>[0.77,</w:t>
      </w:r>
      <w:r w:rsidRPr="007B766A">
        <w:rPr>
          <w:iCs/>
          <w:color w:val="0000FF"/>
        </w:rPr>
        <w:t xml:space="preserve"> </w:t>
      </w:r>
      <w:r>
        <w:rPr>
          <w:iCs/>
          <w:color w:val="0000FF"/>
        </w:rPr>
        <w:t>0.79</w:t>
      </w:r>
      <w:r w:rsidRPr="007B766A">
        <w:rPr>
          <w:iCs/>
          <w:color w:val="0000FF"/>
        </w:rPr>
        <w:t>]</w:t>
      </w:r>
      <w:r>
        <w:rPr>
          <w:iCs/>
          <w:color w:val="0000FF"/>
        </w:rPr>
        <w:t>)</w:t>
      </w:r>
      <w:r w:rsidRPr="007B766A">
        <w:rPr>
          <w:iCs/>
          <w:color w:val="0000FF"/>
        </w:rPr>
        <w:t xml:space="preserve">. Both odds ratios are statistically significant at </w:t>
      </w:r>
      <w:r>
        <w:rPr>
          <w:iCs/>
          <w:color w:val="0000FF"/>
        </w:rPr>
        <w:t>the 0.05 level. Consistent with the literature and with the model adjusting for cognitive independence only</w:t>
      </w:r>
      <w:r w:rsidRPr="007B766A">
        <w:rPr>
          <w:iCs/>
          <w:color w:val="0000FF"/>
        </w:rPr>
        <w:t xml:space="preserve">, the odds of self-reporting moderate to severe pain are over </w:t>
      </w:r>
      <w:r>
        <w:rPr>
          <w:iCs/>
          <w:color w:val="0000FF"/>
        </w:rPr>
        <w:t>1.15</w:t>
      </w:r>
      <w:r w:rsidRPr="007B766A">
        <w:rPr>
          <w:iCs/>
          <w:color w:val="0000FF"/>
        </w:rPr>
        <w:t xml:space="preserve"> times higher among those with no impairment in cognitive status, compared to those with cognitive impairments.  In addition, the odds of self-reporting moderate to severe pain are </w:t>
      </w:r>
      <w:r>
        <w:rPr>
          <w:iCs/>
          <w:color w:val="0000FF"/>
        </w:rPr>
        <w:t>22</w:t>
      </w:r>
      <w:r w:rsidRPr="007B766A">
        <w:rPr>
          <w:iCs/>
          <w:color w:val="0000FF"/>
        </w:rPr>
        <w:t xml:space="preserve">% lower among male residents than female residents. </w:t>
      </w:r>
    </w:p>
    <w:p w14:paraId="46782271" w14:textId="77777777" w:rsidR="00747647" w:rsidRPr="007B766A" w:rsidRDefault="00747647" w:rsidP="00747647">
      <w:pPr>
        <w:autoSpaceDE w:val="0"/>
        <w:autoSpaceDN w:val="0"/>
        <w:adjustRightInd w:val="0"/>
        <w:spacing w:after="0" w:line="240" w:lineRule="auto"/>
        <w:rPr>
          <w:rFonts w:ascii="Calibri" w:eastAsia="MS Mincho" w:hAnsi="Calibri" w:cs="Calibri"/>
          <w:bCs/>
          <w:color w:val="0000FF"/>
        </w:rPr>
      </w:pPr>
    </w:p>
    <w:p w14:paraId="09CE3134" w14:textId="77777777" w:rsidR="00747647" w:rsidRPr="007B766A" w:rsidRDefault="00747647" w:rsidP="00747647">
      <w:pPr>
        <w:autoSpaceDE w:val="0"/>
        <w:autoSpaceDN w:val="0"/>
        <w:adjustRightInd w:val="0"/>
        <w:spacing w:after="0" w:line="240" w:lineRule="auto"/>
        <w:rPr>
          <w:rFonts w:ascii="Calibri" w:eastAsia="MS Mincho" w:hAnsi="Calibri" w:cs="Calibri"/>
          <w:bCs/>
          <w:color w:val="0000FF"/>
        </w:rPr>
      </w:pPr>
      <w:r>
        <w:rPr>
          <w:rFonts w:ascii="Calibri" w:eastAsia="MS Mincho" w:hAnsi="Calibri" w:cs="Calibri"/>
          <w:bCs/>
          <w:color w:val="0000FF"/>
        </w:rPr>
        <w:t>In Model 6</w:t>
      </w:r>
      <w:r w:rsidRPr="007B766A">
        <w:rPr>
          <w:rFonts w:ascii="Calibri" w:eastAsia="MS Mincho" w:hAnsi="Calibri" w:cs="Calibri"/>
          <w:bCs/>
          <w:color w:val="0000FF"/>
        </w:rPr>
        <w:t>, t</w:t>
      </w:r>
      <w:r w:rsidRPr="007B766A">
        <w:rPr>
          <w:iCs/>
          <w:color w:val="0000FF"/>
        </w:rPr>
        <w:t xml:space="preserve">he odds ratio for cognitive independence is </w:t>
      </w:r>
      <w:r>
        <w:rPr>
          <w:iCs/>
          <w:color w:val="0000FF"/>
        </w:rPr>
        <w:t>1.85</w:t>
      </w:r>
      <w:r w:rsidRPr="007B766A">
        <w:rPr>
          <w:iCs/>
          <w:color w:val="0000FF"/>
        </w:rPr>
        <w:t xml:space="preserve"> </w:t>
      </w:r>
      <w:r>
        <w:rPr>
          <w:iCs/>
          <w:color w:val="0000FF"/>
        </w:rPr>
        <w:t>(</w:t>
      </w:r>
      <w:r w:rsidRPr="007B766A">
        <w:rPr>
          <w:iCs/>
          <w:color w:val="0000FF"/>
        </w:rPr>
        <w:t xml:space="preserve">95% CI </w:t>
      </w:r>
      <w:r>
        <w:rPr>
          <w:iCs/>
          <w:color w:val="0000FF"/>
        </w:rPr>
        <w:t>=</w:t>
      </w:r>
      <w:r w:rsidRPr="007B766A">
        <w:rPr>
          <w:iCs/>
          <w:color w:val="0000FF"/>
        </w:rPr>
        <w:t xml:space="preserve"> </w:t>
      </w:r>
      <w:r>
        <w:rPr>
          <w:iCs/>
          <w:color w:val="0000FF"/>
        </w:rPr>
        <w:t>[1.82,</w:t>
      </w:r>
      <w:r w:rsidRPr="007B766A">
        <w:rPr>
          <w:iCs/>
          <w:color w:val="0000FF"/>
        </w:rPr>
        <w:t xml:space="preserve"> </w:t>
      </w:r>
      <w:r>
        <w:rPr>
          <w:iCs/>
          <w:color w:val="0000FF"/>
        </w:rPr>
        <w:t>1.88</w:t>
      </w:r>
      <w:r w:rsidRPr="007B766A">
        <w:rPr>
          <w:iCs/>
          <w:color w:val="0000FF"/>
        </w:rPr>
        <w:t>]</w:t>
      </w:r>
      <w:r>
        <w:rPr>
          <w:iCs/>
          <w:color w:val="0000FF"/>
        </w:rPr>
        <w:t>)</w:t>
      </w:r>
      <w:r w:rsidRPr="007B766A">
        <w:rPr>
          <w:iCs/>
          <w:color w:val="0000FF"/>
        </w:rPr>
        <w:t xml:space="preserve">, the odds ratio for oldest old is </w:t>
      </w:r>
      <w:r>
        <w:rPr>
          <w:iCs/>
          <w:color w:val="0000FF"/>
        </w:rPr>
        <w:t>0.43</w:t>
      </w:r>
      <w:r w:rsidRPr="007B766A">
        <w:rPr>
          <w:iCs/>
          <w:color w:val="0000FF"/>
        </w:rPr>
        <w:t xml:space="preserve"> </w:t>
      </w:r>
      <w:r>
        <w:rPr>
          <w:iCs/>
          <w:color w:val="0000FF"/>
        </w:rPr>
        <w:t>(</w:t>
      </w:r>
      <w:r w:rsidRPr="007B766A">
        <w:rPr>
          <w:iCs/>
          <w:color w:val="0000FF"/>
        </w:rPr>
        <w:t xml:space="preserve">95% CI </w:t>
      </w:r>
      <w:r>
        <w:rPr>
          <w:iCs/>
          <w:color w:val="0000FF"/>
        </w:rPr>
        <w:t>=</w:t>
      </w:r>
      <w:r w:rsidRPr="007B766A">
        <w:rPr>
          <w:iCs/>
          <w:color w:val="0000FF"/>
        </w:rPr>
        <w:t xml:space="preserve"> </w:t>
      </w:r>
      <w:r>
        <w:rPr>
          <w:iCs/>
          <w:color w:val="0000FF"/>
        </w:rPr>
        <w:t>[0.425,</w:t>
      </w:r>
      <w:r w:rsidRPr="007B766A">
        <w:rPr>
          <w:iCs/>
          <w:color w:val="0000FF"/>
        </w:rPr>
        <w:t xml:space="preserve"> </w:t>
      </w:r>
      <w:r>
        <w:rPr>
          <w:iCs/>
          <w:color w:val="0000FF"/>
        </w:rPr>
        <w:t>0.442</w:t>
      </w:r>
      <w:r w:rsidRPr="007B766A">
        <w:rPr>
          <w:iCs/>
          <w:color w:val="0000FF"/>
        </w:rPr>
        <w:t>]</w:t>
      </w:r>
      <w:r>
        <w:rPr>
          <w:iCs/>
          <w:color w:val="0000FF"/>
        </w:rPr>
        <w:t>)</w:t>
      </w:r>
      <w:r w:rsidRPr="007B766A">
        <w:rPr>
          <w:iCs/>
          <w:color w:val="0000FF"/>
        </w:rPr>
        <w:t xml:space="preserve">, and the odds ratio for male gender is </w:t>
      </w:r>
      <w:r>
        <w:rPr>
          <w:iCs/>
          <w:color w:val="0000FF"/>
        </w:rPr>
        <w:t>0.73</w:t>
      </w:r>
      <w:r w:rsidRPr="007B766A">
        <w:rPr>
          <w:iCs/>
          <w:color w:val="0000FF"/>
        </w:rPr>
        <w:t xml:space="preserve"> </w:t>
      </w:r>
      <w:r>
        <w:rPr>
          <w:iCs/>
          <w:color w:val="0000FF"/>
        </w:rPr>
        <w:t>(</w:t>
      </w:r>
      <w:r w:rsidRPr="007B766A">
        <w:rPr>
          <w:iCs/>
          <w:color w:val="0000FF"/>
        </w:rPr>
        <w:t xml:space="preserve">95% CI </w:t>
      </w:r>
      <w:r>
        <w:rPr>
          <w:iCs/>
          <w:color w:val="0000FF"/>
        </w:rPr>
        <w:t>=</w:t>
      </w:r>
      <w:r w:rsidRPr="007B766A">
        <w:rPr>
          <w:iCs/>
          <w:color w:val="0000FF"/>
        </w:rPr>
        <w:t xml:space="preserve"> </w:t>
      </w:r>
      <w:r>
        <w:rPr>
          <w:iCs/>
          <w:color w:val="0000FF"/>
        </w:rPr>
        <w:t>[0.72,</w:t>
      </w:r>
      <w:r w:rsidRPr="007B766A">
        <w:rPr>
          <w:iCs/>
          <w:color w:val="0000FF"/>
        </w:rPr>
        <w:t xml:space="preserve"> </w:t>
      </w:r>
      <w:r>
        <w:rPr>
          <w:iCs/>
          <w:color w:val="0000FF"/>
        </w:rPr>
        <w:t>0.74</w:t>
      </w:r>
      <w:r w:rsidRPr="007B766A">
        <w:rPr>
          <w:iCs/>
          <w:color w:val="0000FF"/>
        </w:rPr>
        <w:t>]</w:t>
      </w:r>
      <w:r>
        <w:rPr>
          <w:iCs/>
          <w:color w:val="0000FF"/>
        </w:rPr>
        <w:t>)</w:t>
      </w:r>
      <w:r w:rsidRPr="007B766A">
        <w:rPr>
          <w:iCs/>
          <w:color w:val="0000FF"/>
        </w:rPr>
        <w:t xml:space="preserve">. All odds ratios are statistically significant at </w:t>
      </w:r>
      <w:r>
        <w:rPr>
          <w:iCs/>
          <w:color w:val="0000FF"/>
        </w:rPr>
        <w:t>the</w:t>
      </w:r>
      <w:r w:rsidRPr="007B766A">
        <w:rPr>
          <w:iCs/>
          <w:color w:val="0000FF"/>
        </w:rPr>
        <w:t xml:space="preserve"> 0.05</w:t>
      </w:r>
      <w:r>
        <w:rPr>
          <w:iCs/>
          <w:color w:val="0000FF"/>
        </w:rPr>
        <w:t xml:space="preserve"> level</w:t>
      </w:r>
      <w:r w:rsidRPr="007B766A">
        <w:rPr>
          <w:iCs/>
          <w:color w:val="0000FF"/>
        </w:rPr>
        <w:t>.</w:t>
      </w:r>
      <w:r>
        <w:rPr>
          <w:iCs/>
          <w:color w:val="0000FF"/>
        </w:rPr>
        <w:t xml:space="preserve">  Consistent with the literature and prior models</w:t>
      </w:r>
      <w:r w:rsidRPr="007B766A">
        <w:rPr>
          <w:iCs/>
          <w:color w:val="0000FF"/>
        </w:rPr>
        <w:t xml:space="preserve">, the odds of self-reporting moderate to severe pain are over </w:t>
      </w:r>
      <w:r>
        <w:rPr>
          <w:iCs/>
          <w:color w:val="0000FF"/>
        </w:rPr>
        <w:t>0.85</w:t>
      </w:r>
      <w:r w:rsidRPr="007B766A">
        <w:rPr>
          <w:iCs/>
          <w:color w:val="0000FF"/>
        </w:rPr>
        <w:t xml:space="preserve"> times higher among those with no impairment in cognitive status, compared to those with cognitive </w:t>
      </w:r>
      <w:r>
        <w:rPr>
          <w:iCs/>
          <w:color w:val="0000FF"/>
        </w:rPr>
        <w:t>impairments.  As in Models 1 and 3</w:t>
      </w:r>
      <w:r w:rsidRPr="007B766A">
        <w:rPr>
          <w:iCs/>
          <w:color w:val="0000FF"/>
        </w:rPr>
        <w:t xml:space="preserve">, </w:t>
      </w:r>
      <w:r w:rsidRPr="007B766A">
        <w:rPr>
          <w:rFonts w:ascii="Calibri" w:eastAsia="MS Mincho" w:hAnsi="Calibri" w:cs="Calibri"/>
          <w:bCs/>
          <w:color w:val="0000FF"/>
        </w:rPr>
        <w:t xml:space="preserve">the odds of self-reporting moderate to severe pain are </w:t>
      </w:r>
      <w:r>
        <w:rPr>
          <w:rFonts w:ascii="Calibri" w:eastAsia="MS Mincho" w:hAnsi="Calibri" w:cs="Calibri"/>
          <w:bCs/>
          <w:color w:val="0000FF"/>
        </w:rPr>
        <w:t>57</w:t>
      </w:r>
      <w:r w:rsidRPr="007B766A">
        <w:rPr>
          <w:rFonts w:ascii="Calibri" w:eastAsia="MS Mincho" w:hAnsi="Calibri" w:cs="Calibri"/>
          <w:bCs/>
          <w:color w:val="0000FF"/>
        </w:rPr>
        <w:t xml:space="preserve">% lower among residents aged 85 and older, compared to younger residents.  </w:t>
      </w:r>
      <w:r>
        <w:rPr>
          <w:rFonts w:ascii="Calibri" w:eastAsia="MS Mincho" w:hAnsi="Calibri" w:cs="Calibri"/>
          <w:bCs/>
          <w:color w:val="0000FF"/>
        </w:rPr>
        <w:t xml:space="preserve">The </w:t>
      </w:r>
      <w:r w:rsidRPr="007B766A">
        <w:rPr>
          <w:iCs/>
          <w:color w:val="0000FF"/>
        </w:rPr>
        <w:t xml:space="preserve">odds of self-reporting moderate to severe pain are </w:t>
      </w:r>
      <w:r>
        <w:rPr>
          <w:iCs/>
          <w:color w:val="0000FF"/>
        </w:rPr>
        <w:t>27</w:t>
      </w:r>
      <w:r w:rsidRPr="007B766A">
        <w:rPr>
          <w:iCs/>
          <w:color w:val="0000FF"/>
        </w:rPr>
        <w:t xml:space="preserve">% lower among male residents than female residents.  </w:t>
      </w:r>
    </w:p>
    <w:p w14:paraId="46425DCC" w14:textId="77777777" w:rsidR="00747647" w:rsidRPr="007B766A" w:rsidRDefault="00747647" w:rsidP="00747647">
      <w:pPr>
        <w:autoSpaceDE w:val="0"/>
        <w:autoSpaceDN w:val="0"/>
        <w:adjustRightInd w:val="0"/>
        <w:spacing w:after="0" w:line="240" w:lineRule="auto"/>
        <w:rPr>
          <w:rFonts w:ascii="Calibri" w:eastAsia="MS Mincho" w:hAnsi="Calibri" w:cs="Calibri"/>
          <w:bCs/>
          <w:color w:val="0000FF"/>
        </w:rPr>
      </w:pPr>
    </w:p>
    <w:p w14:paraId="7B154701" w14:textId="3640C98C" w:rsidR="00747647" w:rsidRDefault="00747647" w:rsidP="00747647">
      <w:pPr>
        <w:autoSpaceDE w:val="0"/>
        <w:autoSpaceDN w:val="0"/>
        <w:adjustRightInd w:val="0"/>
        <w:spacing w:after="0" w:line="240" w:lineRule="auto"/>
        <w:rPr>
          <w:rFonts w:ascii="Calibri" w:eastAsia="MS Mincho" w:hAnsi="Calibri" w:cs="Calibri"/>
          <w:bCs/>
          <w:color w:val="0000FF"/>
        </w:rPr>
      </w:pPr>
      <w:r w:rsidRPr="007B766A">
        <w:rPr>
          <w:rFonts w:ascii="Calibri" w:eastAsia="MS Mincho" w:hAnsi="Calibri" w:cs="Calibri"/>
          <w:bCs/>
          <w:color w:val="0000FF"/>
        </w:rPr>
        <w:t xml:space="preserve">We then compared the model fit and calibration for these </w:t>
      </w:r>
      <w:r>
        <w:rPr>
          <w:rFonts w:ascii="Calibri" w:eastAsia="MS Mincho" w:hAnsi="Calibri" w:cs="Calibri"/>
          <w:bCs/>
          <w:color w:val="0000FF"/>
        </w:rPr>
        <w:t>six</w:t>
      </w:r>
      <w:r w:rsidRPr="007B766A">
        <w:rPr>
          <w:rFonts w:ascii="Calibri" w:eastAsia="MS Mincho" w:hAnsi="Calibri" w:cs="Calibri"/>
          <w:bCs/>
          <w:color w:val="0000FF"/>
        </w:rPr>
        <w:t xml:space="preserve"> models to </w:t>
      </w:r>
      <w:r>
        <w:rPr>
          <w:rFonts w:ascii="Calibri" w:eastAsia="MS Mincho" w:hAnsi="Calibri" w:cs="Calibri"/>
          <w:bCs/>
          <w:color w:val="0000FF"/>
        </w:rPr>
        <w:t>the model adjusting for cognitive independence only</w:t>
      </w:r>
      <w:r w:rsidRPr="007B766A">
        <w:rPr>
          <w:rFonts w:ascii="Calibri" w:eastAsia="MS Mincho" w:hAnsi="Calibri" w:cs="Calibri"/>
          <w:bCs/>
          <w:color w:val="0000FF"/>
        </w:rPr>
        <w:t xml:space="preserve">.  </w:t>
      </w:r>
      <w:r w:rsidRPr="00587413">
        <w:rPr>
          <w:rFonts w:ascii="Calibri" w:eastAsia="MS Mincho" w:hAnsi="Calibri" w:cs="Calibri"/>
          <w:b/>
          <w:bCs/>
          <w:i/>
          <w:color w:val="0000FF"/>
        </w:rPr>
        <w:t>Table 7</w:t>
      </w:r>
      <w:r>
        <w:rPr>
          <w:rFonts w:ascii="Calibri" w:eastAsia="MS Mincho" w:hAnsi="Calibri" w:cs="Calibri"/>
          <w:bCs/>
          <w:color w:val="0000FF"/>
        </w:rPr>
        <w:t xml:space="preserve"> provides the </w:t>
      </w:r>
      <w:r w:rsidR="00E642AA">
        <w:rPr>
          <w:rFonts w:ascii="Calibri" w:eastAsia="MS Mincho" w:hAnsi="Calibri" w:cs="Calibri"/>
          <w:bCs/>
          <w:color w:val="0000FF"/>
        </w:rPr>
        <w:t>c</w:t>
      </w:r>
      <w:r>
        <w:rPr>
          <w:rFonts w:ascii="Calibri" w:eastAsia="MS Mincho" w:hAnsi="Calibri" w:cs="Calibri"/>
          <w:bCs/>
          <w:color w:val="0000FF"/>
        </w:rPr>
        <w:t xml:space="preserve">-statistic for all model specifications. </w:t>
      </w:r>
    </w:p>
    <w:p w14:paraId="7A51E0C7" w14:textId="77777777" w:rsidR="00747647" w:rsidRPr="007B766A" w:rsidRDefault="00747647" w:rsidP="00747647">
      <w:pPr>
        <w:autoSpaceDE w:val="0"/>
        <w:autoSpaceDN w:val="0"/>
        <w:adjustRightInd w:val="0"/>
        <w:spacing w:after="0" w:line="240" w:lineRule="auto"/>
        <w:rPr>
          <w:rFonts w:ascii="Calibri" w:eastAsia="MS Mincho" w:hAnsi="Calibri" w:cs="Calibri"/>
          <w:bCs/>
          <w:color w:val="0000FF"/>
        </w:rPr>
      </w:pPr>
    </w:p>
    <w:p w14:paraId="32293665" w14:textId="489C4DE3" w:rsidR="00747647" w:rsidRPr="007B766A" w:rsidRDefault="00747647" w:rsidP="00747647">
      <w:pPr>
        <w:pStyle w:val="TableTitle"/>
      </w:pPr>
      <w:r w:rsidRPr="007B766A">
        <w:t xml:space="preserve">Table 7. Comparison of </w:t>
      </w:r>
      <w:r>
        <w:t>C-</w:t>
      </w:r>
      <w:r w:rsidR="00E642AA">
        <w:t>S</w:t>
      </w:r>
      <w:r>
        <w:t>tatistic</w:t>
      </w:r>
      <w:r w:rsidR="00E642AA">
        <w:t>s</w:t>
      </w:r>
      <w:r>
        <w:t xml:space="preserve"> for Alternate Risk A</w:t>
      </w:r>
      <w:r w:rsidRPr="007B766A">
        <w:t>djustmen</w:t>
      </w:r>
      <w:r>
        <w:t>t Specifications, NQF #0676</w:t>
      </w:r>
    </w:p>
    <w:tbl>
      <w:tblPr>
        <w:tblW w:w="4137" w:type="pct"/>
        <w:jc w:val="center"/>
        <w:tblLayout w:type="fixed"/>
        <w:tblCellMar>
          <w:left w:w="115" w:type="dxa"/>
          <w:right w:w="115" w:type="dxa"/>
        </w:tblCellMar>
        <w:tblLook w:val="04A0" w:firstRow="1" w:lastRow="0" w:firstColumn="1" w:lastColumn="0" w:noHBand="0" w:noVBand="1"/>
      </w:tblPr>
      <w:tblGrid>
        <w:gridCol w:w="2881"/>
        <w:gridCol w:w="4863"/>
      </w:tblGrid>
      <w:tr w:rsidR="00747647" w:rsidRPr="00E642AA" w14:paraId="2CE224AB" w14:textId="77777777" w:rsidTr="00184CC7">
        <w:trPr>
          <w:tblHeader/>
          <w:jc w:val="center"/>
        </w:trPr>
        <w:tc>
          <w:tcPr>
            <w:tcW w:w="1860" w:type="pct"/>
            <w:tcBorders>
              <w:top w:val="single" w:sz="12" w:space="0" w:color="auto"/>
              <w:bottom w:val="single" w:sz="4" w:space="0" w:color="auto"/>
            </w:tcBorders>
            <w:shd w:val="clear" w:color="auto" w:fill="auto"/>
            <w:vAlign w:val="center"/>
            <w:hideMark/>
          </w:tcPr>
          <w:p w14:paraId="72187D28" w14:textId="77777777" w:rsidR="00747647" w:rsidRPr="00F14E72" w:rsidRDefault="00747647" w:rsidP="00184CC7">
            <w:pPr>
              <w:spacing w:before="40" w:after="40" w:line="240" w:lineRule="auto"/>
              <w:contextualSpacing/>
              <w:rPr>
                <w:rFonts w:eastAsia="Times New Roman" w:cs="Times New Roman"/>
                <w:color w:val="0000FF"/>
                <w:sz w:val="20"/>
                <w:szCs w:val="20"/>
              </w:rPr>
            </w:pPr>
            <w:r w:rsidRPr="00F14E72">
              <w:rPr>
                <w:rFonts w:eastAsia="Times New Roman" w:cs="Times New Roman"/>
                <w:color w:val="0000FF"/>
                <w:sz w:val="20"/>
                <w:szCs w:val="20"/>
              </w:rPr>
              <w:t xml:space="preserve">Model Covariates </w:t>
            </w:r>
          </w:p>
        </w:tc>
        <w:tc>
          <w:tcPr>
            <w:tcW w:w="3140" w:type="pct"/>
            <w:tcBorders>
              <w:top w:val="single" w:sz="12" w:space="0" w:color="auto"/>
              <w:bottom w:val="single" w:sz="4" w:space="0" w:color="auto"/>
            </w:tcBorders>
            <w:shd w:val="clear" w:color="auto" w:fill="auto"/>
            <w:vAlign w:val="center"/>
            <w:hideMark/>
          </w:tcPr>
          <w:p w14:paraId="308657C6" w14:textId="3F4B2D30" w:rsidR="00747647" w:rsidRPr="00F14E72" w:rsidRDefault="00747647" w:rsidP="00184CC7">
            <w:pPr>
              <w:spacing w:before="40" w:after="40" w:line="240" w:lineRule="auto"/>
              <w:contextualSpacing/>
              <w:jc w:val="center"/>
              <w:rPr>
                <w:rFonts w:eastAsia="Times New Roman" w:cs="Times New Roman"/>
                <w:color w:val="0000FF"/>
                <w:sz w:val="20"/>
                <w:szCs w:val="20"/>
              </w:rPr>
            </w:pPr>
            <w:r w:rsidRPr="00F14E72">
              <w:rPr>
                <w:rFonts w:eastAsia="Times New Roman" w:cs="Times New Roman"/>
                <w:color w:val="0000FF"/>
                <w:sz w:val="20"/>
                <w:szCs w:val="20"/>
              </w:rPr>
              <w:t>C-</w:t>
            </w:r>
            <w:r w:rsidR="00E642AA" w:rsidRPr="00F14E72">
              <w:rPr>
                <w:rFonts w:eastAsia="Times New Roman" w:cs="Times New Roman"/>
                <w:color w:val="0000FF"/>
                <w:sz w:val="20"/>
                <w:szCs w:val="20"/>
              </w:rPr>
              <w:t>S</w:t>
            </w:r>
            <w:r w:rsidRPr="00F14E72">
              <w:rPr>
                <w:rFonts w:eastAsia="Times New Roman" w:cs="Times New Roman"/>
                <w:color w:val="0000FF"/>
                <w:sz w:val="20"/>
                <w:szCs w:val="20"/>
              </w:rPr>
              <w:t>tatistic</w:t>
            </w:r>
          </w:p>
        </w:tc>
      </w:tr>
      <w:tr w:rsidR="00747647" w:rsidRPr="00E642AA" w14:paraId="4A111211" w14:textId="77777777" w:rsidTr="00184CC7">
        <w:trPr>
          <w:jc w:val="center"/>
        </w:trPr>
        <w:tc>
          <w:tcPr>
            <w:tcW w:w="1860" w:type="pct"/>
            <w:tcBorders>
              <w:top w:val="single" w:sz="4" w:space="0" w:color="auto"/>
            </w:tcBorders>
            <w:shd w:val="clear" w:color="auto" w:fill="auto"/>
            <w:hideMark/>
          </w:tcPr>
          <w:p w14:paraId="7AA57083" w14:textId="77777777" w:rsidR="00747647" w:rsidRPr="00F14E72" w:rsidRDefault="00747647" w:rsidP="00184CC7">
            <w:pPr>
              <w:spacing w:before="40" w:after="40" w:line="240" w:lineRule="auto"/>
              <w:rPr>
                <w:rFonts w:eastAsia="Times New Roman" w:cs="Times New Roman"/>
                <w:color w:val="0000FF"/>
                <w:sz w:val="20"/>
                <w:szCs w:val="20"/>
              </w:rPr>
            </w:pPr>
            <w:r w:rsidRPr="00F14E72">
              <w:rPr>
                <w:rFonts w:eastAsia="Times New Roman" w:cs="Times New Roman"/>
                <w:color w:val="0000FF"/>
                <w:sz w:val="20"/>
                <w:szCs w:val="20"/>
              </w:rPr>
              <w:t xml:space="preserve">Cognitive independence </w:t>
            </w:r>
          </w:p>
        </w:tc>
        <w:tc>
          <w:tcPr>
            <w:tcW w:w="3140" w:type="pct"/>
            <w:tcBorders>
              <w:top w:val="single" w:sz="4" w:space="0" w:color="auto"/>
            </w:tcBorders>
            <w:shd w:val="clear" w:color="auto" w:fill="auto"/>
            <w:vAlign w:val="bottom"/>
            <w:hideMark/>
          </w:tcPr>
          <w:p w14:paraId="37DA3ADD" w14:textId="77777777" w:rsidR="00747647" w:rsidRPr="00F14E72" w:rsidRDefault="00747647" w:rsidP="00184CC7">
            <w:pPr>
              <w:spacing w:before="40" w:after="40" w:line="240" w:lineRule="auto"/>
              <w:ind w:right="345"/>
              <w:jc w:val="center"/>
              <w:rPr>
                <w:rFonts w:eastAsia="Times New Roman" w:cs="Times New Roman"/>
                <w:color w:val="0000FF"/>
                <w:sz w:val="20"/>
                <w:szCs w:val="20"/>
              </w:rPr>
            </w:pPr>
            <w:r w:rsidRPr="00F14E72">
              <w:rPr>
                <w:rFonts w:eastAsia="Times New Roman" w:cs="Times New Roman"/>
                <w:color w:val="0000FF"/>
                <w:sz w:val="20"/>
                <w:szCs w:val="20"/>
              </w:rPr>
              <w:t>0.57</w:t>
            </w:r>
          </w:p>
        </w:tc>
      </w:tr>
      <w:tr w:rsidR="00747647" w:rsidRPr="00E642AA" w14:paraId="4E64A3B8" w14:textId="77777777" w:rsidTr="00184CC7">
        <w:trPr>
          <w:jc w:val="center"/>
        </w:trPr>
        <w:tc>
          <w:tcPr>
            <w:tcW w:w="1860" w:type="pct"/>
            <w:shd w:val="clear" w:color="auto" w:fill="auto"/>
            <w:hideMark/>
          </w:tcPr>
          <w:p w14:paraId="0BEEF198" w14:textId="77777777" w:rsidR="00747647" w:rsidRPr="00F14E72" w:rsidRDefault="00747647" w:rsidP="00184CC7">
            <w:pPr>
              <w:spacing w:before="40" w:after="40" w:line="240" w:lineRule="auto"/>
              <w:rPr>
                <w:rFonts w:eastAsia="Times New Roman" w:cs="Times New Roman"/>
                <w:color w:val="0000FF"/>
                <w:sz w:val="20"/>
                <w:szCs w:val="20"/>
              </w:rPr>
            </w:pPr>
            <w:r w:rsidRPr="00F14E72">
              <w:rPr>
                <w:rFonts w:eastAsia="Times New Roman" w:cs="Times New Roman"/>
                <w:color w:val="0000FF"/>
                <w:sz w:val="20"/>
                <w:szCs w:val="20"/>
              </w:rPr>
              <w:t>Model 1</w:t>
            </w:r>
          </w:p>
        </w:tc>
        <w:tc>
          <w:tcPr>
            <w:tcW w:w="3140" w:type="pct"/>
            <w:shd w:val="clear" w:color="auto" w:fill="auto"/>
          </w:tcPr>
          <w:p w14:paraId="68B6F868" w14:textId="77777777" w:rsidR="00747647" w:rsidRPr="00F14E72" w:rsidRDefault="00747647" w:rsidP="00184CC7">
            <w:pPr>
              <w:spacing w:before="40" w:after="40" w:line="240" w:lineRule="auto"/>
              <w:ind w:right="327"/>
              <w:jc w:val="center"/>
              <w:rPr>
                <w:rFonts w:eastAsia="Times New Roman" w:cs="Times New Roman"/>
                <w:color w:val="0000FF"/>
                <w:sz w:val="20"/>
                <w:szCs w:val="20"/>
              </w:rPr>
            </w:pPr>
            <w:r w:rsidRPr="00F14E72">
              <w:rPr>
                <w:rFonts w:eastAsia="Times New Roman" w:cs="Times New Roman"/>
                <w:color w:val="0000FF"/>
                <w:sz w:val="20"/>
                <w:szCs w:val="20"/>
              </w:rPr>
              <w:t>0.58</w:t>
            </w:r>
          </w:p>
        </w:tc>
      </w:tr>
      <w:tr w:rsidR="00747647" w:rsidRPr="00E642AA" w14:paraId="78EE95BD" w14:textId="77777777" w:rsidTr="00184CC7">
        <w:trPr>
          <w:jc w:val="center"/>
        </w:trPr>
        <w:tc>
          <w:tcPr>
            <w:tcW w:w="1860" w:type="pct"/>
            <w:shd w:val="clear" w:color="auto" w:fill="auto"/>
          </w:tcPr>
          <w:p w14:paraId="05E99FF1" w14:textId="77777777" w:rsidR="00747647" w:rsidRPr="00F14E72" w:rsidRDefault="00747647" w:rsidP="00184CC7">
            <w:pPr>
              <w:spacing w:before="40" w:after="40" w:line="240" w:lineRule="auto"/>
              <w:rPr>
                <w:rFonts w:eastAsia="Times New Roman" w:cs="Times New Roman"/>
                <w:color w:val="0000FF"/>
                <w:sz w:val="20"/>
                <w:szCs w:val="20"/>
              </w:rPr>
            </w:pPr>
            <w:r w:rsidRPr="00F14E72">
              <w:rPr>
                <w:rFonts w:eastAsia="Times New Roman" w:cs="Times New Roman"/>
                <w:color w:val="0000FF"/>
                <w:sz w:val="20"/>
                <w:szCs w:val="20"/>
              </w:rPr>
              <w:t>Model 2</w:t>
            </w:r>
          </w:p>
        </w:tc>
        <w:tc>
          <w:tcPr>
            <w:tcW w:w="3140" w:type="pct"/>
            <w:shd w:val="clear" w:color="auto" w:fill="auto"/>
          </w:tcPr>
          <w:p w14:paraId="6EA988B6" w14:textId="77777777" w:rsidR="00747647" w:rsidRPr="00F14E72" w:rsidRDefault="00747647" w:rsidP="00184CC7">
            <w:pPr>
              <w:spacing w:before="40" w:after="40" w:line="240" w:lineRule="auto"/>
              <w:ind w:right="327"/>
              <w:jc w:val="center"/>
              <w:rPr>
                <w:rFonts w:eastAsia="Times New Roman" w:cs="Times New Roman"/>
                <w:color w:val="0000FF"/>
                <w:sz w:val="20"/>
                <w:szCs w:val="20"/>
              </w:rPr>
            </w:pPr>
            <w:r w:rsidRPr="00F14E72">
              <w:rPr>
                <w:rFonts w:eastAsia="Times New Roman" w:cs="Times New Roman"/>
                <w:color w:val="0000FF"/>
                <w:sz w:val="20"/>
                <w:szCs w:val="20"/>
              </w:rPr>
              <w:t>0.53</w:t>
            </w:r>
          </w:p>
        </w:tc>
      </w:tr>
      <w:tr w:rsidR="00747647" w:rsidRPr="00E642AA" w14:paraId="651F3A87" w14:textId="77777777" w:rsidTr="00184CC7">
        <w:trPr>
          <w:jc w:val="center"/>
        </w:trPr>
        <w:tc>
          <w:tcPr>
            <w:tcW w:w="1860" w:type="pct"/>
            <w:shd w:val="clear" w:color="auto" w:fill="auto"/>
          </w:tcPr>
          <w:p w14:paraId="73F37BF4" w14:textId="77777777" w:rsidR="00747647" w:rsidRPr="00F14E72" w:rsidRDefault="00747647" w:rsidP="00184CC7">
            <w:pPr>
              <w:spacing w:before="40" w:after="40" w:line="240" w:lineRule="auto"/>
              <w:rPr>
                <w:rFonts w:eastAsia="Times New Roman" w:cs="Times New Roman"/>
                <w:color w:val="0000FF"/>
                <w:sz w:val="20"/>
                <w:szCs w:val="20"/>
              </w:rPr>
            </w:pPr>
            <w:r w:rsidRPr="00F14E72">
              <w:rPr>
                <w:rFonts w:eastAsia="Times New Roman" w:cs="Times New Roman"/>
                <w:color w:val="0000FF"/>
                <w:sz w:val="20"/>
                <w:szCs w:val="20"/>
              </w:rPr>
              <w:t>Model 3</w:t>
            </w:r>
          </w:p>
        </w:tc>
        <w:tc>
          <w:tcPr>
            <w:tcW w:w="3140" w:type="pct"/>
            <w:shd w:val="clear" w:color="auto" w:fill="auto"/>
          </w:tcPr>
          <w:p w14:paraId="5EE72910" w14:textId="77777777" w:rsidR="00747647" w:rsidRPr="00F14E72" w:rsidRDefault="00747647" w:rsidP="00184CC7">
            <w:pPr>
              <w:spacing w:before="40" w:after="40" w:line="240" w:lineRule="auto"/>
              <w:ind w:right="327"/>
              <w:jc w:val="center"/>
              <w:rPr>
                <w:rFonts w:eastAsia="Times New Roman" w:cs="Times New Roman"/>
                <w:color w:val="0000FF"/>
                <w:sz w:val="20"/>
                <w:szCs w:val="20"/>
              </w:rPr>
            </w:pPr>
            <w:r w:rsidRPr="00F14E72">
              <w:rPr>
                <w:rFonts w:eastAsia="Times New Roman" w:cs="Times New Roman"/>
                <w:color w:val="0000FF"/>
                <w:sz w:val="20"/>
                <w:szCs w:val="20"/>
              </w:rPr>
              <w:t>0.60</w:t>
            </w:r>
          </w:p>
        </w:tc>
      </w:tr>
      <w:tr w:rsidR="00747647" w:rsidRPr="00E642AA" w14:paraId="711BE624" w14:textId="77777777" w:rsidTr="00184CC7">
        <w:trPr>
          <w:jc w:val="center"/>
        </w:trPr>
        <w:tc>
          <w:tcPr>
            <w:tcW w:w="1860" w:type="pct"/>
            <w:shd w:val="clear" w:color="auto" w:fill="auto"/>
          </w:tcPr>
          <w:p w14:paraId="7A154693" w14:textId="77777777" w:rsidR="00747647" w:rsidRPr="00F14E72" w:rsidRDefault="00747647" w:rsidP="00184CC7">
            <w:pPr>
              <w:spacing w:before="40" w:after="40" w:line="240" w:lineRule="auto"/>
              <w:rPr>
                <w:rFonts w:eastAsia="Times New Roman" w:cs="Times New Roman"/>
                <w:color w:val="0000FF"/>
                <w:sz w:val="20"/>
                <w:szCs w:val="20"/>
              </w:rPr>
            </w:pPr>
            <w:r w:rsidRPr="00F14E72">
              <w:rPr>
                <w:rFonts w:eastAsia="Times New Roman" w:cs="Times New Roman"/>
                <w:color w:val="0000FF"/>
                <w:sz w:val="20"/>
                <w:szCs w:val="20"/>
              </w:rPr>
              <w:t>Model 4</w:t>
            </w:r>
          </w:p>
        </w:tc>
        <w:tc>
          <w:tcPr>
            <w:tcW w:w="3140" w:type="pct"/>
            <w:shd w:val="clear" w:color="auto" w:fill="auto"/>
          </w:tcPr>
          <w:p w14:paraId="1D416712" w14:textId="77777777" w:rsidR="00747647" w:rsidRPr="00F14E72" w:rsidRDefault="00747647" w:rsidP="00184CC7">
            <w:pPr>
              <w:spacing w:before="40" w:after="40" w:line="240" w:lineRule="auto"/>
              <w:ind w:right="327"/>
              <w:jc w:val="center"/>
              <w:rPr>
                <w:rFonts w:eastAsia="Times New Roman" w:cs="Times New Roman"/>
                <w:color w:val="0000FF"/>
                <w:sz w:val="20"/>
                <w:szCs w:val="20"/>
              </w:rPr>
            </w:pPr>
            <w:r w:rsidRPr="00F14E72">
              <w:rPr>
                <w:rFonts w:eastAsia="Times New Roman" w:cs="Times New Roman"/>
                <w:color w:val="0000FF"/>
                <w:sz w:val="20"/>
                <w:szCs w:val="20"/>
              </w:rPr>
              <w:t>0.62</w:t>
            </w:r>
          </w:p>
        </w:tc>
      </w:tr>
      <w:tr w:rsidR="00747647" w:rsidRPr="00E642AA" w14:paraId="5F5FC9DB" w14:textId="77777777" w:rsidTr="00184CC7">
        <w:trPr>
          <w:jc w:val="center"/>
        </w:trPr>
        <w:tc>
          <w:tcPr>
            <w:tcW w:w="1860" w:type="pct"/>
            <w:shd w:val="clear" w:color="auto" w:fill="auto"/>
          </w:tcPr>
          <w:p w14:paraId="5658F3A7" w14:textId="77777777" w:rsidR="00747647" w:rsidRPr="00F14E72" w:rsidRDefault="00747647" w:rsidP="00184CC7">
            <w:pPr>
              <w:spacing w:before="40" w:after="40" w:line="240" w:lineRule="auto"/>
              <w:rPr>
                <w:rFonts w:eastAsia="Times New Roman" w:cs="Times New Roman"/>
                <w:color w:val="0000FF"/>
                <w:sz w:val="20"/>
                <w:szCs w:val="20"/>
              </w:rPr>
            </w:pPr>
            <w:r w:rsidRPr="00F14E72">
              <w:rPr>
                <w:rFonts w:eastAsia="Times New Roman" w:cs="Times New Roman"/>
                <w:color w:val="0000FF"/>
                <w:sz w:val="20"/>
                <w:szCs w:val="20"/>
              </w:rPr>
              <w:t>Model 5</w:t>
            </w:r>
          </w:p>
        </w:tc>
        <w:tc>
          <w:tcPr>
            <w:tcW w:w="3140" w:type="pct"/>
            <w:shd w:val="clear" w:color="auto" w:fill="auto"/>
          </w:tcPr>
          <w:p w14:paraId="2D88422F" w14:textId="77777777" w:rsidR="00747647" w:rsidRPr="00F14E72" w:rsidRDefault="00747647" w:rsidP="00184CC7">
            <w:pPr>
              <w:spacing w:before="40" w:after="40" w:line="240" w:lineRule="auto"/>
              <w:ind w:right="327"/>
              <w:jc w:val="center"/>
              <w:rPr>
                <w:rFonts w:eastAsia="Times New Roman" w:cs="Times New Roman"/>
                <w:color w:val="0000FF"/>
                <w:sz w:val="20"/>
                <w:szCs w:val="20"/>
              </w:rPr>
            </w:pPr>
            <w:r w:rsidRPr="00F14E72">
              <w:rPr>
                <w:rFonts w:eastAsia="Times New Roman" w:cs="Times New Roman"/>
                <w:color w:val="0000FF"/>
                <w:sz w:val="20"/>
                <w:szCs w:val="20"/>
              </w:rPr>
              <w:t>0.59</w:t>
            </w:r>
          </w:p>
        </w:tc>
      </w:tr>
      <w:tr w:rsidR="00747647" w:rsidRPr="00E642AA" w14:paraId="2D4D5D32" w14:textId="77777777" w:rsidTr="00184CC7">
        <w:trPr>
          <w:jc w:val="center"/>
        </w:trPr>
        <w:tc>
          <w:tcPr>
            <w:tcW w:w="1860" w:type="pct"/>
            <w:tcBorders>
              <w:bottom w:val="single" w:sz="4" w:space="0" w:color="auto"/>
            </w:tcBorders>
            <w:shd w:val="clear" w:color="auto" w:fill="auto"/>
          </w:tcPr>
          <w:p w14:paraId="78CFCD04" w14:textId="77777777" w:rsidR="00747647" w:rsidRPr="00F14E72" w:rsidRDefault="00747647" w:rsidP="00184CC7">
            <w:pPr>
              <w:spacing w:before="40" w:after="40" w:line="240" w:lineRule="auto"/>
              <w:rPr>
                <w:rFonts w:eastAsia="Times New Roman" w:cs="Times New Roman"/>
                <w:color w:val="0000FF"/>
                <w:sz w:val="20"/>
                <w:szCs w:val="20"/>
              </w:rPr>
            </w:pPr>
            <w:r w:rsidRPr="00F14E72">
              <w:rPr>
                <w:rFonts w:eastAsia="Times New Roman" w:cs="Times New Roman"/>
                <w:color w:val="0000FF"/>
                <w:sz w:val="20"/>
                <w:szCs w:val="20"/>
              </w:rPr>
              <w:t>Model 6</w:t>
            </w:r>
          </w:p>
        </w:tc>
        <w:tc>
          <w:tcPr>
            <w:tcW w:w="3140" w:type="pct"/>
            <w:tcBorders>
              <w:bottom w:val="single" w:sz="4" w:space="0" w:color="auto"/>
            </w:tcBorders>
            <w:shd w:val="clear" w:color="auto" w:fill="auto"/>
          </w:tcPr>
          <w:p w14:paraId="56F91953" w14:textId="77777777" w:rsidR="00747647" w:rsidRPr="00F14E72" w:rsidRDefault="00747647" w:rsidP="00184CC7">
            <w:pPr>
              <w:spacing w:before="40" w:after="40" w:line="240" w:lineRule="auto"/>
              <w:ind w:right="327"/>
              <w:jc w:val="center"/>
              <w:rPr>
                <w:rFonts w:eastAsia="Times New Roman" w:cs="Times New Roman"/>
                <w:color w:val="0000FF"/>
                <w:sz w:val="20"/>
                <w:szCs w:val="20"/>
              </w:rPr>
            </w:pPr>
            <w:r w:rsidRPr="00F14E72">
              <w:rPr>
                <w:rFonts w:eastAsia="Times New Roman" w:cs="Times New Roman"/>
                <w:color w:val="0000FF"/>
                <w:sz w:val="20"/>
                <w:szCs w:val="20"/>
              </w:rPr>
              <w:t>0.63</w:t>
            </w:r>
          </w:p>
        </w:tc>
      </w:tr>
      <w:tr w:rsidR="00747647" w:rsidRPr="00E642AA" w14:paraId="15212417" w14:textId="77777777" w:rsidTr="00184CC7">
        <w:trPr>
          <w:jc w:val="center"/>
        </w:trPr>
        <w:tc>
          <w:tcPr>
            <w:tcW w:w="4997" w:type="pct"/>
            <w:gridSpan w:val="2"/>
            <w:tcBorders>
              <w:top w:val="single" w:sz="4" w:space="0" w:color="auto"/>
              <w:bottom w:val="single" w:sz="4" w:space="0" w:color="auto"/>
            </w:tcBorders>
            <w:shd w:val="clear" w:color="auto" w:fill="auto"/>
          </w:tcPr>
          <w:p w14:paraId="0BFD0B0D" w14:textId="77777777" w:rsidR="00747647" w:rsidRPr="00E642AA" w:rsidRDefault="00747647" w:rsidP="00184CC7">
            <w:pPr>
              <w:autoSpaceDE w:val="0"/>
              <w:autoSpaceDN w:val="0"/>
              <w:adjustRightInd w:val="0"/>
              <w:spacing w:after="0" w:line="240" w:lineRule="auto"/>
              <w:rPr>
                <w:rFonts w:eastAsia="Times New Roman" w:cs="Times New Roman"/>
                <w:color w:val="0000FF"/>
                <w:sz w:val="20"/>
                <w:szCs w:val="20"/>
              </w:rPr>
            </w:pPr>
            <w:r w:rsidRPr="00E642AA">
              <w:rPr>
                <w:rFonts w:eastAsia="Times New Roman" w:cs="Times New Roman"/>
                <w:color w:val="0000FF"/>
                <w:sz w:val="20"/>
                <w:szCs w:val="20"/>
              </w:rPr>
              <w:t>Model 1: Risk adjusted for oldest old</w:t>
            </w:r>
          </w:p>
          <w:p w14:paraId="059DBAEE" w14:textId="77777777" w:rsidR="00747647" w:rsidRPr="0048203B" w:rsidRDefault="00747647" w:rsidP="00184CC7">
            <w:pPr>
              <w:autoSpaceDE w:val="0"/>
              <w:autoSpaceDN w:val="0"/>
              <w:adjustRightInd w:val="0"/>
              <w:spacing w:after="0" w:line="240" w:lineRule="auto"/>
              <w:rPr>
                <w:rFonts w:eastAsia="Times New Roman" w:cs="Times New Roman"/>
                <w:color w:val="0000FF"/>
                <w:sz w:val="20"/>
                <w:szCs w:val="20"/>
              </w:rPr>
            </w:pPr>
            <w:r w:rsidRPr="0048203B">
              <w:rPr>
                <w:rFonts w:eastAsia="Times New Roman" w:cs="Times New Roman"/>
                <w:color w:val="0000FF"/>
                <w:sz w:val="20"/>
                <w:szCs w:val="20"/>
              </w:rPr>
              <w:t>Model 2: Risk adjusted for male gender</w:t>
            </w:r>
          </w:p>
          <w:p w14:paraId="0F1901B3" w14:textId="77777777" w:rsidR="00747647" w:rsidRPr="00E642AA" w:rsidRDefault="00747647" w:rsidP="00184CC7">
            <w:pPr>
              <w:autoSpaceDE w:val="0"/>
              <w:autoSpaceDN w:val="0"/>
              <w:adjustRightInd w:val="0"/>
              <w:spacing w:after="0" w:line="240" w:lineRule="auto"/>
              <w:rPr>
                <w:rFonts w:eastAsia="Times New Roman" w:cs="Times New Roman"/>
                <w:color w:val="0000FF"/>
                <w:sz w:val="20"/>
                <w:szCs w:val="20"/>
              </w:rPr>
            </w:pPr>
            <w:r w:rsidRPr="00E642AA">
              <w:rPr>
                <w:rFonts w:eastAsia="Times New Roman" w:cs="Times New Roman"/>
                <w:color w:val="0000FF"/>
                <w:sz w:val="20"/>
                <w:szCs w:val="20"/>
              </w:rPr>
              <w:t>Model 3: Risk adjusted for oldest old and male gender</w:t>
            </w:r>
          </w:p>
          <w:p w14:paraId="4D62DD35" w14:textId="77777777" w:rsidR="00747647" w:rsidRPr="00E642AA" w:rsidRDefault="00747647" w:rsidP="00184CC7">
            <w:pPr>
              <w:autoSpaceDE w:val="0"/>
              <w:autoSpaceDN w:val="0"/>
              <w:adjustRightInd w:val="0"/>
              <w:spacing w:after="0" w:line="240" w:lineRule="auto"/>
              <w:rPr>
                <w:rFonts w:eastAsia="Times New Roman" w:cs="Times New Roman"/>
                <w:color w:val="0000FF"/>
                <w:sz w:val="20"/>
                <w:szCs w:val="20"/>
              </w:rPr>
            </w:pPr>
            <w:r w:rsidRPr="00E642AA">
              <w:rPr>
                <w:rFonts w:eastAsia="Times New Roman" w:cs="Times New Roman"/>
                <w:color w:val="0000FF"/>
                <w:sz w:val="20"/>
                <w:szCs w:val="20"/>
              </w:rPr>
              <w:t>Model 4: Risk adjusted for cognitive independence and oldest old</w:t>
            </w:r>
          </w:p>
          <w:p w14:paraId="64CD2866" w14:textId="77777777" w:rsidR="00747647" w:rsidRPr="00E642AA" w:rsidRDefault="00747647" w:rsidP="00184CC7">
            <w:pPr>
              <w:autoSpaceDE w:val="0"/>
              <w:autoSpaceDN w:val="0"/>
              <w:adjustRightInd w:val="0"/>
              <w:spacing w:after="0" w:line="240" w:lineRule="auto"/>
              <w:rPr>
                <w:rFonts w:eastAsia="Times New Roman" w:cs="Times New Roman"/>
                <w:color w:val="0000FF"/>
                <w:sz w:val="20"/>
                <w:szCs w:val="20"/>
              </w:rPr>
            </w:pPr>
            <w:r w:rsidRPr="00E642AA">
              <w:rPr>
                <w:rFonts w:eastAsia="Times New Roman" w:cs="Times New Roman"/>
                <w:color w:val="0000FF"/>
                <w:sz w:val="20"/>
                <w:szCs w:val="20"/>
              </w:rPr>
              <w:t>Model 5: Risk adjusted for cognitive independence and male gender</w:t>
            </w:r>
          </w:p>
          <w:p w14:paraId="2D93AB58" w14:textId="77777777" w:rsidR="00747647" w:rsidRPr="00F14E72" w:rsidRDefault="00747647" w:rsidP="00184CC7">
            <w:pPr>
              <w:autoSpaceDE w:val="0"/>
              <w:autoSpaceDN w:val="0"/>
              <w:adjustRightInd w:val="0"/>
              <w:spacing w:after="0" w:line="240" w:lineRule="auto"/>
              <w:rPr>
                <w:rFonts w:eastAsia="Times New Roman" w:cs="Times New Roman"/>
                <w:color w:val="0000FF"/>
                <w:sz w:val="20"/>
                <w:szCs w:val="20"/>
              </w:rPr>
            </w:pPr>
            <w:r w:rsidRPr="00E642AA">
              <w:rPr>
                <w:rFonts w:eastAsia="Times New Roman" w:cs="Times New Roman"/>
                <w:color w:val="0000FF"/>
                <w:sz w:val="20"/>
                <w:szCs w:val="20"/>
              </w:rPr>
              <w:t>Model 6: Risk adjusted for cognitive independence, oldest old, and male gender</w:t>
            </w:r>
          </w:p>
        </w:tc>
      </w:tr>
    </w:tbl>
    <w:p w14:paraId="33724705" w14:textId="77777777" w:rsidR="00747647" w:rsidRPr="007B766A" w:rsidRDefault="00747647" w:rsidP="00747647">
      <w:pPr>
        <w:autoSpaceDE w:val="0"/>
        <w:autoSpaceDN w:val="0"/>
        <w:adjustRightInd w:val="0"/>
        <w:spacing w:after="0" w:line="240" w:lineRule="auto"/>
        <w:rPr>
          <w:rFonts w:ascii="Calibri" w:eastAsia="MS Mincho" w:hAnsi="Calibri" w:cs="Calibri"/>
          <w:bCs/>
          <w:color w:val="0000FF"/>
        </w:rPr>
      </w:pPr>
    </w:p>
    <w:p w14:paraId="421B5B4A" w14:textId="1D464472" w:rsidR="00747647" w:rsidRPr="00024B54" w:rsidRDefault="00747647" w:rsidP="00747647">
      <w:pPr>
        <w:autoSpaceDE w:val="0"/>
        <w:autoSpaceDN w:val="0"/>
        <w:adjustRightInd w:val="0"/>
        <w:spacing w:after="0" w:line="240" w:lineRule="auto"/>
        <w:rPr>
          <w:rFonts w:eastAsia="Times New Roman" w:cs="Times New Roman"/>
          <w:color w:val="0000FF"/>
          <w:sz w:val="20"/>
          <w:szCs w:val="20"/>
        </w:rPr>
      </w:pPr>
      <w:r w:rsidRPr="00024B54">
        <w:rPr>
          <w:rFonts w:eastAsia="Times New Roman" w:cs="Times New Roman"/>
          <w:color w:val="0000FF"/>
          <w:sz w:val="20"/>
          <w:szCs w:val="20"/>
        </w:rPr>
        <w:t>Source: RTI analysis of MDS 3.0 Data, Q2 2017 (programming refe</w:t>
      </w:r>
      <w:r w:rsidR="009213B3">
        <w:rPr>
          <w:rFonts w:eastAsia="Times New Roman" w:cs="Times New Roman"/>
          <w:color w:val="0000FF"/>
          <w:sz w:val="20"/>
          <w:szCs w:val="20"/>
        </w:rPr>
        <w:t>rence: LJC04/LJC04_request</w:t>
      </w:r>
      <w:r w:rsidRPr="00024B54">
        <w:rPr>
          <w:rFonts w:eastAsia="Times New Roman" w:cs="Times New Roman"/>
          <w:color w:val="0000FF"/>
          <w:sz w:val="20"/>
          <w:szCs w:val="20"/>
        </w:rPr>
        <w:t>_676.log)</w:t>
      </w:r>
    </w:p>
    <w:p w14:paraId="2E8A02DF" w14:textId="77777777" w:rsidR="00747647" w:rsidRPr="007B766A" w:rsidRDefault="00747647" w:rsidP="00747647">
      <w:pPr>
        <w:autoSpaceDE w:val="0"/>
        <w:autoSpaceDN w:val="0"/>
        <w:adjustRightInd w:val="0"/>
        <w:spacing w:after="0" w:line="240" w:lineRule="auto"/>
        <w:rPr>
          <w:rFonts w:ascii="Calibri" w:eastAsia="MS Mincho" w:hAnsi="Calibri" w:cs="Calibri"/>
          <w:bCs/>
          <w:color w:val="0000FF"/>
        </w:rPr>
      </w:pPr>
    </w:p>
    <w:p w14:paraId="7F9CE872" w14:textId="77777777" w:rsidR="00747647" w:rsidRPr="007B766A" w:rsidRDefault="00747647" w:rsidP="00747647">
      <w:pPr>
        <w:autoSpaceDE w:val="0"/>
        <w:autoSpaceDN w:val="0"/>
        <w:adjustRightInd w:val="0"/>
        <w:spacing w:after="0" w:line="240" w:lineRule="auto"/>
        <w:rPr>
          <w:rFonts w:ascii="Calibri" w:eastAsia="MS Mincho" w:hAnsi="Calibri" w:cs="Calibri"/>
          <w:bCs/>
          <w:color w:val="0000FF"/>
        </w:rPr>
      </w:pPr>
      <w:r w:rsidRPr="00587413">
        <w:rPr>
          <w:rFonts w:ascii="Calibri" w:eastAsia="MS Mincho" w:hAnsi="Calibri" w:cs="Calibri"/>
          <w:b/>
          <w:bCs/>
          <w:i/>
          <w:color w:val="0000FF"/>
        </w:rPr>
        <w:t>Table 8</w:t>
      </w:r>
      <w:r w:rsidRPr="007B766A">
        <w:rPr>
          <w:rFonts w:ascii="Calibri" w:eastAsia="MS Mincho" w:hAnsi="Calibri" w:cs="Calibri"/>
          <w:bCs/>
          <w:color w:val="0000FF"/>
        </w:rPr>
        <w:t xml:space="preserve"> provides further comparison of the current risk adjustment model and alternate model specifications. </w:t>
      </w:r>
    </w:p>
    <w:p w14:paraId="418E4989" w14:textId="77777777" w:rsidR="00747647" w:rsidRPr="007B766A" w:rsidRDefault="00747647" w:rsidP="00747647">
      <w:pPr>
        <w:pStyle w:val="TableTitle"/>
        <w:jc w:val="left"/>
      </w:pPr>
    </w:p>
    <w:p w14:paraId="0AA7EACF" w14:textId="76810344" w:rsidR="00747647" w:rsidRPr="007B766A" w:rsidRDefault="00747647" w:rsidP="00747647">
      <w:pPr>
        <w:pStyle w:val="TableTitle"/>
      </w:pPr>
      <w:r>
        <w:t>Table 8</w:t>
      </w:r>
      <w:r w:rsidRPr="007B766A">
        <w:t xml:space="preserve">. Comparison of </w:t>
      </w:r>
      <w:r w:rsidR="00E642AA">
        <w:t>M</w:t>
      </w:r>
      <w:r w:rsidRPr="007B766A">
        <w:t xml:space="preserve">odel </w:t>
      </w:r>
      <w:r w:rsidR="00E642AA">
        <w:t>P</w:t>
      </w:r>
      <w:r w:rsidRPr="007B766A">
        <w:t xml:space="preserve">erformance for </w:t>
      </w:r>
      <w:r w:rsidR="00E642AA">
        <w:t>A</w:t>
      </w:r>
      <w:r w:rsidRPr="007B766A">
        <w:t xml:space="preserve">lternate </w:t>
      </w:r>
      <w:r w:rsidR="00E642AA">
        <w:t>R</w:t>
      </w:r>
      <w:r w:rsidRPr="007B766A">
        <w:t xml:space="preserve">isk </w:t>
      </w:r>
      <w:r w:rsidR="00E642AA">
        <w:t>A</w:t>
      </w:r>
      <w:r w:rsidRPr="007B766A">
        <w:t>djustmen</w:t>
      </w:r>
      <w:r>
        <w:t xml:space="preserve">t </w:t>
      </w:r>
      <w:r w:rsidR="00E642AA">
        <w:t>S</w:t>
      </w:r>
      <w:r>
        <w:t>pecifications, NQF #0676</w:t>
      </w:r>
    </w:p>
    <w:tbl>
      <w:tblPr>
        <w:tblW w:w="5000" w:type="pct"/>
        <w:jc w:val="center"/>
        <w:tblLayout w:type="fixed"/>
        <w:tblCellMar>
          <w:left w:w="115" w:type="dxa"/>
          <w:right w:w="115" w:type="dxa"/>
        </w:tblCellMar>
        <w:tblLook w:val="04A0" w:firstRow="1" w:lastRow="0" w:firstColumn="1" w:lastColumn="0" w:noHBand="0" w:noVBand="1"/>
      </w:tblPr>
      <w:tblGrid>
        <w:gridCol w:w="1709"/>
        <w:gridCol w:w="1805"/>
        <w:gridCol w:w="1529"/>
        <w:gridCol w:w="1531"/>
        <w:gridCol w:w="1230"/>
        <w:gridCol w:w="1556"/>
      </w:tblGrid>
      <w:tr w:rsidR="00747647" w:rsidRPr="00E642AA" w14:paraId="3F4E0FE6" w14:textId="77777777" w:rsidTr="00184CC7">
        <w:trPr>
          <w:tblHeader/>
          <w:jc w:val="center"/>
        </w:trPr>
        <w:tc>
          <w:tcPr>
            <w:tcW w:w="913" w:type="pct"/>
            <w:tcBorders>
              <w:top w:val="single" w:sz="12" w:space="0" w:color="auto"/>
              <w:bottom w:val="single" w:sz="4" w:space="0" w:color="auto"/>
            </w:tcBorders>
            <w:shd w:val="clear" w:color="auto" w:fill="auto"/>
            <w:vAlign w:val="center"/>
            <w:hideMark/>
          </w:tcPr>
          <w:p w14:paraId="66E7B919" w14:textId="77777777" w:rsidR="00747647" w:rsidRPr="00F14E72" w:rsidRDefault="00747647" w:rsidP="00184CC7">
            <w:pPr>
              <w:spacing w:before="40" w:after="40" w:line="240" w:lineRule="auto"/>
              <w:contextualSpacing/>
              <w:rPr>
                <w:rFonts w:eastAsia="Times New Roman" w:cs="Times New Roman"/>
                <w:color w:val="0000FF"/>
                <w:sz w:val="20"/>
                <w:szCs w:val="20"/>
              </w:rPr>
            </w:pPr>
            <w:r w:rsidRPr="00F14E72">
              <w:rPr>
                <w:rFonts w:eastAsia="Times New Roman" w:cs="Times New Roman"/>
                <w:color w:val="0000FF"/>
                <w:sz w:val="20"/>
                <w:szCs w:val="20"/>
              </w:rPr>
              <w:t xml:space="preserve">Model Covariates </w:t>
            </w:r>
          </w:p>
        </w:tc>
        <w:tc>
          <w:tcPr>
            <w:tcW w:w="964" w:type="pct"/>
            <w:tcBorders>
              <w:top w:val="single" w:sz="12" w:space="0" w:color="auto"/>
              <w:bottom w:val="single" w:sz="4" w:space="0" w:color="auto"/>
            </w:tcBorders>
            <w:shd w:val="clear" w:color="auto" w:fill="auto"/>
            <w:vAlign w:val="center"/>
            <w:hideMark/>
          </w:tcPr>
          <w:p w14:paraId="62B4F33C" w14:textId="77777777" w:rsidR="00747647" w:rsidRPr="00F14E72" w:rsidRDefault="00747647" w:rsidP="00184CC7">
            <w:pPr>
              <w:spacing w:before="40" w:after="40" w:line="240" w:lineRule="auto"/>
              <w:contextualSpacing/>
              <w:jc w:val="center"/>
              <w:rPr>
                <w:rFonts w:eastAsia="Times New Roman" w:cs="Times New Roman"/>
                <w:color w:val="0000FF"/>
                <w:sz w:val="20"/>
                <w:szCs w:val="20"/>
              </w:rPr>
            </w:pPr>
            <w:r w:rsidRPr="00F14E72">
              <w:rPr>
                <w:rFonts w:eastAsia="Times New Roman" w:cs="Times New Roman"/>
                <w:color w:val="0000FF"/>
                <w:sz w:val="20"/>
                <w:szCs w:val="20"/>
              </w:rPr>
              <w:t>Hosmer-</w:t>
            </w:r>
            <w:proofErr w:type="spellStart"/>
            <w:r w:rsidRPr="00F14E72">
              <w:rPr>
                <w:rFonts w:eastAsia="Times New Roman" w:cs="Times New Roman"/>
                <w:color w:val="0000FF"/>
                <w:sz w:val="20"/>
                <w:szCs w:val="20"/>
              </w:rPr>
              <w:t>Lemeshow</w:t>
            </w:r>
            <w:proofErr w:type="spellEnd"/>
            <w:r w:rsidRPr="00F14E72">
              <w:rPr>
                <w:rFonts w:eastAsia="Times New Roman" w:cs="Times New Roman"/>
                <w:color w:val="0000FF"/>
                <w:sz w:val="20"/>
                <w:szCs w:val="20"/>
              </w:rPr>
              <w:t xml:space="preserve"> Chi</w:t>
            </w:r>
            <w:r w:rsidRPr="00F14E72">
              <w:rPr>
                <w:rFonts w:eastAsia="Times New Roman" w:cs="Times New Roman"/>
                <w:color w:val="0000FF"/>
                <w:sz w:val="20"/>
                <w:szCs w:val="20"/>
                <w:vertAlign w:val="superscript"/>
              </w:rPr>
              <w:t>2</w:t>
            </w:r>
            <w:r w:rsidRPr="00F14E72">
              <w:rPr>
                <w:rFonts w:eastAsia="Times New Roman" w:cs="Times New Roman"/>
                <w:color w:val="0000FF"/>
                <w:sz w:val="20"/>
                <w:szCs w:val="20"/>
              </w:rPr>
              <w:t xml:space="preserve">, </w:t>
            </w:r>
            <w:r w:rsidRPr="00F14E72">
              <w:rPr>
                <w:rFonts w:eastAsia="Times New Roman" w:cs="Times New Roman"/>
                <w:i/>
                <w:color w:val="0000FF"/>
                <w:sz w:val="20"/>
                <w:szCs w:val="20"/>
              </w:rPr>
              <w:t>P</w:t>
            </w:r>
            <w:r w:rsidRPr="00F14E72">
              <w:rPr>
                <w:rFonts w:eastAsia="Times New Roman" w:cs="Times New Roman"/>
                <w:color w:val="0000FF"/>
                <w:sz w:val="20"/>
                <w:szCs w:val="20"/>
              </w:rPr>
              <w:t>-value</w:t>
            </w:r>
          </w:p>
        </w:tc>
        <w:tc>
          <w:tcPr>
            <w:tcW w:w="817" w:type="pct"/>
            <w:tcBorders>
              <w:top w:val="single" w:sz="12" w:space="0" w:color="auto"/>
              <w:bottom w:val="single" w:sz="4" w:space="0" w:color="auto"/>
            </w:tcBorders>
          </w:tcPr>
          <w:p w14:paraId="52E42800" w14:textId="77777777" w:rsidR="00747647" w:rsidRPr="00F14E72" w:rsidRDefault="00747647" w:rsidP="00184CC7">
            <w:pPr>
              <w:spacing w:before="40" w:after="40" w:line="240" w:lineRule="auto"/>
              <w:contextualSpacing/>
              <w:jc w:val="center"/>
              <w:rPr>
                <w:rFonts w:eastAsia="Times New Roman" w:cs="Times New Roman"/>
                <w:color w:val="0000FF"/>
                <w:sz w:val="20"/>
                <w:szCs w:val="20"/>
              </w:rPr>
            </w:pPr>
            <w:r w:rsidRPr="00F14E72">
              <w:rPr>
                <w:rFonts w:eastAsia="Times New Roman" w:cs="Times New Roman"/>
                <w:color w:val="0000FF"/>
                <w:sz w:val="20"/>
                <w:szCs w:val="20"/>
              </w:rPr>
              <w:t>AIC</w:t>
            </w:r>
          </w:p>
        </w:tc>
        <w:tc>
          <w:tcPr>
            <w:tcW w:w="818" w:type="pct"/>
            <w:tcBorders>
              <w:top w:val="single" w:sz="12" w:space="0" w:color="auto"/>
              <w:bottom w:val="single" w:sz="4" w:space="0" w:color="auto"/>
            </w:tcBorders>
          </w:tcPr>
          <w:p w14:paraId="15DF74B9" w14:textId="77777777" w:rsidR="00747647" w:rsidRPr="00F14E72" w:rsidRDefault="00747647" w:rsidP="00184CC7">
            <w:pPr>
              <w:spacing w:before="40" w:after="40" w:line="240" w:lineRule="auto"/>
              <w:contextualSpacing/>
              <w:jc w:val="center"/>
              <w:rPr>
                <w:rFonts w:eastAsia="Times New Roman" w:cs="Times New Roman"/>
                <w:color w:val="0000FF"/>
                <w:sz w:val="20"/>
                <w:szCs w:val="20"/>
              </w:rPr>
            </w:pPr>
            <w:r w:rsidRPr="00F14E72">
              <w:rPr>
                <w:rFonts w:eastAsia="Times New Roman" w:cs="Times New Roman"/>
                <w:color w:val="0000FF"/>
                <w:sz w:val="20"/>
                <w:szCs w:val="20"/>
              </w:rPr>
              <w:t>BIC</w:t>
            </w:r>
          </w:p>
        </w:tc>
        <w:tc>
          <w:tcPr>
            <w:tcW w:w="657" w:type="pct"/>
            <w:tcBorders>
              <w:top w:val="single" w:sz="12" w:space="0" w:color="auto"/>
              <w:bottom w:val="single" w:sz="4" w:space="0" w:color="auto"/>
            </w:tcBorders>
          </w:tcPr>
          <w:p w14:paraId="388DA630" w14:textId="77777777" w:rsidR="00747647" w:rsidRPr="00F14E72" w:rsidRDefault="00747647" w:rsidP="00184CC7">
            <w:pPr>
              <w:spacing w:before="40" w:after="40" w:line="240" w:lineRule="auto"/>
              <w:contextualSpacing/>
              <w:jc w:val="center"/>
              <w:rPr>
                <w:rFonts w:eastAsia="Times New Roman" w:cs="Times New Roman"/>
                <w:color w:val="0000FF"/>
                <w:sz w:val="20"/>
                <w:szCs w:val="20"/>
                <w:vertAlign w:val="superscript"/>
              </w:rPr>
            </w:pPr>
            <w:r w:rsidRPr="00F14E72">
              <w:rPr>
                <w:rFonts w:eastAsia="Times New Roman" w:cs="Times New Roman"/>
                <w:color w:val="0000FF"/>
                <w:sz w:val="20"/>
                <w:szCs w:val="20"/>
              </w:rPr>
              <w:t xml:space="preserve">Pseudo </w:t>
            </w:r>
            <w:r w:rsidRPr="00F14E72">
              <w:rPr>
                <w:rFonts w:eastAsia="Times New Roman" w:cs="Times New Roman"/>
                <w:i/>
                <w:color w:val="0000FF"/>
                <w:sz w:val="20"/>
                <w:szCs w:val="20"/>
              </w:rPr>
              <w:t>R</w:t>
            </w:r>
            <w:r w:rsidRPr="00F14E72">
              <w:rPr>
                <w:rFonts w:eastAsia="Times New Roman" w:cs="Times New Roman"/>
                <w:color w:val="0000FF"/>
                <w:sz w:val="20"/>
                <w:szCs w:val="20"/>
                <w:vertAlign w:val="superscript"/>
              </w:rPr>
              <w:t>2</w:t>
            </w:r>
          </w:p>
        </w:tc>
        <w:tc>
          <w:tcPr>
            <w:tcW w:w="831" w:type="pct"/>
            <w:tcBorders>
              <w:top w:val="single" w:sz="12" w:space="0" w:color="auto"/>
              <w:bottom w:val="single" w:sz="4" w:space="0" w:color="auto"/>
            </w:tcBorders>
          </w:tcPr>
          <w:p w14:paraId="2D2D5622" w14:textId="77777777" w:rsidR="00747647" w:rsidRPr="00F14E72" w:rsidRDefault="00747647" w:rsidP="00184CC7">
            <w:pPr>
              <w:spacing w:before="40" w:after="40" w:line="240" w:lineRule="auto"/>
              <w:contextualSpacing/>
              <w:jc w:val="center"/>
              <w:rPr>
                <w:rFonts w:eastAsia="Times New Roman" w:cs="Times New Roman"/>
                <w:color w:val="0000FF"/>
                <w:sz w:val="20"/>
                <w:szCs w:val="20"/>
              </w:rPr>
            </w:pPr>
            <w:r w:rsidRPr="00F14E72">
              <w:rPr>
                <w:rFonts w:eastAsia="Times New Roman" w:cs="Times New Roman"/>
                <w:color w:val="0000FF"/>
                <w:sz w:val="20"/>
                <w:szCs w:val="20"/>
              </w:rPr>
              <w:t>Log Likelihood</w:t>
            </w:r>
          </w:p>
        </w:tc>
      </w:tr>
      <w:tr w:rsidR="00747647" w:rsidRPr="00E642AA" w14:paraId="3E551E91" w14:textId="77777777" w:rsidTr="00184CC7">
        <w:trPr>
          <w:jc w:val="center"/>
        </w:trPr>
        <w:tc>
          <w:tcPr>
            <w:tcW w:w="913" w:type="pct"/>
            <w:tcBorders>
              <w:top w:val="single" w:sz="4" w:space="0" w:color="auto"/>
            </w:tcBorders>
            <w:shd w:val="clear" w:color="auto" w:fill="auto"/>
            <w:hideMark/>
          </w:tcPr>
          <w:p w14:paraId="30C4B137" w14:textId="77777777" w:rsidR="00747647" w:rsidRPr="00F14E72" w:rsidRDefault="00747647" w:rsidP="00184CC7">
            <w:pPr>
              <w:spacing w:before="40" w:after="40" w:line="240" w:lineRule="auto"/>
              <w:rPr>
                <w:rFonts w:eastAsia="Times New Roman" w:cs="Times New Roman"/>
                <w:color w:val="0000FF"/>
                <w:sz w:val="20"/>
                <w:szCs w:val="20"/>
              </w:rPr>
            </w:pPr>
            <w:r w:rsidRPr="00F14E72">
              <w:rPr>
                <w:rFonts w:eastAsia="Times New Roman" w:cs="Times New Roman"/>
                <w:color w:val="0000FF"/>
                <w:sz w:val="20"/>
                <w:szCs w:val="20"/>
              </w:rPr>
              <w:t xml:space="preserve">Cognitive independence </w:t>
            </w:r>
          </w:p>
        </w:tc>
        <w:tc>
          <w:tcPr>
            <w:tcW w:w="964" w:type="pct"/>
            <w:tcBorders>
              <w:top w:val="single" w:sz="4" w:space="0" w:color="auto"/>
            </w:tcBorders>
            <w:shd w:val="clear" w:color="auto" w:fill="auto"/>
            <w:hideMark/>
          </w:tcPr>
          <w:p w14:paraId="04CF4979" w14:textId="77777777" w:rsidR="00747647" w:rsidRPr="00F14E72" w:rsidRDefault="00747647" w:rsidP="00184CC7">
            <w:pPr>
              <w:spacing w:before="40" w:after="40" w:line="240" w:lineRule="auto"/>
              <w:rPr>
                <w:rFonts w:eastAsia="Times New Roman" w:cs="Times New Roman"/>
                <w:color w:val="0000FF"/>
                <w:sz w:val="20"/>
                <w:szCs w:val="20"/>
              </w:rPr>
            </w:pPr>
            <w:r w:rsidRPr="00F14E72">
              <w:rPr>
                <w:rFonts w:eastAsia="Times New Roman" w:cs="Times New Roman"/>
                <w:color w:val="0000FF"/>
                <w:sz w:val="20"/>
                <w:szCs w:val="20"/>
              </w:rPr>
              <w:t xml:space="preserve">           --</w:t>
            </w:r>
          </w:p>
        </w:tc>
        <w:tc>
          <w:tcPr>
            <w:tcW w:w="817" w:type="pct"/>
            <w:tcBorders>
              <w:top w:val="single" w:sz="4" w:space="0" w:color="auto"/>
            </w:tcBorders>
          </w:tcPr>
          <w:p w14:paraId="1F426D2B" w14:textId="77777777" w:rsidR="00747647" w:rsidRPr="00F14E72" w:rsidRDefault="00747647" w:rsidP="00184CC7">
            <w:pPr>
              <w:spacing w:before="40" w:after="40" w:line="240" w:lineRule="auto"/>
              <w:rPr>
                <w:rFonts w:eastAsia="Times New Roman" w:cs="Times New Roman"/>
                <w:color w:val="0000FF"/>
                <w:sz w:val="20"/>
                <w:szCs w:val="20"/>
              </w:rPr>
            </w:pPr>
            <w:r w:rsidRPr="00F14E72">
              <w:rPr>
                <w:rFonts w:eastAsia="Times New Roman" w:cs="Times New Roman"/>
                <w:color w:val="0000FF"/>
                <w:sz w:val="20"/>
                <w:szCs w:val="20"/>
              </w:rPr>
              <w:t>564,265.5</w:t>
            </w:r>
          </w:p>
        </w:tc>
        <w:tc>
          <w:tcPr>
            <w:tcW w:w="818" w:type="pct"/>
            <w:tcBorders>
              <w:top w:val="single" w:sz="4" w:space="0" w:color="auto"/>
            </w:tcBorders>
          </w:tcPr>
          <w:p w14:paraId="5262C5AA" w14:textId="77777777" w:rsidR="00747647" w:rsidRPr="00F14E72" w:rsidRDefault="00747647" w:rsidP="00184CC7">
            <w:pPr>
              <w:spacing w:before="40" w:after="40" w:line="240" w:lineRule="auto"/>
              <w:rPr>
                <w:rFonts w:eastAsia="Times New Roman" w:cs="Times New Roman"/>
                <w:color w:val="0000FF"/>
                <w:sz w:val="20"/>
                <w:szCs w:val="20"/>
              </w:rPr>
            </w:pPr>
            <w:r w:rsidRPr="00F14E72">
              <w:rPr>
                <w:rFonts w:eastAsia="Times New Roman" w:cs="Times New Roman"/>
                <w:color w:val="0000FF"/>
                <w:sz w:val="20"/>
                <w:szCs w:val="20"/>
              </w:rPr>
              <w:t>564,288.8</w:t>
            </w:r>
          </w:p>
        </w:tc>
        <w:tc>
          <w:tcPr>
            <w:tcW w:w="657" w:type="pct"/>
            <w:tcBorders>
              <w:top w:val="single" w:sz="4" w:space="0" w:color="auto"/>
            </w:tcBorders>
          </w:tcPr>
          <w:p w14:paraId="3245E9B1" w14:textId="77777777" w:rsidR="00747647" w:rsidRPr="00F14E72" w:rsidRDefault="00747647" w:rsidP="00184CC7">
            <w:pPr>
              <w:spacing w:before="40" w:after="40" w:line="240" w:lineRule="auto"/>
              <w:rPr>
                <w:rFonts w:eastAsia="Times New Roman" w:cs="Times New Roman"/>
                <w:color w:val="0000FF"/>
                <w:sz w:val="20"/>
                <w:szCs w:val="20"/>
              </w:rPr>
            </w:pPr>
            <w:r w:rsidRPr="00F14E72">
              <w:rPr>
                <w:rFonts w:eastAsia="Times New Roman" w:cs="Times New Roman"/>
                <w:color w:val="0000FF"/>
                <w:sz w:val="20"/>
                <w:szCs w:val="20"/>
              </w:rPr>
              <w:t>0.0152</w:t>
            </w:r>
          </w:p>
        </w:tc>
        <w:tc>
          <w:tcPr>
            <w:tcW w:w="831" w:type="pct"/>
            <w:tcBorders>
              <w:top w:val="single" w:sz="4" w:space="0" w:color="auto"/>
            </w:tcBorders>
          </w:tcPr>
          <w:p w14:paraId="3F230A76" w14:textId="77777777" w:rsidR="00747647" w:rsidRPr="00F14E72" w:rsidRDefault="00747647" w:rsidP="00184CC7">
            <w:pPr>
              <w:spacing w:before="40" w:after="40" w:line="240" w:lineRule="auto"/>
              <w:rPr>
                <w:rFonts w:eastAsia="Times New Roman" w:cs="Times New Roman"/>
                <w:color w:val="0000FF"/>
                <w:sz w:val="20"/>
                <w:szCs w:val="20"/>
              </w:rPr>
            </w:pPr>
            <w:r w:rsidRPr="00F14E72">
              <w:rPr>
                <w:rFonts w:eastAsia="Times New Roman" w:cs="Times New Roman"/>
                <w:color w:val="0000FF"/>
                <w:sz w:val="20"/>
                <w:szCs w:val="20"/>
              </w:rPr>
              <w:t>-282,130.8</w:t>
            </w:r>
          </w:p>
        </w:tc>
      </w:tr>
      <w:tr w:rsidR="00747647" w:rsidRPr="00E642AA" w14:paraId="16AF1BB7" w14:textId="77777777" w:rsidTr="00184CC7">
        <w:trPr>
          <w:jc w:val="center"/>
        </w:trPr>
        <w:tc>
          <w:tcPr>
            <w:tcW w:w="913" w:type="pct"/>
            <w:shd w:val="clear" w:color="auto" w:fill="auto"/>
            <w:hideMark/>
          </w:tcPr>
          <w:p w14:paraId="62828860" w14:textId="77777777" w:rsidR="00747647" w:rsidRPr="00F14E72" w:rsidRDefault="00747647" w:rsidP="00184CC7">
            <w:pPr>
              <w:spacing w:before="40" w:after="40" w:line="240" w:lineRule="auto"/>
              <w:rPr>
                <w:rFonts w:eastAsia="Times New Roman" w:cs="Times New Roman"/>
                <w:color w:val="0000FF"/>
                <w:sz w:val="20"/>
                <w:szCs w:val="20"/>
              </w:rPr>
            </w:pPr>
            <w:r w:rsidRPr="00F14E72">
              <w:rPr>
                <w:rFonts w:eastAsia="Times New Roman" w:cs="Times New Roman"/>
                <w:color w:val="0000FF"/>
                <w:sz w:val="20"/>
                <w:szCs w:val="20"/>
              </w:rPr>
              <w:t>Model 1</w:t>
            </w:r>
          </w:p>
        </w:tc>
        <w:tc>
          <w:tcPr>
            <w:tcW w:w="964" w:type="pct"/>
            <w:shd w:val="clear" w:color="auto" w:fill="auto"/>
          </w:tcPr>
          <w:p w14:paraId="44B6B3B3" w14:textId="77777777" w:rsidR="00747647" w:rsidRPr="00F14E72" w:rsidRDefault="00747647" w:rsidP="00184CC7">
            <w:pPr>
              <w:spacing w:before="40" w:after="40" w:line="240" w:lineRule="auto"/>
              <w:ind w:right="327"/>
              <w:jc w:val="center"/>
              <w:rPr>
                <w:rFonts w:eastAsia="Times New Roman" w:cs="Times New Roman"/>
                <w:color w:val="0000FF"/>
                <w:sz w:val="20"/>
                <w:szCs w:val="20"/>
              </w:rPr>
            </w:pPr>
            <w:r w:rsidRPr="00F14E72">
              <w:rPr>
                <w:rFonts w:eastAsia="Times New Roman" w:cs="Times New Roman"/>
                <w:color w:val="0000FF"/>
                <w:sz w:val="20"/>
                <w:szCs w:val="20"/>
              </w:rPr>
              <w:t>--</w:t>
            </w:r>
          </w:p>
        </w:tc>
        <w:tc>
          <w:tcPr>
            <w:tcW w:w="817" w:type="pct"/>
          </w:tcPr>
          <w:p w14:paraId="3018B84A" w14:textId="77777777" w:rsidR="00747647" w:rsidRPr="00F14E72" w:rsidRDefault="00747647" w:rsidP="00184CC7">
            <w:pPr>
              <w:spacing w:before="40" w:after="40" w:line="240" w:lineRule="auto"/>
              <w:ind w:right="327"/>
              <w:rPr>
                <w:rFonts w:eastAsia="Times New Roman" w:cs="Times New Roman"/>
                <w:color w:val="0000FF"/>
                <w:sz w:val="20"/>
                <w:szCs w:val="20"/>
              </w:rPr>
            </w:pPr>
            <w:r w:rsidRPr="00F14E72">
              <w:rPr>
                <w:rFonts w:eastAsia="Times New Roman" w:cs="Times New Roman"/>
                <w:color w:val="0000FF"/>
                <w:sz w:val="20"/>
                <w:szCs w:val="20"/>
              </w:rPr>
              <w:t>855,590.3</w:t>
            </w:r>
          </w:p>
        </w:tc>
        <w:tc>
          <w:tcPr>
            <w:tcW w:w="818" w:type="pct"/>
          </w:tcPr>
          <w:p w14:paraId="3F62B5B1" w14:textId="77777777" w:rsidR="00747647" w:rsidRPr="00F14E72" w:rsidRDefault="00747647" w:rsidP="00184CC7">
            <w:pPr>
              <w:spacing w:before="40" w:after="40" w:line="240" w:lineRule="auto"/>
              <w:ind w:right="327"/>
              <w:rPr>
                <w:rFonts w:eastAsia="Times New Roman" w:cs="Times New Roman"/>
                <w:color w:val="0000FF"/>
                <w:sz w:val="20"/>
                <w:szCs w:val="20"/>
              </w:rPr>
            </w:pPr>
            <w:r w:rsidRPr="00F14E72">
              <w:rPr>
                <w:rFonts w:eastAsia="Times New Roman" w:cs="Times New Roman"/>
                <w:color w:val="0000FF"/>
                <w:sz w:val="20"/>
                <w:szCs w:val="20"/>
              </w:rPr>
              <w:t>855,614.2</w:t>
            </w:r>
          </w:p>
        </w:tc>
        <w:tc>
          <w:tcPr>
            <w:tcW w:w="657" w:type="pct"/>
          </w:tcPr>
          <w:p w14:paraId="48E113BA" w14:textId="77777777" w:rsidR="00747647" w:rsidRPr="00F14E72" w:rsidRDefault="00747647" w:rsidP="00184CC7">
            <w:pPr>
              <w:spacing w:before="40" w:after="40" w:line="240" w:lineRule="auto"/>
              <w:ind w:right="327"/>
              <w:rPr>
                <w:rFonts w:eastAsia="Times New Roman" w:cs="Times New Roman"/>
                <w:color w:val="0000FF"/>
                <w:sz w:val="20"/>
                <w:szCs w:val="20"/>
              </w:rPr>
            </w:pPr>
            <w:r w:rsidRPr="00F14E72">
              <w:rPr>
                <w:rFonts w:eastAsia="Times New Roman" w:cs="Times New Roman"/>
                <w:color w:val="0000FF"/>
                <w:sz w:val="20"/>
                <w:szCs w:val="20"/>
              </w:rPr>
              <w:t>0.0199</w:t>
            </w:r>
          </w:p>
        </w:tc>
        <w:tc>
          <w:tcPr>
            <w:tcW w:w="831" w:type="pct"/>
          </w:tcPr>
          <w:p w14:paraId="7DBEAAE5" w14:textId="77777777" w:rsidR="00747647" w:rsidRPr="00F14E72" w:rsidRDefault="00747647" w:rsidP="00184CC7">
            <w:pPr>
              <w:spacing w:before="40" w:after="40" w:line="240" w:lineRule="auto"/>
              <w:ind w:right="327"/>
              <w:rPr>
                <w:rFonts w:eastAsia="Times New Roman" w:cs="Times New Roman"/>
                <w:color w:val="0000FF"/>
                <w:sz w:val="20"/>
                <w:szCs w:val="20"/>
              </w:rPr>
            </w:pPr>
            <w:r w:rsidRPr="00F14E72">
              <w:rPr>
                <w:rFonts w:eastAsia="Times New Roman" w:cs="Times New Roman"/>
                <w:color w:val="0000FF"/>
                <w:sz w:val="20"/>
                <w:szCs w:val="20"/>
              </w:rPr>
              <w:t>-427,793.1</w:t>
            </w:r>
          </w:p>
        </w:tc>
      </w:tr>
      <w:tr w:rsidR="00747647" w:rsidRPr="00E642AA" w14:paraId="1EBE6A77" w14:textId="77777777" w:rsidTr="00184CC7">
        <w:trPr>
          <w:jc w:val="center"/>
        </w:trPr>
        <w:tc>
          <w:tcPr>
            <w:tcW w:w="913" w:type="pct"/>
            <w:shd w:val="clear" w:color="auto" w:fill="auto"/>
          </w:tcPr>
          <w:p w14:paraId="56C6ED28" w14:textId="77777777" w:rsidR="00747647" w:rsidRPr="00F14E72" w:rsidRDefault="00747647" w:rsidP="00184CC7">
            <w:pPr>
              <w:spacing w:before="40" w:after="40" w:line="240" w:lineRule="auto"/>
              <w:rPr>
                <w:rFonts w:eastAsia="Times New Roman" w:cs="Times New Roman"/>
                <w:color w:val="0000FF"/>
                <w:sz w:val="20"/>
                <w:szCs w:val="20"/>
              </w:rPr>
            </w:pPr>
            <w:r w:rsidRPr="00F14E72">
              <w:rPr>
                <w:rFonts w:eastAsia="Times New Roman" w:cs="Times New Roman"/>
                <w:color w:val="0000FF"/>
                <w:sz w:val="20"/>
                <w:szCs w:val="20"/>
              </w:rPr>
              <w:t>Model 2</w:t>
            </w:r>
          </w:p>
        </w:tc>
        <w:tc>
          <w:tcPr>
            <w:tcW w:w="964" w:type="pct"/>
            <w:shd w:val="clear" w:color="auto" w:fill="auto"/>
          </w:tcPr>
          <w:p w14:paraId="288501C8" w14:textId="77777777" w:rsidR="00747647" w:rsidRPr="00F14E72" w:rsidRDefault="00747647" w:rsidP="00184CC7">
            <w:pPr>
              <w:spacing w:before="40" w:after="40" w:line="240" w:lineRule="auto"/>
              <w:ind w:right="327"/>
              <w:jc w:val="center"/>
              <w:rPr>
                <w:rFonts w:eastAsia="Times New Roman" w:cs="Times New Roman"/>
                <w:color w:val="0000FF"/>
                <w:sz w:val="20"/>
                <w:szCs w:val="20"/>
              </w:rPr>
            </w:pPr>
            <w:r w:rsidRPr="00F14E72">
              <w:rPr>
                <w:rFonts w:eastAsia="Times New Roman" w:cs="Times New Roman"/>
                <w:color w:val="0000FF"/>
                <w:sz w:val="20"/>
                <w:szCs w:val="20"/>
              </w:rPr>
              <w:t>--</w:t>
            </w:r>
          </w:p>
        </w:tc>
        <w:tc>
          <w:tcPr>
            <w:tcW w:w="817" w:type="pct"/>
          </w:tcPr>
          <w:p w14:paraId="11A21EDD" w14:textId="77777777" w:rsidR="00747647" w:rsidRPr="00F14E72" w:rsidRDefault="00747647" w:rsidP="00184CC7">
            <w:pPr>
              <w:spacing w:before="40" w:after="40" w:line="240" w:lineRule="auto"/>
              <w:ind w:right="327"/>
              <w:rPr>
                <w:rFonts w:eastAsia="Times New Roman" w:cs="Times New Roman"/>
                <w:color w:val="0000FF"/>
                <w:sz w:val="20"/>
                <w:szCs w:val="20"/>
              </w:rPr>
            </w:pPr>
            <w:r w:rsidRPr="00F14E72">
              <w:rPr>
                <w:rFonts w:eastAsia="Times New Roman" w:cs="Times New Roman"/>
                <w:color w:val="0000FF"/>
                <w:sz w:val="20"/>
                <w:szCs w:val="20"/>
              </w:rPr>
              <w:t>871,033.2</w:t>
            </w:r>
          </w:p>
        </w:tc>
        <w:tc>
          <w:tcPr>
            <w:tcW w:w="818" w:type="pct"/>
          </w:tcPr>
          <w:p w14:paraId="1386C986" w14:textId="77777777" w:rsidR="00747647" w:rsidRPr="00F14E72" w:rsidRDefault="00747647" w:rsidP="00184CC7">
            <w:pPr>
              <w:spacing w:before="40" w:after="40" w:line="240" w:lineRule="auto"/>
              <w:ind w:right="327"/>
              <w:rPr>
                <w:rFonts w:eastAsia="Times New Roman" w:cs="Times New Roman"/>
                <w:color w:val="0000FF"/>
                <w:sz w:val="20"/>
                <w:szCs w:val="20"/>
              </w:rPr>
            </w:pPr>
            <w:r w:rsidRPr="00F14E72">
              <w:rPr>
                <w:rFonts w:eastAsia="Times New Roman" w:cs="Times New Roman"/>
                <w:color w:val="0000FF"/>
                <w:sz w:val="20"/>
                <w:szCs w:val="20"/>
              </w:rPr>
              <w:t>871,057.2</w:t>
            </w:r>
          </w:p>
        </w:tc>
        <w:tc>
          <w:tcPr>
            <w:tcW w:w="657" w:type="pct"/>
          </w:tcPr>
          <w:p w14:paraId="34EDC6DD" w14:textId="77777777" w:rsidR="00747647" w:rsidRPr="00F14E72" w:rsidRDefault="00747647" w:rsidP="00184CC7">
            <w:pPr>
              <w:spacing w:before="40" w:after="40" w:line="240" w:lineRule="auto"/>
              <w:ind w:right="327"/>
              <w:rPr>
                <w:rFonts w:eastAsia="Times New Roman" w:cs="Times New Roman"/>
                <w:color w:val="0000FF"/>
                <w:sz w:val="20"/>
                <w:szCs w:val="20"/>
              </w:rPr>
            </w:pPr>
            <w:r w:rsidRPr="00F14E72">
              <w:rPr>
                <w:rFonts w:eastAsia="Times New Roman" w:cs="Times New Roman"/>
                <w:color w:val="0000FF"/>
                <w:sz w:val="20"/>
                <w:szCs w:val="20"/>
              </w:rPr>
              <w:t>0.0022</w:t>
            </w:r>
          </w:p>
        </w:tc>
        <w:tc>
          <w:tcPr>
            <w:tcW w:w="831" w:type="pct"/>
          </w:tcPr>
          <w:p w14:paraId="20F2D412" w14:textId="77777777" w:rsidR="00747647" w:rsidRPr="00F14E72" w:rsidRDefault="00747647" w:rsidP="00184CC7">
            <w:pPr>
              <w:spacing w:before="40" w:after="40" w:line="240" w:lineRule="auto"/>
              <w:ind w:right="327"/>
              <w:rPr>
                <w:rFonts w:eastAsia="Times New Roman" w:cs="Times New Roman"/>
                <w:color w:val="0000FF"/>
                <w:sz w:val="20"/>
                <w:szCs w:val="20"/>
              </w:rPr>
            </w:pPr>
            <w:r w:rsidRPr="00F14E72">
              <w:rPr>
                <w:rFonts w:eastAsia="Times New Roman" w:cs="Times New Roman"/>
                <w:color w:val="0000FF"/>
                <w:sz w:val="20"/>
                <w:szCs w:val="20"/>
              </w:rPr>
              <w:t>-435,514.6</w:t>
            </w:r>
          </w:p>
        </w:tc>
      </w:tr>
      <w:tr w:rsidR="00747647" w:rsidRPr="00E642AA" w14:paraId="0AA4295A" w14:textId="77777777" w:rsidTr="00184CC7">
        <w:trPr>
          <w:jc w:val="center"/>
        </w:trPr>
        <w:tc>
          <w:tcPr>
            <w:tcW w:w="913" w:type="pct"/>
            <w:shd w:val="clear" w:color="auto" w:fill="auto"/>
          </w:tcPr>
          <w:p w14:paraId="0A072C5A" w14:textId="77777777" w:rsidR="00747647" w:rsidRPr="00F14E72" w:rsidRDefault="00747647" w:rsidP="00184CC7">
            <w:pPr>
              <w:spacing w:before="40" w:after="40" w:line="240" w:lineRule="auto"/>
              <w:rPr>
                <w:rFonts w:eastAsia="Times New Roman" w:cs="Times New Roman"/>
                <w:color w:val="0000FF"/>
                <w:sz w:val="20"/>
                <w:szCs w:val="20"/>
              </w:rPr>
            </w:pPr>
            <w:r w:rsidRPr="00F14E72">
              <w:rPr>
                <w:rFonts w:eastAsia="Times New Roman" w:cs="Times New Roman"/>
                <w:color w:val="0000FF"/>
                <w:sz w:val="20"/>
                <w:szCs w:val="20"/>
              </w:rPr>
              <w:t>Model 3</w:t>
            </w:r>
          </w:p>
        </w:tc>
        <w:tc>
          <w:tcPr>
            <w:tcW w:w="964" w:type="pct"/>
            <w:shd w:val="clear" w:color="auto" w:fill="auto"/>
          </w:tcPr>
          <w:p w14:paraId="503D395C" w14:textId="77777777" w:rsidR="00747647" w:rsidRPr="00F14E72" w:rsidRDefault="00747647" w:rsidP="00184CC7">
            <w:pPr>
              <w:spacing w:before="40" w:after="40" w:line="240" w:lineRule="auto"/>
              <w:ind w:right="327"/>
              <w:jc w:val="center"/>
              <w:rPr>
                <w:rFonts w:eastAsia="Times New Roman" w:cs="Times New Roman"/>
                <w:color w:val="0000FF"/>
                <w:sz w:val="20"/>
                <w:szCs w:val="20"/>
              </w:rPr>
            </w:pPr>
            <w:r w:rsidRPr="00F14E72">
              <w:rPr>
                <w:rFonts w:eastAsia="Times New Roman" w:cs="Times New Roman"/>
                <w:color w:val="0000FF"/>
                <w:sz w:val="20"/>
                <w:szCs w:val="20"/>
              </w:rPr>
              <w:t>35.82, &lt;0.001</w:t>
            </w:r>
          </w:p>
        </w:tc>
        <w:tc>
          <w:tcPr>
            <w:tcW w:w="817" w:type="pct"/>
          </w:tcPr>
          <w:p w14:paraId="57CE4EE5" w14:textId="77777777" w:rsidR="00747647" w:rsidRPr="00F14E72" w:rsidRDefault="00747647" w:rsidP="00184CC7">
            <w:pPr>
              <w:spacing w:before="40" w:after="40" w:line="240" w:lineRule="auto"/>
              <w:ind w:right="327"/>
              <w:rPr>
                <w:rFonts w:eastAsia="Times New Roman" w:cs="Times New Roman"/>
                <w:color w:val="0000FF"/>
                <w:sz w:val="20"/>
                <w:szCs w:val="20"/>
              </w:rPr>
            </w:pPr>
            <w:r w:rsidRPr="00F14E72">
              <w:rPr>
                <w:rFonts w:eastAsia="Times New Roman" w:cs="Times New Roman"/>
                <w:color w:val="0000FF"/>
                <w:sz w:val="20"/>
                <w:szCs w:val="20"/>
              </w:rPr>
              <w:t>852,506.1</w:t>
            </w:r>
          </w:p>
        </w:tc>
        <w:tc>
          <w:tcPr>
            <w:tcW w:w="818" w:type="pct"/>
          </w:tcPr>
          <w:p w14:paraId="20B5842E" w14:textId="77777777" w:rsidR="00747647" w:rsidRPr="00F14E72" w:rsidRDefault="00747647" w:rsidP="00184CC7">
            <w:pPr>
              <w:spacing w:before="40" w:after="40" w:line="240" w:lineRule="auto"/>
              <w:ind w:right="327"/>
              <w:rPr>
                <w:rFonts w:eastAsia="Times New Roman" w:cs="Times New Roman"/>
                <w:color w:val="0000FF"/>
                <w:sz w:val="20"/>
                <w:szCs w:val="20"/>
              </w:rPr>
            </w:pPr>
            <w:r w:rsidRPr="00F14E72">
              <w:rPr>
                <w:rFonts w:eastAsia="Times New Roman" w:cs="Times New Roman"/>
                <w:color w:val="0000FF"/>
                <w:sz w:val="20"/>
                <w:szCs w:val="20"/>
              </w:rPr>
              <w:t>852,542.1</w:t>
            </w:r>
          </w:p>
        </w:tc>
        <w:tc>
          <w:tcPr>
            <w:tcW w:w="657" w:type="pct"/>
          </w:tcPr>
          <w:p w14:paraId="6E9C9C25" w14:textId="77777777" w:rsidR="00747647" w:rsidRPr="00F14E72" w:rsidRDefault="00747647" w:rsidP="00184CC7">
            <w:pPr>
              <w:spacing w:before="40" w:after="40" w:line="240" w:lineRule="auto"/>
              <w:ind w:right="327"/>
              <w:rPr>
                <w:rFonts w:eastAsia="Times New Roman" w:cs="Times New Roman"/>
                <w:color w:val="0000FF"/>
                <w:sz w:val="20"/>
                <w:szCs w:val="20"/>
              </w:rPr>
            </w:pPr>
            <w:r w:rsidRPr="00F14E72">
              <w:rPr>
                <w:rFonts w:eastAsia="Times New Roman" w:cs="Times New Roman"/>
                <w:color w:val="0000FF"/>
                <w:sz w:val="20"/>
                <w:szCs w:val="20"/>
              </w:rPr>
              <w:t>0.0234</w:t>
            </w:r>
          </w:p>
        </w:tc>
        <w:tc>
          <w:tcPr>
            <w:tcW w:w="831" w:type="pct"/>
          </w:tcPr>
          <w:p w14:paraId="091F2391" w14:textId="77777777" w:rsidR="00747647" w:rsidRPr="00F14E72" w:rsidRDefault="00747647" w:rsidP="00184CC7">
            <w:pPr>
              <w:spacing w:before="40" w:after="40" w:line="240" w:lineRule="auto"/>
              <w:ind w:right="327"/>
              <w:rPr>
                <w:rFonts w:eastAsia="Times New Roman" w:cs="Times New Roman"/>
                <w:color w:val="0000FF"/>
                <w:sz w:val="20"/>
                <w:szCs w:val="20"/>
              </w:rPr>
            </w:pPr>
            <w:r w:rsidRPr="00F14E72">
              <w:rPr>
                <w:rFonts w:eastAsia="Times New Roman" w:cs="Times New Roman"/>
                <w:color w:val="0000FF"/>
                <w:sz w:val="20"/>
                <w:szCs w:val="20"/>
              </w:rPr>
              <w:t>-426,250.1</w:t>
            </w:r>
          </w:p>
        </w:tc>
      </w:tr>
      <w:tr w:rsidR="00747647" w:rsidRPr="00E642AA" w14:paraId="0D128031" w14:textId="77777777" w:rsidTr="00184CC7">
        <w:trPr>
          <w:jc w:val="center"/>
        </w:trPr>
        <w:tc>
          <w:tcPr>
            <w:tcW w:w="913" w:type="pct"/>
            <w:shd w:val="clear" w:color="auto" w:fill="auto"/>
          </w:tcPr>
          <w:p w14:paraId="56D31399" w14:textId="77777777" w:rsidR="00747647" w:rsidRPr="00F14E72" w:rsidRDefault="00747647" w:rsidP="00184CC7">
            <w:pPr>
              <w:spacing w:before="40" w:after="40" w:line="240" w:lineRule="auto"/>
              <w:rPr>
                <w:rFonts w:eastAsia="Times New Roman" w:cs="Times New Roman"/>
                <w:color w:val="0000FF"/>
                <w:sz w:val="20"/>
                <w:szCs w:val="20"/>
              </w:rPr>
            </w:pPr>
            <w:r w:rsidRPr="00F14E72">
              <w:rPr>
                <w:rFonts w:eastAsia="Times New Roman" w:cs="Times New Roman"/>
                <w:color w:val="0000FF"/>
                <w:sz w:val="20"/>
                <w:szCs w:val="20"/>
              </w:rPr>
              <w:t>Model 4</w:t>
            </w:r>
          </w:p>
        </w:tc>
        <w:tc>
          <w:tcPr>
            <w:tcW w:w="964" w:type="pct"/>
            <w:shd w:val="clear" w:color="auto" w:fill="auto"/>
          </w:tcPr>
          <w:p w14:paraId="7AA3AD5E" w14:textId="77777777" w:rsidR="00747647" w:rsidRPr="00F14E72" w:rsidRDefault="00747647" w:rsidP="00184CC7">
            <w:pPr>
              <w:spacing w:before="40" w:after="40" w:line="240" w:lineRule="auto"/>
              <w:ind w:right="327"/>
              <w:jc w:val="center"/>
              <w:rPr>
                <w:rFonts w:eastAsia="Times New Roman" w:cs="Times New Roman"/>
                <w:color w:val="0000FF"/>
                <w:sz w:val="20"/>
                <w:szCs w:val="20"/>
              </w:rPr>
            </w:pPr>
            <w:r w:rsidRPr="00F14E72">
              <w:rPr>
                <w:rFonts w:eastAsia="Times New Roman" w:cs="Times New Roman"/>
                <w:color w:val="0000FF"/>
                <w:sz w:val="20"/>
                <w:szCs w:val="20"/>
              </w:rPr>
              <w:t>149.82, &lt;0.001</w:t>
            </w:r>
          </w:p>
        </w:tc>
        <w:tc>
          <w:tcPr>
            <w:tcW w:w="817" w:type="pct"/>
          </w:tcPr>
          <w:p w14:paraId="743EF8B7" w14:textId="77777777" w:rsidR="00747647" w:rsidRPr="00F14E72" w:rsidRDefault="00747647" w:rsidP="00184CC7">
            <w:pPr>
              <w:spacing w:before="40" w:after="40" w:line="240" w:lineRule="auto"/>
              <w:ind w:right="327"/>
              <w:rPr>
                <w:rFonts w:eastAsia="Times New Roman" w:cs="Times New Roman"/>
                <w:color w:val="0000FF"/>
                <w:sz w:val="20"/>
                <w:szCs w:val="20"/>
              </w:rPr>
            </w:pPr>
            <w:r w:rsidRPr="00F14E72">
              <w:rPr>
                <w:rFonts w:eastAsia="Times New Roman" w:cs="Times New Roman"/>
                <w:color w:val="0000FF"/>
                <w:sz w:val="20"/>
                <w:szCs w:val="20"/>
              </w:rPr>
              <w:t>555,938.4</w:t>
            </w:r>
          </w:p>
        </w:tc>
        <w:tc>
          <w:tcPr>
            <w:tcW w:w="818" w:type="pct"/>
          </w:tcPr>
          <w:p w14:paraId="2ED87134" w14:textId="77777777" w:rsidR="00747647" w:rsidRPr="00F14E72" w:rsidRDefault="00747647" w:rsidP="00184CC7">
            <w:pPr>
              <w:spacing w:before="40" w:after="40" w:line="240" w:lineRule="auto"/>
              <w:ind w:right="327"/>
              <w:rPr>
                <w:rFonts w:eastAsia="Times New Roman" w:cs="Times New Roman"/>
                <w:color w:val="0000FF"/>
                <w:sz w:val="20"/>
                <w:szCs w:val="20"/>
              </w:rPr>
            </w:pPr>
            <w:r w:rsidRPr="00F14E72">
              <w:rPr>
                <w:rFonts w:eastAsia="Times New Roman" w:cs="Times New Roman"/>
                <w:color w:val="0000FF"/>
                <w:sz w:val="20"/>
                <w:szCs w:val="20"/>
              </w:rPr>
              <w:t>555,973.3</w:t>
            </w:r>
          </w:p>
        </w:tc>
        <w:tc>
          <w:tcPr>
            <w:tcW w:w="657" w:type="pct"/>
          </w:tcPr>
          <w:p w14:paraId="407BA0F2" w14:textId="77777777" w:rsidR="00747647" w:rsidRPr="00F14E72" w:rsidRDefault="00747647" w:rsidP="00184CC7">
            <w:pPr>
              <w:spacing w:before="40" w:after="40" w:line="240" w:lineRule="auto"/>
              <w:ind w:right="327"/>
              <w:rPr>
                <w:rFonts w:eastAsia="Times New Roman" w:cs="Times New Roman"/>
                <w:color w:val="0000FF"/>
                <w:sz w:val="20"/>
                <w:szCs w:val="20"/>
              </w:rPr>
            </w:pPr>
            <w:r w:rsidRPr="00F14E72">
              <w:rPr>
                <w:rFonts w:eastAsia="Times New Roman" w:cs="Times New Roman"/>
                <w:color w:val="0000FF"/>
                <w:sz w:val="20"/>
                <w:szCs w:val="20"/>
              </w:rPr>
              <w:t>0.0297</w:t>
            </w:r>
          </w:p>
        </w:tc>
        <w:tc>
          <w:tcPr>
            <w:tcW w:w="831" w:type="pct"/>
          </w:tcPr>
          <w:p w14:paraId="61DA4193" w14:textId="77777777" w:rsidR="00747647" w:rsidRPr="00F14E72" w:rsidRDefault="00747647" w:rsidP="00184CC7">
            <w:pPr>
              <w:spacing w:before="40" w:after="40" w:line="240" w:lineRule="auto"/>
              <w:ind w:right="327"/>
              <w:rPr>
                <w:rFonts w:eastAsia="Times New Roman" w:cs="Times New Roman"/>
                <w:color w:val="0000FF"/>
                <w:sz w:val="20"/>
                <w:szCs w:val="20"/>
              </w:rPr>
            </w:pPr>
            <w:r w:rsidRPr="00F14E72">
              <w:rPr>
                <w:rFonts w:eastAsia="Times New Roman" w:cs="Times New Roman"/>
                <w:color w:val="0000FF"/>
                <w:sz w:val="20"/>
                <w:szCs w:val="20"/>
              </w:rPr>
              <w:t>-277,966.2</w:t>
            </w:r>
          </w:p>
        </w:tc>
      </w:tr>
      <w:tr w:rsidR="00747647" w:rsidRPr="00E642AA" w14:paraId="4E013A91" w14:textId="77777777" w:rsidTr="00184CC7">
        <w:trPr>
          <w:jc w:val="center"/>
        </w:trPr>
        <w:tc>
          <w:tcPr>
            <w:tcW w:w="913" w:type="pct"/>
            <w:shd w:val="clear" w:color="auto" w:fill="auto"/>
          </w:tcPr>
          <w:p w14:paraId="19CC9ED6" w14:textId="77777777" w:rsidR="00747647" w:rsidRPr="00F14E72" w:rsidRDefault="00747647" w:rsidP="00184CC7">
            <w:pPr>
              <w:spacing w:before="40" w:after="40" w:line="240" w:lineRule="auto"/>
              <w:rPr>
                <w:rFonts w:eastAsia="Times New Roman" w:cs="Times New Roman"/>
                <w:color w:val="0000FF"/>
                <w:sz w:val="20"/>
                <w:szCs w:val="20"/>
              </w:rPr>
            </w:pPr>
            <w:r w:rsidRPr="00F14E72">
              <w:rPr>
                <w:rFonts w:eastAsia="Times New Roman" w:cs="Times New Roman"/>
                <w:color w:val="0000FF"/>
                <w:sz w:val="20"/>
                <w:szCs w:val="20"/>
              </w:rPr>
              <w:t>Model 5</w:t>
            </w:r>
          </w:p>
        </w:tc>
        <w:tc>
          <w:tcPr>
            <w:tcW w:w="964" w:type="pct"/>
            <w:shd w:val="clear" w:color="auto" w:fill="auto"/>
          </w:tcPr>
          <w:p w14:paraId="59F632B6" w14:textId="77777777" w:rsidR="00747647" w:rsidRPr="00F14E72" w:rsidRDefault="00747647" w:rsidP="00184CC7">
            <w:pPr>
              <w:spacing w:before="40" w:after="40" w:line="240" w:lineRule="auto"/>
              <w:ind w:right="327"/>
              <w:jc w:val="center"/>
              <w:rPr>
                <w:rFonts w:eastAsia="Times New Roman" w:cs="Times New Roman"/>
                <w:color w:val="0000FF"/>
                <w:sz w:val="20"/>
                <w:szCs w:val="20"/>
              </w:rPr>
            </w:pPr>
            <w:r w:rsidRPr="00F14E72">
              <w:rPr>
                <w:rFonts w:eastAsia="Times New Roman" w:cs="Times New Roman"/>
                <w:color w:val="0000FF"/>
                <w:sz w:val="20"/>
                <w:szCs w:val="20"/>
              </w:rPr>
              <w:t>--</w:t>
            </w:r>
          </w:p>
        </w:tc>
        <w:tc>
          <w:tcPr>
            <w:tcW w:w="817" w:type="pct"/>
          </w:tcPr>
          <w:p w14:paraId="55044815" w14:textId="77777777" w:rsidR="00747647" w:rsidRPr="00F14E72" w:rsidRDefault="00747647" w:rsidP="00184CC7">
            <w:pPr>
              <w:spacing w:before="40" w:after="40" w:line="240" w:lineRule="auto"/>
              <w:ind w:right="327"/>
              <w:rPr>
                <w:rFonts w:eastAsia="Times New Roman" w:cs="Times New Roman"/>
                <w:color w:val="0000FF"/>
                <w:sz w:val="20"/>
                <w:szCs w:val="20"/>
              </w:rPr>
            </w:pPr>
            <w:r w:rsidRPr="00F14E72">
              <w:rPr>
                <w:rFonts w:eastAsia="Times New Roman" w:cs="Times New Roman"/>
                <w:color w:val="0000FF"/>
                <w:sz w:val="20"/>
                <w:szCs w:val="20"/>
              </w:rPr>
              <w:t>563,117.1</w:t>
            </w:r>
          </w:p>
        </w:tc>
        <w:tc>
          <w:tcPr>
            <w:tcW w:w="818" w:type="pct"/>
          </w:tcPr>
          <w:p w14:paraId="204E30E9" w14:textId="77777777" w:rsidR="00747647" w:rsidRPr="00F14E72" w:rsidRDefault="00747647" w:rsidP="00184CC7">
            <w:pPr>
              <w:spacing w:before="40" w:after="40" w:line="240" w:lineRule="auto"/>
              <w:ind w:right="327"/>
              <w:rPr>
                <w:rFonts w:eastAsia="Times New Roman" w:cs="Times New Roman"/>
                <w:color w:val="0000FF"/>
                <w:sz w:val="20"/>
                <w:szCs w:val="20"/>
              </w:rPr>
            </w:pPr>
            <w:r w:rsidRPr="00F14E72">
              <w:rPr>
                <w:rFonts w:eastAsia="Times New Roman" w:cs="Times New Roman"/>
                <w:color w:val="0000FF"/>
                <w:sz w:val="20"/>
                <w:szCs w:val="20"/>
              </w:rPr>
              <w:t>563,152</w:t>
            </w:r>
          </w:p>
        </w:tc>
        <w:tc>
          <w:tcPr>
            <w:tcW w:w="657" w:type="pct"/>
          </w:tcPr>
          <w:p w14:paraId="72B727F8" w14:textId="77777777" w:rsidR="00747647" w:rsidRPr="00F14E72" w:rsidRDefault="00747647" w:rsidP="00184CC7">
            <w:pPr>
              <w:spacing w:before="40" w:after="40" w:line="240" w:lineRule="auto"/>
              <w:ind w:right="327"/>
              <w:rPr>
                <w:rFonts w:eastAsia="Times New Roman" w:cs="Times New Roman"/>
                <w:color w:val="0000FF"/>
                <w:sz w:val="20"/>
                <w:szCs w:val="20"/>
              </w:rPr>
            </w:pPr>
            <w:r w:rsidRPr="00F14E72">
              <w:rPr>
                <w:rFonts w:eastAsia="Times New Roman" w:cs="Times New Roman"/>
                <w:color w:val="0000FF"/>
                <w:sz w:val="20"/>
                <w:szCs w:val="20"/>
              </w:rPr>
              <w:t>0.0172</w:t>
            </w:r>
          </w:p>
        </w:tc>
        <w:tc>
          <w:tcPr>
            <w:tcW w:w="831" w:type="pct"/>
          </w:tcPr>
          <w:p w14:paraId="77854050" w14:textId="77777777" w:rsidR="00747647" w:rsidRPr="00F14E72" w:rsidRDefault="00747647" w:rsidP="00184CC7">
            <w:pPr>
              <w:spacing w:before="40" w:after="40" w:line="240" w:lineRule="auto"/>
              <w:ind w:right="327"/>
              <w:rPr>
                <w:rFonts w:eastAsia="Times New Roman" w:cs="Times New Roman"/>
                <w:color w:val="0000FF"/>
                <w:sz w:val="20"/>
                <w:szCs w:val="20"/>
              </w:rPr>
            </w:pPr>
            <w:r w:rsidRPr="00F14E72">
              <w:rPr>
                <w:rFonts w:eastAsia="Times New Roman" w:cs="Times New Roman"/>
                <w:color w:val="0000FF"/>
                <w:sz w:val="20"/>
                <w:szCs w:val="20"/>
              </w:rPr>
              <w:t>-281,555.5</w:t>
            </w:r>
          </w:p>
        </w:tc>
      </w:tr>
      <w:tr w:rsidR="00747647" w:rsidRPr="00E642AA" w14:paraId="14D29EE9" w14:textId="77777777" w:rsidTr="00184CC7">
        <w:trPr>
          <w:jc w:val="center"/>
        </w:trPr>
        <w:tc>
          <w:tcPr>
            <w:tcW w:w="913" w:type="pct"/>
            <w:tcBorders>
              <w:bottom w:val="single" w:sz="4" w:space="0" w:color="auto"/>
            </w:tcBorders>
            <w:shd w:val="clear" w:color="auto" w:fill="auto"/>
          </w:tcPr>
          <w:p w14:paraId="2030B01C" w14:textId="77777777" w:rsidR="00747647" w:rsidRPr="00F14E72" w:rsidRDefault="00747647" w:rsidP="00184CC7">
            <w:pPr>
              <w:spacing w:before="40" w:after="40" w:line="240" w:lineRule="auto"/>
              <w:rPr>
                <w:rFonts w:eastAsia="Times New Roman" w:cs="Times New Roman"/>
                <w:color w:val="0000FF"/>
                <w:sz w:val="20"/>
                <w:szCs w:val="20"/>
              </w:rPr>
            </w:pPr>
            <w:r w:rsidRPr="00F14E72">
              <w:rPr>
                <w:rFonts w:eastAsia="Times New Roman" w:cs="Times New Roman"/>
                <w:color w:val="0000FF"/>
                <w:sz w:val="20"/>
                <w:szCs w:val="20"/>
              </w:rPr>
              <w:t>Model 6</w:t>
            </w:r>
          </w:p>
        </w:tc>
        <w:tc>
          <w:tcPr>
            <w:tcW w:w="964" w:type="pct"/>
            <w:tcBorders>
              <w:bottom w:val="single" w:sz="4" w:space="0" w:color="auto"/>
            </w:tcBorders>
            <w:shd w:val="clear" w:color="auto" w:fill="auto"/>
          </w:tcPr>
          <w:p w14:paraId="06E0D713" w14:textId="77777777" w:rsidR="00747647" w:rsidRPr="00F14E72" w:rsidRDefault="00747647" w:rsidP="00184CC7">
            <w:pPr>
              <w:spacing w:before="40" w:after="40" w:line="240" w:lineRule="auto"/>
              <w:ind w:right="327"/>
              <w:jc w:val="center"/>
              <w:rPr>
                <w:rFonts w:eastAsia="Times New Roman" w:cs="Times New Roman"/>
                <w:color w:val="0000FF"/>
                <w:sz w:val="20"/>
                <w:szCs w:val="20"/>
              </w:rPr>
            </w:pPr>
            <w:r w:rsidRPr="00F14E72">
              <w:rPr>
                <w:rFonts w:eastAsia="Times New Roman" w:cs="Times New Roman"/>
                <w:color w:val="0000FF"/>
                <w:sz w:val="20"/>
                <w:szCs w:val="20"/>
              </w:rPr>
              <w:t>143.81, &lt;0.001</w:t>
            </w:r>
          </w:p>
        </w:tc>
        <w:tc>
          <w:tcPr>
            <w:tcW w:w="817" w:type="pct"/>
            <w:tcBorders>
              <w:bottom w:val="single" w:sz="4" w:space="0" w:color="auto"/>
            </w:tcBorders>
          </w:tcPr>
          <w:p w14:paraId="7AA7B084" w14:textId="77777777" w:rsidR="00747647" w:rsidRPr="00F14E72" w:rsidRDefault="00747647" w:rsidP="00184CC7">
            <w:pPr>
              <w:spacing w:before="40" w:after="40" w:line="240" w:lineRule="auto"/>
              <w:ind w:right="327"/>
              <w:rPr>
                <w:rFonts w:eastAsia="Times New Roman" w:cs="Times New Roman"/>
                <w:color w:val="0000FF"/>
                <w:sz w:val="20"/>
                <w:szCs w:val="20"/>
              </w:rPr>
            </w:pPr>
            <w:r w:rsidRPr="00F14E72">
              <w:rPr>
                <w:rFonts w:eastAsia="Times New Roman" w:cs="Times New Roman"/>
                <w:color w:val="0000FF"/>
                <w:sz w:val="20"/>
                <w:szCs w:val="20"/>
              </w:rPr>
              <w:t>554,131.5</w:t>
            </w:r>
          </w:p>
        </w:tc>
        <w:tc>
          <w:tcPr>
            <w:tcW w:w="818" w:type="pct"/>
            <w:tcBorders>
              <w:bottom w:val="single" w:sz="4" w:space="0" w:color="auto"/>
            </w:tcBorders>
          </w:tcPr>
          <w:p w14:paraId="0E2BB623" w14:textId="77777777" w:rsidR="00747647" w:rsidRPr="00F14E72" w:rsidRDefault="00747647" w:rsidP="00184CC7">
            <w:pPr>
              <w:spacing w:before="40" w:after="40" w:line="240" w:lineRule="auto"/>
              <w:ind w:right="327"/>
              <w:rPr>
                <w:rFonts w:eastAsia="Times New Roman" w:cs="Times New Roman"/>
                <w:color w:val="0000FF"/>
                <w:sz w:val="20"/>
                <w:szCs w:val="20"/>
              </w:rPr>
            </w:pPr>
            <w:r w:rsidRPr="00F14E72">
              <w:rPr>
                <w:rFonts w:eastAsia="Times New Roman" w:cs="Times New Roman"/>
                <w:color w:val="0000FF"/>
                <w:sz w:val="20"/>
                <w:szCs w:val="20"/>
              </w:rPr>
              <w:t>554,178.1</w:t>
            </w:r>
          </w:p>
        </w:tc>
        <w:tc>
          <w:tcPr>
            <w:tcW w:w="657" w:type="pct"/>
            <w:tcBorders>
              <w:bottom w:val="single" w:sz="4" w:space="0" w:color="auto"/>
            </w:tcBorders>
          </w:tcPr>
          <w:p w14:paraId="3DF70BB2" w14:textId="77777777" w:rsidR="00747647" w:rsidRPr="00F14E72" w:rsidRDefault="00747647" w:rsidP="00184CC7">
            <w:pPr>
              <w:spacing w:before="40" w:after="40" w:line="240" w:lineRule="auto"/>
              <w:ind w:right="327"/>
              <w:rPr>
                <w:rFonts w:eastAsia="Times New Roman" w:cs="Times New Roman"/>
                <w:color w:val="0000FF"/>
                <w:sz w:val="20"/>
                <w:szCs w:val="20"/>
              </w:rPr>
            </w:pPr>
            <w:r w:rsidRPr="00F14E72">
              <w:rPr>
                <w:rFonts w:eastAsia="Times New Roman" w:cs="Times New Roman"/>
                <w:color w:val="0000FF"/>
                <w:sz w:val="20"/>
                <w:szCs w:val="20"/>
              </w:rPr>
              <w:t>0.0328</w:t>
            </w:r>
          </w:p>
        </w:tc>
        <w:tc>
          <w:tcPr>
            <w:tcW w:w="831" w:type="pct"/>
            <w:tcBorders>
              <w:bottom w:val="single" w:sz="4" w:space="0" w:color="auto"/>
            </w:tcBorders>
          </w:tcPr>
          <w:p w14:paraId="4988813B" w14:textId="77777777" w:rsidR="00747647" w:rsidRPr="00F14E72" w:rsidRDefault="00747647" w:rsidP="00184CC7">
            <w:pPr>
              <w:spacing w:before="40" w:after="40" w:line="240" w:lineRule="auto"/>
              <w:ind w:right="327"/>
              <w:rPr>
                <w:rFonts w:eastAsia="Times New Roman" w:cs="Times New Roman"/>
                <w:color w:val="0000FF"/>
                <w:sz w:val="20"/>
                <w:szCs w:val="20"/>
              </w:rPr>
            </w:pPr>
            <w:r w:rsidRPr="00F14E72">
              <w:rPr>
                <w:rFonts w:eastAsia="Times New Roman" w:cs="Times New Roman"/>
                <w:color w:val="0000FF"/>
                <w:sz w:val="20"/>
                <w:szCs w:val="20"/>
              </w:rPr>
              <w:t>-277,061.8</w:t>
            </w:r>
          </w:p>
        </w:tc>
      </w:tr>
    </w:tbl>
    <w:p w14:paraId="6F270863" w14:textId="211C28B2" w:rsidR="00747647" w:rsidRPr="00D21597" w:rsidRDefault="00747647" w:rsidP="00747647">
      <w:pPr>
        <w:spacing w:before="40" w:after="40" w:line="240" w:lineRule="auto"/>
        <w:rPr>
          <w:iCs/>
          <w:color w:val="0000FF"/>
          <w:sz w:val="20"/>
          <w:szCs w:val="20"/>
        </w:rPr>
      </w:pPr>
      <w:bookmarkStart w:id="29" w:name="_Hlk502327173"/>
      <w:r w:rsidRPr="00D21597">
        <w:rPr>
          <w:iCs/>
          <w:color w:val="0000FF"/>
          <w:sz w:val="20"/>
          <w:szCs w:val="20"/>
        </w:rPr>
        <w:t>NOTES: “</w:t>
      </w:r>
      <w:r w:rsidR="00E642AA">
        <w:rPr>
          <w:iCs/>
          <w:color w:val="0000FF"/>
          <w:sz w:val="20"/>
          <w:szCs w:val="20"/>
        </w:rPr>
        <w:t>--</w:t>
      </w:r>
      <w:r w:rsidR="00AD77E6">
        <w:rPr>
          <w:iCs/>
          <w:color w:val="0000FF"/>
          <w:sz w:val="20"/>
          <w:szCs w:val="20"/>
        </w:rPr>
        <w:t xml:space="preserve"> </w:t>
      </w:r>
      <w:proofErr w:type="gramStart"/>
      <w:r w:rsidR="00AD77E6">
        <w:rPr>
          <w:iCs/>
          <w:color w:val="0000FF"/>
          <w:sz w:val="20"/>
          <w:szCs w:val="20"/>
        </w:rPr>
        <w:t>“</w:t>
      </w:r>
      <w:r w:rsidR="00E642AA">
        <w:rPr>
          <w:iCs/>
          <w:color w:val="0000FF"/>
          <w:sz w:val="20"/>
          <w:szCs w:val="20"/>
        </w:rPr>
        <w:t xml:space="preserve"> </w:t>
      </w:r>
      <w:r w:rsidR="00AD77E6">
        <w:rPr>
          <w:iCs/>
          <w:color w:val="0000FF"/>
          <w:sz w:val="20"/>
          <w:szCs w:val="20"/>
        </w:rPr>
        <w:t>indicates</w:t>
      </w:r>
      <w:proofErr w:type="gramEnd"/>
      <w:r w:rsidRPr="00D21597">
        <w:rPr>
          <w:iCs/>
          <w:color w:val="0000FF"/>
          <w:sz w:val="20"/>
          <w:szCs w:val="20"/>
        </w:rPr>
        <w:t xml:space="preserve"> </w:t>
      </w:r>
      <w:bookmarkEnd w:id="29"/>
      <w:r w:rsidRPr="00D21597">
        <w:rPr>
          <w:iCs/>
          <w:color w:val="0000FF"/>
          <w:sz w:val="20"/>
          <w:szCs w:val="20"/>
        </w:rPr>
        <w:t>that the Hosmer-</w:t>
      </w:r>
      <w:proofErr w:type="spellStart"/>
      <w:r w:rsidRPr="00D21597">
        <w:rPr>
          <w:iCs/>
          <w:color w:val="0000FF"/>
          <w:sz w:val="20"/>
          <w:szCs w:val="20"/>
        </w:rPr>
        <w:t>Lemeshow</w:t>
      </w:r>
      <w:proofErr w:type="spellEnd"/>
      <w:r w:rsidRPr="00D21597">
        <w:rPr>
          <w:iCs/>
          <w:color w:val="0000FF"/>
          <w:sz w:val="20"/>
          <w:szCs w:val="20"/>
        </w:rPr>
        <w:t xml:space="preserve"> test only has two quantiles (Cognitive independence, Model 1, Model 2) or four quantiles (Model 5), and the significance of the test statistic cannot be computed or is misleading, based on other model selection statistics.  </w:t>
      </w:r>
    </w:p>
    <w:p w14:paraId="4779C390" w14:textId="77777777" w:rsidR="00747647" w:rsidRPr="00D21597" w:rsidRDefault="00747647" w:rsidP="00747647">
      <w:pPr>
        <w:spacing w:before="40" w:after="40" w:line="240" w:lineRule="auto"/>
        <w:rPr>
          <w:rFonts w:eastAsia="Times New Roman" w:cs="Times New Roman"/>
          <w:color w:val="0000FF"/>
          <w:sz w:val="20"/>
          <w:szCs w:val="20"/>
        </w:rPr>
      </w:pPr>
      <w:r w:rsidRPr="00D21597">
        <w:rPr>
          <w:rFonts w:eastAsia="Times New Roman" w:cs="Times New Roman"/>
          <w:color w:val="0000FF"/>
          <w:sz w:val="20"/>
          <w:szCs w:val="20"/>
        </w:rPr>
        <w:t>AIC: Akaike Information Criterion</w:t>
      </w:r>
    </w:p>
    <w:p w14:paraId="2550400F" w14:textId="77777777" w:rsidR="00747647" w:rsidRPr="00D21597" w:rsidRDefault="00747647" w:rsidP="00747647">
      <w:pPr>
        <w:autoSpaceDE w:val="0"/>
        <w:autoSpaceDN w:val="0"/>
        <w:adjustRightInd w:val="0"/>
        <w:spacing w:after="0" w:line="240" w:lineRule="auto"/>
        <w:rPr>
          <w:rFonts w:eastAsia="Times New Roman" w:cs="Times New Roman"/>
          <w:color w:val="0000FF"/>
          <w:sz w:val="20"/>
          <w:szCs w:val="20"/>
        </w:rPr>
      </w:pPr>
      <w:r w:rsidRPr="00D21597">
        <w:rPr>
          <w:rFonts w:eastAsia="Times New Roman" w:cs="Times New Roman"/>
          <w:color w:val="0000FF"/>
          <w:sz w:val="20"/>
          <w:szCs w:val="20"/>
        </w:rPr>
        <w:t>BIC: Bayesian Information Criterion</w:t>
      </w:r>
    </w:p>
    <w:p w14:paraId="12B643A3" w14:textId="77777777" w:rsidR="00747647" w:rsidRPr="00D21597" w:rsidRDefault="00747647" w:rsidP="00747647">
      <w:pPr>
        <w:autoSpaceDE w:val="0"/>
        <w:autoSpaceDN w:val="0"/>
        <w:adjustRightInd w:val="0"/>
        <w:spacing w:after="0" w:line="240" w:lineRule="auto"/>
        <w:rPr>
          <w:rFonts w:eastAsia="Times New Roman" w:cs="Times New Roman"/>
          <w:color w:val="0000FF"/>
          <w:sz w:val="20"/>
          <w:szCs w:val="20"/>
        </w:rPr>
      </w:pPr>
      <w:r w:rsidRPr="00D21597">
        <w:rPr>
          <w:rFonts w:eastAsia="Times New Roman" w:cs="Times New Roman"/>
          <w:color w:val="0000FF"/>
          <w:sz w:val="20"/>
          <w:szCs w:val="20"/>
        </w:rPr>
        <w:t>Model 1: Risk adjusted for oldest old</w:t>
      </w:r>
    </w:p>
    <w:p w14:paraId="754D82ED" w14:textId="77777777" w:rsidR="00747647" w:rsidRPr="00D21597" w:rsidRDefault="00747647" w:rsidP="00747647">
      <w:pPr>
        <w:autoSpaceDE w:val="0"/>
        <w:autoSpaceDN w:val="0"/>
        <w:adjustRightInd w:val="0"/>
        <w:spacing w:after="0" w:line="240" w:lineRule="auto"/>
        <w:rPr>
          <w:rFonts w:eastAsia="Times New Roman" w:cs="Times New Roman"/>
          <w:color w:val="0000FF"/>
          <w:sz w:val="20"/>
          <w:szCs w:val="20"/>
        </w:rPr>
      </w:pPr>
      <w:r w:rsidRPr="00D21597">
        <w:rPr>
          <w:rFonts w:eastAsia="Times New Roman" w:cs="Times New Roman"/>
          <w:color w:val="0000FF"/>
          <w:sz w:val="20"/>
          <w:szCs w:val="20"/>
        </w:rPr>
        <w:t>Model 2: Risk adjusted for male gender</w:t>
      </w:r>
    </w:p>
    <w:p w14:paraId="39A4BF93" w14:textId="77777777" w:rsidR="00747647" w:rsidRPr="00D21597" w:rsidRDefault="00747647" w:rsidP="00747647">
      <w:pPr>
        <w:autoSpaceDE w:val="0"/>
        <w:autoSpaceDN w:val="0"/>
        <w:adjustRightInd w:val="0"/>
        <w:spacing w:after="0" w:line="240" w:lineRule="auto"/>
        <w:rPr>
          <w:rFonts w:eastAsia="Times New Roman" w:cs="Times New Roman"/>
          <w:color w:val="0000FF"/>
          <w:sz w:val="20"/>
          <w:szCs w:val="20"/>
        </w:rPr>
      </w:pPr>
      <w:r w:rsidRPr="00D21597">
        <w:rPr>
          <w:rFonts w:eastAsia="Times New Roman" w:cs="Times New Roman"/>
          <w:color w:val="0000FF"/>
          <w:sz w:val="20"/>
          <w:szCs w:val="20"/>
        </w:rPr>
        <w:t>Model 3: Risk adjusted for oldest old and male gender</w:t>
      </w:r>
    </w:p>
    <w:p w14:paraId="00563F73" w14:textId="77777777" w:rsidR="00747647" w:rsidRPr="00D21597" w:rsidRDefault="00747647" w:rsidP="00747647">
      <w:pPr>
        <w:autoSpaceDE w:val="0"/>
        <w:autoSpaceDN w:val="0"/>
        <w:adjustRightInd w:val="0"/>
        <w:spacing w:after="0" w:line="240" w:lineRule="auto"/>
        <w:rPr>
          <w:rFonts w:eastAsia="Times New Roman" w:cs="Times New Roman"/>
          <w:color w:val="0000FF"/>
          <w:sz w:val="20"/>
          <w:szCs w:val="20"/>
        </w:rPr>
      </w:pPr>
      <w:r w:rsidRPr="00D21597">
        <w:rPr>
          <w:rFonts w:eastAsia="Times New Roman" w:cs="Times New Roman"/>
          <w:color w:val="0000FF"/>
          <w:sz w:val="20"/>
          <w:szCs w:val="20"/>
        </w:rPr>
        <w:t>Model 4: Risk adjusted for cognitive independence and oldest old</w:t>
      </w:r>
    </w:p>
    <w:p w14:paraId="07CCD87A" w14:textId="77777777" w:rsidR="00747647" w:rsidRPr="00D21597" w:rsidRDefault="00747647" w:rsidP="00747647">
      <w:pPr>
        <w:autoSpaceDE w:val="0"/>
        <w:autoSpaceDN w:val="0"/>
        <w:adjustRightInd w:val="0"/>
        <w:spacing w:after="0" w:line="240" w:lineRule="auto"/>
        <w:rPr>
          <w:rFonts w:eastAsia="Times New Roman" w:cs="Times New Roman"/>
          <w:color w:val="0000FF"/>
          <w:sz w:val="20"/>
          <w:szCs w:val="20"/>
        </w:rPr>
      </w:pPr>
      <w:r w:rsidRPr="00D21597">
        <w:rPr>
          <w:rFonts w:eastAsia="Times New Roman" w:cs="Times New Roman"/>
          <w:color w:val="0000FF"/>
          <w:sz w:val="20"/>
          <w:szCs w:val="20"/>
        </w:rPr>
        <w:t>Model 5: Risk adjusted for cognitive independence and male gender</w:t>
      </w:r>
    </w:p>
    <w:p w14:paraId="58996E8D" w14:textId="77777777" w:rsidR="00747647" w:rsidRPr="00D21597" w:rsidRDefault="00747647" w:rsidP="00747647">
      <w:pPr>
        <w:autoSpaceDE w:val="0"/>
        <w:autoSpaceDN w:val="0"/>
        <w:adjustRightInd w:val="0"/>
        <w:spacing w:after="0" w:line="240" w:lineRule="auto"/>
        <w:rPr>
          <w:rFonts w:eastAsia="Times New Roman" w:cs="Times New Roman"/>
          <w:color w:val="0000FF"/>
          <w:sz w:val="20"/>
          <w:szCs w:val="20"/>
        </w:rPr>
      </w:pPr>
      <w:bookmarkStart w:id="30" w:name="_Hlk501536102"/>
      <w:r w:rsidRPr="00D21597">
        <w:rPr>
          <w:rFonts w:eastAsia="Times New Roman" w:cs="Times New Roman"/>
          <w:color w:val="0000FF"/>
          <w:sz w:val="20"/>
          <w:szCs w:val="20"/>
        </w:rPr>
        <w:t>Model 6: Risk adjusted for cognitive independence, oldest old, and male gender</w:t>
      </w:r>
    </w:p>
    <w:bookmarkEnd w:id="30"/>
    <w:p w14:paraId="11330237" w14:textId="77777777" w:rsidR="00747647" w:rsidRPr="00D21597" w:rsidRDefault="00747647" w:rsidP="00747647">
      <w:pPr>
        <w:autoSpaceDE w:val="0"/>
        <w:autoSpaceDN w:val="0"/>
        <w:adjustRightInd w:val="0"/>
        <w:spacing w:after="0" w:line="240" w:lineRule="auto"/>
        <w:rPr>
          <w:rFonts w:ascii="Calibri" w:eastAsia="MS Mincho" w:hAnsi="Calibri" w:cs="Calibri"/>
          <w:bCs/>
          <w:color w:val="0000FF"/>
          <w:sz w:val="20"/>
          <w:szCs w:val="20"/>
        </w:rPr>
      </w:pPr>
    </w:p>
    <w:p w14:paraId="6CE8AADB" w14:textId="6A2FCE3E" w:rsidR="00747647" w:rsidRPr="00D21597" w:rsidRDefault="00747647" w:rsidP="00747647">
      <w:pPr>
        <w:autoSpaceDE w:val="0"/>
        <w:autoSpaceDN w:val="0"/>
        <w:adjustRightInd w:val="0"/>
        <w:spacing w:after="0" w:line="240" w:lineRule="auto"/>
        <w:rPr>
          <w:rFonts w:eastAsia="Times New Roman" w:cs="Times New Roman"/>
          <w:color w:val="0000FF"/>
          <w:sz w:val="20"/>
          <w:szCs w:val="20"/>
        </w:rPr>
      </w:pPr>
      <w:r w:rsidRPr="00D21597">
        <w:rPr>
          <w:rFonts w:eastAsia="Times New Roman" w:cs="Times New Roman"/>
          <w:color w:val="0000FF"/>
          <w:sz w:val="20"/>
          <w:szCs w:val="20"/>
        </w:rPr>
        <w:t>Source: RTI analysis of MDS 3.0 Data, Q2 2017 (programming refer</w:t>
      </w:r>
      <w:r w:rsidR="009213B3">
        <w:rPr>
          <w:rFonts w:eastAsia="Times New Roman" w:cs="Times New Roman"/>
          <w:color w:val="0000FF"/>
          <w:sz w:val="20"/>
          <w:szCs w:val="20"/>
        </w:rPr>
        <w:t>ence: LJC04/LJC04_request_</w:t>
      </w:r>
      <w:r w:rsidRPr="00D21597">
        <w:rPr>
          <w:rFonts w:eastAsia="Times New Roman" w:cs="Times New Roman"/>
          <w:color w:val="0000FF"/>
          <w:sz w:val="20"/>
          <w:szCs w:val="20"/>
        </w:rPr>
        <w:t>676.log)</w:t>
      </w:r>
    </w:p>
    <w:p w14:paraId="34EF7A36" w14:textId="77777777" w:rsidR="00747647" w:rsidRPr="007B766A" w:rsidRDefault="00747647" w:rsidP="00747647">
      <w:pPr>
        <w:autoSpaceDE w:val="0"/>
        <w:autoSpaceDN w:val="0"/>
        <w:adjustRightInd w:val="0"/>
        <w:spacing w:after="0" w:line="240" w:lineRule="auto"/>
        <w:rPr>
          <w:rFonts w:eastAsia="Times New Roman" w:cs="Times New Roman"/>
          <w:color w:val="0000FF"/>
        </w:rPr>
      </w:pPr>
    </w:p>
    <w:p w14:paraId="62303DC3" w14:textId="77777777" w:rsidR="00747647" w:rsidRPr="007B766A" w:rsidRDefault="00747647" w:rsidP="00747647">
      <w:pPr>
        <w:spacing w:after="240"/>
        <w:rPr>
          <w:iCs/>
          <w:color w:val="0000FF"/>
        </w:rPr>
      </w:pPr>
      <w:r w:rsidRPr="007B766A">
        <w:rPr>
          <w:iCs/>
          <w:color w:val="0000FF"/>
        </w:rPr>
        <w:t xml:space="preserve">We used the c-statistic to examine the discrimination of the statistical risk model, and we used the Akaike Information Criterion (AIC), Bayesian Information Criterion (BIC), pseudo </w:t>
      </w:r>
      <w:r w:rsidRPr="007B766A">
        <w:rPr>
          <w:i/>
          <w:iCs/>
          <w:color w:val="0000FF"/>
        </w:rPr>
        <w:t>R</w:t>
      </w:r>
      <w:r w:rsidRPr="007B766A">
        <w:rPr>
          <w:iCs/>
          <w:color w:val="0000FF"/>
          <w:vertAlign w:val="superscript"/>
        </w:rPr>
        <w:t>2</w:t>
      </w:r>
      <w:r w:rsidRPr="007B766A">
        <w:rPr>
          <w:iCs/>
          <w:color w:val="0000FF"/>
        </w:rPr>
        <w:t>, and log-likelihood to examine the statistical risk model calibration.  We also used the Hosmer-</w:t>
      </w:r>
      <w:proofErr w:type="spellStart"/>
      <w:r w:rsidRPr="007B766A">
        <w:rPr>
          <w:iCs/>
          <w:color w:val="0000FF"/>
        </w:rPr>
        <w:t>Lemeshow</w:t>
      </w:r>
      <w:proofErr w:type="spellEnd"/>
      <w:r w:rsidRPr="007B766A">
        <w:rPr>
          <w:iCs/>
          <w:color w:val="0000FF"/>
        </w:rPr>
        <w:t xml:space="preserve"> test for goodness of fit; however, </w:t>
      </w:r>
      <w:r>
        <w:rPr>
          <w:iCs/>
          <w:color w:val="0000FF"/>
        </w:rPr>
        <w:t>when</w:t>
      </w:r>
      <w:r w:rsidRPr="007B766A">
        <w:rPr>
          <w:iCs/>
          <w:color w:val="0000FF"/>
        </w:rPr>
        <w:t xml:space="preserve"> only 1 predictor </w:t>
      </w:r>
      <w:r>
        <w:rPr>
          <w:iCs/>
          <w:color w:val="0000FF"/>
        </w:rPr>
        <w:t xml:space="preserve">is </w:t>
      </w:r>
      <w:r w:rsidRPr="007B766A">
        <w:rPr>
          <w:iCs/>
          <w:color w:val="0000FF"/>
        </w:rPr>
        <w:t>in the risk adjustment model, the Hosmer-</w:t>
      </w:r>
      <w:proofErr w:type="spellStart"/>
      <w:r w:rsidRPr="007B766A">
        <w:rPr>
          <w:iCs/>
          <w:color w:val="0000FF"/>
        </w:rPr>
        <w:t>Lemeshow</w:t>
      </w:r>
      <w:proofErr w:type="spellEnd"/>
      <w:r w:rsidRPr="007B766A">
        <w:rPr>
          <w:iCs/>
          <w:color w:val="0000FF"/>
        </w:rPr>
        <w:t xml:space="preserve"> test only has two quantiles, and the significance of the test statistic cannot be computed.  </w:t>
      </w:r>
    </w:p>
    <w:p w14:paraId="69ECBE0A" w14:textId="77777777" w:rsidR="003258DB" w:rsidRDefault="00747647" w:rsidP="003258DB">
      <w:pPr>
        <w:pStyle w:val="Response"/>
        <w:rPr>
          <w:rFonts w:ascii="Calibri" w:eastAsia="MS Mincho" w:hAnsi="Calibri" w:cs="Calibri"/>
          <w:bCs w:val="0"/>
        </w:rPr>
      </w:pPr>
      <w:bookmarkStart w:id="31" w:name="_Hlk501536083"/>
      <w:r w:rsidRPr="007B766A">
        <w:rPr>
          <w:rFonts w:ascii="Calibri" w:eastAsia="MS Mincho" w:hAnsi="Calibri" w:cs="Calibri"/>
          <w:bCs w:val="0"/>
        </w:rPr>
        <w:t xml:space="preserve">Based on the c-statistic and these model calibration statistics, overall, Model </w:t>
      </w:r>
      <w:r>
        <w:rPr>
          <w:rFonts w:ascii="Calibri" w:eastAsia="MS Mincho" w:hAnsi="Calibri" w:cs="Calibri"/>
          <w:bCs w:val="0"/>
        </w:rPr>
        <w:t>6</w:t>
      </w:r>
      <w:r w:rsidRPr="007B766A">
        <w:rPr>
          <w:rFonts w:ascii="Calibri" w:eastAsia="MS Mincho" w:hAnsi="Calibri" w:cs="Calibri"/>
          <w:bCs w:val="0"/>
        </w:rPr>
        <w:t xml:space="preserve"> appears to have the best fit and calibration.  However, </w:t>
      </w:r>
      <w:r w:rsidR="00AD77E6">
        <w:rPr>
          <w:rFonts w:ascii="Calibri" w:eastAsia="MS Mincho" w:hAnsi="Calibri" w:cs="Calibri"/>
          <w:bCs w:val="0"/>
        </w:rPr>
        <w:t>all</w:t>
      </w:r>
      <w:r>
        <w:rPr>
          <w:rFonts w:ascii="Calibri" w:eastAsia="MS Mincho" w:hAnsi="Calibri" w:cs="Calibri"/>
          <w:bCs w:val="0"/>
        </w:rPr>
        <w:t xml:space="preserve"> the models have weak performance, and </w:t>
      </w:r>
      <w:r w:rsidRPr="007B766A">
        <w:rPr>
          <w:rFonts w:ascii="Calibri" w:eastAsia="MS Mincho" w:hAnsi="Calibri" w:cs="Calibri"/>
          <w:bCs w:val="0"/>
        </w:rPr>
        <w:t xml:space="preserve">the improvements to model fit and calibration </w:t>
      </w:r>
      <w:r>
        <w:rPr>
          <w:rFonts w:ascii="Calibri" w:eastAsia="MS Mincho" w:hAnsi="Calibri" w:cs="Calibri"/>
          <w:bCs w:val="0"/>
        </w:rPr>
        <w:t xml:space="preserve">achieved </w:t>
      </w:r>
      <w:r w:rsidRPr="007B766A">
        <w:rPr>
          <w:rFonts w:ascii="Calibri" w:eastAsia="MS Mincho" w:hAnsi="Calibri" w:cs="Calibri"/>
          <w:bCs w:val="0"/>
        </w:rPr>
        <w:t xml:space="preserve">by including additional risk factors are very </w:t>
      </w:r>
      <w:r>
        <w:rPr>
          <w:rFonts w:ascii="Calibri" w:eastAsia="MS Mincho" w:hAnsi="Calibri" w:cs="Calibri"/>
          <w:bCs w:val="0"/>
        </w:rPr>
        <w:t xml:space="preserve">small.  </w:t>
      </w:r>
      <w:r w:rsidR="00132A39">
        <w:rPr>
          <w:iCs/>
        </w:rPr>
        <w:t xml:space="preserve">There </w:t>
      </w:r>
      <w:r w:rsidRPr="007B766A">
        <w:rPr>
          <w:rFonts w:ascii="Calibri" w:eastAsia="MS Mincho" w:hAnsi="Calibri" w:cs="Calibri"/>
          <w:bCs w:val="0"/>
        </w:rPr>
        <w:t xml:space="preserve">is almost no practical improvement in </w:t>
      </w:r>
      <w:r>
        <w:rPr>
          <w:rFonts w:ascii="Calibri" w:eastAsia="MS Mincho" w:hAnsi="Calibri" w:cs="Calibri"/>
          <w:bCs w:val="0"/>
        </w:rPr>
        <w:t>including</w:t>
      </w:r>
      <w:r w:rsidRPr="007B766A">
        <w:rPr>
          <w:rFonts w:ascii="Calibri" w:eastAsia="MS Mincho" w:hAnsi="Calibri" w:cs="Calibri"/>
          <w:bCs w:val="0"/>
        </w:rPr>
        <w:t xml:space="preserve"> </w:t>
      </w:r>
      <w:r>
        <w:rPr>
          <w:rFonts w:ascii="Calibri" w:eastAsia="MS Mincho" w:hAnsi="Calibri" w:cs="Calibri"/>
          <w:bCs w:val="0"/>
        </w:rPr>
        <w:t>additional</w:t>
      </w:r>
      <w:r w:rsidRPr="007B766A">
        <w:rPr>
          <w:rFonts w:ascii="Calibri" w:eastAsia="MS Mincho" w:hAnsi="Calibri" w:cs="Calibri"/>
          <w:bCs w:val="0"/>
        </w:rPr>
        <w:t xml:space="preserve"> risk adjustors </w:t>
      </w:r>
      <w:r>
        <w:rPr>
          <w:rFonts w:ascii="Calibri" w:eastAsia="MS Mincho" w:hAnsi="Calibri" w:cs="Calibri"/>
          <w:bCs w:val="0"/>
        </w:rPr>
        <w:t>in</w:t>
      </w:r>
      <w:r w:rsidRPr="007B766A">
        <w:rPr>
          <w:rFonts w:ascii="Calibri" w:eastAsia="MS Mincho" w:hAnsi="Calibri" w:cs="Calibri"/>
          <w:bCs w:val="0"/>
        </w:rPr>
        <w:t xml:space="preserve"> the risk adjustment model.</w:t>
      </w:r>
      <w:r w:rsidR="003258DB">
        <w:rPr>
          <w:rFonts w:ascii="Calibri" w:eastAsia="MS Mincho" w:hAnsi="Calibri" w:cs="Calibri"/>
          <w:bCs w:val="0"/>
        </w:rPr>
        <w:t xml:space="preserve"> </w:t>
      </w:r>
    </w:p>
    <w:p w14:paraId="5E42641E" w14:textId="3130B85B" w:rsidR="00747647" w:rsidRPr="00661ADA" w:rsidRDefault="003258DB" w:rsidP="00661ADA">
      <w:pPr>
        <w:pStyle w:val="Response"/>
        <w:rPr>
          <w:bCs w:val="0"/>
        </w:rPr>
      </w:pPr>
      <w:r>
        <w:rPr>
          <w:rFonts w:ascii="Calibri" w:eastAsia="MS Mincho" w:hAnsi="Calibri" w:cs="Calibri"/>
          <w:bCs w:val="0"/>
        </w:rPr>
        <w:t>In addition,</w:t>
      </w:r>
      <w:r w:rsidRPr="00A44749">
        <w:rPr>
          <w:bCs w:val="0"/>
        </w:rPr>
        <w:t xml:space="preserve"> </w:t>
      </w:r>
      <w:r w:rsidR="00BE5B77">
        <w:rPr>
          <w:bCs w:val="0"/>
        </w:rPr>
        <w:t xml:space="preserve">we examined the impact of risk adjustment on the </w:t>
      </w:r>
      <w:r w:rsidR="002D754A">
        <w:rPr>
          <w:bCs w:val="0"/>
        </w:rPr>
        <w:t>reportability</w:t>
      </w:r>
      <w:r w:rsidR="00BE5B77">
        <w:rPr>
          <w:bCs w:val="0"/>
        </w:rPr>
        <w:t>. R</w:t>
      </w:r>
      <w:r w:rsidRPr="00A44749">
        <w:rPr>
          <w:bCs w:val="0"/>
        </w:rPr>
        <w:t>estrict</w:t>
      </w:r>
      <w:r>
        <w:rPr>
          <w:bCs w:val="0"/>
        </w:rPr>
        <w:t>ing</w:t>
      </w:r>
      <w:r w:rsidRPr="00A44749">
        <w:rPr>
          <w:bCs w:val="0"/>
        </w:rPr>
        <w:t xml:space="preserve"> the measure to only those residents with </w:t>
      </w:r>
      <w:r w:rsidRPr="00143893">
        <w:rPr>
          <w:bCs w:val="0"/>
        </w:rPr>
        <w:t xml:space="preserve">initial assessments </w:t>
      </w:r>
      <w:r>
        <w:rPr>
          <w:bCs w:val="0"/>
        </w:rPr>
        <w:t xml:space="preserve">for the purposes of risk adjustment </w:t>
      </w:r>
      <w:r w:rsidRPr="00143893">
        <w:rPr>
          <w:bCs w:val="0"/>
        </w:rPr>
        <w:t xml:space="preserve">would reduce the number of residents included in the denominator of this measure </w:t>
      </w:r>
      <w:r w:rsidR="00BE5B77">
        <w:rPr>
          <w:bCs w:val="0"/>
        </w:rPr>
        <w:t>by about one third. T</w:t>
      </w:r>
      <w:r w:rsidR="00BE5B77" w:rsidRPr="00BE5B77">
        <w:rPr>
          <w:bCs w:val="0"/>
        </w:rPr>
        <w:t xml:space="preserve">he </w:t>
      </w:r>
      <w:r w:rsidR="00BE5B77">
        <w:rPr>
          <w:bCs w:val="0"/>
        </w:rPr>
        <w:t xml:space="preserve">minimal </w:t>
      </w:r>
      <w:r w:rsidR="00BE5B77" w:rsidRPr="00BE5B77">
        <w:rPr>
          <w:bCs w:val="0"/>
        </w:rPr>
        <w:t xml:space="preserve">benefits of risk adjustment </w:t>
      </w:r>
      <w:r w:rsidR="00BE5B77">
        <w:rPr>
          <w:bCs w:val="0"/>
        </w:rPr>
        <w:t>would be outweighed</w:t>
      </w:r>
      <w:r w:rsidR="00BE5B77" w:rsidRPr="00BE5B77">
        <w:rPr>
          <w:bCs w:val="0"/>
        </w:rPr>
        <w:t xml:space="preserve"> by the large number of resident exclusions that would result. </w:t>
      </w:r>
      <w:r w:rsidR="00BE5B77">
        <w:rPr>
          <w:bCs w:val="0"/>
        </w:rPr>
        <w:t xml:space="preserve"> </w:t>
      </w:r>
      <w:bookmarkEnd w:id="31"/>
    </w:p>
    <w:p w14:paraId="3407C132" w14:textId="77D1B9F8" w:rsidR="00747647" w:rsidRPr="00024B54" w:rsidRDefault="00747647" w:rsidP="00747647">
      <w:pPr>
        <w:autoSpaceDE w:val="0"/>
        <w:autoSpaceDN w:val="0"/>
        <w:adjustRightInd w:val="0"/>
        <w:spacing w:after="0" w:line="240" w:lineRule="auto"/>
        <w:rPr>
          <w:rFonts w:eastAsia="Times New Roman" w:cs="Times New Roman"/>
          <w:color w:val="0000FF"/>
          <w:sz w:val="20"/>
          <w:szCs w:val="20"/>
        </w:rPr>
      </w:pPr>
      <w:r w:rsidRPr="00024B54">
        <w:rPr>
          <w:rFonts w:eastAsia="Times New Roman" w:cs="Times New Roman"/>
          <w:color w:val="0000FF"/>
          <w:sz w:val="20"/>
          <w:szCs w:val="20"/>
        </w:rPr>
        <w:t>Source: RTI analysis of MDS 3.0 Data, Q2 2017 (programming refer</w:t>
      </w:r>
      <w:r w:rsidR="009213B3">
        <w:rPr>
          <w:rFonts w:eastAsia="Times New Roman" w:cs="Times New Roman"/>
          <w:color w:val="0000FF"/>
          <w:sz w:val="20"/>
          <w:szCs w:val="20"/>
        </w:rPr>
        <w:t>ence: LJC04/LJC04_request_</w:t>
      </w:r>
      <w:r w:rsidRPr="00024B54">
        <w:rPr>
          <w:rFonts w:eastAsia="Times New Roman" w:cs="Times New Roman"/>
          <w:color w:val="0000FF"/>
          <w:sz w:val="20"/>
          <w:szCs w:val="20"/>
        </w:rPr>
        <w:t>676.log)</w:t>
      </w:r>
    </w:p>
    <w:p w14:paraId="288B5D07" w14:textId="77777777" w:rsidR="00747647" w:rsidRPr="007B766A" w:rsidRDefault="00747647" w:rsidP="00747647">
      <w:pPr>
        <w:autoSpaceDE w:val="0"/>
        <w:autoSpaceDN w:val="0"/>
        <w:adjustRightInd w:val="0"/>
        <w:spacing w:after="0" w:line="240" w:lineRule="auto"/>
        <w:rPr>
          <w:rFonts w:cstheme="minorHAnsi"/>
          <w:b/>
          <w:bCs/>
        </w:rPr>
      </w:pPr>
    </w:p>
    <w:p w14:paraId="057CA26C" w14:textId="77777777" w:rsidR="00747647" w:rsidRPr="007B766A" w:rsidRDefault="00747647" w:rsidP="00747647">
      <w:pPr>
        <w:autoSpaceDE w:val="0"/>
        <w:autoSpaceDN w:val="0"/>
        <w:adjustRightInd w:val="0"/>
        <w:spacing w:after="0" w:line="240" w:lineRule="auto"/>
        <w:rPr>
          <w:rFonts w:cstheme="minorHAnsi"/>
          <w:b/>
          <w:bCs/>
        </w:rPr>
      </w:pPr>
      <w:r w:rsidRPr="007B766A">
        <w:rPr>
          <w:rFonts w:cstheme="minorHAnsi"/>
          <w:b/>
          <w:bCs/>
        </w:rPr>
        <w:t xml:space="preserve">2b3.5. Describe the method of testing/analysis used to develop and validate the adequacy of the statistical model </w:t>
      </w:r>
      <w:r w:rsidRPr="007B766A">
        <w:rPr>
          <w:rFonts w:cstheme="minorHAnsi"/>
          <w:b/>
          <w:bCs/>
          <w:u w:val="single"/>
        </w:rPr>
        <w:t>or</w:t>
      </w:r>
      <w:r w:rsidRPr="007B766A">
        <w:rPr>
          <w:rFonts w:cstheme="minorHAnsi"/>
          <w:b/>
          <w:bCs/>
        </w:rPr>
        <w:t xml:space="preserve"> stratification approach</w:t>
      </w:r>
      <w:r w:rsidRPr="007B766A">
        <w:rPr>
          <w:rFonts w:cstheme="minorHAnsi"/>
          <w:bCs/>
        </w:rPr>
        <w:t xml:space="preserve"> (</w:t>
      </w:r>
      <w:r w:rsidRPr="007B766A">
        <w:rPr>
          <w:rFonts w:cstheme="minorHAnsi"/>
          <w:bCs/>
          <w:i/>
        </w:rPr>
        <w:t>describe the steps―do not just name a method; what statistical analysis was used</w:t>
      </w:r>
      <w:r w:rsidRPr="007B766A">
        <w:rPr>
          <w:rFonts w:cstheme="minorHAnsi"/>
          <w:bCs/>
        </w:rPr>
        <w:t xml:space="preserve">) </w:t>
      </w:r>
      <w:r w:rsidRPr="007B766A">
        <w:rPr>
          <w:rFonts w:cstheme="minorHAnsi"/>
          <w:bCs/>
          <w:i/>
        </w:rPr>
        <w:t>Provide the statistical results from testing the approach to controlling for differences in patient characteristics (case mix) below</w:t>
      </w:r>
      <w:r w:rsidRPr="007B766A">
        <w:rPr>
          <w:rFonts w:cstheme="minorHAnsi"/>
          <w:bCs/>
        </w:rPr>
        <w:t>.</w:t>
      </w:r>
      <w:r w:rsidRPr="007B766A">
        <w:rPr>
          <w:rFonts w:cstheme="minorHAnsi"/>
          <w:bCs/>
        </w:rPr>
        <w:br/>
      </w:r>
      <w:r w:rsidRPr="007B766A">
        <w:rPr>
          <w:rFonts w:cstheme="minorHAnsi"/>
          <w:b/>
          <w:bCs/>
          <w:i/>
          <w:highlight w:val="green"/>
        </w:rPr>
        <w:t xml:space="preserve">If stratified, skip to </w:t>
      </w:r>
      <w:hyperlink w:anchor="question2b49" w:history="1">
        <w:r w:rsidRPr="007B766A">
          <w:rPr>
            <w:rStyle w:val="Hyperlink"/>
            <w:rFonts w:cstheme="minorHAnsi"/>
            <w:b/>
            <w:bCs/>
            <w:i/>
            <w:highlight w:val="green"/>
          </w:rPr>
          <w:t>2b3.9</w:t>
        </w:r>
      </w:hyperlink>
    </w:p>
    <w:p w14:paraId="196FCAA6" w14:textId="77777777" w:rsidR="00747647" w:rsidRPr="007B766A" w:rsidRDefault="00747647" w:rsidP="00747647">
      <w:pPr>
        <w:autoSpaceDE w:val="0"/>
        <w:autoSpaceDN w:val="0"/>
        <w:adjustRightInd w:val="0"/>
        <w:spacing w:after="0" w:line="240" w:lineRule="auto"/>
        <w:rPr>
          <w:rFonts w:cstheme="minorHAnsi"/>
          <w:bCs/>
        </w:rPr>
      </w:pPr>
    </w:p>
    <w:p w14:paraId="70BE0BBB" w14:textId="77777777" w:rsidR="00747647" w:rsidRPr="007B766A" w:rsidRDefault="00747647" w:rsidP="00747647">
      <w:pPr>
        <w:spacing w:after="240"/>
        <w:rPr>
          <w:iCs/>
          <w:color w:val="0000FF"/>
        </w:rPr>
      </w:pPr>
      <w:r>
        <w:rPr>
          <w:iCs/>
          <w:color w:val="0000FF"/>
        </w:rPr>
        <w:t>Not applicable.  This model is not risk-adjusted.</w:t>
      </w:r>
    </w:p>
    <w:p w14:paraId="45D50570" w14:textId="77777777" w:rsidR="00747647" w:rsidRPr="007B766A" w:rsidRDefault="00747647" w:rsidP="00747647">
      <w:pPr>
        <w:autoSpaceDE w:val="0"/>
        <w:autoSpaceDN w:val="0"/>
        <w:adjustRightInd w:val="0"/>
        <w:spacing w:after="0" w:line="240" w:lineRule="auto"/>
        <w:rPr>
          <w:rFonts w:eastAsia="Times New Roman" w:cs="Times New Roman"/>
          <w:color w:val="0000FF"/>
        </w:rPr>
      </w:pPr>
      <w:r w:rsidRPr="007B766A">
        <w:rPr>
          <w:rFonts w:cstheme="minorHAnsi"/>
          <w:b/>
          <w:bCs/>
        </w:rPr>
        <w:t>2b3.6. Statistical Risk Model Discrimination Statistics</w:t>
      </w:r>
      <w:r w:rsidRPr="007B766A">
        <w:rPr>
          <w:rFonts w:cstheme="minorHAnsi"/>
          <w:bCs/>
        </w:rPr>
        <w:t xml:space="preserve"> (</w:t>
      </w:r>
      <w:r w:rsidRPr="007B766A">
        <w:rPr>
          <w:rFonts w:cstheme="minorHAnsi"/>
          <w:bCs/>
          <w:i/>
        </w:rPr>
        <w:t>e.g., c-statistic, R-squared</w:t>
      </w:r>
      <w:r w:rsidRPr="007B766A">
        <w:rPr>
          <w:rFonts w:cstheme="minorHAnsi"/>
          <w:bCs/>
        </w:rPr>
        <w:t>)</w:t>
      </w:r>
      <w:r w:rsidRPr="007B766A">
        <w:rPr>
          <w:rFonts w:cstheme="minorHAnsi"/>
          <w:b/>
          <w:bCs/>
        </w:rPr>
        <w:t xml:space="preserve">:  </w:t>
      </w:r>
      <w:r w:rsidRPr="007B766A">
        <w:rPr>
          <w:rFonts w:cstheme="minorHAnsi"/>
          <w:b/>
        </w:rPr>
        <w:br/>
      </w:r>
    </w:p>
    <w:p w14:paraId="183E60F2" w14:textId="77777777" w:rsidR="00747647" w:rsidRPr="00146490" w:rsidRDefault="00747647" w:rsidP="00747647">
      <w:pPr>
        <w:spacing w:after="240"/>
        <w:rPr>
          <w:iCs/>
          <w:color w:val="0000FF"/>
        </w:rPr>
      </w:pPr>
      <w:r>
        <w:rPr>
          <w:iCs/>
          <w:color w:val="0000FF"/>
        </w:rPr>
        <w:t>Not applicable.  This model is not risk-adjusted.</w:t>
      </w:r>
    </w:p>
    <w:p w14:paraId="2C19F3CA" w14:textId="77777777" w:rsidR="00747647" w:rsidRPr="007B766A" w:rsidRDefault="00747647" w:rsidP="00747647">
      <w:pPr>
        <w:autoSpaceDE w:val="0"/>
        <w:autoSpaceDN w:val="0"/>
        <w:adjustRightInd w:val="0"/>
        <w:spacing w:after="0" w:line="240" w:lineRule="auto"/>
        <w:rPr>
          <w:rFonts w:ascii="Calibri" w:eastAsia="MS Mincho" w:hAnsi="Calibri" w:cs="Calibri"/>
          <w:bCs/>
        </w:rPr>
      </w:pPr>
      <w:r w:rsidRPr="007B766A">
        <w:rPr>
          <w:rFonts w:cstheme="minorHAnsi"/>
          <w:b/>
          <w:bCs/>
        </w:rPr>
        <w:t xml:space="preserve">2b3.7. Statistical Risk Model Calibration Statistics </w:t>
      </w:r>
      <w:r w:rsidRPr="007B766A">
        <w:rPr>
          <w:rFonts w:cstheme="minorHAnsi"/>
          <w:bCs/>
        </w:rPr>
        <w:t>(</w:t>
      </w:r>
      <w:r w:rsidRPr="007B766A">
        <w:rPr>
          <w:rFonts w:cstheme="minorHAnsi"/>
          <w:bCs/>
          <w:i/>
        </w:rPr>
        <w:t>e.g., Hosmer-</w:t>
      </w:r>
      <w:proofErr w:type="spellStart"/>
      <w:r w:rsidRPr="007B766A">
        <w:rPr>
          <w:rFonts w:cstheme="minorHAnsi"/>
          <w:bCs/>
          <w:i/>
        </w:rPr>
        <w:t>Lemeshow</w:t>
      </w:r>
      <w:proofErr w:type="spellEnd"/>
      <w:r w:rsidRPr="007B766A">
        <w:rPr>
          <w:rFonts w:cstheme="minorHAnsi"/>
          <w:bCs/>
          <w:i/>
        </w:rPr>
        <w:t xml:space="preserve"> statistic</w:t>
      </w:r>
      <w:r w:rsidRPr="007B766A">
        <w:rPr>
          <w:rFonts w:cstheme="minorHAnsi"/>
          <w:bCs/>
        </w:rPr>
        <w:t xml:space="preserve">):  </w:t>
      </w:r>
      <w:r w:rsidRPr="007B766A">
        <w:rPr>
          <w:rFonts w:cstheme="minorHAnsi"/>
          <w:bCs/>
        </w:rPr>
        <w:br/>
      </w:r>
    </w:p>
    <w:p w14:paraId="7AAA57FB" w14:textId="77777777" w:rsidR="00747647" w:rsidRPr="00146490" w:rsidRDefault="00747647" w:rsidP="00747647">
      <w:pPr>
        <w:spacing w:after="240"/>
        <w:rPr>
          <w:iCs/>
          <w:color w:val="0000FF"/>
        </w:rPr>
      </w:pPr>
      <w:r>
        <w:rPr>
          <w:iCs/>
          <w:color w:val="0000FF"/>
        </w:rPr>
        <w:t>Not applicable.  This model is not risk-adjusted.</w:t>
      </w:r>
    </w:p>
    <w:p w14:paraId="73FE42F3" w14:textId="77777777" w:rsidR="00747647" w:rsidRPr="007B766A" w:rsidRDefault="00747647" w:rsidP="00747647">
      <w:pPr>
        <w:autoSpaceDE w:val="0"/>
        <w:autoSpaceDN w:val="0"/>
        <w:adjustRightInd w:val="0"/>
        <w:spacing w:after="0" w:line="240" w:lineRule="auto"/>
        <w:rPr>
          <w:rFonts w:eastAsia="Times New Roman" w:cs="Times New Roman"/>
          <w:color w:val="0000FF"/>
        </w:rPr>
      </w:pPr>
      <w:r w:rsidRPr="007B766A">
        <w:rPr>
          <w:rFonts w:cstheme="minorHAnsi"/>
          <w:b/>
          <w:bCs/>
        </w:rPr>
        <w:t>2b3.8. Statistical Risk Model Calibration – Risk decile plots or calibration curves</w:t>
      </w:r>
      <w:r w:rsidRPr="007B766A">
        <w:rPr>
          <w:rFonts w:cstheme="minorHAnsi"/>
          <w:bCs/>
        </w:rPr>
        <w:t>:</w:t>
      </w:r>
    </w:p>
    <w:p w14:paraId="7C5B4D66" w14:textId="77777777" w:rsidR="00747647" w:rsidRPr="007B766A" w:rsidRDefault="00747647" w:rsidP="00747647">
      <w:pPr>
        <w:autoSpaceDE w:val="0"/>
        <w:autoSpaceDN w:val="0"/>
        <w:adjustRightInd w:val="0"/>
        <w:spacing w:after="0" w:line="240" w:lineRule="auto"/>
        <w:rPr>
          <w:rFonts w:eastAsia="Times New Roman" w:cs="Times New Roman"/>
          <w:color w:val="0000FF"/>
        </w:rPr>
      </w:pPr>
    </w:p>
    <w:p w14:paraId="55B53C43" w14:textId="77777777" w:rsidR="00747647" w:rsidRPr="00146490" w:rsidRDefault="00747647" w:rsidP="00747647">
      <w:pPr>
        <w:spacing w:after="240"/>
        <w:rPr>
          <w:iCs/>
          <w:color w:val="0000FF"/>
        </w:rPr>
      </w:pPr>
      <w:r>
        <w:rPr>
          <w:iCs/>
          <w:color w:val="0000FF"/>
        </w:rPr>
        <w:t>Not applicable.  This model is not risk-adjusted.</w:t>
      </w:r>
    </w:p>
    <w:p w14:paraId="24D5BA12" w14:textId="77777777" w:rsidR="00747647" w:rsidRPr="007B766A" w:rsidRDefault="00747647" w:rsidP="00747647">
      <w:pPr>
        <w:autoSpaceDE w:val="0"/>
        <w:autoSpaceDN w:val="0"/>
        <w:adjustRightInd w:val="0"/>
        <w:spacing w:after="0" w:line="240" w:lineRule="auto"/>
        <w:rPr>
          <w:rFonts w:cstheme="minorHAnsi"/>
          <w:bCs/>
        </w:rPr>
      </w:pPr>
      <w:bookmarkStart w:id="32" w:name="question2b49"/>
      <w:bookmarkEnd w:id="32"/>
      <w:r w:rsidRPr="007B766A">
        <w:rPr>
          <w:rFonts w:cstheme="minorHAnsi"/>
          <w:b/>
        </w:rPr>
        <w:t>2b3.9. Results of Risk Stratification Analysis</w:t>
      </w:r>
      <w:r w:rsidRPr="007B766A">
        <w:rPr>
          <w:rFonts w:cstheme="minorHAnsi"/>
        </w:rPr>
        <w:t xml:space="preserve">: </w:t>
      </w:r>
      <w:r w:rsidRPr="007B766A">
        <w:rPr>
          <w:rFonts w:cstheme="minorHAnsi"/>
          <w:bCs/>
        </w:rPr>
        <w:t xml:space="preserve"> </w:t>
      </w:r>
    </w:p>
    <w:p w14:paraId="36501550" w14:textId="77777777" w:rsidR="00747647" w:rsidRPr="007B766A" w:rsidRDefault="00747647" w:rsidP="00747647">
      <w:pPr>
        <w:autoSpaceDE w:val="0"/>
        <w:autoSpaceDN w:val="0"/>
        <w:adjustRightInd w:val="0"/>
        <w:spacing w:before="240" w:after="240" w:line="240" w:lineRule="auto"/>
        <w:rPr>
          <w:rFonts w:ascii="Calibri" w:eastAsia="MS Mincho" w:hAnsi="Calibri" w:cs="Calibri"/>
          <w:bCs/>
          <w:color w:val="0000FF"/>
        </w:rPr>
      </w:pPr>
      <w:r w:rsidRPr="007B766A">
        <w:rPr>
          <w:rFonts w:ascii="Calibri" w:eastAsia="MS Mincho" w:hAnsi="Calibri" w:cs="Calibri"/>
          <w:bCs/>
          <w:color w:val="0000FF"/>
        </w:rPr>
        <w:t xml:space="preserve">Not applicable. This measure is not stratified.  </w:t>
      </w:r>
    </w:p>
    <w:p w14:paraId="394E708F" w14:textId="77777777" w:rsidR="00747647" w:rsidRPr="007B766A" w:rsidRDefault="00747647" w:rsidP="00747647">
      <w:pPr>
        <w:autoSpaceDE w:val="0"/>
        <w:autoSpaceDN w:val="0"/>
        <w:adjustRightInd w:val="0"/>
        <w:spacing w:after="0" w:line="240" w:lineRule="auto"/>
        <w:rPr>
          <w:rFonts w:cstheme="minorHAnsi"/>
          <w:bCs/>
        </w:rPr>
      </w:pPr>
      <w:r w:rsidRPr="007B766A">
        <w:rPr>
          <w:rFonts w:cstheme="minorHAnsi"/>
          <w:b/>
          <w:bCs/>
        </w:rPr>
        <w:t>2b3.10. What is your interpretation of the results in terms of demonstrating adequacy of controlling for differences in patient characteristics (case mix)?</w:t>
      </w:r>
      <w:r w:rsidRPr="007B766A">
        <w:rPr>
          <w:rFonts w:cstheme="minorHAnsi"/>
          <w:bCs/>
        </w:rPr>
        <w:t xml:space="preserve"> (i</w:t>
      </w:r>
      <w:r w:rsidRPr="007B766A">
        <w:rPr>
          <w:rFonts w:cstheme="minorHAnsi"/>
          <w:bCs/>
          <w:i/>
        </w:rPr>
        <w:t>.e., what do the results mean and what are the norms for the test conducted</w:t>
      </w:r>
      <w:r w:rsidRPr="007B766A">
        <w:rPr>
          <w:rFonts w:cstheme="minorHAnsi"/>
          <w:bCs/>
        </w:rPr>
        <w:t>)</w:t>
      </w:r>
    </w:p>
    <w:p w14:paraId="1140F744" w14:textId="77777777" w:rsidR="00747647" w:rsidRPr="007B766A" w:rsidRDefault="00747647" w:rsidP="00747647">
      <w:pPr>
        <w:autoSpaceDE w:val="0"/>
        <w:autoSpaceDN w:val="0"/>
        <w:adjustRightInd w:val="0"/>
        <w:spacing w:after="0" w:line="240" w:lineRule="auto"/>
        <w:rPr>
          <w:rFonts w:cstheme="minorHAnsi"/>
          <w:bCs/>
        </w:rPr>
      </w:pPr>
    </w:p>
    <w:p w14:paraId="79EAFD07" w14:textId="1A5561F8" w:rsidR="00747647" w:rsidRPr="007B766A" w:rsidRDefault="00747647" w:rsidP="00747647">
      <w:pPr>
        <w:pBdr>
          <w:bottom w:val="single" w:sz="6" w:space="1" w:color="auto"/>
        </w:pBdr>
      </w:pPr>
      <w:r w:rsidRPr="007B766A">
        <w:rPr>
          <w:iCs/>
          <w:color w:val="0000FF"/>
        </w:rPr>
        <w:t xml:space="preserve">In summary, our </w:t>
      </w:r>
      <w:r>
        <w:rPr>
          <w:iCs/>
          <w:color w:val="0000FF"/>
        </w:rPr>
        <w:t>results</w:t>
      </w:r>
      <w:r w:rsidRPr="007B766A">
        <w:rPr>
          <w:iCs/>
          <w:color w:val="0000FF"/>
        </w:rPr>
        <w:t xml:space="preserve"> demonstrate that the </w:t>
      </w:r>
      <w:r>
        <w:rPr>
          <w:iCs/>
          <w:color w:val="0000FF"/>
        </w:rPr>
        <w:t xml:space="preserve">risk adjusted models have weak performance and </w:t>
      </w:r>
      <w:r w:rsidR="00C60602">
        <w:rPr>
          <w:iCs/>
          <w:color w:val="0000FF"/>
        </w:rPr>
        <w:t xml:space="preserve">most </w:t>
      </w:r>
      <w:r>
        <w:rPr>
          <w:iCs/>
          <w:color w:val="0000FF"/>
        </w:rPr>
        <w:t>do not have</w:t>
      </w:r>
      <w:r w:rsidRPr="007B766A">
        <w:rPr>
          <w:iCs/>
          <w:color w:val="0000FF"/>
        </w:rPr>
        <w:t xml:space="preserve"> </w:t>
      </w:r>
      <w:r>
        <w:rPr>
          <w:iCs/>
          <w:color w:val="0000FF"/>
        </w:rPr>
        <w:t>sufficient</w:t>
      </w:r>
      <w:r w:rsidRPr="007B766A">
        <w:rPr>
          <w:iCs/>
          <w:color w:val="0000FF"/>
        </w:rPr>
        <w:t xml:space="preserve"> predictive </w:t>
      </w:r>
      <w:r>
        <w:rPr>
          <w:iCs/>
          <w:color w:val="0000FF"/>
        </w:rPr>
        <w:t>ability</w:t>
      </w:r>
      <w:r w:rsidR="001B6729">
        <w:rPr>
          <w:iCs/>
          <w:color w:val="0000FF"/>
        </w:rPr>
        <w:t>.</w:t>
      </w:r>
      <w:r w:rsidRPr="007B766A">
        <w:rPr>
          <w:iCs/>
          <w:color w:val="0000FF"/>
        </w:rPr>
        <w:t xml:space="preserve"> </w:t>
      </w:r>
      <w:r w:rsidR="001B6729">
        <w:rPr>
          <w:iCs/>
          <w:color w:val="0000FF"/>
        </w:rPr>
        <w:t>A</w:t>
      </w:r>
      <w:r w:rsidR="00FB33CE">
        <w:rPr>
          <w:iCs/>
          <w:color w:val="0000FF"/>
        </w:rPr>
        <w:t>lthou</w:t>
      </w:r>
      <w:r w:rsidR="00E642AA">
        <w:rPr>
          <w:iCs/>
          <w:color w:val="0000FF"/>
        </w:rPr>
        <w:t>gh the c</w:t>
      </w:r>
      <w:r w:rsidR="00FB33CE">
        <w:rPr>
          <w:iCs/>
          <w:color w:val="0000FF"/>
        </w:rPr>
        <w:t>-statistic for Model 6 (including cognitive independence, oldest old, and male gender as risk factors)</w:t>
      </w:r>
      <w:r w:rsidR="00FB33CE" w:rsidRPr="007B766A">
        <w:rPr>
          <w:iCs/>
          <w:color w:val="0000FF"/>
        </w:rPr>
        <w:t xml:space="preserve"> </w:t>
      </w:r>
      <w:r w:rsidR="00FB33CE">
        <w:rPr>
          <w:iCs/>
          <w:color w:val="0000FF"/>
        </w:rPr>
        <w:t xml:space="preserve">is acceptable (i.e., &gt;0.60), including these risk factors </w:t>
      </w:r>
      <w:r w:rsidR="001B6729">
        <w:rPr>
          <w:iCs/>
          <w:color w:val="0000FF"/>
        </w:rPr>
        <w:t>yields very small improvements in model fit and calibration</w:t>
      </w:r>
      <w:r w:rsidR="0035651A">
        <w:rPr>
          <w:iCs/>
          <w:color w:val="0000FF"/>
        </w:rPr>
        <w:t>, compared to</w:t>
      </w:r>
      <w:r w:rsidR="001B6729">
        <w:rPr>
          <w:iCs/>
          <w:color w:val="0000FF"/>
        </w:rPr>
        <w:t xml:space="preserve"> risk adjusting </w:t>
      </w:r>
      <w:r w:rsidR="0035651A">
        <w:rPr>
          <w:iCs/>
          <w:color w:val="0000FF"/>
        </w:rPr>
        <w:t xml:space="preserve">for cognitive independence only, and </w:t>
      </w:r>
      <w:r w:rsidR="001B6729">
        <w:rPr>
          <w:iCs/>
          <w:color w:val="0000FF"/>
        </w:rPr>
        <w:t>Model 6 has little discriminatory power</w:t>
      </w:r>
      <w:r w:rsidR="0035651A">
        <w:rPr>
          <w:iCs/>
          <w:color w:val="0000FF"/>
        </w:rPr>
        <w:t xml:space="preserve">.  In addition, nearly one third of residents are excluded if this </w:t>
      </w:r>
      <w:r w:rsidR="00043B37">
        <w:rPr>
          <w:iCs/>
          <w:color w:val="0000FF"/>
        </w:rPr>
        <w:t>quality measure</w:t>
      </w:r>
      <w:r w:rsidR="0035651A">
        <w:rPr>
          <w:iCs/>
          <w:color w:val="0000FF"/>
        </w:rPr>
        <w:t xml:space="preserve"> is risk adjusted. Therefore, we conclude that</w:t>
      </w:r>
      <w:r w:rsidR="00FB33CE">
        <w:rPr>
          <w:iCs/>
          <w:color w:val="0000FF"/>
        </w:rPr>
        <w:t xml:space="preserve"> </w:t>
      </w:r>
      <w:r w:rsidR="0035651A">
        <w:rPr>
          <w:iCs/>
          <w:color w:val="0000FF"/>
        </w:rPr>
        <w:t>a</w:t>
      </w:r>
      <w:r w:rsidRPr="007B766A">
        <w:rPr>
          <w:iCs/>
          <w:color w:val="0000FF"/>
        </w:rPr>
        <w:t xml:space="preserve">dditional risk adjustment for </w:t>
      </w:r>
      <w:r>
        <w:rPr>
          <w:iCs/>
          <w:color w:val="0000FF"/>
        </w:rPr>
        <w:t xml:space="preserve">cognitive independence, as in NQF #0677, and/or for </w:t>
      </w:r>
      <w:r w:rsidRPr="007B766A">
        <w:rPr>
          <w:iCs/>
          <w:color w:val="0000FF"/>
        </w:rPr>
        <w:t xml:space="preserve">social risk factors offers little practical improvement to the </w:t>
      </w:r>
      <w:r w:rsidR="0035651A">
        <w:rPr>
          <w:iCs/>
          <w:color w:val="0000FF"/>
        </w:rPr>
        <w:t>quality measure and may reduce the reportability of this measure.</w:t>
      </w:r>
      <w:r w:rsidR="00FB33CE">
        <w:rPr>
          <w:iCs/>
          <w:color w:val="0000FF"/>
        </w:rPr>
        <w:t xml:space="preserve">  </w:t>
      </w:r>
    </w:p>
    <w:p w14:paraId="0CABD003" w14:textId="77777777" w:rsidR="00092566" w:rsidRPr="00A25024" w:rsidRDefault="00092566" w:rsidP="00092566">
      <w:pPr>
        <w:spacing w:after="0" w:line="240" w:lineRule="auto"/>
        <w:rPr>
          <w:rFonts w:cstheme="minorHAnsi"/>
        </w:rPr>
      </w:pPr>
    </w:p>
    <w:p w14:paraId="0CABD004" w14:textId="74D8FEB4" w:rsidR="00021170" w:rsidRPr="009B1A15" w:rsidRDefault="009C7513" w:rsidP="009B1A15">
      <w:pPr>
        <w:spacing w:after="0" w:line="240" w:lineRule="auto"/>
        <w:rPr>
          <w:rFonts w:cstheme="minorHAnsi"/>
        </w:rPr>
      </w:pPr>
      <w:r>
        <w:rPr>
          <w:rFonts w:cstheme="minorHAnsi"/>
          <w:b/>
          <w:highlight w:val="green"/>
        </w:rPr>
        <w:t>2b3</w:t>
      </w:r>
      <w:r w:rsidR="009B1A15" w:rsidRPr="009B1A15">
        <w:rPr>
          <w:rFonts w:cstheme="minorHAnsi"/>
          <w:b/>
          <w:highlight w:val="green"/>
        </w:rPr>
        <w:t>.11.</w:t>
      </w:r>
      <w:r w:rsidR="009B1A15">
        <w:rPr>
          <w:rFonts w:cstheme="minorHAnsi"/>
          <w:highlight w:val="green"/>
        </w:rPr>
        <w:t xml:space="preserve"> </w:t>
      </w:r>
      <w:r w:rsidR="00092566"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0CABD005" w14:textId="77777777" w:rsidR="003755CB" w:rsidRDefault="003755CB" w:rsidP="00D61410">
      <w:pPr>
        <w:autoSpaceDE w:val="0"/>
        <w:autoSpaceDN w:val="0"/>
        <w:adjustRightInd w:val="0"/>
        <w:spacing w:after="0" w:line="240" w:lineRule="auto"/>
        <w:rPr>
          <w:rFonts w:cstheme="minorHAnsi"/>
          <w:b/>
          <w:bCs/>
        </w:rPr>
      </w:pP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33" w:name="section2b5"/>
      <w:bookmarkEnd w:id="33"/>
      <w:r>
        <w:rPr>
          <w:rFonts w:cstheme="minorHAnsi"/>
          <w:b/>
          <w:bCs/>
        </w:rPr>
        <w:t>2b4</w:t>
      </w:r>
      <w:r w:rsidR="00D61410" w:rsidRPr="00A25024">
        <w:rPr>
          <w:rFonts w:cstheme="minorHAnsi"/>
          <w:b/>
          <w:bCs/>
        </w:rPr>
        <w:t>. IDENTIFICATION OF STATISTICALLY SIGNIFICANT &amp; MEANINGFUL DIFFERENCES IN PERFORMANCE</w:t>
      </w:r>
    </w:p>
    <w:p w14:paraId="0CABD008" w14:textId="46DF514D" w:rsidR="00D61410"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D61410" w:rsidRPr="00A25024">
        <w:rPr>
          <w:rFonts w:cstheme="minorHAnsi"/>
          <w:bCs/>
        </w:rPr>
        <w:br/>
        <w:t xml:space="preserve"> </w:t>
      </w:r>
    </w:p>
    <w:p w14:paraId="360265E5" w14:textId="77777777" w:rsidR="00286FCC" w:rsidRDefault="00286FCC" w:rsidP="00286FCC">
      <w:pPr>
        <w:pStyle w:val="Response"/>
      </w:pPr>
      <w:r w:rsidRPr="00906F3D">
        <w:t>RTI described the current variability in the facility-level quality measure scores.</w:t>
      </w:r>
      <w:r w:rsidRPr="00303E93">
        <w:t xml:space="preserve">  </w:t>
      </w:r>
    </w:p>
    <w:p w14:paraId="150BC302" w14:textId="77777777" w:rsidR="00286FCC" w:rsidRPr="00B76DB4" w:rsidRDefault="00286FCC" w:rsidP="00286FCC">
      <w:pPr>
        <w:pStyle w:val="Response"/>
      </w:pPr>
      <w:r>
        <w:t xml:space="preserve">RTI also examined proportions of facilities with scores for this measure that are significantly different from national facility-level mean, stratified by facility denominator size. For this analysis, statistical significance was determined using 95% confidence intervals: a facility’s quality measure score was significantly different from the national mean if the national mean was not included in the facility’s 95% confidence interval. High-performing facilities should have scores that are significantly below average, and scores of low-performing facilities should be significantly above average. We stratified the analysis by facility </w:t>
      </w:r>
      <w:r w:rsidRPr="005D3370">
        <w:t>denominator size to examine whether this feature of the measure varies by size.</w:t>
      </w:r>
    </w:p>
    <w:p w14:paraId="3B68CEA1" w14:textId="77777777" w:rsidR="00AB3B72" w:rsidRPr="00286FCC" w:rsidRDefault="00AB3B72" w:rsidP="00FC3EF6">
      <w:pPr>
        <w:pStyle w:val="Response"/>
        <w:rPr>
          <w:bCs w:val="0"/>
          <w:color w:val="auto"/>
        </w:rPr>
      </w:pPr>
      <w:r w:rsidRPr="00286FCC">
        <w:rPr>
          <w:b/>
          <w:bCs w:val="0"/>
          <w:color w:val="auto"/>
        </w:rPr>
        <w:t>2b4.2. What were the statistical results from testing the ability to identify statistically significant and/or clinically/practically meaningful differences in performance measure scores across measured entities?</w:t>
      </w:r>
      <w:r w:rsidRPr="00286FCC">
        <w:rPr>
          <w:bCs w:val="0"/>
          <w:color w:val="auto"/>
        </w:rPr>
        <w:t xml:space="preserve"> (e.g., </w:t>
      </w:r>
      <w:r w:rsidRPr="00286FCC">
        <w:rPr>
          <w:bCs w:val="0"/>
          <w:i/>
          <w:color w:val="auto"/>
        </w:rPr>
        <w:t>number and percentage of entities with scores that were statistically significantly different from mean or some benchmark, different from expected; how was meaningful difference defined</w:t>
      </w:r>
      <w:r w:rsidRPr="00286FCC">
        <w:rPr>
          <w:bCs w:val="0"/>
          <w:color w:val="auto"/>
        </w:rPr>
        <w:t>)</w:t>
      </w:r>
    </w:p>
    <w:p w14:paraId="1ABB21A8" w14:textId="4A92AF71" w:rsidR="00FC3EF6" w:rsidRDefault="00FC3EF6" w:rsidP="00FC3EF6">
      <w:pPr>
        <w:pStyle w:val="Response"/>
      </w:pPr>
      <w:r w:rsidRPr="003C215A">
        <w:rPr>
          <w:b/>
          <w:i/>
        </w:rPr>
        <w:t xml:space="preserve">Table </w:t>
      </w:r>
      <w:r w:rsidR="00F57222">
        <w:rPr>
          <w:b/>
          <w:i/>
        </w:rPr>
        <w:t>9</w:t>
      </w:r>
      <w:r w:rsidRPr="00247A74">
        <w:t xml:space="preserve"> describes t</w:t>
      </w:r>
      <w:r w:rsidR="002645DF">
        <w:t>he current variability in the quality measure</w:t>
      </w:r>
      <w:r w:rsidRPr="00247A74">
        <w:t xml:space="preserve"> scores of facili</w:t>
      </w:r>
      <w:r>
        <w:t xml:space="preserve">ties nationally.  We find that the mean </w:t>
      </w:r>
      <w:r w:rsidR="002645DF">
        <w:t>facility-level score for this measure</w:t>
      </w:r>
      <w:r>
        <w:t xml:space="preserve"> was </w:t>
      </w:r>
      <w:r w:rsidR="00B94EF2">
        <w:t>12.7</w:t>
      </w:r>
      <w:r>
        <w:t>% in Q</w:t>
      </w:r>
      <w:r w:rsidR="002645DF">
        <w:t>uarter 2,</w:t>
      </w:r>
      <w:r>
        <w:t xml:space="preserve"> 201</w:t>
      </w:r>
      <w:r w:rsidR="00B94EF2">
        <w:t>7</w:t>
      </w:r>
      <w:r>
        <w:t xml:space="preserve"> </w:t>
      </w:r>
      <w:r w:rsidRPr="00D66A40">
        <w:t xml:space="preserve">with a median score of </w:t>
      </w:r>
      <w:r w:rsidR="00B94EF2" w:rsidRPr="00D66A40">
        <w:t>10.5</w:t>
      </w:r>
      <w:r w:rsidRPr="00D66A40">
        <w:t xml:space="preserve">%, indicating a positive skew.  The interquartile range for this measure was </w:t>
      </w:r>
      <w:r w:rsidR="00B94EF2" w:rsidRPr="00D66A40">
        <w:t>14.</w:t>
      </w:r>
      <w:r w:rsidR="002645DF" w:rsidRPr="00D66A40">
        <w:t>5</w:t>
      </w:r>
      <w:r w:rsidRPr="00D66A40">
        <w:t xml:space="preserve">%.  </w:t>
      </w:r>
      <w:r w:rsidR="00D66A40" w:rsidRPr="00D66A40">
        <w:t>9.0</w:t>
      </w:r>
      <w:r w:rsidRPr="00D66A40">
        <w:t>% of facilities had perfect scores of 0</w:t>
      </w:r>
      <w:r w:rsidR="00D66A40" w:rsidRPr="00D66A40">
        <w:t>%</w:t>
      </w:r>
      <w:r w:rsidRPr="00D66A40">
        <w:t>, suggesting that floor effects may not be a concern for this measure.</w:t>
      </w:r>
    </w:p>
    <w:p w14:paraId="1806EA19" w14:textId="5FE67A67" w:rsidR="00FC3EF6" w:rsidRPr="00650629" w:rsidRDefault="00D66A40" w:rsidP="00FC3EF6">
      <w:pPr>
        <w:pStyle w:val="Response"/>
        <w:jc w:val="center"/>
        <w:rPr>
          <w:b/>
        </w:rPr>
      </w:pPr>
      <w:r>
        <w:rPr>
          <w:b/>
        </w:rPr>
        <w:t>Table 9</w:t>
      </w:r>
      <w:r w:rsidR="00AC2B2A">
        <w:rPr>
          <w:b/>
        </w:rPr>
        <w:br/>
      </w:r>
      <w:r w:rsidR="00AC2B2A" w:rsidRPr="00AC2B2A">
        <w:rPr>
          <w:b/>
        </w:rPr>
        <w:t xml:space="preserve">National Facility-Level Score Distribution, </w:t>
      </w:r>
      <w:r w:rsidR="00AC2B2A">
        <w:rPr>
          <w:b/>
        </w:rPr>
        <w:t xml:space="preserve">NQF </w:t>
      </w:r>
      <w:r w:rsidR="00FC3EF6" w:rsidRPr="00650629">
        <w:rPr>
          <w:b/>
        </w:rPr>
        <w:t>#0676 Percent of Residents Who Self-Report Moderate to Severe Pain (Short Stay)</w:t>
      </w:r>
    </w:p>
    <w:tbl>
      <w:tblPr>
        <w:tblStyle w:val="CMSTable"/>
        <w:tblW w:w="5000" w:type="pct"/>
        <w:tblLook w:val="04E0" w:firstRow="1" w:lastRow="1" w:firstColumn="1" w:lastColumn="0" w:noHBand="0" w:noVBand="1"/>
      </w:tblPr>
      <w:tblGrid>
        <w:gridCol w:w="763"/>
        <w:gridCol w:w="676"/>
        <w:gridCol w:w="702"/>
        <w:gridCol w:w="1020"/>
        <w:gridCol w:w="1020"/>
        <w:gridCol w:w="1020"/>
        <w:gridCol w:w="1020"/>
        <w:gridCol w:w="1020"/>
        <w:gridCol w:w="908"/>
        <w:gridCol w:w="1211"/>
      </w:tblGrid>
      <w:tr w:rsidR="00FC3EF6" w:rsidRPr="006F05F8" w14:paraId="1257BD81" w14:textId="77777777" w:rsidTr="002645DF">
        <w:trPr>
          <w:cnfStyle w:val="100000000000" w:firstRow="1" w:lastRow="0" w:firstColumn="0" w:lastColumn="0" w:oddVBand="0" w:evenVBand="0" w:oddHBand="0" w:evenHBand="0" w:firstRowFirstColumn="0" w:firstRowLastColumn="0" w:lastRowFirstColumn="0" w:lastRowLastColumn="0"/>
        </w:trPr>
        <w:tc>
          <w:tcPr>
            <w:tcW w:w="407" w:type="pct"/>
          </w:tcPr>
          <w:p w14:paraId="5C4F802C" w14:textId="62B8C093" w:rsidR="00FC3EF6" w:rsidRPr="006F05F8" w:rsidRDefault="002645DF" w:rsidP="00A26C25">
            <w:pPr>
              <w:keepNext/>
              <w:spacing w:before="40" w:after="40" w:line="240" w:lineRule="exact"/>
              <w:rPr>
                <w:i/>
                <w:iCs/>
                <w:snapToGrid w:val="0"/>
                <w:color w:val="0000FF"/>
                <w:sz w:val="18"/>
                <w:szCs w:val="18"/>
              </w:rPr>
            </w:pPr>
            <w:r>
              <w:rPr>
                <w:i/>
                <w:iCs/>
                <w:snapToGrid w:val="0"/>
                <w:color w:val="0000FF"/>
                <w:sz w:val="18"/>
                <w:szCs w:val="18"/>
              </w:rPr>
              <w:t>k</w:t>
            </w:r>
          </w:p>
        </w:tc>
        <w:tc>
          <w:tcPr>
            <w:tcW w:w="361" w:type="pct"/>
          </w:tcPr>
          <w:p w14:paraId="70F4EF93" w14:textId="77777777" w:rsidR="00FC3EF6" w:rsidRPr="006F05F8" w:rsidRDefault="00FC3EF6" w:rsidP="00A26C25">
            <w:pPr>
              <w:keepNext/>
              <w:spacing w:before="40" w:after="40" w:line="240" w:lineRule="exact"/>
              <w:rPr>
                <w:snapToGrid w:val="0"/>
                <w:color w:val="0000FF"/>
                <w:sz w:val="18"/>
                <w:szCs w:val="18"/>
              </w:rPr>
            </w:pPr>
            <w:r w:rsidRPr="006F05F8">
              <w:rPr>
                <w:snapToGrid w:val="0"/>
                <w:color w:val="0000FF"/>
                <w:sz w:val="18"/>
                <w:szCs w:val="18"/>
              </w:rPr>
              <w:t>Mean score</w:t>
            </w:r>
          </w:p>
        </w:tc>
        <w:tc>
          <w:tcPr>
            <w:tcW w:w="375" w:type="pct"/>
          </w:tcPr>
          <w:p w14:paraId="7F97C133" w14:textId="77777777" w:rsidR="00FC3EF6" w:rsidRPr="006F05F8" w:rsidRDefault="00FC3EF6" w:rsidP="00A26C25">
            <w:pPr>
              <w:keepNext/>
              <w:spacing w:before="40" w:after="40" w:line="240" w:lineRule="exact"/>
              <w:rPr>
                <w:snapToGrid w:val="0"/>
                <w:color w:val="0000FF"/>
                <w:sz w:val="18"/>
                <w:szCs w:val="18"/>
              </w:rPr>
            </w:pPr>
            <w:proofErr w:type="spellStart"/>
            <w:r w:rsidRPr="006F05F8">
              <w:rPr>
                <w:snapToGrid w:val="0"/>
                <w:color w:val="0000FF"/>
                <w:sz w:val="18"/>
                <w:szCs w:val="18"/>
              </w:rPr>
              <w:t>Std</w:t>
            </w:r>
            <w:proofErr w:type="spellEnd"/>
            <w:r w:rsidRPr="006F05F8">
              <w:rPr>
                <w:snapToGrid w:val="0"/>
                <w:color w:val="0000FF"/>
                <w:sz w:val="18"/>
                <w:szCs w:val="18"/>
              </w:rPr>
              <w:t xml:space="preserve"> dev.</w:t>
            </w:r>
          </w:p>
        </w:tc>
        <w:tc>
          <w:tcPr>
            <w:tcW w:w="545" w:type="pct"/>
          </w:tcPr>
          <w:p w14:paraId="7BDBC9D2" w14:textId="77777777" w:rsidR="00FC3EF6" w:rsidRPr="006F05F8" w:rsidRDefault="00FC3EF6" w:rsidP="00A26C25">
            <w:pPr>
              <w:keepNext/>
              <w:spacing w:before="40" w:after="40" w:line="240" w:lineRule="exact"/>
              <w:rPr>
                <w:snapToGrid w:val="0"/>
                <w:color w:val="0000FF"/>
                <w:sz w:val="18"/>
                <w:szCs w:val="18"/>
              </w:rPr>
            </w:pPr>
            <w:r w:rsidRPr="006F05F8">
              <w:rPr>
                <w:snapToGrid w:val="0"/>
                <w:color w:val="0000FF"/>
                <w:sz w:val="18"/>
                <w:szCs w:val="18"/>
              </w:rPr>
              <w:t xml:space="preserve">10th </w:t>
            </w:r>
            <w:r w:rsidRPr="006F05F8">
              <w:rPr>
                <w:snapToGrid w:val="0"/>
                <w:color w:val="0000FF"/>
                <w:sz w:val="18"/>
                <w:szCs w:val="18"/>
              </w:rPr>
              <w:br/>
              <w:t>percentile</w:t>
            </w:r>
          </w:p>
        </w:tc>
        <w:tc>
          <w:tcPr>
            <w:tcW w:w="545" w:type="pct"/>
          </w:tcPr>
          <w:p w14:paraId="39DA66B7" w14:textId="77777777" w:rsidR="00FC3EF6" w:rsidRPr="006F05F8" w:rsidRDefault="00FC3EF6" w:rsidP="00A26C25">
            <w:pPr>
              <w:keepNext/>
              <w:spacing w:before="40" w:after="40" w:line="240" w:lineRule="exact"/>
              <w:rPr>
                <w:snapToGrid w:val="0"/>
                <w:color w:val="0000FF"/>
                <w:sz w:val="18"/>
                <w:szCs w:val="18"/>
              </w:rPr>
            </w:pPr>
            <w:r w:rsidRPr="006F05F8">
              <w:rPr>
                <w:snapToGrid w:val="0"/>
                <w:color w:val="0000FF"/>
                <w:sz w:val="18"/>
                <w:szCs w:val="18"/>
              </w:rPr>
              <w:t xml:space="preserve">25th </w:t>
            </w:r>
            <w:r w:rsidRPr="006F05F8">
              <w:rPr>
                <w:snapToGrid w:val="0"/>
                <w:color w:val="0000FF"/>
                <w:sz w:val="18"/>
                <w:szCs w:val="18"/>
              </w:rPr>
              <w:br/>
              <w:t>percentile</w:t>
            </w:r>
          </w:p>
        </w:tc>
        <w:tc>
          <w:tcPr>
            <w:tcW w:w="545" w:type="pct"/>
          </w:tcPr>
          <w:p w14:paraId="0AA343D7" w14:textId="77777777" w:rsidR="00FC3EF6" w:rsidRPr="006F05F8" w:rsidRDefault="00FC3EF6" w:rsidP="00A26C25">
            <w:pPr>
              <w:keepNext/>
              <w:spacing w:before="40" w:after="40" w:line="240" w:lineRule="exact"/>
              <w:rPr>
                <w:snapToGrid w:val="0"/>
                <w:color w:val="0000FF"/>
                <w:sz w:val="18"/>
                <w:szCs w:val="18"/>
              </w:rPr>
            </w:pPr>
            <w:r w:rsidRPr="006F05F8">
              <w:rPr>
                <w:snapToGrid w:val="0"/>
                <w:color w:val="0000FF"/>
                <w:sz w:val="18"/>
                <w:szCs w:val="18"/>
              </w:rPr>
              <w:t xml:space="preserve">50th </w:t>
            </w:r>
            <w:r w:rsidRPr="006F05F8">
              <w:rPr>
                <w:snapToGrid w:val="0"/>
                <w:color w:val="0000FF"/>
                <w:sz w:val="18"/>
                <w:szCs w:val="18"/>
              </w:rPr>
              <w:br/>
              <w:t>percentile</w:t>
            </w:r>
          </w:p>
        </w:tc>
        <w:tc>
          <w:tcPr>
            <w:tcW w:w="545" w:type="pct"/>
          </w:tcPr>
          <w:p w14:paraId="346E3BEA" w14:textId="77777777" w:rsidR="00FC3EF6" w:rsidRPr="006F05F8" w:rsidRDefault="00FC3EF6" w:rsidP="00A26C25">
            <w:pPr>
              <w:keepNext/>
              <w:spacing w:before="40" w:after="40" w:line="240" w:lineRule="exact"/>
              <w:rPr>
                <w:snapToGrid w:val="0"/>
                <w:color w:val="0000FF"/>
                <w:sz w:val="18"/>
                <w:szCs w:val="18"/>
              </w:rPr>
            </w:pPr>
            <w:r w:rsidRPr="006F05F8">
              <w:rPr>
                <w:snapToGrid w:val="0"/>
                <w:color w:val="0000FF"/>
                <w:sz w:val="18"/>
                <w:szCs w:val="18"/>
              </w:rPr>
              <w:t xml:space="preserve">75th </w:t>
            </w:r>
            <w:r w:rsidRPr="006F05F8">
              <w:rPr>
                <w:snapToGrid w:val="0"/>
                <w:color w:val="0000FF"/>
                <w:sz w:val="18"/>
                <w:szCs w:val="18"/>
              </w:rPr>
              <w:br/>
              <w:t>percentile</w:t>
            </w:r>
          </w:p>
        </w:tc>
        <w:tc>
          <w:tcPr>
            <w:tcW w:w="545" w:type="pct"/>
          </w:tcPr>
          <w:p w14:paraId="03FD4B51" w14:textId="77777777" w:rsidR="00FC3EF6" w:rsidRPr="006F05F8" w:rsidRDefault="00FC3EF6" w:rsidP="00A26C25">
            <w:pPr>
              <w:keepNext/>
              <w:spacing w:before="40" w:after="40" w:line="240" w:lineRule="exact"/>
              <w:rPr>
                <w:snapToGrid w:val="0"/>
                <w:color w:val="0000FF"/>
                <w:sz w:val="18"/>
                <w:szCs w:val="18"/>
              </w:rPr>
            </w:pPr>
            <w:r w:rsidRPr="006F05F8">
              <w:rPr>
                <w:snapToGrid w:val="0"/>
                <w:color w:val="0000FF"/>
                <w:sz w:val="18"/>
                <w:szCs w:val="18"/>
              </w:rPr>
              <w:t xml:space="preserve">90th </w:t>
            </w:r>
            <w:r w:rsidRPr="006F05F8">
              <w:rPr>
                <w:snapToGrid w:val="0"/>
                <w:color w:val="0000FF"/>
                <w:sz w:val="18"/>
                <w:szCs w:val="18"/>
              </w:rPr>
              <w:br/>
              <w:t>percentile</w:t>
            </w:r>
          </w:p>
        </w:tc>
        <w:tc>
          <w:tcPr>
            <w:tcW w:w="485" w:type="pct"/>
          </w:tcPr>
          <w:p w14:paraId="273F0498" w14:textId="77777777" w:rsidR="00FC3EF6" w:rsidRPr="006F05F8" w:rsidRDefault="00FC3EF6" w:rsidP="00A26C25">
            <w:pPr>
              <w:keepNext/>
              <w:spacing w:before="40" w:after="40" w:line="240" w:lineRule="exact"/>
              <w:rPr>
                <w:snapToGrid w:val="0"/>
                <w:color w:val="0000FF"/>
                <w:sz w:val="18"/>
                <w:szCs w:val="18"/>
              </w:rPr>
            </w:pPr>
            <w:r w:rsidRPr="006F05F8">
              <w:rPr>
                <w:snapToGrid w:val="0"/>
                <w:color w:val="0000FF"/>
                <w:sz w:val="18"/>
                <w:szCs w:val="18"/>
              </w:rPr>
              <w:t xml:space="preserve">% of </w:t>
            </w:r>
            <w:r w:rsidRPr="006F05F8">
              <w:rPr>
                <w:snapToGrid w:val="0"/>
                <w:color w:val="0000FF"/>
                <w:sz w:val="18"/>
                <w:szCs w:val="18"/>
              </w:rPr>
              <w:br/>
              <w:t xml:space="preserve">facilities with </w:t>
            </w:r>
            <w:r w:rsidRPr="006F05F8">
              <w:rPr>
                <w:snapToGrid w:val="0"/>
                <w:color w:val="0000FF"/>
                <w:sz w:val="18"/>
                <w:szCs w:val="18"/>
              </w:rPr>
              <w:br/>
              <w:t>“perfect scores”</w:t>
            </w:r>
          </w:p>
        </w:tc>
        <w:tc>
          <w:tcPr>
            <w:tcW w:w="648" w:type="pct"/>
          </w:tcPr>
          <w:p w14:paraId="37A00E77" w14:textId="77777777" w:rsidR="00FC3EF6" w:rsidRPr="006F05F8" w:rsidRDefault="00FC3EF6" w:rsidP="00A26C25">
            <w:pPr>
              <w:keepNext/>
              <w:spacing w:before="40" w:after="40" w:line="240" w:lineRule="exact"/>
              <w:rPr>
                <w:snapToGrid w:val="0"/>
                <w:color w:val="0000FF"/>
                <w:sz w:val="18"/>
                <w:szCs w:val="18"/>
              </w:rPr>
            </w:pPr>
            <w:r w:rsidRPr="006F05F8">
              <w:rPr>
                <w:snapToGrid w:val="0"/>
                <w:color w:val="0000FF"/>
                <w:sz w:val="18"/>
                <w:szCs w:val="18"/>
              </w:rPr>
              <w:t xml:space="preserve">Interquartile </w:t>
            </w:r>
            <w:r w:rsidRPr="006F05F8">
              <w:rPr>
                <w:snapToGrid w:val="0"/>
                <w:color w:val="0000FF"/>
                <w:sz w:val="18"/>
                <w:szCs w:val="18"/>
              </w:rPr>
              <w:br/>
              <w:t>range</w:t>
            </w:r>
          </w:p>
        </w:tc>
      </w:tr>
      <w:tr w:rsidR="00FC3EF6" w:rsidRPr="006F05F8" w14:paraId="3FDF801C" w14:textId="77777777" w:rsidTr="002645DF">
        <w:trPr>
          <w:cnfStyle w:val="010000000000" w:firstRow="0" w:lastRow="1" w:firstColumn="0" w:lastColumn="0" w:oddVBand="0" w:evenVBand="0" w:oddHBand="0" w:evenHBand="0" w:firstRowFirstColumn="0" w:firstRowLastColumn="0" w:lastRowFirstColumn="0" w:lastRowLastColumn="0"/>
        </w:trPr>
        <w:tc>
          <w:tcPr>
            <w:tcW w:w="407" w:type="pct"/>
          </w:tcPr>
          <w:p w14:paraId="4B0DC246" w14:textId="43746C08" w:rsidR="00FC3EF6" w:rsidRPr="006F05F8" w:rsidRDefault="008E5FD3" w:rsidP="00A26C25">
            <w:pPr>
              <w:spacing w:before="40" w:after="40"/>
              <w:jc w:val="center"/>
              <w:rPr>
                <w:color w:val="0000FF"/>
                <w:sz w:val="18"/>
                <w:szCs w:val="18"/>
              </w:rPr>
            </w:pPr>
            <w:r>
              <w:rPr>
                <w:color w:val="0000FF"/>
                <w:sz w:val="18"/>
                <w:szCs w:val="18"/>
              </w:rPr>
              <w:t>11,945</w:t>
            </w:r>
          </w:p>
        </w:tc>
        <w:tc>
          <w:tcPr>
            <w:tcW w:w="361" w:type="pct"/>
          </w:tcPr>
          <w:p w14:paraId="69E2CB0C" w14:textId="1F941CB9" w:rsidR="00FC3EF6" w:rsidRPr="006F05F8" w:rsidRDefault="008E5FD3" w:rsidP="00A26C25">
            <w:pPr>
              <w:spacing w:before="40" w:after="40"/>
              <w:ind w:right="-70"/>
              <w:jc w:val="center"/>
              <w:rPr>
                <w:color w:val="0000FF"/>
                <w:sz w:val="18"/>
                <w:szCs w:val="18"/>
              </w:rPr>
            </w:pPr>
            <w:r>
              <w:rPr>
                <w:color w:val="0000FF"/>
                <w:sz w:val="18"/>
                <w:szCs w:val="18"/>
              </w:rPr>
              <w:t>12.7</w:t>
            </w:r>
            <w:r w:rsidR="00D66A40">
              <w:rPr>
                <w:color w:val="0000FF"/>
                <w:sz w:val="18"/>
                <w:szCs w:val="18"/>
              </w:rPr>
              <w:t>%</w:t>
            </w:r>
          </w:p>
        </w:tc>
        <w:tc>
          <w:tcPr>
            <w:tcW w:w="375" w:type="pct"/>
          </w:tcPr>
          <w:p w14:paraId="3C948079" w14:textId="5E4613FC" w:rsidR="00FC3EF6" w:rsidRPr="006F05F8" w:rsidRDefault="008E5FD3" w:rsidP="00A26C25">
            <w:pPr>
              <w:spacing w:before="40" w:after="40"/>
              <w:jc w:val="center"/>
              <w:rPr>
                <w:color w:val="0000FF"/>
                <w:sz w:val="18"/>
                <w:szCs w:val="18"/>
              </w:rPr>
            </w:pPr>
            <w:r>
              <w:rPr>
                <w:color w:val="0000FF"/>
                <w:sz w:val="18"/>
                <w:szCs w:val="18"/>
              </w:rPr>
              <w:t>10.6</w:t>
            </w:r>
            <w:r w:rsidR="00D66A40">
              <w:rPr>
                <w:color w:val="0000FF"/>
                <w:sz w:val="18"/>
                <w:szCs w:val="18"/>
              </w:rPr>
              <w:t>%</w:t>
            </w:r>
          </w:p>
        </w:tc>
        <w:tc>
          <w:tcPr>
            <w:tcW w:w="545" w:type="pct"/>
          </w:tcPr>
          <w:p w14:paraId="28117820" w14:textId="4A32A351" w:rsidR="00FC3EF6" w:rsidRPr="006F05F8" w:rsidRDefault="002645DF" w:rsidP="00A26C25">
            <w:pPr>
              <w:spacing w:before="40" w:after="40"/>
              <w:jc w:val="center"/>
              <w:rPr>
                <w:color w:val="0000FF"/>
                <w:sz w:val="18"/>
                <w:szCs w:val="18"/>
              </w:rPr>
            </w:pPr>
            <w:r>
              <w:rPr>
                <w:color w:val="0000FF"/>
                <w:sz w:val="18"/>
                <w:szCs w:val="18"/>
              </w:rPr>
              <w:t>0</w:t>
            </w:r>
            <w:r w:rsidR="008E5FD3">
              <w:rPr>
                <w:color w:val="0000FF"/>
                <w:sz w:val="18"/>
                <w:szCs w:val="18"/>
              </w:rPr>
              <w:t>.</w:t>
            </w:r>
            <w:r>
              <w:rPr>
                <w:color w:val="0000FF"/>
                <w:sz w:val="18"/>
                <w:szCs w:val="18"/>
              </w:rPr>
              <w:t>7</w:t>
            </w:r>
            <w:r w:rsidR="00D66A40">
              <w:rPr>
                <w:color w:val="0000FF"/>
                <w:sz w:val="18"/>
                <w:szCs w:val="18"/>
              </w:rPr>
              <w:t>%</w:t>
            </w:r>
          </w:p>
        </w:tc>
        <w:tc>
          <w:tcPr>
            <w:tcW w:w="545" w:type="pct"/>
          </w:tcPr>
          <w:p w14:paraId="413A391E" w14:textId="43BFD15C" w:rsidR="00FC3EF6" w:rsidRPr="006F05F8" w:rsidRDefault="008E5FD3" w:rsidP="00A26C25">
            <w:pPr>
              <w:spacing w:before="40" w:after="40"/>
              <w:jc w:val="center"/>
              <w:rPr>
                <w:color w:val="0000FF"/>
                <w:sz w:val="18"/>
                <w:szCs w:val="18"/>
              </w:rPr>
            </w:pPr>
            <w:r>
              <w:rPr>
                <w:color w:val="0000FF"/>
                <w:sz w:val="18"/>
                <w:szCs w:val="18"/>
              </w:rPr>
              <w:t>4.3</w:t>
            </w:r>
            <w:r w:rsidR="00D66A40">
              <w:rPr>
                <w:color w:val="0000FF"/>
                <w:sz w:val="18"/>
                <w:szCs w:val="18"/>
              </w:rPr>
              <w:t>%</w:t>
            </w:r>
          </w:p>
        </w:tc>
        <w:tc>
          <w:tcPr>
            <w:tcW w:w="545" w:type="pct"/>
          </w:tcPr>
          <w:p w14:paraId="71AE1767" w14:textId="1AD06FD5" w:rsidR="00FC3EF6" w:rsidRPr="006F05F8" w:rsidRDefault="008E5FD3" w:rsidP="00A26C25">
            <w:pPr>
              <w:spacing w:before="40" w:after="40"/>
              <w:jc w:val="center"/>
              <w:rPr>
                <w:color w:val="0000FF"/>
                <w:sz w:val="18"/>
                <w:szCs w:val="18"/>
              </w:rPr>
            </w:pPr>
            <w:r>
              <w:rPr>
                <w:color w:val="0000FF"/>
                <w:sz w:val="18"/>
                <w:szCs w:val="18"/>
              </w:rPr>
              <w:t>10.5</w:t>
            </w:r>
            <w:r w:rsidR="00D66A40">
              <w:rPr>
                <w:color w:val="0000FF"/>
                <w:sz w:val="18"/>
                <w:szCs w:val="18"/>
              </w:rPr>
              <w:t>%</w:t>
            </w:r>
          </w:p>
        </w:tc>
        <w:tc>
          <w:tcPr>
            <w:tcW w:w="545" w:type="pct"/>
          </w:tcPr>
          <w:p w14:paraId="3EC4ACA6" w14:textId="328326CC" w:rsidR="00FC3EF6" w:rsidRPr="006F05F8" w:rsidRDefault="008E5FD3" w:rsidP="00A26C25">
            <w:pPr>
              <w:spacing w:before="40" w:after="40"/>
              <w:jc w:val="center"/>
              <w:rPr>
                <w:color w:val="0000FF"/>
                <w:sz w:val="18"/>
                <w:szCs w:val="18"/>
              </w:rPr>
            </w:pPr>
            <w:r>
              <w:rPr>
                <w:color w:val="0000FF"/>
                <w:sz w:val="18"/>
                <w:szCs w:val="18"/>
              </w:rPr>
              <w:t>18.8</w:t>
            </w:r>
            <w:r w:rsidR="00D66A40">
              <w:rPr>
                <w:color w:val="0000FF"/>
                <w:sz w:val="18"/>
                <w:szCs w:val="18"/>
              </w:rPr>
              <w:t>%</w:t>
            </w:r>
          </w:p>
        </w:tc>
        <w:tc>
          <w:tcPr>
            <w:tcW w:w="545" w:type="pct"/>
          </w:tcPr>
          <w:p w14:paraId="1A203B3E" w14:textId="3629B34B" w:rsidR="00FC3EF6" w:rsidRPr="006F05F8" w:rsidRDefault="008E5FD3" w:rsidP="00A26C25">
            <w:pPr>
              <w:spacing w:before="40" w:after="40"/>
              <w:jc w:val="center"/>
              <w:rPr>
                <w:color w:val="0000FF"/>
                <w:sz w:val="18"/>
                <w:szCs w:val="18"/>
              </w:rPr>
            </w:pPr>
            <w:r>
              <w:rPr>
                <w:color w:val="0000FF"/>
                <w:sz w:val="18"/>
                <w:szCs w:val="18"/>
              </w:rPr>
              <w:t>27.3</w:t>
            </w:r>
            <w:r w:rsidR="00D66A40">
              <w:rPr>
                <w:color w:val="0000FF"/>
                <w:sz w:val="18"/>
                <w:szCs w:val="18"/>
              </w:rPr>
              <w:t>%</w:t>
            </w:r>
          </w:p>
        </w:tc>
        <w:tc>
          <w:tcPr>
            <w:tcW w:w="485" w:type="pct"/>
          </w:tcPr>
          <w:p w14:paraId="618D7251" w14:textId="4AED01E7" w:rsidR="00FC3EF6" w:rsidRPr="006F05F8" w:rsidRDefault="00D66A40" w:rsidP="00A26C25">
            <w:pPr>
              <w:spacing w:before="40" w:after="40"/>
              <w:jc w:val="center"/>
              <w:rPr>
                <w:color w:val="0000FF"/>
                <w:sz w:val="18"/>
                <w:szCs w:val="18"/>
              </w:rPr>
            </w:pPr>
            <w:r>
              <w:rPr>
                <w:color w:val="0000FF"/>
                <w:sz w:val="18"/>
                <w:szCs w:val="18"/>
              </w:rPr>
              <w:t>9.0%</w:t>
            </w:r>
          </w:p>
        </w:tc>
        <w:tc>
          <w:tcPr>
            <w:tcW w:w="648" w:type="pct"/>
          </w:tcPr>
          <w:p w14:paraId="0A67817E" w14:textId="1A52C56B" w:rsidR="00FC3EF6" w:rsidRPr="006F05F8" w:rsidRDefault="00B94EF2" w:rsidP="00A26C25">
            <w:pPr>
              <w:spacing w:before="40" w:after="40"/>
              <w:jc w:val="center"/>
              <w:rPr>
                <w:color w:val="0000FF"/>
                <w:sz w:val="18"/>
                <w:szCs w:val="18"/>
              </w:rPr>
            </w:pPr>
            <w:r>
              <w:rPr>
                <w:color w:val="0000FF"/>
                <w:sz w:val="18"/>
                <w:szCs w:val="18"/>
              </w:rPr>
              <w:t>14.</w:t>
            </w:r>
            <w:r w:rsidR="002645DF">
              <w:rPr>
                <w:color w:val="0000FF"/>
                <w:sz w:val="18"/>
                <w:szCs w:val="18"/>
              </w:rPr>
              <w:t>5</w:t>
            </w:r>
            <w:r w:rsidR="00D66A40">
              <w:rPr>
                <w:color w:val="0000FF"/>
                <w:sz w:val="18"/>
                <w:szCs w:val="18"/>
              </w:rPr>
              <w:t>%</w:t>
            </w:r>
          </w:p>
        </w:tc>
      </w:tr>
    </w:tbl>
    <w:p w14:paraId="1997988A" w14:textId="06E57CBE" w:rsidR="002645DF" w:rsidRPr="002645DF" w:rsidRDefault="002645DF" w:rsidP="00FC3EF6">
      <w:pPr>
        <w:pStyle w:val="Response"/>
      </w:pPr>
      <w:r>
        <w:t xml:space="preserve">NOTE: </w:t>
      </w:r>
      <w:r>
        <w:rPr>
          <w:i/>
          <w:iCs/>
          <w:sz w:val="20"/>
        </w:rPr>
        <w:t>k</w:t>
      </w:r>
      <w:r w:rsidRPr="00DB3810">
        <w:rPr>
          <w:sz w:val="20"/>
        </w:rPr>
        <w:t xml:space="preserve"> = number of facilities that meet minimum requirements for public reporting this quality measure.</w:t>
      </w:r>
    </w:p>
    <w:p w14:paraId="7C429AFE" w14:textId="09FBBD3E" w:rsidR="00FC3EF6" w:rsidRPr="003C215A" w:rsidRDefault="00FC3EF6" w:rsidP="00FC3EF6">
      <w:pPr>
        <w:pStyle w:val="Response"/>
        <w:rPr>
          <w:sz w:val="20"/>
        </w:rPr>
      </w:pPr>
      <w:r w:rsidRPr="003C215A">
        <w:rPr>
          <w:sz w:val="20"/>
        </w:rPr>
        <w:t xml:space="preserve">Analysis date: </w:t>
      </w:r>
      <w:r w:rsidR="00C87A3A" w:rsidRPr="003C215A">
        <w:rPr>
          <w:sz w:val="20"/>
        </w:rPr>
        <w:t>11/15/2017</w:t>
      </w:r>
    </w:p>
    <w:p w14:paraId="2D12E7BB" w14:textId="25B7C727" w:rsidR="00FC3EF6" w:rsidRPr="00DB3810" w:rsidRDefault="00C87A3A" w:rsidP="00FC3EF6">
      <w:pPr>
        <w:pStyle w:val="Response"/>
        <w:rPr>
          <w:sz w:val="20"/>
        </w:rPr>
      </w:pPr>
      <w:r w:rsidRPr="003C215A">
        <w:rPr>
          <w:sz w:val="20"/>
        </w:rPr>
        <w:t>SOURCE: RTI analysis of Q2 2017 MDS 3.0 data (programming reference: rn01\db361_request_q2627_676.log</w:t>
      </w:r>
      <w:r w:rsidR="002645DF">
        <w:rPr>
          <w:sz w:val="20"/>
        </w:rPr>
        <w:t>)</w:t>
      </w:r>
    </w:p>
    <w:p w14:paraId="266EEC76" w14:textId="3818B01F" w:rsidR="002A4CD3" w:rsidRPr="00DC564C" w:rsidRDefault="002A4CD3" w:rsidP="007127BB">
      <w:pPr>
        <w:pStyle w:val="Response"/>
      </w:pPr>
      <w:r w:rsidRPr="00DC564C">
        <w:rPr>
          <w:b/>
          <w:i/>
        </w:rPr>
        <w:t xml:space="preserve">Table </w:t>
      </w:r>
      <w:r w:rsidR="007127BB" w:rsidRPr="00DC564C">
        <w:rPr>
          <w:b/>
          <w:i/>
        </w:rPr>
        <w:t>10</w:t>
      </w:r>
      <w:r w:rsidRPr="00DC564C">
        <w:t xml:space="preserve"> shows the proportions of facilities that score statistically significantly higher or lower than the national facility-level mean in Quarter 2, 2017. For this analysis, statistical significance was determined using 95% confidence intervals: a facility’s quality measure score was significantly different from the national mean if the national mean was not within the facility’s 95% confidence interval. </w:t>
      </w:r>
    </w:p>
    <w:p w14:paraId="339940EC" w14:textId="2D0987F6" w:rsidR="002A4CD3" w:rsidRDefault="002A4CD3" w:rsidP="007127BB">
      <w:pPr>
        <w:pStyle w:val="Response"/>
      </w:pPr>
      <w:r w:rsidRPr="00DC564C">
        <w:t>Overall, over half (51.8%) of facilities were significantly different from the national mean in Quarter 2, 2017, indicating that there are</w:t>
      </w:r>
      <w:r>
        <w:t xml:space="preserve"> meaningful differences in facility-level scores for this measure. </w:t>
      </w:r>
      <w:r w:rsidRPr="009C7D47">
        <w:t>We also stratified the data by the facility denominator size to allow us to examine the relationship between facility size and the reliability of facility scores.</w:t>
      </w:r>
      <w:r>
        <w:t xml:space="preserve"> The proportions of facilities with scores that are significantly different from the national mean vary as a function of the number of residents included in the denominator for this measure; </w:t>
      </w:r>
      <w:r w:rsidR="00CA3949">
        <w:t xml:space="preserve">the </w:t>
      </w:r>
      <w:r>
        <w:t>percentage of facilities which have scores that are statistically significantly different from the mean increase with the number of residents. Increases in the facility-level sample size lead to reductions in the standard</w:t>
      </w:r>
      <w:r w:rsidR="00C45077">
        <w:t xml:space="preserve"> error of facility-level scores</w:t>
      </w:r>
      <w:r w:rsidR="00AE1098">
        <w:t>;</w:t>
      </w:r>
      <w:r w:rsidR="00C45077">
        <w:t xml:space="preserve"> </w:t>
      </w:r>
      <w:r w:rsidR="00AE1098">
        <w:t>t</w:t>
      </w:r>
      <w:r>
        <w:t xml:space="preserve">hus, </w:t>
      </w:r>
      <w:r w:rsidR="00AE1098">
        <w:t xml:space="preserve">it appears that </w:t>
      </w:r>
      <w:r>
        <w:t>changes in the reliability of this measure for larger facilities are due to the greater statistical reliability that accompanies increased sample size.</w:t>
      </w:r>
    </w:p>
    <w:p w14:paraId="3C72378D" w14:textId="1E536502" w:rsidR="002A4CD3" w:rsidRPr="004524FF" w:rsidRDefault="002A4CD3" w:rsidP="002A4CD3">
      <w:pPr>
        <w:pStyle w:val="Response"/>
        <w:keepNext/>
        <w:jc w:val="center"/>
        <w:rPr>
          <w:b/>
        </w:rPr>
      </w:pPr>
      <w:r w:rsidRPr="004524FF">
        <w:rPr>
          <w:b/>
        </w:rPr>
        <w:t xml:space="preserve">Table </w:t>
      </w:r>
      <w:r w:rsidR="004F2660">
        <w:rPr>
          <w:b/>
        </w:rPr>
        <w:t>10</w:t>
      </w:r>
      <w:r w:rsidRPr="004524FF">
        <w:rPr>
          <w:b/>
        </w:rPr>
        <w:br/>
      </w:r>
      <w:r w:rsidRPr="002A4CD3">
        <w:rPr>
          <w:b/>
        </w:rPr>
        <w:t xml:space="preserve">Proportion of Facilities with Scores Significantly Different from the National Facility-Level </w:t>
      </w:r>
      <w:r w:rsidR="004F2660">
        <w:rPr>
          <w:b/>
        </w:rPr>
        <w:t>M</w:t>
      </w:r>
      <w:r w:rsidRPr="002A4CD3">
        <w:rPr>
          <w:b/>
        </w:rPr>
        <w:t>ean, Stratified by Facility Denominator Size</w:t>
      </w:r>
      <w:r>
        <w:rPr>
          <w:b/>
        </w:rPr>
        <w:t xml:space="preserve"> for NQF #0676</w:t>
      </w:r>
      <w:r w:rsidRPr="002A4CD3">
        <w:rPr>
          <w:b/>
        </w:rPr>
        <w:t xml:space="preserve"> Percent of Residents Who Self-Report Moderate to Severe Pain (</w:t>
      </w:r>
      <w:r>
        <w:rPr>
          <w:b/>
        </w:rPr>
        <w:t>Short</w:t>
      </w:r>
      <w:r w:rsidRPr="002A4CD3">
        <w:rPr>
          <w:b/>
        </w:rPr>
        <w:t xml:space="preserve"> Stay)</w:t>
      </w:r>
    </w:p>
    <w:tbl>
      <w:tblPr>
        <w:tblStyle w:val="CMSTable"/>
        <w:tblW w:w="5000" w:type="pct"/>
        <w:tblLook w:val="01E0" w:firstRow="1" w:lastRow="1" w:firstColumn="1" w:lastColumn="1" w:noHBand="0" w:noVBand="0"/>
      </w:tblPr>
      <w:tblGrid>
        <w:gridCol w:w="2520"/>
        <w:gridCol w:w="876"/>
        <w:gridCol w:w="2005"/>
        <w:gridCol w:w="2123"/>
        <w:gridCol w:w="1836"/>
      </w:tblGrid>
      <w:tr w:rsidR="002A4CD3" w:rsidRPr="005D15DC" w14:paraId="15FDFF52" w14:textId="77777777" w:rsidTr="00140126">
        <w:trPr>
          <w:cnfStyle w:val="100000000000" w:firstRow="1" w:lastRow="0" w:firstColumn="0" w:lastColumn="0" w:oddVBand="0" w:evenVBand="0" w:oddHBand="0" w:evenHBand="0" w:firstRowFirstColumn="0" w:firstRowLastColumn="0" w:lastRowFirstColumn="0" w:lastRowLastColumn="0"/>
          <w:trHeight w:val="20"/>
        </w:trPr>
        <w:tc>
          <w:tcPr>
            <w:tcW w:w="1346" w:type="pct"/>
          </w:tcPr>
          <w:p w14:paraId="04C9EA74" w14:textId="071295C4" w:rsidR="002A4CD3" w:rsidRPr="005D15DC" w:rsidRDefault="00081022" w:rsidP="004E3AE3">
            <w:pPr>
              <w:pStyle w:val="TableHeaders"/>
              <w:rPr>
                <w:color w:val="0000FF"/>
              </w:rPr>
            </w:pPr>
            <w:r w:rsidRPr="003D1D04">
              <w:rPr>
                <w:color w:val="0000FF"/>
              </w:rPr>
              <w:t>Decile of denominator size</w:t>
            </w:r>
            <w:r>
              <w:rPr>
                <w:color w:val="0000FF"/>
              </w:rPr>
              <w:t xml:space="preserve"> in residents</w:t>
            </w:r>
          </w:p>
        </w:tc>
        <w:tc>
          <w:tcPr>
            <w:tcW w:w="468" w:type="pct"/>
          </w:tcPr>
          <w:p w14:paraId="51340987" w14:textId="77777777" w:rsidR="002A4CD3" w:rsidRPr="005D15DC" w:rsidRDefault="002A4CD3" w:rsidP="004E3AE3">
            <w:pPr>
              <w:pStyle w:val="TableHeaders"/>
              <w:rPr>
                <w:color w:val="0000FF"/>
              </w:rPr>
            </w:pPr>
            <w:r>
              <w:rPr>
                <w:i/>
                <w:iCs/>
                <w:color w:val="0000FF"/>
              </w:rPr>
              <w:t>k</w:t>
            </w:r>
          </w:p>
        </w:tc>
        <w:tc>
          <w:tcPr>
            <w:tcW w:w="1071" w:type="pct"/>
          </w:tcPr>
          <w:p w14:paraId="545E7262" w14:textId="77777777" w:rsidR="002A4CD3" w:rsidRPr="005D15DC" w:rsidRDefault="002A4CD3" w:rsidP="004E3AE3">
            <w:pPr>
              <w:pStyle w:val="TableHeaders"/>
              <w:rPr>
                <w:color w:val="0000FF"/>
              </w:rPr>
            </w:pPr>
            <w:r w:rsidRPr="005D15DC">
              <w:rPr>
                <w:color w:val="0000FF"/>
              </w:rPr>
              <w:t>Number of facilities with 95% confidence interval lower than national mean (%)</w:t>
            </w:r>
          </w:p>
        </w:tc>
        <w:tc>
          <w:tcPr>
            <w:tcW w:w="1134" w:type="pct"/>
          </w:tcPr>
          <w:p w14:paraId="4656FA7C" w14:textId="77777777" w:rsidR="002A4CD3" w:rsidRPr="005D15DC" w:rsidRDefault="002A4CD3" w:rsidP="004E3AE3">
            <w:pPr>
              <w:pStyle w:val="TableHeaders"/>
              <w:rPr>
                <w:color w:val="0000FF"/>
              </w:rPr>
            </w:pPr>
            <w:r w:rsidRPr="005D15DC">
              <w:rPr>
                <w:color w:val="0000FF"/>
              </w:rPr>
              <w:t>Number of facilities with 95% confidence interval higher than national mean (%)</w:t>
            </w:r>
          </w:p>
        </w:tc>
        <w:tc>
          <w:tcPr>
            <w:tcW w:w="982" w:type="pct"/>
          </w:tcPr>
          <w:p w14:paraId="11D43B92" w14:textId="77777777" w:rsidR="002A4CD3" w:rsidRPr="005D15DC" w:rsidRDefault="002A4CD3" w:rsidP="004E3AE3">
            <w:pPr>
              <w:pStyle w:val="TableHeaders"/>
              <w:rPr>
                <w:color w:val="0000FF"/>
              </w:rPr>
            </w:pPr>
            <w:r w:rsidRPr="005D15DC">
              <w:rPr>
                <w:color w:val="0000FF"/>
              </w:rPr>
              <w:t>Total number of facilities with scores significantly different from mean (%)</w:t>
            </w:r>
          </w:p>
        </w:tc>
      </w:tr>
      <w:tr w:rsidR="002A4CD3" w:rsidRPr="005D15DC" w14:paraId="4B86977C" w14:textId="77777777" w:rsidTr="00140126">
        <w:trPr>
          <w:trHeight w:val="20"/>
        </w:trPr>
        <w:tc>
          <w:tcPr>
            <w:tcW w:w="1346" w:type="pct"/>
          </w:tcPr>
          <w:p w14:paraId="4C38B7DE" w14:textId="63EC4092" w:rsidR="002A4CD3" w:rsidRPr="005D15DC" w:rsidRDefault="002A4CD3" w:rsidP="004E3AE3">
            <w:pPr>
              <w:pStyle w:val="TableText"/>
              <w:rPr>
                <w:color w:val="0000FF"/>
              </w:rPr>
            </w:pPr>
            <w:r w:rsidRPr="005D15DC">
              <w:rPr>
                <w:color w:val="0000FF"/>
              </w:rPr>
              <w:t>1</w:t>
            </w:r>
            <w:r w:rsidRPr="005D15DC">
              <w:rPr>
                <w:color w:val="0000FF"/>
                <w:vertAlign w:val="superscript"/>
              </w:rPr>
              <w:t>st</w:t>
            </w:r>
            <w:r w:rsidRPr="005D15DC">
              <w:rPr>
                <w:color w:val="0000FF"/>
              </w:rPr>
              <w:t xml:space="preserve"> Decile (</w:t>
            </w:r>
            <w:r>
              <w:rPr>
                <w:i/>
                <w:iCs/>
                <w:color w:val="0000FF"/>
              </w:rPr>
              <w:t>n</w:t>
            </w:r>
            <w:r>
              <w:rPr>
                <w:color w:val="0000FF"/>
              </w:rPr>
              <w:t xml:space="preserve"> = 20 to 26</w:t>
            </w:r>
            <w:r w:rsidRPr="005D15DC">
              <w:rPr>
                <w:color w:val="0000FF"/>
              </w:rPr>
              <w:t xml:space="preserve">) </w:t>
            </w:r>
          </w:p>
        </w:tc>
        <w:tc>
          <w:tcPr>
            <w:tcW w:w="468" w:type="pct"/>
            <w:vAlign w:val="bottom"/>
          </w:tcPr>
          <w:p w14:paraId="36F299A3" w14:textId="77777777" w:rsidR="002A4CD3" w:rsidRPr="005D15DC" w:rsidRDefault="002A4CD3" w:rsidP="004E3AE3">
            <w:pPr>
              <w:pStyle w:val="TableText-cent"/>
              <w:rPr>
                <w:color w:val="0000FF"/>
              </w:rPr>
            </w:pPr>
            <w:r>
              <w:rPr>
                <w:color w:val="0000FF"/>
              </w:rPr>
              <w:t>1,240</w:t>
            </w:r>
          </w:p>
        </w:tc>
        <w:tc>
          <w:tcPr>
            <w:tcW w:w="1071" w:type="pct"/>
            <w:vAlign w:val="bottom"/>
          </w:tcPr>
          <w:p w14:paraId="13FCE1D4" w14:textId="6C561F10" w:rsidR="002A4CD3" w:rsidRPr="005D15DC" w:rsidRDefault="002A4CD3" w:rsidP="004E3AE3">
            <w:pPr>
              <w:pStyle w:val="TableText-cent"/>
              <w:rPr>
                <w:color w:val="0000FF"/>
              </w:rPr>
            </w:pPr>
            <w:r>
              <w:rPr>
                <w:color w:val="0000FF"/>
              </w:rPr>
              <w:t>288 (23.2</w:t>
            </w:r>
            <w:r w:rsidR="001636B7">
              <w:rPr>
                <w:color w:val="0000FF"/>
              </w:rPr>
              <w:t>%</w:t>
            </w:r>
            <w:r>
              <w:rPr>
                <w:color w:val="0000FF"/>
              </w:rPr>
              <w:t>)</w:t>
            </w:r>
          </w:p>
        </w:tc>
        <w:tc>
          <w:tcPr>
            <w:tcW w:w="1134" w:type="pct"/>
            <w:vAlign w:val="bottom"/>
          </w:tcPr>
          <w:p w14:paraId="67702CCC" w14:textId="7753BB76" w:rsidR="002A4CD3" w:rsidRPr="005D15DC" w:rsidRDefault="002A4CD3" w:rsidP="004E3AE3">
            <w:pPr>
              <w:pStyle w:val="TableText-cent"/>
              <w:rPr>
                <w:color w:val="0000FF"/>
              </w:rPr>
            </w:pPr>
            <w:r>
              <w:rPr>
                <w:color w:val="0000FF"/>
              </w:rPr>
              <w:t>121 (9.8</w:t>
            </w:r>
            <w:r w:rsidR="001636B7">
              <w:rPr>
                <w:color w:val="0000FF"/>
              </w:rPr>
              <w:t>%</w:t>
            </w:r>
            <w:r>
              <w:rPr>
                <w:color w:val="0000FF"/>
              </w:rPr>
              <w:t>)</w:t>
            </w:r>
          </w:p>
        </w:tc>
        <w:tc>
          <w:tcPr>
            <w:tcW w:w="982" w:type="pct"/>
            <w:vAlign w:val="bottom"/>
          </w:tcPr>
          <w:p w14:paraId="55738372" w14:textId="459858C5" w:rsidR="002A4CD3" w:rsidRPr="005D15DC" w:rsidRDefault="002A4CD3" w:rsidP="004E3AE3">
            <w:pPr>
              <w:pStyle w:val="TableText-cent"/>
              <w:rPr>
                <w:color w:val="0000FF"/>
              </w:rPr>
            </w:pPr>
            <w:r>
              <w:rPr>
                <w:color w:val="0000FF"/>
              </w:rPr>
              <w:t>409 (33.0</w:t>
            </w:r>
            <w:r w:rsidR="00DC564C">
              <w:rPr>
                <w:color w:val="0000FF"/>
              </w:rPr>
              <w:t>%</w:t>
            </w:r>
            <w:r>
              <w:rPr>
                <w:color w:val="0000FF"/>
              </w:rPr>
              <w:t>)</w:t>
            </w:r>
          </w:p>
        </w:tc>
      </w:tr>
      <w:tr w:rsidR="002A4CD3" w:rsidRPr="005D15DC" w14:paraId="56016BE6" w14:textId="77777777" w:rsidTr="00140126">
        <w:trPr>
          <w:trHeight w:val="20"/>
        </w:trPr>
        <w:tc>
          <w:tcPr>
            <w:tcW w:w="1346" w:type="pct"/>
          </w:tcPr>
          <w:p w14:paraId="056E5F8B" w14:textId="77777777" w:rsidR="002A4CD3" w:rsidRPr="005D15DC" w:rsidRDefault="002A4CD3" w:rsidP="004E3AE3">
            <w:pPr>
              <w:pStyle w:val="TableText"/>
              <w:rPr>
                <w:color w:val="0000FF"/>
              </w:rPr>
            </w:pPr>
            <w:r w:rsidRPr="005D15DC">
              <w:rPr>
                <w:color w:val="0000FF"/>
              </w:rPr>
              <w:t>2</w:t>
            </w:r>
            <w:r w:rsidRPr="005D15DC">
              <w:rPr>
                <w:color w:val="0000FF"/>
                <w:vertAlign w:val="superscript"/>
              </w:rPr>
              <w:t>nd</w:t>
            </w:r>
            <w:r w:rsidRPr="005D15DC">
              <w:rPr>
                <w:color w:val="0000FF"/>
              </w:rPr>
              <w:t xml:space="preserve"> Decile (</w:t>
            </w:r>
            <w:r>
              <w:rPr>
                <w:i/>
                <w:iCs/>
                <w:color w:val="0000FF"/>
              </w:rPr>
              <w:t>n</w:t>
            </w:r>
            <w:r w:rsidRPr="005D15DC">
              <w:rPr>
                <w:i/>
                <w:iCs/>
                <w:color w:val="0000FF"/>
              </w:rPr>
              <w:t xml:space="preserve"> </w:t>
            </w:r>
            <w:r>
              <w:rPr>
                <w:color w:val="0000FF"/>
              </w:rPr>
              <w:t>= 27</w:t>
            </w:r>
            <w:r w:rsidRPr="005D15DC">
              <w:rPr>
                <w:color w:val="0000FF"/>
              </w:rPr>
              <w:t xml:space="preserve"> to</w:t>
            </w:r>
            <w:r w:rsidRPr="005D15DC">
              <w:rPr>
                <w:i/>
                <w:iCs/>
                <w:color w:val="0000FF"/>
              </w:rPr>
              <w:t xml:space="preserve"> </w:t>
            </w:r>
            <w:r>
              <w:rPr>
                <w:color w:val="0000FF"/>
              </w:rPr>
              <w:t>34</w:t>
            </w:r>
            <w:r w:rsidRPr="005D15DC">
              <w:rPr>
                <w:color w:val="0000FF"/>
              </w:rPr>
              <w:t>)</w:t>
            </w:r>
          </w:p>
        </w:tc>
        <w:tc>
          <w:tcPr>
            <w:tcW w:w="468" w:type="pct"/>
            <w:vAlign w:val="bottom"/>
          </w:tcPr>
          <w:p w14:paraId="765415C2" w14:textId="77777777" w:rsidR="002A4CD3" w:rsidRPr="005D15DC" w:rsidRDefault="002A4CD3" w:rsidP="004E3AE3">
            <w:pPr>
              <w:pStyle w:val="TableText-cent"/>
              <w:rPr>
                <w:color w:val="0000FF"/>
              </w:rPr>
            </w:pPr>
            <w:r>
              <w:rPr>
                <w:color w:val="0000FF"/>
              </w:rPr>
              <w:t>1,196</w:t>
            </w:r>
          </w:p>
        </w:tc>
        <w:tc>
          <w:tcPr>
            <w:tcW w:w="1071" w:type="pct"/>
            <w:vAlign w:val="bottom"/>
          </w:tcPr>
          <w:p w14:paraId="12D3B182" w14:textId="409BD687" w:rsidR="002A4CD3" w:rsidRPr="005D15DC" w:rsidRDefault="002A4CD3" w:rsidP="004E3AE3">
            <w:pPr>
              <w:pStyle w:val="TableText-cent"/>
              <w:rPr>
                <w:color w:val="0000FF"/>
              </w:rPr>
            </w:pPr>
            <w:r>
              <w:rPr>
                <w:color w:val="0000FF"/>
              </w:rPr>
              <w:t>353 (29.5</w:t>
            </w:r>
            <w:r w:rsidR="001636B7">
              <w:rPr>
                <w:color w:val="0000FF"/>
              </w:rPr>
              <w:t>%</w:t>
            </w:r>
            <w:r>
              <w:rPr>
                <w:color w:val="0000FF"/>
              </w:rPr>
              <w:t>)</w:t>
            </w:r>
          </w:p>
        </w:tc>
        <w:tc>
          <w:tcPr>
            <w:tcW w:w="1134" w:type="pct"/>
            <w:vAlign w:val="bottom"/>
          </w:tcPr>
          <w:p w14:paraId="5E4D8FC8" w14:textId="55BEB014" w:rsidR="002A4CD3" w:rsidRPr="005D15DC" w:rsidRDefault="002A4CD3" w:rsidP="004E3AE3">
            <w:pPr>
              <w:pStyle w:val="TableText-cent"/>
              <w:rPr>
                <w:color w:val="0000FF"/>
              </w:rPr>
            </w:pPr>
            <w:r>
              <w:rPr>
                <w:color w:val="0000FF"/>
              </w:rPr>
              <w:t>114 (9.5</w:t>
            </w:r>
            <w:r w:rsidR="001636B7">
              <w:rPr>
                <w:color w:val="0000FF"/>
              </w:rPr>
              <w:t>%</w:t>
            </w:r>
            <w:r>
              <w:rPr>
                <w:color w:val="0000FF"/>
              </w:rPr>
              <w:t>)</w:t>
            </w:r>
          </w:p>
        </w:tc>
        <w:tc>
          <w:tcPr>
            <w:tcW w:w="982" w:type="pct"/>
            <w:vAlign w:val="bottom"/>
          </w:tcPr>
          <w:p w14:paraId="6091D767" w14:textId="6366DE8F" w:rsidR="002A4CD3" w:rsidRPr="005D15DC" w:rsidRDefault="002A4CD3" w:rsidP="004E3AE3">
            <w:pPr>
              <w:pStyle w:val="TableText-cent"/>
              <w:rPr>
                <w:color w:val="0000FF"/>
              </w:rPr>
            </w:pPr>
            <w:r>
              <w:rPr>
                <w:color w:val="0000FF"/>
              </w:rPr>
              <w:t>467 (39.0</w:t>
            </w:r>
            <w:r w:rsidR="00DC564C">
              <w:rPr>
                <w:color w:val="0000FF"/>
              </w:rPr>
              <w:t>%</w:t>
            </w:r>
            <w:r>
              <w:rPr>
                <w:color w:val="0000FF"/>
              </w:rPr>
              <w:t>)</w:t>
            </w:r>
          </w:p>
        </w:tc>
      </w:tr>
      <w:tr w:rsidR="002A4CD3" w:rsidRPr="005D15DC" w14:paraId="4886D63A" w14:textId="77777777" w:rsidTr="00140126">
        <w:trPr>
          <w:trHeight w:val="20"/>
        </w:trPr>
        <w:tc>
          <w:tcPr>
            <w:tcW w:w="1346" w:type="pct"/>
          </w:tcPr>
          <w:p w14:paraId="0F953C76" w14:textId="77777777" w:rsidR="002A4CD3" w:rsidRPr="005D15DC" w:rsidRDefault="002A4CD3" w:rsidP="004E3AE3">
            <w:pPr>
              <w:pStyle w:val="TableText"/>
              <w:rPr>
                <w:color w:val="0000FF"/>
              </w:rPr>
            </w:pPr>
            <w:r w:rsidRPr="005D15DC">
              <w:rPr>
                <w:color w:val="0000FF"/>
              </w:rPr>
              <w:t>3</w:t>
            </w:r>
            <w:r w:rsidRPr="005D15DC">
              <w:rPr>
                <w:color w:val="0000FF"/>
                <w:vertAlign w:val="superscript"/>
              </w:rPr>
              <w:t>rd</w:t>
            </w:r>
            <w:r w:rsidRPr="005D15DC">
              <w:rPr>
                <w:color w:val="0000FF"/>
              </w:rPr>
              <w:t xml:space="preserve"> Decile (</w:t>
            </w:r>
            <w:r>
              <w:rPr>
                <w:i/>
                <w:iCs/>
                <w:color w:val="0000FF"/>
              </w:rPr>
              <w:t>n</w:t>
            </w:r>
            <w:r w:rsidRPr="005D15DC">
              <w:rPr>
                <w:i/>
                <w:iCs/>
                <w:color w:val="0000FF"/>
              </w:rPr>
              <w:t xml:space="preserve"> </w:t>
            </w:r>
            <w:r>
              <w:rPr>
                <w:color w:val="0000FF"/>
              </w:rPr>
              <w:t>= 35 to 43</w:t>
            </w:r>
            <w:r w:rsidRPr="005D15DC">
              <w:rPr>
                <w:color w:val="0000FF"/>
              </w:rPr>
              <w:t>)</w:t>
            </w:r>
          </w:p>
        </w:tc>
        <w:tc>
          <w:tcPr>
            <w:tcW w:w="468" w:type="pct"/>
            <w:vAlign w:val="bottom"/>
          </w:tcPr>
          <w:p w14:paraId="6B3D2F8A" w14:textId="77777777" w:rsidR="002A4CD3" w:rsidRPr="005D15DC" w:rsidRDefault="002A4CD3" w:rsidP="004E3AE3">
            <w:pPr>
              <w:pStyle w:val="TableText-cent"/>
              <w:rPr>
                <w:color w:val="0000FF"/>
              </w:rPr>
            </w:pPr>
            <w:r>
              <w:rPr>
                <w:color w:val="0000FF"/>
              </w:rPr>
              <w:t>1,210</w:t>
            </w:r>
          </w:p>
        </w:tc>
        <w:tc>
          <w:tcPr>
            <w:tcW w:w="1071" w:type="pct"/>
            <w:vAlign w:val="bottom"/>
          </w:tcPr>
          <w:p w14:paraId="2555B593" w14:textId="0291EFB9" w:rsidR="002A4CD3" w:rsidRPr="005D15DC" w:rsidRDefault="002A4CD3" w:rsidP="004E3AE3">
            <w:pPr>
              <w:pStyle w:val="TableText-cent"/>
              <w:rPr>
                <w:color w:val="0000FF"/>
              </w:rPr>
            </w:pPr>
            <w:r>
              <w:rPr>
                <w:color w:val="0000FF"/>
              </w:rPr>
              <w:t>357 (29.5</w:t>
            </w:r>
            <w:r w:rsidR="001636B7">
              <w:rPr>
                <w:color w:val="0000FF"/>
              </w:rPr>
              <w:t>%</w:t>
            </w:r>
            <w:r>
              <w:rPr>
                <w:color w:val="0000FF"/>
              </w:rPr>
              <w:t>)</w:t>
            </w:r>
          </w:p>
        </w:tc>
        <w:tc>
          <w:tcPr>
            <w:tcW w:w="1134" w:type="pct"/>
            <w:vAlign w:val="bottom"/>
          </w:tcPr>
          <w:p w14:paraId="6423865E" w14:textId="0E7A0D28" w:rsidR="002A4CD3" w:rsidRPr="005D15DC" w:rsidRDefault="002A4CD3" w:rsidP="004E3AE3">
            <w:pPr>
              <w:pStyle w:val="TableText-cent"/>
              <w:rPr>
                <w:color w:val="0000FF"/>
              </w:rPr>
            </w:pPr>
            <w:r>
              <w:rPr>
                <w:color w:val="0000FF"/>
              </w:rPr>
              <w:t>141 (11.7</w:t>
            </w:r>
            <w:r w:rsidR="001636B7">
              <w:rPr>
                <w:color w:val="0000FF"/>
              </w:rPr>
              <w:t>%</w:t>
            </w:r>
            <w:r>
              <w:rPr>
                <w:color w:val="0000FF"/>
              </w:rPr>
              <w:t>)</w:t>
            </w:r>
          </w:p>
        </w:tc>
        <w:tc>
          <w:tcPr>
            <w:tcW w:w="982" w:type="pct"/>
            <w:vAlign w:val="bottom"/>
          </w:tcPr>
          <w:p w14:paraId="41E6A64E" w14:textId="49A61B77" w:rsidR="002A4CD3" w:rsidRPr="005D15DC" w:rsidRDefault="002A4CD3" w:rsidP="004E3AE3">
            <w:pPr>
              <w:pStyle w:val="TableText-cent"/>
              <w:rPr>
                <w:color w:val="0000FF"/>
              </w:rPr>
            </w:pPr>
            <w:r>
              <w:rPr>
                <w:color w:val="0000FF"/>
              </w:rPr>
              <w:t>498 (41.2</w:t>
            </w:r>
            <w:r w:rsidR="00DC564C">
              <w:rPr>
                <w:color w:val="0000FF"/>
              </w:rPr>
              <w:t>%</w:t>
            </w:r>
            <w:r>
              <w:rPr>
                <w:color w:val="0000FF"/>
              </w:rPr>
              <w:t>)</w:t>
            </w:r>
          </w:p>
        </w:tc>
      </w:tr>
      <w:tr w:rsidR="002A4CD3" w:rsidRPr="005D15DC" w14:paraId="7F3480D3" w14:textId="77777777" w:rsidTr="00140126">
        <w:trPr>
          <w:trHeight w:val="20"/>
        </w:trPr>
        <w:tc>
          <w:tcPr>
            <w:tcW w:w="1346" w:type="pct"/>
          </w:tcPr>
          <w:p w14:paraId="77D54B61" w14:textId="77777777" w:rsidR="002A4CD3" w:rsidRPr="005D15DC" w:rsidRDefault="002A4CD3" w:rsidP="004E3AE3">
            <w:pPr>
              <w:pStyle w:val="TableText"/>
              <w:rPr>
                <w:color w:val="0000FF"/>
              </w:rPr>
            </w:pPr>
            <w:r w:rsidRPr="005D15DC">
              <w:rPr>
                <w:color w:val="0000FF"/>
              </w:rPr>
              <w:t>4</w:t>
            </w:r>
            <w:r w:rsidRPr="005D15DC">
              <w:rPr>
                <w:color w:val="0000FF"/>
                <w:vertAlign w:val="superscript"/>
              </w:rPr>
              <w:t>th</w:t>
            </w:r>
            <w:r w:rsidRPr="005D15DC">
              <w:rPr>
                <w:color w:val="0000FF"/>
              </w:rPr>
              <w:t xml:space="preserve"> Decile (</w:t>
            </w:r>
            <w:r>
              <w:rPr>
                <w:color w:val="0000FF"/>
              </w:rPr>
              <w:t>n= 44 to 54</w:t>
            </w:r>
            <w:r w:rsidRPr="005D15DC">
              <w:rPr>
                <w:color w:val="0000FF"/>
              </w:rPr>
              <w:t>)</w:t>
            </w:r>
          </w:p>
        </w:tc>
        <w:tc>
          <w:tcPr>
            <w:tcW w:w="468" w:type="pct"/>
            <w:vAlign w:val="bottom"/>
          </w:tcPr>
          <w:p w14:paraId="4CB9C00C" w14:textId="77777777" w:rsidR="002A4CD3" w:rsidRPr="005D15DC" w:rsidRDefault="002A4CD3" w:rsidP="004E3AE3">
            <w:pPr>
              <w:pStyle w:val="TableText-cent"/>
              <w:rPr>
                <w:color w:val="0000FF"/>
              </w:rPr>
            </w:pPr>
            <w:r>
              <w:rPr>
                <w:color w:val="0000FF"/>
              </w:rPr>
              <w:t>1,173</w:t>
            </w:r>
          </w:p>
        </w:tc>
        <w:tc>
          <w:tcPr>
            <w:tcW w:w="1071" w:type="pct"/>
            <w:vAlign w:val="bottom"/>
          </w:tcPr>
          <w:p w14:paraId="0D097749" w14:textId="64660DC2" w:rsidR="002A4CD3" w:rsidRPr="005D15DC" w:rsidRDefault="002A4CD3" w:rsidP="004E3AE3">
            <w:pPr>
              <w:pStyle w:val="TableText-cent"/>
              <w:rPr>
                <w:color w:val="0000FF"/>
              </w:rPr>
            </w:pPr>
            <w:r>
              <w:rPr>
                <w:color w:val="0000FF"/>
              </w:rPr>
              <w:t>343 (29.2</w:t>
            </w:r>
            <w:r w:rsidR="001636B7">
              <w:rPr>
                <w:color w:val="0000FF"/>
              </w:rPr>
              <w:t>%</w:t>
            </w:r>
            <w:r>
              <w:rPr>
                <w:color w:val="0000FF"/>
              </w:rPr>
              <w:t>)</w:t>
            </w:r>
          </w:p>
        </w:tc>
        <w:tc>
          <w:tcPr>
            <w:tcW w:w="1134" w:type="pct"/>
            <w:vAlign w:val="bottom"/>
          </w:tcPr>
          <w:p w14:paraId="3F31E6B7" w14:textId="33A3C408" w:rsidR="002A4CD3" w:rsidRPr="005D15DC" w:rsidRDefault="002A4CD3" w:rsidP="004E3AE3">
            <w:pPr>
              <w:pStyle w:val="TableText-cent"/>
              <w:rPr>
                <w:color w:val="0000FF"/>
              </w:rPr>
            </w:pPr>
            <w:r>
              <w:rPr>
                <w:color w:val="0000FF"/>
              </w:rPr>
              <w:t>167 (14.2</w:t>
            </w:r>
            <w:r w:rsidR="00DC564C">
              <w:rPr>
                <w:color w:val="0000FF"/>
              </w:rPr>
              <w:t>%</w:t>
            </w:r>
            <w:r>
              <w:rPr>
                <w:color w:val="0000FF"/>
              </w:rPr>
              <w:t>)</w:t>
            </w:r>
          </w:p>
        </w:tc>
        <w:tc>
          <w:tcPr>
            <w:tcW w:w="982" w:type="pct"/>
            <w:vAlign w:val="bottom"/>
          </w:tcPr>
          <w:p w14:paraId="786CC0FC" w14:textId="6B67FE4E" w:rsidR="002A4CD3" w:rsidRPr="005D15DC" w:rsidRDefault="002A4CD3" w:rsidP="004E3AE3">
            <w:pPr>
              <w:pStyle w:val="TableText-cent"/>
              <w:rPr>
                <w:color w:val="0000FF"/>
              </w:rPr>
            </w:pPr>
            <w:r>
              <w:rPr>
                <w:color w:val="0000FF"/>
              </w:rPr>
              <w:t>510 (43.5</w:t>
            </w:r>
            <w:r w:rsidR="00DC564C">
              <w:rPr>
                <w:color w:val="0000FF"/>
              </w:rPr>
              <w:t>%</w:t>
            </w:r>
            <w:r>
              <w:rPr>
                <w:color w:val="0000FF"/>
              </w:rPr>
              <w:t>)</w:t>
            </w:r>
          </w:p>
        </w:tc>
      </w:tr>
      <w:tr w:rsidR="002A4CD3" w:rsidRPr="005D15DC" w14:paraId="7C3A5735" w14:textId="77777777" w:rsidTr="00140126">
        <w:trPr>
          <w:trHeight w:val="20"/>
        </w:trPr>
        <w:tc>
          <w:tcPr>
            <w:tcW w:w="1346" w:type="pct"/>
          </w:tcPr>
          <w:p w14:paraId="1C3F1378" w14:textId="77777777" w:rsidR="002A4CD3" w:rsidRPr="005D15DC" w:rsidRDefault="002A4CD3" w:rsidP="004E3AE3">
            <w:pPr>
              <w:pStyle w:val="TableText"/>
              <w:rPr>
                <w:color w:val="0000FF"/>
              </w:rPr>
            </w:pPr>
            <w:r w:rsidRPr="005D15DC">
              <w:rPr>
                <w:color w:val="0000FF"/>
              </w:rPr>
              <w:t>5</w:t>
            </w:r>
            <w:r w:rsidRPr="005D15DC">
              <w:rPr>
                <w:color w:val="0000FF"/>
                <w:vertAlign w:val="superscript"/>
              </w:rPr>
              <w:t>th</w:t>
            </w:r>
            <w:r w:rsidRPr="005D15DC">
              <w:rPr>
                <w:color w:val="0000FF"/>
              </w:rPr>
              <w:t xml:space="preserve"> Decile (</w:t>
            </w:r>
            <w:r>
              <w:rPr>
                <w:i/>
                <w:iCs/>
                <w:color w:val="0000FF"/>
              </w:rPr>
              <w:t>n</w:t>
            </w:r>
            <w:r>
              <w:rPr>
                <w:color w:val="0000FF"/>
              </w:rPr>
              <w:t xml:space="preserve"> = 55 to 68</w:t>
            </w:r>
            <w:r w:rsidRPr="005D15DC">
              <w:rPr>
                <w:color w:val="0000FF"/>
              </w:rPr>
              <w:t>)</w:t>
            </w:r>
          </w:p>
        </w:tc>
        <w:tc>
          <w:tcPr>
            <w:tcW w:w="468" w:type="pct"/>
            <w:vAlign w:val="bottom"/>
          </w:tcPr>
          <w:p w14:paraId="3ADA9CF7" w14:textId="77777777" w:rsidR="002A4CD3" w:rsidRPr="005D15DC" w:rsidRDefault="002A4CD3" w:rsidP="004E3AE3">
            <w:pPr>
              <w:pStyle w:val="TableText-cent"/>
              <w:rPr>
                <w:color w:val="0000FF"/>
              </w:rPr>
            </w:pPr>
            <w:r>
              <w:rPr>
                <w:color w:val="0000FF"/>
              </w:rPr>
              <w:t>1,205</w:t>
            </w:r>
          </w:p>
        </w:tc>
        <w:tc>
          <w:tcPr>
            <w:tcW w:w="1071" w:type="pct"/>
            <w:vAlign w:val="bottom"/>
          </w:tcPr>
          <w:p w14:paraId="6FC4764F" w14:textId="1E43A1BF" w:rsidR="002A4CD3" w:rsidRPr="005D15DC" w:rsidRDefault="002A4CD3" w:rsidP="004E3AE3">
            <w:pPr>
              <w:pStyle w:val="TableText-cent"/>
              <w:rPr>
                <w:color w:val="0000FF"/>
              </w:rPr>
            </w:pPr>
            <w:r>
              <w:rPr>
                <w:color w:val="0000FF"/>
              </w:rPr>
              <w:t>382 (31.7</w:t>
            </w:r>
            <w:r w:rsidR="001636B7">
              <w:rPr>
                <w:color w:val="0000FF"/>
              </w:rPr>
              <w:t>%</w:t>
            </w:r>
            <w:r>
              <w:rPr>
                <w:color w:val="0000FF"/>
              </w:rPr>
              <w:t>)</w:t>
            </w:r>
          </w:p>
        </w:tc>
        <w:tc>
          <w:tcPr>
            <w:tcW w:w="1134" w:type="pct"/>
            <w:vAlign w:val="bottom"/>
          </w:tcPr>
          <w:p w14:paraId="5EFBB8F2" w14:textId="06C981E3" w:rsidR="002A4CD3" w:rsidRPr="005D15DC" w:rsidRDefault="002A4CD3" w:rsidP="004E3AE3">
            <w:pPr>
              <w:pStyle w:val="TableText-cent"/>
              <w:rPr>
                <w:color w:val="0000FF"/>
              </w:rPr>
            </w:pPr>
            <w:r>
              <w:rPr>
                <w:color w:val="0000FF"/>
              </w:rPr>
              <w:t>192 (15.9</w:t>
            </w:r>
            <w:r w:rsidR="00DC564C">
              <w:rPr>
                <w:color w:val="0000FF"/>
              </w:rPr>
              <w:t>%</w:t>
            </w:r>
            <w:r>
              <w:rPr>
                <w:color w:val="0000FF"/>
              </w:rPr>
              <w:t>)</w:t>
            </w:r>
          </w:p>
        </w:tc>
        <w:tc>
          <w:tcPr>
            <w:tcW w:w="982" w:type="pct"/>
            <w:vAlign w:val="bottom"/>
          </w:tcPr>
          <w:p w14:paraId="79F30CAE" w14:textId="172A6180" w:rsidR="002A4CD3" w:rsidRPr="005D15DC" w:rsidRDefault="002A4CD3" w:rsidP="004E3AE3">
            <w:pPr>
              <w:pStyle w:val="TableText-cent"/>
              <w:rPr>
                <w:color w:val="0000FF"/>
              </w:rPr>
            </w:pPr>
            <w:r>
              <w:rPr>
                <w:color w:val="0000FF"/>
              </w:rPr>
              <w:t>574 (47.6</w:t>
            </w:r>
            <w:r w:rsidR="00DC564C">
              <w:rPr>
                <w:color w:val="0000FF"/>
              </w:rPr>
              <w:t>%</w:t>
            </w:r>
            <w:r>
              <w:rPr>
                <w:color w:val="0000FF"/>
              </w:rPr>
              <w:t>)</w:t>
            </w:r>
          </w:p>
        </w:tc>
      </w:tr>
      <w:tr w:rsidR="002A4CD3" w:rsidRPr="005D15DC" w14:paraId="5D926F13" w14:textId="77777777" w:rsidTr="00140126">
        <w:trPr>
          <w:trHeight w:val="20"/>
        </w:trPr>
        <w:tc>
          <w:tcPr>
            <w:tcW w:w="1346" w:type="pct"/>
          </w:tcPr>
          <w:p w14:paraId="653090F3" w14:textId="77777777" w:rsidR="002A4CD3" w:rsidRPr="005D15DC" w:rsidRDefault="002A4CD3" w:rsidP="004E3AE3">
            <w:pPr>
              <w:pStyle w:val="TableText"/>
              <w:rPr>
                <w:color w:val="0000FF"/>
              </w:rPr>
            </w:pPr>
            <w:r w:rsidRPr="005D15DC">
              <w:rPr>
                <w:color w:val="0000FF"/>
              </w:rPr>
              <w:t>6</w:t>
            </w:r>
            <w:r w:rsidRPr="005D15DC">
              <w:rPr>
                <w:color w:val="0000FF"/>
                <w:vertAlign w:val="superscript"/>
              </w:rPr>
              <w:t>th</w:t>
            </w:r>
            <w:r w:rsidRPr="005D15DC">
              <w:rPr>
                <w:color w:val="0000FF"/>
              </w:rPr>
              <w:t xml:space="preserve"> Decile (</w:t>
            </w:r>
            <w:r>
              <w:rPr>
                <w:i/>
                <w:iCs/>
                <w:color w:val="0000FF"/>
              </w:rPr>
              <w:t>n</w:t>
            </w:r>
            <w:r>
              <w:rPr>
                <w:color w:val="0000FF"/>
              </w:rPr>
              <w:t xml:space="preserve"> = 69 to 84)</w:t>
            </w:r>
          </w:p>
        </w:tc>
        <w:tc>
          <w:tcPr>
            <w:tcW w:w="468" w:type="pct"/>
            <w:vAlign w:val="bottom"/>
          </w:tcPr>
          <w:p w14:paraId="1335AE7F" w14:textId="77777777" w:rsidR="002A4CD3" w:rsidRPr="005D15DC" w:rsidRDefault="002A4CD3" w:rsidP="004E3AE3">
            <w:pPr>
              <w:pStyle w:val="TableText-cent"/>
              <w:rPr>
                <w:color w:val="0000FF"/>
              </w:rPr>
            </w:pPr>
            <w:r>
              <w:rPr>
                <w:color w:val="0000FF"/>
              </w:rPr>
              <w:t>1,175</w:t>
            </w:r>
          </w:p>
        </w:tc>
        <w:tc>
          <w:tcPr>
            <w:tcW w:w="1071" w:type="pct"/>
            <w:vAlign w:val="bottom"/>
          </w:tcPr>
          <w:p w14:paraId="0D73E70D" w14:textId="174EE8A7" w:rsidR="002A4CD3" w:rsidRPr="005D15DC" w:rsidRDefault="002A4CD3" w:rsidP="004E3AE3">
            <w:pPr>
              <w:pStyle w:val="TableText-cent"/>
              <w:rPr>
                <w:color w:val="0000FF"/>
              </w:rPr>
            </w:pPr>
            <w:r>
              <w:rPr>
                <w:color w:val="0000FF"/>
              </w:rPr>
              <w:t>410 (34.9</w:t>
            </w:r>
            <w:r w:rsidR="001636B7">
              <w:rPr>
                <w:color w:val="0000FF"/>
              </w:rPr>
              <w:t>%</w:t>
            </w:r>
            <w:r>
              <w:rPr>
                <w:color w:val="0000FF"/>
              </w:rPr>
              <w:t>)</w:t>
            </w:r>
          </w:p>
        </w:tc>
        <w:tc>
          <w:tcPr>
            <w:tcW w:w="1134" w:type="pct"/>
            <w:vAlign w:val="bottom"/>
          </w:tcPr>
          <w:p w14:paraId="327397F1" w14:textId="44EAAAE5" w:rsidR="002A4CD3" w:rsidRPr="005D15DC" w:rsidRDefault="002A4CD3" w:rsidP="004E3AE3">
            <w:pPr>
              <w:pStyle w:val="TableText-cent"/>
              <w:rPr>
                <w:color w:val="0000FF"/>
              </w:rPr>
            </w:pPr>
            <w:r>
              <w:rPr>
                <w:color w:val="0000FF"/>
              </w:rPr>
              <w:t>186 (15.8</w:t>
            </w:r>
            <w:r w:rsidR="00DC564C">
              <w:rPr>
                <w:color w:val="0000FF"/>
              </w:rPr>
              <w:t>%</w:t>
            </w:r>
            <w:r>
              <w:rPr>
                <w:color w:val="0000FF"/>
              </w:rPr>
              <w:t>)</w:t>
            </w:r>
          </w:p>
        </w:tc>
        <w:tc>
          <w:tcPr>
            <w:tcW w:w="982" w:type="pct"/>
            <w:vAlign w:val="bottom"/>
          </w:tcPr>
          <w:p w14:paraId="1798D790" w14:textId="58A8850E" w:rsidR="002A4CD3" w:rsidRPr="005D15DC" w:rsidRDefault="002A4CD3" w:rsidP="004E3AE3">
            <w:pPr>
              <w:pStyle w:val="TableText-cent"/>
              <w:rPr>
                <w:color w:val="0000FF"/>
              </w:rPr>
            </w:pPr>
            <w:r>
              <w:rPr>
                <w:color w:val="0000FF"/>
              </w:rPr>
              <w:t>596 (50.7</w:t>
            </w:r>
            <w:r w:rsidR="00DC564C">
              <w:rPr>
                <w:color w:val="0000FF"/>
              </w:rPr>
              <w:t>%</w:t>
            </w:r>
            <w:r>
              <w:rPr>
                <w:color w:val="0000FF"/>
              </w:rPr>
              <w:t>)</w:t>
            </w:r>
          </w:p>
        </w:tc>
      </w:tr>
      <w:tr w:rsidR="002A4CD3" w:rsidRPr="005D15DC" w14:paraId="639FE74D" w14:textId="77777777" w:rsidTr="00140126">
        <w:trPr>
          <w:trHeight w:val="225"/>
        </w:trPr>
        <w:tc>
          <w:tcPr>
            <w:tcW w:w="1346" w:type="pct"/>
          </w:tcPr>
          <w:p w14:paraId="55BC1BD8" w14:textId="77777777" w:rsidR="002A4CD3" w:rsidRPr="005D15DC" w:rsidRDefault="002A4CD3" w:rsidP="004E3AE3">
            <w:pPr>
              <w:pStyle w:val="TableText"/>
              <w:rPr>
                <w:color w:val="0000FF"/>
              </w:rPr>
            </w:pPr>
            <w:r w:rsidRPr="005D15DC">
              <w:rPr>
                <w:color w:val="0000FF"/>
              </w:rPr>
              <w:t>7</w:t>
            </w:r>
            <w:r w:rsidRPr="005D15DC">
              <w:rPr>
                <w:color w:val="0000FF"/>
                <w:vertAlign w:val="superscript"/>
              </w:rPr>
              <w:t>th</w:t>
            </w:r>
            <w:r w:rsidRPr="005D15DC">
              <w:rPr>
                <w:color w:val="0000FF"/>
              </w:rPr>
              <w:t xml:space="preserve"> Decile (</w:t>
            </w:r>
            <w:r>
              <w:rPr>
                <w:i/>
                <w:iCs/>
                <w:color w:val="0000FF"/>
              </w:rPr>
              <w:t>n</w:t>
            </w:r>
            <w:r>
              <w:rPr>
                <w:color w:val="0000FF"/>
              </w:rPr>
              <w:t xml:space="preserve"> = 85 to 107</w:t>
            </w:r>
            <w:r w:rsidRPr="005D15DC">
              <w:rPr>
                <w:color w:val="0000FF"/>
              </w:rPr>
              <w:t>)</w:t>
            </w:r>
          </w:p>
        </w:tc>
        <w:tc>
          <w:tcPr>
            <w:tcW w:w="468" w:type="pct"/>
            <w:vAlign w:val="bottom"/>
          </w:tcPr>
          <w:p w14:paraId="2C85158C" w14:textId="77777777" w:rsidR="002A4CD3" w:rsidRPr="005D15DC" w:rsidRDefault="002A4CD3" w:rsidP="004E3AE3">
            <w:pPr>
              <w:pStyle w:val="TableText-cent"/>
              <w:rPr>
                <w:color w:val="0000FF"/>
              </w:rPr>
            </w:pPr>
            <w:r>
              <w:rPr>
                <w:color w:val="0000FF"/>
              </w:rPr>
              <w:t>1,211</w:t>
            </w:r>
          </w:p>
        </w:tc>
        <w:tc>
          <w:tcPr>
            <w:tcW w:w="1071" w:type="pct"/>
            <w:vAlign w:val="bottom"/>
          </w:tcPr>
          <w:p w14:paraId="08985ACE" w14:textId="160E0DAE" w:rsidR="002A4CD3" w:rsidRPr="005D15DC" w:rsidRDefault="002A4CD3" w:rsidP="004E3AE3">
            <w:pPr>
              <w:pStyle w:val="TableText-cent"/>
              <w:rPr>
                <w:color w:val="0000FF"/>
              </w:rPr>
            </w:pPr>
            <w:r>
              <w:rPr>
                <w:color w:val="0000FF"/>
              </w:rPr>
              <w:t>455 (37.6</w:t>
            </w:r>
            <w:r w:rsidR="001636B7">
              <w:rPr>
                <w:color w:val="0000FF"/>
              </w:rPr>
              <w:t>%</w:t>
            </w:r>
            <w:r>
              <w:rPr>
                <w:color w:val="0000FF"/>
              </w:rPr>
              <w:t>)</w:t>
            </w:r>
          </w:p>
        </w:tc>
        <w:tc>
          <w:tcPr>
            <w:tcW w:w="1134" w:type="pct"/>
            <w:vAlign w:val="bottom"/>
          </w:tcPr>
          <w:p w14:paraId="57E03420" w14:textId="03A81668" w:rsidR="002A4CD3" w:rsidRPr="005D15DC" w:rsidRDefault="002A4CD3" w:rsidP="004E3AE3">
            <w:pPr>
              <w:pStyle w:val="TableText-cent"/>
              <w:rPr>
                <w:color w:val="0000FF"/>
              </w:rPr>
            </w:pPr>
            <w:r>
              <w:rPr>
                <w:color w:val="0000FF"/>
              </w:rPr>
              <w:t>211 (17.4</w:t>
            </w:r>
            <w:r w:rsidR="00DC564C">
              <w:rPr>
                <w:color w:val="0000FF"/>
              </w:rPr>
              <w:t>%</w:t>
            </w:r>
            <w:r>
              <w:rPr>
                <w:color w:val="0000FF"/>
              </w:rPr>
              <w:t>)</w:t>
            </w:r>
          </w:p>
        </w:tc>
        <w:tc>
          <w:tcPr>
            <w:tcW w:w="982" w:type="pct"/>
            <w:vAlign w:val="bottom"/>
          </w:tcPr>
          <w:p w14:paraId="4F3C9EAB" w14:textId="76ADA03E" w:rsidR="002A4CD3" w:rsidRPr="005D15DC" w:rsidRDefault="002A4CD3" w:rsidP="004E3AE3">
            <w:pPr>
              <w:pStyle w:val="TableText-cent"/>
              <w:rPr>
                <w:color w:val="0000FF"/>
              </w:rPr>
            </w:pPr>
            <w:r>
              <w:rPr>
                <w:color w:val="0000FF"/>
              </w:rPr>
              <w:t>666 (55.0</w:t>
            </w:r>
            <w:r w:rsidR="00DC564C">
              <w:rPr>
                <w:color w:val="0000FF"/>
              </w:rPr>
              <w:t>%</w:t>
            </w:r>
            <w:r>
              <w:rPr>
                <w:color w:val="0000FF"/>
              </w:rPr>
              <w:t>)</w:t>
            </w:r>
          </w:p>
        </w:tc>
      </w:tr>
      <w:tr w:rsidR="002A4CD3" w:rsidRPr="005D15DC" w14:paraId="4D275668" w14:textId="77777777" w:rsidTr="00140126">
        <w:trPr>
          <w:trHeight w:val="20"/>
        </w:trPr>
        <w:tc>
          <w:tcPr>
            <w:tcW w:w="1346" w:type="pct"/>
          </w:tcPr>
          <w:p w14:paraId="0879655E" w14:textId="77777777" w:rsidR="002A4CD3" w:rsidRPr="005D15DC" w:rsidRDefault="002A4CD3" w:rsidP="004E3AE3">
            <w:pPr>
              <w:pStyle w:val="TableText"/>
              <w:rPr>
                <w:color w:val="0000FF"/>
              </w:rPr>
            </w:pPr>
            <w:r w:rsidRPr="005D15DC">
              <w:rPr>
                <w:color w:val="0000FF"/>
              </w:rPr>
              <w:t>8</w:t>
            </w:r>
            <w:r w:rsidRPr="005D15DC">
              <w:rPr>
                <w:color w:val="0000FF"/>
                <w:vertAlign w:val="superscript"/>
              </w:rPr>
              <w:t>th</w:t>
            </w:r>
            <w:r w:rsidRPr="005D15DC">
              <w:rPr>
                <w:color w:val="0000FF"/>
              </w:rPr>
              <w:t xml:space="preserve"> Decile (</w:t>
            </w:r>
            <w:r>
              <w:rPr>
                <w:i/>
                <w:iCs/>
                <w:color w:val="0000FF"/>
              </w:rPr>
              <w:t>n</w:t>
            </w:r>
            <w:r>
              <w:rPr>
                <w:color w:val="0000FF"/>
              </w:rPr>
              <w:t xml:space="preserve"> = 108 to 139</w:t>
            </w:r>
            <w:r w:rsidRPr="005D15DC">
              <w:rPr>
                <w:color w:val="0000FF"/>
              </w:rPr>
              <w:t>)</w:t>
            </w:r>
          </w:p>
        </w:tc>
        <w:tc>
          <w:tcPr>
            <w:tcW w:w="468" w:type="pct"/>
            <w:vAlign w:val="bottom"/>
          </w:tcPr>
          <w:p w14:paraId="34328C4F" w14:textId="77777777" w:rsidR="002A4CD3" w:rsidRPr="005D15DC" w:rsidRDefault="002A4CD3" w:rsidP="004E3AE3">
            <w:pPr>
              <w:pStyle w:val="TableText-cent"/>
              <w:rPr>
                <w:color w:val="0000FF"/>
              </w:rPr>
            </w:pPr>
            <w:r>
              <w:rPr>
                <w:color w:val="0000FF"/>
              </w:rPr>
              <w:t>1,146</w:t>
            </w:r>
          </w:p>
        </w:tc>
        <w:tc>
          <w:tcPr>
            <w:tcW w:w="1071" w:type="pct"/>
            <w:vAlign w:val="bottom"/>
          </w:tcPr>
          <w:p w14:paraId="123D7F47" w14:textId="27415D21" w:rsidR="002A4CD3" w:rsidRPr="005D15DC" w:rsidRDefault="002A4CD3" w:rsidP="004E3AE3">
            <w:pPr>
              <w:pStyle w:val="TableText-cent"/>
              <w:rPr>
                <w:color w:val="0000FF"/>
              </w:rPr>
            </w:pPr>
            <w:r>
              <w:rPr>
                <w:color w:val="0000FF"/>
              </w:rPr>
              <w:t>479 (41.8</w:t>
            </w:r>
            <w:r w:rsidR="001636B7">
              <w:rPr>
                <w:color w:val="0000FF"/>
              </w:rPr>
              <w:t>%</w:t>
            </w:r>
            <w:r>
              <w:rPr>
                <w:color w:val="0000FF"/>
              </w:rPr>
              <w:t>)</w:t>
            </w:r>
          </w:p>
        </w:tc>
        <w:tc>
          <w:tcPr>
            <w:tcW w:w="1134" w:type="pct"/>
            <w:vAlign w:val="bottom"/>
          </w:tcPr>
          <w:p w14:paraId="5C4892B2" w14:textId="531E37EB" w:rsidR="002A4CD3" w:rsidRPr="005D15DC" w:rsidRDefault="002A4CD3" w:rsidP="004E3AE3">
            <w:pPr>
              <w:pStyle w:val="TableText-cent"/>
              <w:rPr>
                <w:color w:val="0000FF"/>
              </w:rPr>
            </w:pPr>
            <w:r>
              <w:rPr>
                <w:color w:val="0000FF"/>
              </w:rPr>
              <w:t>214 (18.7</w:t>
            </w:r>
            <w:r w:rsidR="00DC564C">
              <w:rPr>
                <w:color w:val="0000FF"/>
              </w:rPr>
              <w:t>%</w:t>
            </w:r>
            <w:r>
              <w:rPr>
                <w:color w:val="0000FF"/>
              </w:rPr>
              <w:t>)</w:t>
            </w:r>
          </w:p>
        </w:tc>
        <w:tc>
          <w:tcPr>
            <w:tcW w:w="982" w:type="pct"/>
            <w:vAlign w:val="bottom"/>
          </w:tcPr>
          <w:p w14:paraId="67309093" w14:textId="3B350E31" w:rsidR="002A4CD3" w:rsidRPr="005D15DC" w:rsidRDefault="002A4CD3" w:rsidP="004E3AE3">
            <w:pPr>
              <w:pStyle w:val="TableText-cent"/>
              <w:rPr>
                <w:color w:val="0000FF"/>
              </w:rPr>
            </w:pPr>
            <w:r>
              <w:rPr>
                <w:color w:val="0000FF"/>
              </w:rPr>
              <w:t>693 (60.5</w:t>
            </w:r>
            <w:r w:rsidR="00DC564C">
              <w:rPr>
                <w:color w:val="0000FF"/>
              </w:rPr>
              <w:t>%</w:t>
            </w:r>
            <w:r>
              <w:rPr>
                <w:color w:val="0000FF"/>
              </w:rPr>
              <w:t>)</w:t>
            </w:r>
          </w:p>
        </w:tc>
      </w:tr>
      <w:tr w:rsidR="002A4CD3" w:rsidRPr="005D15DC" w14:paraId="73A63E00" w14:textId="77777777" w:rsidTr="00140126">
        <w:trPr>
          <w:trHeight w:val="20"/>
        </w:trPr>
        <w:tc>
          <w:tcPr>
            <w:tcW w:w="1346" w:type="pct"/>
          </w:tcPr>
          <w:p w14:paraId="792AA90C" w14:textId="77777777" w:rsidR="002A4CD3" w:rsidRPr="005D15DC" w:rsidRDefault="002A4CD3" w:rsidP="004E3AE3">
            <w:pPr>
              <w:pStyle w:val="TableText"/>
              <w:rPr>
                <w:color w:val="0000FF"/>
              </w:rPr>
            </w:pPr>
            <w:r w:rsidRPr="005D15DC">
              <w:rPr>
                <w:color w:val="0000FF"/>
              </w:rPr>
              <w:t>9</w:t>
            </w:r>
            <w:r w:rsidRPr="005D15DC">
              <w:rPr>
                <w:color w:val="0000FF"/>
                <w:vertAlign w:val="superscript"/>
              </w:rPr>
              <w:t>th</w:t>
            </w:r>
            <w:r w:rsidRPr="005D15DC">
              <w:rPr>
                <w:color w:val="0000FF"/>
              </w:rPr>
              <w:t xml:space="preserve"> Decile (</w:t>
            </w:r>
            <w:r>
              <w:rPr>
                <w:i/>
                <w:iCs/>
                <w:color w:val="0000FF"/>
              </w:rPr>
              <w:t>n</w:t>
            </w:r>
            <w:r>
              <w:rPr>
                <w:color w:val="0000FF"/>
              </w:rPr>
              <w:t xml:space="preserve"> = 140 to 198</w:t>
            </w:r>
            <w:r w:rsidRPr="005D15DC">
              <w:rPr>
                <w:color w:val="0000FF"/>
              </w:rPr>
              <w:t>)</w:t>
            </w:r>
          </w:p>
        </w:tc>
        <w:tc>
          <w:tcPr>
            <w:tcW w:w="468" w:type="pct"/>
            <w:vAlign w:val="bottom"/>
          </w:tcPr>
          <w:p w14:paraId="74A42652" w14:textId="77777777" w:rsidR="002A4CD3" w:rsidRPr="005D15DC" w:rsidRDefault="002A4CD3" w:rsidP="004E3AE3">
            <w:pPr>
              <w:pStyle w:val="TableText-cent"/>
              <w:rPr>
                <w:color w:val="0000FF"/>
              </w:rPr>
            </w:pPr>
            <w:r>
              <w:rPr>
                <w:color w:val="0000FF"/>
              </w:rPr>
              <w:t>1,209</w:t>
            </w:r>
          </w:p>
        </w:tc>
        <w:tc>
          <w:tcPr>
            <w:tcW w:w="1071" w:type="pct"/>
            <w:vAlign w:val="bottom"/>
          </w:tcPr>
          <w:p w14:paraId="585F0675" w14:textId="47C46AB2" w:rsidR="002A4CD3" w:rsidRPr="005D15DC" w:rsidRDefault="002A4CD3" w:rsidP="004E3AE3">
            <w:pPr>
              <w:pStyle w:val="TableText-cent"/>
              <w:rPr>
                <w:color w:val="0000FF"/>
              </w:rPr>
            </w:pPr>
            <w:r>
              <w:rPr>
                <w:color w:val="0000FF"/>
              </w:rPr>
              <w:t>539 (44.6</w:t>
            </w:r>
            <w:r w:rsidR="001636B7">
              <w:rPr>
                <w:color w:val="0000FF"/>
              </w:rPr>
              <w:t>%</w:t>
            </w:r>
            <w:r>
              <w:rPr>
                <w:color w:val="0000FF"/>
              </w:rPr>
              <w:t>)</w:t>
            </w:r>
          </w:p>
        </w:tc>
        <w:tc>
          <w:tcPr>
            <w:tcW w:w="1134" w:type="pct"/>
            <w:vAlign w:val="bottom"/>
          </w:tcPr>
          <w:p w14:paraId="50879B48" w14:textId="7C781652" w:rsidR="002A4CD3" w:rsidRPr="005D15DC" w:rsidRDefault="002A4CD3" w:rsidP="004E3AE3">
            <w:pPr>
              <w:pStyle w:val="TableText-cent"/>
              <w:rPr>
                <w:color w:val="0000FF"/>
              </w:rPr>
            </w:pPr>
            <w:r>
              <w:rPr>
                <w:color w:val="0000FF"/>
              </w:rPr>
              <w:t>290 (24.0</w:t>
            </w:r>
            <w:r w:rsidR="00DC564C">
              <w:rPr>
                <w:color w:val="0000FF"/>
              </w:rPr>
              <w:t>%</w:t>
            </w:r>
            <w:r>
              <w:rPr>
                <w:color w:val="0000FF"/>
              </w:rPr>
              <w:t>)</w:t>
            </w:r>
          </w:p>
        </w:tc>
        <w:tc>
          <w:tcPr>
            <w:tcW w:w="982" w:type="pct"/>
            <w:vAlign w:val="bottom"/>
          </w:tcPr>
          <w:p w14:paraId="7D5CFEC1" w14:textId="440A5496" w:rsidR="002A4CD3" w:rsidRPr="005D15DC" w:rsidRDefault="002A4CD3" w:rsidP="004E3AE3">
            <w:pPr>
              <w:pStyle w:val="TableText-cent"/>
              <w:rPr>
                <w:color w:val="0000FF"/>
              </w:rPr>
            </w:pPr>
            <w:r>
              <w:rPr>
                <w:color w:val="0000FF"/>
              </w:rPr>
              <w:t>829 (68.6</w:t>
            </w:r>
            <w:r w:rsidR="00DC564C">
              <w:rPr>
                <w:color w:val="0000FF"/>
              </w:rPr>
              <w:t>%</w:t>
            </w:r>
            <w:r>
              <w:rPr>
                <w:color w:val="0000FF"/>
              </w:rPr>
              <w:t>)</w:t>
            </w:r>
          </w:p>
        </w:tc>
      </w:tr>
      <w:tr w:rsidR="002A4CD3" w:rsidRPr="005D15DC" w14:paraId="7FB0F486" w14:textId="77777777" w:rsidTr="00140126">
        <w:trPr>
          <w:trHeight w:val="20"/>
        </w:trPr>
        <w:tc>
          <w:tcPr>
            <w:tcW w:w="1346" w:type="pct"/>
          </w:tcPr>
          <w:p w14:paraId="4BA58AFF" w14:textId="77777777" w:rsidR="002A4CD3" w:rsidRPr="005D15DC" w:rsidRDefault="002A4CD3" w:rsidP="004E3AE3">
            <w:pPr>
              <w:pStyle w:val="TableText"/>
              <w:rPr>
                <w:color w:val="0000FF"/>
              </w:rPr>
            </w:pPr>
            <w:r w:rsidRPr="005D15DC">
              <w:rPr>
                <w:color w:val="0000FF"/>
              </w:rPr>
              <w:t>10</w:t>
            </w:r>
            <w:r w:rsidRPr="005D15DC">
              <w:rPr>
                <w:color w:val="0000FF"/>
                <w:vertAlign w:val="superscript"/>
              </w:rPr>
              <w:t>th</w:t>
            </w:r>
            <w:r w:rsidRPr="005D15DC">
              <w:rPr>
                <w:color w:val="0000FF"/>
              </w:rPr>
              <w:t xml:space="preserve"> Decile (</w:t>
            </w:r>
            <w:r>
              <w:rPr>
                <w:i/>
                <w:iCs/>
                <w:color w:val="0000FF"/>
              </w:rPr>
              <w:t>n</w:t>
            </w:r>
            <w:r>
              <w:rPr>
                <w:color w:val="0000FF"/>
              </w:rPr>
              <w:t xml:space="preserve"> = 198 to 1,269</w:t>
            </w:r>
            <w:r w:rsidRPr="005D15DC">
              <w:rPr>
                <w:color w:val="0000FF"/>
              </w:rPr>
              <w:t>)</w:t>
            </w:r>
          </w:p>
        </w:tc>
        <w:tc>
          <w:tcPr>
            <w:tcW w:w="468" w:type="pct"/>
            <w:vAlign w:val="bottom"/>
          </w:tcPr>
          <w:p w14:paraId="28D2425D" w14:textId="77777777" w:rsidR="002A4CD3" w:rsidRPr="005D15DC" w:rsidRDefault="002A4CD3" w:rsidP="004E3AE3">
            <w:pPr>
              <w:pStyle w:val="TableText-cent"/>
              <w:rPr>
                <w:color w:val="0000FF"/>
              </w:rPr>
            </w:pPr>
            <w:r>
              <w:rPr>
                <w:color w:val="0000FF"/>
              </w:rPr>
              <w:t>1,180</w:t>
            </w:r>
          </w:p>
        </w:tc>
        <w:tc>
          <w:tcPr>
            <w:tcW w:w="1071" w:type="pct"/>
            <w:vAlign w:val="bottom"/>
          </w:tcPr>
          <w:p w14:paraId="2548A894" w14:textId="584E3A47" w:rsidR="002A4CD3" w:rsidRPr="005D15DC" w:rsidRDefault="002A4CD3" w:rsidP="004E3AE3">
            <w:pPr>
              <w:pStyle w:val="TableText-cent"/>
              <w:rPr>
                <w:color w:val="0000FF"/>
              </w:rPr>
            </w:pPr>
            <w:r>
              <w:rPr>
                <w:color w:val="0000FF"/>
              </w:rPr>
              <w:t>628 (53.2</w:t>
            </w:r>
            <w:r w:rsidR="001636B7">
              <w:rPr>
                <w:color w:val="0000FF"/>
              </w:rPr>
              <w:t>%</w:t>
            </w:r>
            <w:r>
              <w:rPr>
                <w:color w:val="0000FF"/>
              </w:rPr>
              <w:t>)</w:t>
            </w:r>
          </w:p>
        </w:tc>
        <w:tc>
          <w:tcPr>
            <w:tcW w:w="1134" w:type="pct"/>
            <w:vAlign w:val="bottom"/>
          </w:tcPr>
          <w:p w14:paraId="6F77F17B" w14:textId="50FE8121" w:rsidR="002A4CD3" w:rsidRPr="005D15DC" w:rsidRDefault="002A4CD3" w:rsidP="004E3AE3">
            <w:pPr>
              <w:pStyle w:val="TableText-cent"/>
              <w:rPr>
                <w:color w:val="0000FF"/>
              </w:rPr>
            </w:pPr>
            <w:r>
              <w:rPr>
                <w:color w:val="0000FF"/>
              </w:rPr>
              <w:t>313 (26.5</w:t>
            </w:r>
            <w:r w:rsidR="00DC564C">
              <w:rPr>
                <w:color w:val="0000FF"/>
              </w:rPr>
              <w:t>%</w:t>
            </w:r>
            <w:r>
              <w:rPr>
                <w:color w:val="0000FF"/>
              </w:rPr>
              <w:t>)</w:t>
            </w:r>
          </w:p>
        </w:tc>
        <w:tc>
          <w:tcPr>
            <w:tcW w:w="982" w:type="pct"/>
            <w:vAlign w:val="bottom"/>
          </w:tcPr>
          <w:p w14:paraId="6777F2F8" w14:textId="540CBC4C" w:rsidR="002A4CD3" w:rsidRPr="005D15DC" w:rsidRDefault="002A4CD3" w:rsidP="004E3AE3">
            <w:pPr>
              <w:pStyle w:val="TableText-cent"/>
              <w:rPr>
                <w:color w:val="0000FF"/>
              </w:rPr>
            </w:pPr>
            <w:r>
              <w:rPr>
                <w:color w:val="0000FF"/>
              </w:rPr>
              <w:t>941 (79.7</w:t>
            </w:r>
            <w:r w:rsidR="00DC564C">
              <w:rPr>
                <w:color w:val="0000FF"/>
              </w:rPr>
              <w:t>%</w:t>
            </w:r>
            <w:r>
              <w:rPr>
                <w:color w:val="0000FF"/>
              </w:rPr>
              <w:t>)</w:t>
            </w:r>
          </w:p>
        </w:tc>
      </w:tr>
      <w:tr w:rsidR="002A4CD3" w:rsidRPr="005D15DC" w14:paraId="52FB3C61" w14:textId="77777777" w:rsidTr="00140126">
        <w:trPr>
          <w:cnfStyle w:val="010000000000" w:firstRow="0" w:lastRow="1" w:firstColumn="0" w:lastColumn="0" w:oddVBand="0" w:evenVBand="0" w:oddHBand="0" w:evenHBand="0" w:firstRowFirstColumn="0" w:firstRowLastColumn="0" w:lastRowFirstColumn="0" w:lastRowLastColumn="0"/>
          <w:trHeight w:val="20"/>
        </w:trPr>
        <w:tc>
          <w:tcPr>
            <w:tcW w:w="1346" w:type="pct"/>
          </w:tcPr>
          <w:p w14:paraId="42A1B01E" w14:textId="77777777" w:rsidR="002A4CD3" w:rsidRPr="005D15DC" w:rsidRDefault="002A4CD3" w:rsidP="004E3AE3">
            <w:pPr>
              <w:pStyle w:val="TableText"/>
              <w:rPr>
                <w:color w:val="0000FF"/>
              </w:rPr>
            </w:pPr>
            <w:r w:rsidRPr="005D15DC">
              <w:rPr>
                <w:color w:val="0000FF"/>
              </w:rPr>
              <w:t>Total</w:t>
            </w:r>
          </w:p>
        </w:tc>
        <w:tc>
          <w:tcPr>
            <w:tcW w:w="468" w:type="pct"/>
            <w:vAlign w:val="bottom"/>
          </w:tcPr>
          <w:p w14:paraId="4FEE370E" w14:textId="77777777" w:rsidR="002A4CD3" w:rsidRPr="005D15DC" w:rsidRDefault="002A4CD3" w:rsidP="004E3AE3">
            <w:pPr>
              <w:pStyle w:val="TableText-cent"/>
              <w:rPr>
                <w:color w:val="0000FF"/>
              </w:rPr>
            </w:pPr>
            <w:r>
              <w:rPr>
                <w:color w:val="0000FF"/>
              </w:rPr>
              <w:t>11,945</w:t>
            </w:r>
          </w:p>
        </w:tc>
        <w:tc>
          <w:tcPr>
            <w:tcW w:w="1071" w:type="pct"/>
            <w:vAlign w:val="bottom"/>
          </w:tcPr>
          <w:p w14:paraId="00C2EADB" w14:textId="1B3F2642" w:rsidR="002A4CD3" w:rsidRPr="005D15DC" w:rsidRDefault="002A4CD3" w:rsidP="004E3AE3">
            <w:pPr>
              <w:pStyle w:val="TableText-cent"/>
              <w:rPr>
                <w:color w:val="0000FF"/>
              </w:rPr>
            </w:pPr>
            <w:r>
              <w:rPr>
                <w:color w:val="0000FF"/>
              </w:rPr>
              <w:t>4,234 (35.4</w:t>
            </w:r>
            <w:r w:rsidR="001636B7">
              <w:rPr>
                <w:color w:val="0000FF"/>
              </w:rPr>
              <w:t>%</w:t>
            </w:r>
            <w:r>
              <w:rPr>
                <w:color w:val="0000FF"/>
              </w:rPr>
              <w:t>)</w:t>
            </w:r>
          </w:p>
        </w:tc>
        <w:tc>
          <w:tcPr>
            <w:tcW w:w="1134" w:type="pct"/>
            <w:vAlign w:val="bottom"/>
          </w:tcPr>
          <w:p w14:paraId="50B89412" w14:textId="012465D2" w:rsidR="002A4CD3" w:rsidRPr="005D15DC" w:rsidRDefault="002A4CD3" w:rsidP="004E3AE3">
            <w:pPr>
              <w:pStyle w:val="TableText-cent"/>
              <w:rPr>
                <w:color w:val="0000FF"/>
              </w:rPr>
            </w:pPr>
            <w:r>
              <w:rPr>
                <w:color w:val="0000FF"/>
              </w:rPr>
              <w:t>1,949 (16.3</w:t>
            </w:r>
            <w:r w:rsidR="00DC564C">
              <w:rPr>
                <w:color w:val="0000FF"/>
              </w:rPr>
              <w:t>%</w:t>
            </w:r>
            <w:r>
              <w:rPr>
                <w:color w:val="0000FF"/>
              </w:rPr>
              <w:t>)</w:t>
            </w:r>
          </w:p>
        </w:tc>
        <w:tc>
          <w:tcPr>
            <w:tcW w:w="982" w:type="pct"/>
            <w:vAlign w:val="bottom"/>
          </w:tcPr>
          <w:p w14:paraId="54155F70" w14:textId="154459F2" w:rsidR="002A4CD3" w:rsidRPr="005D15DC" w:rsidRDefault="002A4CD3" w:rsidP="004E3AE3">
            <w:pPr>
              <w:pStyle w:val="TableText-cent"/>
              <w:rPr>
                <w:color w:val="0000FF"/>
              </w:rPr>
            </w:pPr>
            <w:r>
              <w:rPr>
                <w:color w:val="0000FF"/>
              </w:rPr>
              <w:t>6,183 (51.8</w:t>
            </w:r>
            <w:r w:rsidR="00DC564C">
              <w:rPr>
                <w:color w:val="0000FF"/>
              </w:rPr>
              <w:t>%</w:t>
            </w:r>
            <w:r>
              <w:rPr>
                <w:color w:val="0000FF"/>
              </w:rPr>
              <w:t>)</w:t>
            </w:r>
          </w:p>
        </w:tc>
      </w:tr>
    </w:tbl>
    <w:p w14:paraId="56D3861E" w14:textId="77777777" w:rsidR="002A4CD3" w:rsidRDefault="002A4CD3" w:rsidP="002A4CD3">
      <w:pPr>
        <w:pStyle w:val="Response"/>
        <w:rPr>
          <w:sz w:val="20"/>
          <w:szCs w:val="20"/>
        </w:rPr>
      </w:pPr>
      <w:r>
        <w:rPr>
          <w:sz w:val="20"/>
          <w:szCs w:val="20"/>
        </w:rPr>
        <w:t xml:space="preserve">NOTE: </w:t>
      </w:r>
      <w:r w:rsidRPr="00E81353">
        <w:rPr>
          <w:i/>
          <w:iCs/>
          <w:sz w:val="20"/>
          <w:szCs w:val="20"/>
        </w:rPr>
        <w:t xml:space="preserve">k </w:t>
      </w:r>
      <w:r w:rsidRPr="00E81353">
        <w:rPr>
          <w:sz w:val="20"/>
          <w:szCs w:val="20"/>
        </w:rPr>
        <w:t>= number of facilities that meet minimum requirements for public re</w:t>
      </w:r>
      <w:r>
        <w:rPr>
          <w:sz w:val="20"/>
          <w:szCs w:val="20"/>
        </w:rPr>
        <w:t xml:space="preserve">porting this quality measure. </w:t>
      </w:r>
    </w:p>
    <w:p w14:paraId="0BCCFE59" w14:textId="77777777" w:rsidR="002A4CD3" w:rsidRPr="002A23FE" w:rsidRDefault="002A4CD3" w:rsidP="002A4CD3">
      <w:pPr>
        <w:pStyle w:val="Response"/>
        <w:rPr>
          <w:sz w:val="20"/>
          <w:szCs w:val="20"/>
          <w:highlight w:val="yellow"/>
        </w:rPr>
      </w:pPr>
      <w:r w:rsidRPr="002A23FE">
        <w:rPr>
          <w:sz w:val="20"/>
          <w:szCs w:val="20"/>
        </w:rPr>
        <w:t>Analysis date: 11/15/2017</w:t>
      </w:r>
    </w:p>
    <w:p w14:paraId="524660D1" w14:textId="19177E30" w:rsidR="002A4CD3" w:rsidRDefault="002A4CD3" w:rsidP="002A4CD3">
      <w:pPr>
        <w:autoSpaceDE w:val="0"/>
        <w:autoSpaceDN w:val="0"/>
        <w:adjustRightInd w:val="0"/>
        <w:spacing w:after="0" w:line="240" w:lineRule="auto"/>
        <w:rPr>
          <w:rFonts w:cstheme="minorHAnsi"/>
          <w:bCs/>
          <w:color w:val="0000FF"/>
          <w:sz w:val="20"/>
          <w:szCs w:val="20"/>
        </w:rPr>
      </w:pPr>
      <w:r w:rsidRPr="002A23FE">
        <w:rPr>
          <w:rFonts w:cstheme="minorHAnsi"/>
          <w:bCs/>
          <w:color w:val="0000FF"/>
          <w:sz w:val="20"/>
          <w:szCs w:val="20"/>
        </w:rPr>
        <w:t>SOURCE: RTI analysis of Q2 2017 MDS 3.0 data (programming referen</w:t>
      </w:r>
      <w:r>
        <w:rPr>
          <w:rFonts w:cstheme="minorHAnsi"/>
          <w:bCs/>
          <w:color w:val="0000FF"/>
          <w:sz w:val="20"/>
          <w:szCs w:val="20"/>
        </w:rPr>
        <w:t>ce: rn01\db364_request_q2627_676</w:t>
      </w:r>
      <w:r w:rsidRPr="002A23FE">
        <w:rPr>
          <w:rFonts w:cstheme="minorHAnsi"/>
          <w:bCs/>
          <w:color w:val="0000FF"/>
          <w:sz w:val="20"/>
          <w:szCs w:val="20"/>
        </w:rPr>
        <w:t>.log)</w:t>
      </w:r>
    </w:p>
    <w:p w14:paraId="0CABD00A" w14:textId="3200B86C" w:rsidR="00D61410" w:rsidRDefault="00D61410" w:rsidP="00D61410">
      <w:pPr>
        <w:autoSpaceDE w:val="0"/>
        <w:autoSpaceDN w:val="0"/>
        <w:adjustRightInd w:val="0"/>
        <w:spacing w:after="0" w:line="240" w:lineRule="auto"/>
        <w:rPr>
          <w:rFonts w:cstheme="minorHAnsi"/>
          <w:bCs/>
        </w:rPr>
      </w:pPr>
    </w:p>
    <w:p w14:paraId="0CABD00B" w14:textId="77777777" w:rsidR="00D61410" w:rsidRPr="00927027" w:rsidRDefault="00D61410" w:rsidP="00D61410">
      <w:pPr>
        <w:autoSpaceDE w:val="0"/>
        <w:autoSpaceDN w:val="0"/>
        <w:adjustRightInd w:val="0"/>
        <w:spacing w:after="0" w:line="240" w:lineRule="auto"/>
        <w:rPr>
          <w:rFonts w:cstheme="minorHAnsi"/>
          <w:bCs/>
        </w:rPr>
      </w:pPr>
    </w:p>
    <w:p w14:paraId="0CABD00C" w14:textId="70A12E74" w:rsidR="00D61410"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p>
    <w:p w14:paraId="4EED90D3" w14:textId="50F2DAD5" w:rsidR="00AB3B72" w:rsidRPr="00AB3B72" w:rsidRDefault="00AB3B72" w:rsidP="00E61608">
      <w:pPr>
        <w:pStyle w:val="Response"/>
      </w:pPr>
      <w:r>
        <w:t xml:space="preserve">These analyses show that the </w:t>
      </w:r>
      <w:r w:rsidR="00DC564C">
        <w:t>quality measure</w:t>
      </w:r>
      <w:r>
        <w:t xml:space="preserve"> score varies enough to make meaningful distinctions between high- and low-quality facilities.</w:t>
      </w:r>
      <w:r w:rsidRPr="00762C22">
        <w:t xml:space="preserve"> </w:t>
      </w:r>
      <w:r w:rsidR="00CA3949">
        <w:t>Moreover, the quality measure</w:t>
      </w:r>
      <w:r>
        <w:t xml:space="preserve"> scores vary enough from the national mean that there are meaningful differences in facility-level scores for this measure.</w:t>
      </w: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0CABD00E" w14:textId="1C19894E"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0CABD00F"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0CABD010" w14:textId="77777777" w:rsidR="00567D12" w:rsidRPr="00A25024" w:rsidRDefault="00567D12" w:rsidP="00DB3627">
      <w:pPr>
        <w:autoSpaceDE w:val="0"/>
        <w:autoSpaceDN w:val="0"/>
        <w:adjustRightInd w:val="0"/>
        <w:spacing w:after="0" w:line="240" w:lineRule="auto"/>
        <w:rPr>
          <w:rFonts w:cstheme="minorHAnsi"/>
          <w:b/>
          <w:bCs/>
        </w:rPr>
      </w:pPr>
    </w:p>
    <w:p w14:paraId="0CABD011" w14:textId="52777D4F"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Pr>
          <w:rFonts w:ascii="Calibri-Italic" w:eastAsiaTheme="minorHAnsi" w:hAnsi="Calibri-Italic" w:cs="Calibri-Italic"/>
          <w:i/>
          <w:iCs/>
        </w:rPr>
        <w:t>eMeasures</w:t>
      </w:r>
      <w:proofErr w:type="spellEnd"/>
      <w:r w:rsidR="00F1412B">
        <w:rPr>
          <w:rFonts w:ascii="Calibri-Italic" w:eastAsiaTheme="minorHAnsi" w:hAnsi="Calibri-Italic"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CABD012" w14:textId="77777777" w:rsidR="000F06B5" w:rsidRPr="00A25024" w:rsidRDefault="000F06B5" w:rsidP="00DB3627">
      <w:pPr>
        <w:autoSpaceDE w:val="0"/>
        <w:autoSpaceDN w:val="0"/>
        <w:adjustRightInd w:val="0"/>
        <w:spacing w:after="0" w:line="240" w:lineRule="auto"/>
        <w:rPr>
          <w:rFonts w:cstheme="minorHAnsi"/>
          <w:bCs/>
        </w:rPr>
      </w:pPr>
    </w:p>
    <w:p w14:paraId="0CABD013" w14:textId="5DA5E4E6" w:rsidR="000F06B5" w:rsidRPr="009D3882" w:rsidRDefault="009C7513" w:rsidP="00DB3627">
      <w:pPr>
        <w:autoSpaceDE w:val="0"/>
        <w:autoSpaceDN w:val="0"/>
        <w:adjustRightInd w:val="0"/>
        <w:spacing w:after="0" w:line="240" w:lineRule="auto"/>
        <w:rPr>
          <w:rFonts w:cstheme="minorHAnsi"/>
          <w:bCs/>
          <w:sz w:val="14"/>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5B3F71">
        <w:rPr>
          <w:rFonts w:cstheme="minorHAnsi"/>
          <w:bCs/>
        </w:rPr>
        <w:t>)</w:t>
      </w:r>
    </w:p>
    <w:p w14:paraId="7831B635" w14:textId="27F1501E" w:rsidR="00FC3EF6" w:rsidRPr="005B3F71" w:rsidRDefault="00FC3EF6" w:rsidP="005B3F71">
      <w:pPr>
        <w:pStyle w:val="Response"/>
      </w:pPr>
      <w:r>
        <w:t>Not applicable</w:t>
      </w:r>
    </w:p>
    <w:p w14:paraId="0CABD015" w14:textId="64EA8149" w:rsidR="00A35F8F" w:rsidRDefault="009C7513" w:rsidP="00E1508F">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p>
    <w:p w14:paraId="3A6D1DF5" w14:textId="6561045D" w:rsidR="00FC3EF6" w:rsidRPr="005B3F71" w:rsidRDefault="00FC3EF6" w:rsidP="005B3F71">
      <w:pPr>
        <w:pStyle w:val="Response"/>
      </w:pPr>
      <w:r>
        <w:t>Not applicable.</w:t>
      </w:r>
    </w:p>
    <w:p w14:paraId="0CABD017" w14:textId="38345373" w:rsidR="0079180E" w:rsidRDefault="009C7513" w:rsidP="00DB3627">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.3. </w:t>
      </w:r>
      <w:r w:rsidR="002B0C3A" w:rsidRPr="00A25024">
        <w:rPr>
          <w:rFonts w:cstheme="minorHAnsi"/>
          <w:b/>
          <w:bCs/>
        </w:rPr>
        <w:t xml:space="preserve">What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p>
    <w:p w14:paraId="0CABD018" w14:textId="6BCCDFDB" w:rsidR="008F7E67" w:rsidRPr="005B3F71" w:rsidRDefault="00FC3EF6" w:rsidP="005B3F71">
      <w:pPr>
        <w:pStyle w:val="Response"/>
      </w:pPr>
      <w:r>
        <w:t>Not applicable.</w:t>
      </w:r>
    </w:p>
    <w:p w14:paraId="13740009" w14:textId="77777777" w:rsidR="00474D6C" w:rsidRDefault="00474D6C" w:rsidP="00474D6C">
      <w:pPr>
        <w:spacing w:after="0" w:line="240" w:lineRule="auto"/>
        <w:rPr>
          <w:rFonts w:cstheme="minorHAnsi"/>
          <w:b/>
          <w:bCs/>
        </w:rPr>
      </w:pPr>
      <w:r>
        <w:rPr>
          <w:rFonts w:cstheme="minorHAnsi"/>
          <w:b/>
          <w:bCs/>
        </w:rPr>
        <w:t>_______________________________________</w:t>
      </w:r>
    </w:p>
    <w:p w14:paraId="64321300" w14:textId="77777777" w:rsidR="00474D6C" w:rsidRDefault="00474D6C" w:rsidP="00474D6C">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6</w:t>
      </w:r>
      <w:r w:rsidRPr="00A25024">
        <w:rPr>
          <w:rFonts w:cstheme="minorHAnsi"/>
          <w:b/>
          <w:bCs/>
        </w:rPr>
        <w:t xml:space="preserve">. </w:t>
      </w:r>
      <w:r>
        <w:rPr>
          <w:rFonts w:cstheme="minorHAnsi"/>
          <w:b/>
          <w:bCs/>
        </w:rPr>
        <w:t xml:space="preserve">MISSING DATA ANALYSIS AND MINIMIZING BIAS </w:t>
      </w:r>
    </w:p>
    <w:p w14:paraId="700FD242" w14:textId="77777777" w:rsidR="00474D6C" w:rsidRDefault="00474D6C" w:rsidP="00474D6C">
      <w:pPr>
        <w:autoSpaceDE w:val="0"/>
        <w:autoSpaceDN w:val="0"/>
        <w:adjustRightInd w:val="0"/>
        <w:spacing w:after="0" w:line="240" w:lineRule="auto"/>
        <w:rPr>
          <w:rFonts w:cstheme="minorHAnsi"/>
          <w:bCs/>
        </w:rPr>
      </w:pPr>
    </w:p>
    <w:p w14:paraId="2A021BAC" w14:textId="77777777" w:rsidR="00474D6C" w:rsidRDefault="00474D6C" w:rsidP="00474D6C">
      <w:pPr>
        <w:autoSpaceDE w:val="0"/>
        <w:autoSpaceDN w:val="0"/>
        <w:adjustRightInd w:val="0"/>
        <w:spacing w:after="0" w:line="240" w:lineRule="auto"/>
        <w:rPr>
          <w:rFonts w:cstheme="minorHAnsi"/>
          <w:bCs/>
        </w:rPr>
      </w:pPr>
      <w:r>
        <w:rPr>
          <w:rFonts w:cstheme="minorHAnsi"/>
          <w:b/>
          <w:bCs/>
        </w:rPr>
        <w:t xml:space="preserve">2b6.1.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Pr="008B604D">
        <w:rPr>
          <w:rFonts w:ascii="Calibri" w:eastAsia="Calibri" w:hAnsi="Calibri" w:cs="Calibri"/>
          <w:b/>
        </w:rPr>
        <w:t>identify the extent and distribution of missing data (or nonresponse) and demonstrate that performance results are not biased</w:t>
      </w:r>
      <w:r w:rsidRPr="006A028C">
        <w:rPr>
          <w:rFonts w:ascii="Calibri" w:eastAsia="Calibri" w:hAnsi="Calibri" w:cs="Calibri"/>
        </w:rPr>
        <w:t xml:space="preserve"> due to systematic missing data (or differences between responders and </w:t>
      </w:r>
      <w:proofErr w:type="spellStart"/>
      <w:r w:rsidRPr="006A028C">
        <w:rPr>
          <w:rFonts w:ascii="Calibri" w:eastAsia="Calibri" w:hAnsi="Calibri" w:cs="Calibri"/>
        </w:rPr>
        <w:t>nonresponders</w:t>
      </w:r>
      <w:proofErr w:type="spellEnd"/>
      <w:r w:rsidRPr="006A028C">
        <w:rPr>
          <w:rFonts w:ascii="Calibri" w:eastAsia="Calibri" w:hAnsi="Calibri" w:cs="Calibri"/>
        </w:rPr>
        <w:t>) and how the specified handling of missing data minimizes bias</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t xml:space="preserve"> </w:t>
      </w:r>
    </w:p>
    <w:p w14:paraId="2DEC6C54" w14:textId="77777777" w:rsidR="00474D6C" w:rsidRDefault="00474D6C" w:rsidP="00474D6C">
      <w:pPr>
        <w:pStyle w:val="Response"/>
      </w:pPr>
      <w:r>
        <w:t>RTI analyzed the effects of missing data on this measure in the following ways:</w:t>
      </w:r>
    </w:p>
    <w:p w14:paraId="620499FF" w14:textId="6326255F" w:rsidR="00474D6C" w:rsidRDefault="00474D6C" w:rsidP="00747647">
      <w:pPr>
        <w:pStyle w:val="Response"/>
        <w:numPr>
          <w:ilvl w:val="0"/>
          <w:numId w:val="12"/>
        </w:numPr>
      </w:pPr>
      <w:r>
        <w:t>We report summary statistics for the facility-level distribution of missing data rates for items use</w:t>
      </w:r>
      <w:r w:rsidR="00DC564C">
        <w:t>d in the calculation of the short</w:t>
      </w:r>
      <w:r>
        <w:t xml:space="preserve">-stay pain measure, both overall and stratified by quality measure score quartile.  </w:t>
      </w:r>
    </w:p>
    <w:p w14:paraId="6594B06A" w14:textId="77777777" w:rsidR="00474D6C" w:rsidRDefault="00474D6C" w:rsidP="00747647">
      <w:pPr>
        <w:pStyle w:val="Response"/>
        <w:numPr>
          <w:ilvl w:val="0"/>
          <w:numId w:val="12"/>
        </w:numPr>
      </w:pPr>
      <w:r>
        <w:t>We analyzed whether missing data on pain items varied systematically by several resident-level characteristics which are associated with self-reported pain.</w:t>
      </w:r>
    </w:p>
    <w:p w14:paraId="1440B81D" w14:textId="59613A19" w:rsidR="00474D6C" w:rsidRDefault="00474D6C" w:rsidP="00747647">
      <w:pPr>
        <w:pStyle w:val="Response"/>
        <w:numPr>
          <w:ilvl w:val="1"/>
          <w:numId w:val="12"/>
        </w:numPr>
      </w:pPr>
      <w:r>
        <w:t>Specifically, we examined if missing data on pain items J0300</w:t>
      </w:r>
      <w:r w:rsidR="00AE1098">
        <w:t xml:space="preserve"> (Pain Presence)</w:t>
      </w:r>
      <w:r>
        <w:t>, J0400</w:t>
      </w:r>
      <w:r w:rsidR="00AE1098">
        <w:t xml:space="preserve"> (Pain Frequency)</w:t>
      </w:r>
      <w:r>
        <w:t xml:space="preserve">, or J0600 (Pain Intensity) varied systematically on the following characteristics which our analyses show are related to self-reported pain: age greater than or equal to 85, gender, and a </w:t>
      </w:r>
      <w:r w:rsidR="00AE1098">
        <w:t xml:space="preserve">BIMS </w:t>
      </w:r>
      <w:r>
        <w:t xml:space="preserve">score </w:t>
      </w:r>
      <w:r w:rsidR="00AE1098">
        <w:t xml:space="preserve">of </w:t>
      </w:r>
      <w:r>
        <w:t>less than or equal to 12 (indicating cognitive impairment).</w:t>
      </w:r>
    </w:p>
    <w:p w14:paraId="11E3EFB4" w14:textId="77777777" w:rsidR="00474D6C" w:rsidRPr="00A25024" w:rsidRDefault="00474D6C" w:rsidP="00474D6C">
      <w:pPr>
        <w:autoSpaceDE w:val="0"/>
        <w:autoSpaceDN w:val="0"/>
        <w:adjustRightInd w:val="0"/>
        <w:spacing w:after="0" w:line="240" w:lineRule="auto"/>
        <w:rPr>
          <w:rFonts w:cstheme="minorHAnsi"/>
          <w:bCs/>
        </w:rPr>
      </w:pPr>
    </w:p>
    <w:p w14:paraId="706F8496" w14:textId="77777777" w:rsidR="00474D6C" w:rsidRPr="009D3882" w:rsidRDefault="00474D6C" w:rsidP="00474D6C">
      <w:pPr>
        <w:pStyle w:val="ListParagraph"/>
        <w:autoSpaceDE w:val="0"/>
        <w:autoSpaceDN w:val="0"/>
        <w:adjustRightInd w:val="0"/>
        <w:spacing w:after="0" w:line="240" w:lineRule="auto"/>
        <w:ind w:left="0"/>
        <w:rPr>
          <w:rFonts w:cstheme="minorHAnsi"/>
          <w:bCs/>
          <w:sz w:val="18"/>
        </w:rPr>
      </w:pPr>
    </w:p>
    <w:p w14:paraId="013E512D" w14:textId="77777777" w:rsidR="00474D6C" w:rsidRDefault="00474D6C" w:rsidP="00474D6C">
      <w:pPr>
        <w:autoSpaceDE w:val="0"/>
        <w:autoSpaceDN w:val="0"/>
        <w:adjustRightInd w:val="0"/>
        <w:spacing w:after="0" w:line="240" w:lineRule="auto"/>
        <w:rPr>
          <w:rFonts w:cstheme="minorHAnsi"/>
          <w:bCs/>
        </w:rPr>
      </w:pPr>
      <w:r>
        <w:rPr>
          <w:rFonts w:cstheme="minorHAnsi"/>
          <w:b/>
          <w:bCs/>
        </w:rPr>
        <w:t xml:space="preserve">2b6.2. </w:t>
      </w:r>
      <w:r w:rsidRPr="00FC5DE1">
        <w:rPr>
          <w:rFonts w:cstheme="minorHAnsi"/>
          <w:b/>
          <w:bCs/>
        </w:rPr>
        <w:t>What is the overall frequency of missing data</w:t>
      </w:r>
      <w:r>
        <w:rPr>
          <w:rFonts w:cstheme="minorHAnsi"/>
          <w:b/>
          <w:bCs/>
        </w:rPr>
        <w:t>,</w:t>
      </w:r>
      <w:r w:rsidRPr="00FC5DE1">
        <w:rPr>
          <w:rFonts w:cstheme="minorHAnsi"/>
          <w:b/>
          <w:bCs/>
        </w:rPr>
        <w:t xml:space="preserve"> the distribution of missing data across providers</w:t>
      </w:r>
      <w:r>
        <w:rPr>
          <w:rFonts w:cstheme="minorHAnsi"/>
          <w:b/>
          <w:bCs/>
        </w:rPr>
        <w:t>,</w:t>
      </w:r>
      <w:r w:rsidRPr="00A25024">
        <w:rPr>
          <w:rFonts w:cstheme="minorHAnsi"/>
          <w:b/>
          <w:bCs/>
        </w:rPr>
        <w:t xml:space="preserve"> </w:t>
      </w:r>
      <w:r>
        <w:rPr>
          <w:rFonts w:cstheme="minorHAnsi"/>
          <w:b/>
          <w:bCs/>
        </w:rPr>
        <w:t>and the</w:t>
      </w:r>
      <w:r w:rsidRPr="00A25024">
        <w:rPr>
          <w:rFonts w:cstheme="minorHAnsi"/>
          <w:b/>
          <w:bCs/>
        </w:rPr>
        <w:t xml:space="preserve"> results from testing </w:t>
      </w:r>
      <w:r>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Pr="008B604D">
        <w:rPr>
          <w:rFonts w:cstheme="minorHAnsi"/>
          <w:b/>
          <w:bCs/>
        </w:rPr>
        <w:t xml:space="preserve"> </w:t>
      </w:r>
      <w:r w:rsidRPr="00FC5DE1">
        <w:rPr>
          <w:rFonts w:cstheme="minorHAnsi"/>
          <w:bCs/>
          <w:i/>
        </w:rPr>
        <w:t xml:space="preserve">results of sensitivity analysis of </w:t>
      </w:r>
      <w:r>
        <w:rPr>
          <w:rFonts w:cstheme="minorHAnsi"/>
          <w:bCs/>
          <w:i/>
        </w:rPr>
        <w:t xml:space="preserve">the </w:t>
      </w:r>
      <w:r w:rsidRPr="00FC5DE1">
        <w:rPr>
          <w:rFonts w:cstheme="minorHAnsi"/>
          <w:bCs/>
          <w:i/>
        </w:rPr>
        <w:t>effect of various rules for missing data</w:t>
      </w:r>
      <w:r>
        <w:rPr>
          <w:rFonts w:cstheme="minorHAnsi"/>
          <w:bCs/>
          <w:i/>
        </w:rPr>
        <w:t>/nonresponse</w:t>
      </w:r>
      <w:r w:rsidRPr="00FC5DE1">
        <w:rPr>
          <w:rFonts w:cstheme="minorHAnsi"/>
          <w:bCs/>
          <w:i/>
        </w:rPr>
        <w:t xml:space="preserve">; </w:t>
      </w:r>
      <w:r w:rsidRPr="00FC5DE1">
        <w:rPr>
          <w:rFonts w:cstheme="minorHAnsi"/>
          <w:bCs/>
          <w:i/>
          <w:u w:val="single"/>
        </w:rPr>
        <w:t xml:space="preserve">if no empirical </w:t>
      </w:r>
      <w:r>
        <w:rPr>
          <w:rFonts w:cstheme="minorHAnsi"/>
          <w:bCs/>
          <w:i/>
          <w:u w:val="single"/>
        </w:rPr>
        <w:t xml:space="preserve">sensitivity </w:t>
      </w:r>
      <w:r w:rsidRPr="00FC5DE1">
        <w:rPr>
          <w:rFonts w:cstheme="minorHAnsi"/>
          <w:bCs/>
          <w:i/>
          <w:u w:val="single"/>
        </w:rPr>
        <w:t>analysis</w:t>
      </w:r>
      <w:r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p>
    <w:p w14:paraId="4EBCE75D" w14:textId="771F746E" w:rsidR="00474D6C" w:rsidRDefault="000C6E93" w:rsidP="00747647">
      <w:pPr>
        <w:pStyle w:val="Response"/>
        <w:numPr>
          <w:ilvl w:val="0"/>
          <w:numId w:val="13"/>
        </w:numPr>
        <w:rPr>
          <w:sz w:val="20"/>
          <w:szCs w:val="20"/>
        </w:rPr>
      </w:pPr>
      <w:r>
        <w:t>Among all short</w:t>
      </w:r>
      <w:r w:rsidR="00474D6C">
        <w:t xml:space="preserve">-stay residents in Quarter 2, </w:t>
      </w:r>
      <w:r w:rsidR="00474D6C" w:rsidRPr="00CA3949">
        <w:t xml:space="preserve">2017 </w:t>
      </w:r>
      <w:r w:rsidR="00581663" w:rsidRPr="00CA3949">
        <w:t>(</w:t>
      </w:r>
      <w:r w:rsidR="00581663" w:rsidRPr="00F14E72">
        <w:rPr>
          <w:i/>
        </w:rPr>
        <w:t>n</w:t>
      </w:r>
      <w:r w:rsidR="00581663" w:rsidRPr="00CA3949">
        <w:t>=</w:t>
      </w:r>
      <w:r w:rsidR="00CA3949" w:rsidRPr="00CA3949">
        <w:t>1,644,486</w:t>
      </w:r>
      <w:r w:rsidR="00581663" w:rsidRPr="00CA3949">
        <w:t>), 21.1</w:t>
      </w:r>
      <w:r w:rsidR="00474D6C" w:rsidRPr="00CA3949">
        <w:t>% (</w:t>
      </w:r>
      <w:r w:rsidR="00474D6C" w:rsidRPr="00F14E72">
        <w:rPr>
          <w:i/>
        </w:rPr>
        <w:t>n</w:t>
      </w:r>
      <w:r w:rsidR="00474D6C" w:rsidRPr="00CA3949">
        <w:t>=</w:t>
      </w:r>
      <w:r w:rsidR="00581663" w:rsidRPr="00CA3949">
        <w:t>347,376</w:t>
      </w:r>
      <w:r w:rsidR="00474D6C" w:rsidRPr="00CA3949">
        <w:t>) had missing data for at least one of the items necessary to calculate the pain measure.</w:t>
      </w:r>
      <w:r w:rsidR="00474D6C" w:rsidRPr="00CA3949">
        <w:rPr>
          <w:sz w:val="20"/>
          <w:szCs w:val="20"/>
        </w:rPr>
        <w:t xml:space="preserve"> </w:t>
      </w:r>
      <w:r w:rsidR="00474D6C" w:rsidRPr="00CA3949">
        <w:t xml:space="preserve">Similarly, the mean facility-level percentage of residents with missing data for any of the items necessary to calculate the pain measure </w:t>
      </w:r>
      <w:r w:rsidR="00CA3949" w:rsidRPr="00CA3949">
        <w:t>was 20.3</w:t>
      </w:r>
      <w:r w:rsidR="00474D6C" w:rsidRPr="00CA3949">
        <w:t>% (</w:t>
      </w:r>
      <w:r w:rsidR="00474D6C" w:rsidRPr="00CA3949">
        <w:rPr>
          <w:b/>
          <w:i/>
        </w:rPr>
        <w:t>Table 11</w:t>
      </w:r>
      <w:r w:rsidR="00474D6C" w:rsidRPr="00F14E72">
        <w:t>)</w:t>
      </w:r>
      <w:r w:rsidR="00474D6C" w:rsidRPr="00CA3949">
        <w:t>.</w:t>
      </w:r>
      <w:r w:rsidR="00474D6C">
        <w:t xml:space="preserve"> </w:t>
      </w:r>
    </w:p>
    <w:p w14:paraId="4004C795" w14:textId="77777777" w:rsidR="00474D6C" w:rsidRPr="007E7DB5" w:rsidRDefault="00474D6C" w:rsidP="00474D6C">
      <w:pPr>
        <w:pStyle w:val="Response"/>
        <w:ind w:left="720"/>
        <w:rPr>
          <w:b/>
        </w:rPr>
      </w:pPr>
      <w:r>
        <w:rPr>
          <w:b/>
          <w:i/>
          <w:iCs/>
        </w:rPr>
        <w:t>Table 11</w:t>
      </w:r>
      <w:r>
        <w:t xml:space="preserve"> shows facility-level summary statistics for the distribution of missing data rates for items used to calculate this measure, both overall and stratified by quartile of quality measure scores.      </w:t>
      </w:r>
    </w:p>
    <w:p w14:paraId="12697A8B" w14:textId="77777777" w:rsidR="00474D6C" w:rsidRPr="007E7DB5" w:rsidRDefault="00474D6C" w:rsidP="00474D6C">
      <w:pPr>
        <w:pStyle w:val="Response"/>
        <w:keepNext/>
        <w:jc w:val="center"/>
        <w:rPr>
          <w:b/>
        </w:rPr>
      </w:pPr>
      <w:r w:rsidRPr="007E7DB5">
        <w:rPr>
          <w:b/>
        </w:rPr>
        <w:t>Table 11: Distribution of Facility-Level Missing Rate by Measure Score Quartile, NQF #0676 Percent of Residents Who Self-Report Moderate to Severe Pain (Short Stay)</w:t>
      </w:r>
    </w:p>
    <w:tbl>
      <w:tblPr>
        <w:tblW w:w="5000" w:type="pct"/>
        <w:tblLook w:val="04A0" w:firstRow="1" w:lastRow="0" w:firstColumn="1" w:lastColumn="0" w:noHBand="0" w:noVBand="1"/>
      </w:tblPr>
      <w:tblGrid>
        <w:gridCol w:w="1551"/>
        <w:gridCol w:w="281"/>
        <w:gridCol w:w="867"/>
        <w:gridCol w:w="955"/>
        <w:gridCol w:w="949"/>
        <w:gridCol w:w="949"/>
        <w:gridCol w:w="951"/>
        <w:gridCol w:w="951"/>
        <w:gridCol w:w="955"/>
        <w:gridCol w:w="951"/>
      </w:tblGrid>
      <w:tr w:rsidR="00474D6C" w14:paraId="76EFCEE5" w14:textId="77777777" w:rsidTr="00F132B1">
        <w:trPr>
          <w:trHeight w:val="510"/>
        </w:trPr>
        <w:tc>
          <w:tcPr>
            <w:tcW w:w="829" w:type="pct"/>
            <w:tcBorders>
              <w:top w:val="single" w:sz="12" w:space="0" w:color="auto"/>
              <w:left w:val="nil"/>
              <w:bottom w:val="single" w:sz="8" w:space="0" w:color="auto"/>
              <w:right w:val="nil"/>
            </w:tcBorders>
            <w:vAlign w:val="center"/>
            <w:hideMark/>
          </w:tcPr>
          <w:p w14:paraId="738EF10C" w14:textId="77777777" w:rsidR="00474D6C" w:rsidRDefault="00474D6C" w:rsidP="00F132B1">
            <w:pPr>
              <w:spacing w:after="0" w:line="240" w:lineRule="auto"/>
              <w:jc w:val="center"/>
              <w:rPr>
                <w:rFonts w:ascii="Calibri" w:eastAsia="Times New Roman" w:hAnsi="Calibri" w:cs="Times New Roman"/>
                <w:b/>
                <w:bCs/>
                <w:color w:val="0000FF"/>
                <w:sz w:val="18"/>
                <w:szCs w:val="18"/>
              </w:rPr>
            </w:pPr>
            <w:r>
              <w:rPr>
                <w:rFonts w:ascii="Calibri" w:eastAsia="Times New Roman" w:hAnsi="Calibri" w:cs="Times New Roman"/>
                <w:b/>
                <w:bCs/>
                <w:color w:val="0000FF"/>
                <w:sz w:val="18"/>
                <w:szCs w:val="18"/>
              </w:rPr>
              <w:t>Quality Measure Score Quartile</w:t>
            </w:r>
          </w:p>
        </w:tc>
        <w:tc>
          <w:tcPr>
            <w:tcW w:w="613" w:type="pct"/>
            <w:gridSpan w:val="2"/>
            <w:tcBorders>
              <w:top w:val="single" w:sz="12" w:space="0" w:color="auto"/>
              <w:left w:val="nil"/>
              <w:bottom w:val="single" w:sz="8" w:space="0" w:color="auto"/>
              <w:right w:val="nil"/>
            </w:tcBorders>
            <w:vAlign w:val="center"/>
            <w:hideMark/>
          </w:tcPr>
          <w:p w14:paraId="4DC24F4C" w14:textId="77777777" w:rsidR="00474D6C" w:rsidRDefault="00474D6C" w:rsidP="00F132B1">
            <w:pPr>
              <w:spacing w:after="0" w:line="240" w:lineRule="auto"/>
              <w:jc w:val="center"/>
              <w:rPr>
                <w:rFonts w:ascii="Calibri" w:eastAsia="Times New Roman" w:hAnsi="Calibri" w:cs="Times New Roman"/>
                <w:b/>
                <w:bCs/>
                <w:iCs/>
                <w:color w:val="0000FF"/>
                <w:sz w:val="18"/>
                <w:szCs w:val="18"/>
              </w:rPr>
            </w:pPr>
            <w:r>
              <w:rPr>
                <w:rFonts w:ascii="Calibri" w:eastAsia="Times New Roman" w:hAnsi="Calibri" w:cs="Times New Roman"/>
                <w:b/>
                <w:bCs/>
                <w:iCs/>
                <w:color w:val="0000FF"/>
                <w:sz w:val="18"/>
                <w:szCs w:val="18"/>
              </w:rPr>
              <w:t>Facilities (k)</w:t>
            </w:r>
          </w:p>
        </w:tc>
        <w:tc>
          <w:tcPr>
            <w:tcW w:w="510" w:type="pct"/>
            <w:tcBorders>
              <w:top w:val="single" w:sz="12" w:space="0" w:color="auto"/>
              <w:left w:val="nil"/>
              <w:bottom w:val="single" w:sz="8" w:space="0" w:color="auto"/>
              <w:right w:val="nil"/>
            </w:tcBorders>
            <w:vAlign w:val="center"/>
            <w:hideMark/>
          </w:tcPr>
          <w:p w14:paraId="3268ECDA" w14:textId="77777777" w:rsidR="00474D6C" w:rsidRDefault="00474D6C" w:rsidP="00F132B1">
            <w:pPr>
              <w:spacing w:after="0" w:line="240" w:lineRule="auto"/>
              <w:jc w:val="center"/>
              <w:rPr>
                <w:rFonts w:ascii="Calibri" w:eastAsia="Times New Roman" w:hAnsi="Calibri" w:cs="Times New Roman"/>
                <w:b/>
                <w:bCs/>
                <w:color w:val="0000FF"/>
                <w:sz w:val="18"/>
                <w:szCs w:val="18"/>
              </w:rPr>
            </w:pPr>
            <w:r>
              <w:rPr>
                <w:rFonts w:ascii="Calibri" w:eastAsia="Times New Roman" w:hAnsi="Calibri" w:cs="Times New Roman"/>
                <w:b/>
                <w:bCs/>
                <w:color w:val="0000FF"/>
                <w:sz w:val="18"/>
                <w:szCs w:val="18"/>
              </w:rPr>
              <w:t xml:space="preserve">Mean </w:t>
            </w:r>
          </w:p>
        </w:tc>
        <w:tc>
          <w:tcPr>
            <w:tcW w:w="507" w:type="pct"/>
            <w:tcBorders>
              <w:top w:val="single" w:sz="12" w:space="0" w:color="auto"/>
              <w:left w:val="nil"/>
              <w:bottom w:val="single" w:sz="8" w:space="0" w:color="auto"/>
              <w:right w:val="nil"/>
            </w:tcBorders>
            <w:vAlign w:val="center"/>
            <w:hideMark/>
          </w:tcPr>
          <w:p w14:paraId="7E5343A7" w14:textId="77777777" w:rsidR="00474D6C" w:rsidRDefault="00474D6C" w:rsidP="00F132B1">
            <w:pPr>
              <w:spacing w:after="0" w:line="240" w:lineRule="auto"/>
              <w:jc w:val="center"/>
              <w:rPr>
                <w:rFonts w:ascii="Calibri" w:eastAsia="Times New Roman" w:hAnsi="Calibri" w:cs="Times New Roman"/>
                <w:b/>
                <w:bCs/>
                <w:color w:val="0000FF"/>
                <w:sz w:val="18"/>
                <w:szCs w:val="18"/>
              </w:rPr>
            </w:pPr>
            <w:proofErr w:type="spellStart"/>
            <w:r>
              <w:rPr>
                <w:rFonts w:ascii="Calibri" w:eastAsia="Times New Roman" w:hAnsi="Calibri" w:cs="Times New Roman"/>
                <w:b/>
                <w:bCs/>
                <w:color w:val="0000FF"/>
                <w:sz w:val="18"/>
                <w:szCs w:val="18"/>
              </w:rPr>
              <w:t>Std</w:t>
            </w:r>
            <w:proofErr w:type="spellEnd"/>
            <w:r>
              <w:rPr>
                <w:rFonts w:ascii="Calibri" w:eastAsia="Times New Roman" w:hAnsi="Calibri" w:cs="Times New Roman"/>
                <w:b/>
                <w:bCs/>
                <w:color w:val="0000FF"/>
                <w:sz w:val="18"/>
                <w:szCs w:val="18"/>
              </w:rPr>
              <w:t xml:space="preserve"> dev.</w:t>
            </w:r>
          </w:p>
        </w:tc>
        <w:tc>
          <w:tcPr>
            <w:tcW w:w="507" w:type="pct"/>
            <w:tcBorders>
              <w:top w:val="single" w:sz="12" w:space="0" w:color="auto"/>
              <w:left w:val="nil"/>
              <w:bottom w:val="single" w:sz="8" w:space="0" w:color="auto"/>
              <w:right w:val="nil"/>
            </w:tcBorders>
            <w:vAlign w:val="center"/>
            <w:hideMark/>
          </w:tcPr>
          <w:p w14:paraId="5B57636A" w14:textId="77777777" w:rsidR="00474D6C" w:rsidRDefault="00474D6C" w:rsidP="00F132B1">
            <w:pPr>
              <w:spacing w:after="0" w:line="240" w:lineRule="auto"/>
              <w:jc w:val="center"/>
              <w:rPr>
                <w:rFonts w:ascii="Calibri" w:eastAsia="Times New Roman" w:hAnsi="Calibri" w:cs="Times New Roman"/>
                <w:b/>
                <w:bCs/>
                <w:color w:val="0000FF"/>
                <w:sz w:val="18"/>
                <w:szCs w:val="18"/>
              </w:rPr>
            </w:pPr>
            <w:r>
              <w:rPr>
                <w:rFonts w:ascii="Calibri" w:eastAsia="Times New Roman" w:hAnsi="Calibri" w:cs="Times New Roman"/>
                <w:b/>
                <w:bCs/>
                <w:color w:val="0000FF"/>
                <w:sz w:val="18"/>
                <w:szCs w:val="18"/>
              </w:rPr>
              <w:t>10th</w:t>
            </w:r>
          </w:p>
        </w:tc>
        <w:tc>
          <w:tcPr>
            <w:tcW w:w="508" w:type="pct"/>
            <w:tcBorders>
              <w:top w:val="single" w:sz="12" w:space="0" w:color="auto"/>
              <w:left w:val="nil"/>
              <w:bottom w:val="single" w:sz="8" w:space="0" w:color="auto"/>
              <w:right w:val="nil"/>
            </w:tcBorders>
            <w:vAlign w:val="center"/>
            <w:hideMark/>
          </w:tcPr>
          <w:p w14:paraId="428DBC30" w14:textId="77777777" w:rsidR="00474D6C" w:rsidRDefault="00474D6C" w:rsidP="00F132B1">
            <w:pPr>
              <w:spacing w:after="0" w:line="240" w:lineRule="auto"/>
              <w:jc w:val="center"/>
              <w:rPr>
                <w:rFonts w:ascii="Calibri" w:eastAsia="Times New Roman" w:hAnsi="Calibri" w:cs="Times New Roman"/>
                <w:b/>
                <w:bCs/>
                <w:color w:val="0000FF"/>
                <w:sz w:val="18"/>
                <w:szCs w:val="18"/>
              </w:rPr>
            </w:pPr>
            <w:r>
              <w:rPr>
                <w:rFonts w:ascii="Calibri" w:eastAsia="Times New Roman" w:hAnsi="Calibri" w:cs="Times New Roman"/>
                <w:b/>
                <w:bCs/>
                <w:color w:val="0000FF"/>
                <w:sz w:val="18"/>
                <w:szCs w:val="18"/>
              </w:rPr>
              <w:t>25th</w:t>
            </w:r>
          </w:p>
        </w:tc>
        <w:tc>
          <w:tcPr>
            <w:tcW w:w="508" w:type="pct"/>
            <w:tcBorders>
              <w:top w:val="single" w:sz="12" w:space="0" w:color="auto"/>
              <w:left w:val="nil"/>
              <w:bottom w:val="single" w:sz="8" w:space="0" w:color="auto"/>
              <w:right w:val="nil"/>
            </w:tcBorders>
            <w:vAlign w:val="center"/>
            <w:hideMark/>
          </w:tcPr>
          <w:p w14:paraId="52795FBE" w14:textId="77777777" w:rsidR="00474D6C" w:rsidRDefault="00474D6C" w:rsidP="00F132B1">
            <w:pPr>
              <w:spacing w:after="0" w:line="240" w:lineRule="auto"/>
              <w:jc w:val="center"/>
              <w:rPr>
                <w:rFonts w:ascii="Calibri" w:eastAsia="Times New Roman" w:hAnsi="Calibri" w:cs="Times New Roman"/>
                <w:b/>
                <w:bCs/>
                <w:color w:val="0000FF"/>
                <w:sz w:val="18"/>
                <w:szCs w:val="18"/>
              </w:rPr>
            </w:pPr>
            <w:r>
              <w:rPr>
                <w:rFonts w:ascii="Calibri" w:eastAsia="Times New Roman" w:hAnsi="Calibri" w:cs="Times New Roman"/>
                <w:b/>
                <w:bCs/>
                <w:color w:val="0000FF"/>
                <w:sz w:val="18"/>
                <w:szCs w:val="18"/>
              </w:rPr>
              <w:t>50th</w:t>
            </w:r>
          </w:p>
        </w:tc>
        <w:tc>
          <w:tcPr>
            <w:tcW w:w="510" w:type="pct"/>
            <w:tcBorders>
              <w:top w:val="single" w:sz="12" w:space="0" w:color="auto"/>
              <w:left w:val="nil"/>
              <w:bottom w:val="single" w:sz="8" w:space="0" w:color="auto"/>
              <w:right w:val="nil"/>
            </w:tcBorders>
            <w:vAlign w:val="center"/>
            <w:hideMark/>
          </w:tcPr>
          <w:p w14:paraId="155AE1DB" w14:textId="77777777" w:rsidR="00474D6C" w:rsidRDefault="00474D6C" w:rsidP="00F132B1">
            <w:pPr>
              <w:spacing w:after="0" w:line="240" w:lineRule="auto"/>
              <w:jc w:val="center"/>
              <w:rPr>
                <w:rFonts w:ascii="Calibri" w:eastAsia="Times New Roman" w:hAnsi="Calibri" w:cs="Times New Roman"/>
                <w:b/>
                <w:bCs/>
                <w:color w:val="0000FF"/>
                <w:sz w:val="18"/>
                <w:szCs w:val="18"/>
              </w:rPr>
            </w:pPr>
            <w:r>
              <w:rPr>
                <w:rFonts w:ascii="Calibri" w:eastAsia="Times New Roman" w:hAnsi="Calibri" w:cs="Times New Roman"/>
                <w:b/>
                <w:bCs/>
                <w:color w:val="0000FF"/>
                <w:sz w:val="18"/>
                <w:szCs w:val="18"/>
              </w:rPr>
              <w:t>75th</w:t>
            </w:r>
          </w:p>
        </w:tc>
        <w:tc>
          <w:tcPr>
            <w:tcW w:w="508" w:type="pct"/>
            <w:tcBorders>
              <w:top w:val="single" w:sz="12" w:space="0" w:color="auto"/>
              <w:left w:val="nil"/>
              <w:bottom w:val="single" w:sz="8" w:space="0" w:color="auto"/>
              <w:right w:val="nil"/>
            </w:tcBorders>
            <w:vAlign w:val="center"/>
            <w:hideMark/>
          </w:tcPr>
          <w:p w14:paraId="5A973C43" w14:textId="77777777" w:rsidR="00474D6C" w:rsidRDefault="00474D6C" w:rsidP="00F132B1">
            <w:pPr>
              <w:spacing w:after="0" w:line="240" w:lineRule="auto"/>
              <w:jc w:val="center"/>
              <w:rPr>
                <w:rFonts w:ascii="Calibri" w:eastAsia="Times New Roman" w:hAnsi="Calibri" w:cs="Times New Roman"/>
                <w:b/>
                <w:bCs/>
                <w:color w:val="0000FF"/>
                <w:sz w:val="18"/>
                <w:szCs w:val="18"/>
              </w:rPr>
            </w:pPr>
            <w:r>
              <w:rPr>
                <w:rFonts w:ascii="Calibri" w:eastAsia="Times New Roman" w:hAnsi="Calibri" w:cs="Times New Roman"/>
                <w:b/>
                <w:bCs/>
                <w:color w:val="0000FF"/>
                <w:sz w:val="18"/>
                <w:szCs w:val="18"/>
              </w:rPr>
              <w:t>90th</w:t>
            </w:r>
          </w:p>
        </w:tc>
      </w:tr>
      <w:tr w:rsidR="00474D6C" w14:paraId="6EBAC438" w14:textId="77777777" w:rsidTr="00F132B1">
        <w:trPr>
          <w:trHeight w:val="480"/>
        </w:trPr>
        <w:tc>
          <w:tcPr>
            <w:tcW w:w="979" w:type="pct"/>
            <w:gridSpan w:val="2"/>
            <w:vAlign w:val="center"/>
            <w:hideMark/>
          </w:tcPr>
          <w:p w14:paraId="68E1315B" w14:textId="77777777" w:rsidR="00474D6C" w:rsidRDefault="00474D6C" w:rsidP="00F132B1">
            <w:pPr>
              <w:spacing w:after="0" w:line="240" w:lineRule="auto"/>
              <w:rPr>
                <w:rFonts w:ascii="Calibri" w:eastAsia="Times New Roman" w:hAnsi="Calibri" w:cs="Times New Roman"/>
                <w:color w:val="0000FF"/>
                <w:sz w:val="18"/>
                <w:szCs w:val="18"/>
              </w:rPr>
            </w:pPr>
            <w:r>
              <w:rPr>
                <w:rFonts w:ascii="Calibri" w:eastAsia="Times New Roman" w:hAnsi="Calibri" w:cs="Times New Roman"/>
                <w:color w:val="0000FF"/>
                <w:sz w:val="18"/>
                <w:szCs w:val="18"/>
              </w:rPr>
              <w:t>0–25 (Best)†</w:t>
            </w:r>
          </w:p>
        </w:tc>
        <w:tc>
          <w:tcPr>
            <w:tcW w:w="463" w:type="pct"/>
            <w:vAlign w:val="center"/>
            <w:hideMark/>
          </w:tcPr>
          <w:p w14:paraId="222F6E2A" w14:textId="77777777" w:rsidR="00474D6C" w:rsidRDefault="00474D6C" w:rsidP="00F132B1">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2,987</w:t>
            </w:r>
          </w:p>
        </w:tc>
        <w:tc>
          <w:tcPr>
            <w:tcW w:w="510" w:type="pct"/>
            <w:vAlign w:val="center"/>
            <w:hideMark/>
          </w:tcPr>
          <w:p w14:paraId="10A20FA3" w14:textId="77777777" w:rsidR="00474D6C" w:rsidRDefault="00474D6C" w:rsidP="00F132B1">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19.3%</w:t>
            </w:r>
          </w:p>
        </w:tc>
        <w:tc>
          <w:tcPr>
            <w:tcW w:w="507" w:type="pct"/>
            <w:vAlign w:val="center"/>
            <w:hideMark/>
          </w:tcPr>
          <w:p w14:paraId="343E938B" w14:textId="77777777" w:rsidR="00474D6C" w:rsidRDefault="00474D6C" w:rsidP="00F132B1">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12.1%</w:t>
            </w:r>
          </w:p>
        </w:tc>
        <w:tc>
          <w:tcPr>
            <w:tcW w:w="507" w:type="pct"/>
            <w:vAlign w:val="center"/>
            <w:hideMark/>
          </w:tcPr>
          <w:p w14:paraId="5FAEFF3B" w14:textId="77777777" w:rsidR="00474D6C" w:rsidRDefault="00474D6C" w:rsidP="00F132B1">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7.3%</w:t>
            </w:r>
          </w:p>
        </w:tc>
        <w:tc>
          <w:tcPr>
            <w:tcW w:w="508" w:type="pct"/>
            <w:vAlign w:val="center"/>
            <w:hideMark/>
          </w:tcPr>
          <w:p w14:paraId="57825C10" w14:textId="77777777" w:rsidR="00474D6C" w:rsidRDefault="00474D6C" w:rsidP="00F132B1">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11.1%</w:t>
            </w:r>
          </w:p>
        </w:tc>
        <w:tc>
          <w:tcPr>
            <w:tcW w:w="508" w:type="pct"/>
            <w:vAlign w:val="center"/>
            <w:hideMark/>
          </w:tcPr>
          <w:p w14:paraId="3F12C5A7" w14:textId="77777777" w:rsidR="00474D6C" w:rsidRDefault="00474D6C" w:rsidP="00F132B1">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16.7%</w:t>
            </w:r>
          </w:p>
        </w:tc>
        <w:tc>
          <w:tcPr>
            <w:tcW w:w="510" w:type="pct"/>
            <w:vAlign w:val="center"/>
            <w:hideMark/>
          </w:tcPr>
          <w:p w14:paraId="4E356A77" w14:textId="77777777" w:rsidR="00474D6C" w:rsidRDefault="00474D6C" w:rsidP="00F132B1">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24.3%</w:t>
            </w:r>
          </w:p>
        </w:tc>
        <w:tc>
          <w:tcPr>
            <w:tcW w:w="508" w:type="pct"/>
            <w:vAlign w:val="center"/>
            <w:hideMark/>
          </w:tcPr>
          <w:p w14:paraId="7242260D" w14:textId="77777777" w:rsidR="00474D6C" w:rsidRDefault="00474D6C" w:rsidP="00F132B1">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34.5%</w:t>
            </w:r>
          </w:p>
        </w:tc>
      </w:tr>
      <w:tr w:rsidR="00474D6C" w14:paraId="7D216195" w14:textId="77777777" w:rsidTr="00F132B1">
        <w:trPr>
          <w:trHeight w:val="300"/>
        </w:trPr>
        <w:tc>
          <w:tcPr>
            <w:tcW w:w="979" w:type="pct"/>
            <w:gridSpan w:val="2"/>
            <w:vAlign w:val="center"/>
            <w:hideMark/>
          </w:tcPr>
          <w:p w14:paraId="0E069028" w14:textId="77777777" w:rsidR="00474D6C" w:rsidRDefault="00474D6C" w:rsidP="00F132B1">
            <w:pPr>
              <w:spacing w:after="0" w:line="240" w:lineRule="auto"/>
              <w:rPr>
                <w:rFonts w:ascii="Calibri" w:eastAsia="Times New Roman" w:hAnsi="Calibri" w:cs="Times New Roman"/>
                <w:color w:val="0000FF"/>
                <w:sz w:val="18"/>
                <w:szCs w:val="18"/>
              </w:rPr>
            </w:pPr>
            <w:r>
              <w:rPr>
                <w:rFonts w:ascii="Calibri" w:eastAsia="Times New Roman" w:hAnsi="Calibri" w:cs="Times New Roman"/>
                <w:color w:val="0000FF"/>
                <w:sz w:val="18"/>
                <w:szCs w:val="18"/>
              </w:rPr>
              <w:t>26–50</w:t>
            </w:r>
          </w:p>
        </w:tc>
        <w:tc>
          <w:tcPr>
            <w:tcW w:w="463" w:type="pct"/>
            <w:vAlign w:val="center"/>
            <w:hideMark/>
          </w:tcPr>
          <w:p w14:paraId="2CD51318" w14:textId="77777777" w:rsidR="00474D6C" w:rsidRDefault="00474D6C" w:rsidP="00F132B1">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2,996</w:t>
            </w:r>
          </w:p>
        </w:tc>
        <w:tc>
          <w:tcPr>
            <w:tcW w:w="510" w:type="pct"/>
            <w:vAlign w:val="center"/>
            <w:hideMark/>
          </w:tcPr>
          <w:p w14:paraId="054A3AEA" w14:textId="77777777" w:rsidR="00474D6C" w:rsidRDefault="00474D6C" w:rsidP="00F132B1">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19.7%</w:t>
            </w:r>
          </w:p>
        </w:tc>
        <w:tc>
          <w:tcPr>
            <w:tcW w:w="507" w:type="pct"/>
            <w:vAlign w:val="center"/>
            <w:hideMark/>
          </w:tcPr>
          <w:p w14:paraId="0BC2E985" w14:textId="77777777" w:rsidR="00474D6C" w:rsidRDefault="00474D6C" w:rsidP="00F132B1">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12.4%</w:t>
            </w:r>
          </w:p>
        </w:tc>
        <w:tc>
          <w:tcPr>
            <w:tcW w:w="507" w:type="pct"/>
            <w:vAlign w:val="center"/>
            <w:hideMark/>
          </w:tcPr>
          <w:p w14:paraId="4F8543DF" w14:textId="77777777" w:rsidR="00474D6C" w:rsidRDefault="00474D6C" w:rsidP="00F132B1">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7.5%</w:t>
            </w:r>
          </w:p>
        </w:tc>
        <w:tc>
          <w:tcPr>
            <w:tcW w:w="508" w:type="pct"/>
            <w:vAlign w:val="center"/>
            <w:hideMark/>
          </w:tcPr>
          <w:p w14:paraId="46899076" w14:textId="77777777" w:rsidR="00474D6C" w:rsidRDefault="00474D6C" w:rsidP="00F132B1">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11.4%</w:t>
            </w:r>
          </w:p>
        </w:tc>
        <w:tc>
          <w:tcPr>
            <w:tcW w:w="508" w:type="pct"/>
            <w:vAlign w:val="center"/>
            <w:hideMark/>
          </w:tcPr>
          <w:p w14:paraId="2677DF87" w14:textId="77777777" w:rsidR="00474D6C" w:rsidRDefault="00474D6C" w:rsidP="00F132B1">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16.7%</w:t>
            </w:r>
          </w:p>
        </w:tc>
        <w:tc>
          <w:tcPr>
            <w:tcW w:w="510" w:type="pct"/>
            <w:vAlign w:val="center"/>
            <w:hideMark/>
          </w:tcPr>
          <w:p w14:paraId="5FC6FDA8" w14:textId="77777777" w:rsidR="00474D6C" w:rsidRDefault="00474D6C" w:rsidP="00F132B1">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24.5%</w:t>
            </w:r>
          </w:p>
        </w:tc>
        <w:tc>
          <w:tcPr>
            <w:tcW w:w="508" w:type="pct"/>
            <w:vAlign w:val="center"/>
            <w:hideMark/>
          </w:tcPr>
          <w:p w14:paraId="6FFDF809" w14:textId="77777777" w:rsidR="00474D6C" w:rsidRDefault="00474D6C" w:rsidP="00F132B1">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36.1%</w:t>
            </w:r>
          </w:p>
        </w:tc>
      </w:tr>
      <w:tr w:rsidR="00474D6C" w14:paraId="1606DC7D" w14:textId="77777777" w:rsidTr="00F132B1">
        <w:trPr>
          <w:trHeight w:val="300"/>
        </w:trPr>
        <w:tc>
          <w:tcPr>
            <w:tcW w:w="979" w:type="pct"/>
            <w:gridSpan w:val="2"/>
            <w:vAlign w:val="center"/>
            <w:hideMark/>
          </w:tcPr>
          <w:p w14:paraId="04A99C20" w14:textId="77777777" w:rsidR="00474D6C" w:rsidRDefault="00474D6C" w:rsidP="00F132B1">
            <w:pPr>
              <w:spacing w:after="0" w:line="240" w:lineRule="auto"/>
              <w:rPr>
                <w:rFonts w:ascii="Calibri" w:eastAsia="Times New Roman" w:hAnsi="Calibri" w:cs="Times New Roman"/>
                <w:color w:val="0000FF"/>
                <w:sz w:val="18"/>
                <w:szCs w:val="18"/>
              </w:rPr>
            </w:pPr>
            <w:r>
              <w:rPr>
                <w:rFonts w:ascii="Calibri" w:eastAsia="Times New Roman" w:hAnsi="Calibri" w:cs="Times New Roman"/>
                <w:color w:val="0000FF"/>
                <w:sz w:val="18"/>
                <w:szCs w:val="18"/>
              </w:rPr>
              <w:t>51–75</w:t>
            </w:r>
          </w:p>
        </w:tc>
        <w:tc>
          <w:tcPr>
            <w:tcW w:w="463" w:type="pct"/>
            <w:vAlign w:val="center"/>
            <w:hideMark/>
          </w:tcPr>
          <w:p w14:paraId="79D72900" w14:textId="77777777" w:rsidR="00474D6C" w:rsidRDefault="00474D6C" w:rsidP="00F132B1">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2,980</w:t>
            </w:r>
          </w:p>
        </w:tc>
        <w:tc>
          <w:tcPr>
            <w:tcW w:w="510" w:type="pct"/>
            <w:vAlign w:val="center"/>
            <w:hideMark/>
          </w:tcPr>
          <w:p w14:paraId="4E4CD9BD" w14:textId="77777777" w:rsidR="00474D6C" w:rsidRDefault="00474D6C" w:rsidP="00F132B1">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20.6%</w:t>
            </w:r>
          </w:p>
        </w:tc>
        <w:tc>
          <w:tcPr>
            <w:tcW w:w="507" w:type="pct"/>
            <w:vAlign w:val="center"/>
            <w:hideMark/>
          </w:tcPr>
          <w:p w14:paraId="754A017F" w14:textId="77777777" w:rsidR="00474D6C" w:rsidRDefault="00474D6C" w:rsidP="00F132B1">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12.8%</w:t>
            </w:r>
          </w:p>
        </w:tc>
        <w:tc>
          <w:tcPr>
            <w:tcW w:w="507" w:type="pct"/>
            <w:vAlign w:val="center"/>
            <w:hideMark/>
          </w:tcPr>
          <w:p w14:paraId="33285D2C" w14:textId="77777777" w:rsidR="00474D6C" w:rsidRDefault="00474D6C" w:rsidP="00F132B1">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7.5%</w:t>
            </w:r>
          </w:p>
        </w:tc>
        <w:tc>
          <w:tcPr>
            <w:tcW w:w="508" w:type="pct"/>
            <w:vAlign w:val="center"/>
            <w:hideMark/>
          </w:tcPr>
          <w:p w14:paraId="2E8B3A86" w14:textId="77777777" w:rsidR="00474D6C" w:rsidRDefault="00474D6C" w:rsidP="00F132B1">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11.8%</w:t>
            </w:r>
          </w:p>
        </w:tc>
        <w:tc>
          <w:tcPr>
            <w:tcW w:w="508" w:type="pct"/>
            <w:vAlign w:val="center"/>
            <w:hideMark/>
          </w:tcPr>
          <w:p w14:paraId="2E5102D8" w14:textId="77777777" w:rsidR="00474D6C" w:rsidRDefault="00474D6C" w:rsidP="00F132B1">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17.8%</w:t>
            </w:r>
          </w:p>
        </w:tc>
        <w:tc>
          <w:tcPr>
            <w:tcW w:w="510" w:type="pct"/>
            <w:vAlign w:val="center"/>
            <w:hideMark/>
          </w:tcPr>
          <w:p w14:paraId="74E6DBFA" w14:textId="77777777" w:rsidR="00474D6C" w:rsidRDefault="00474D6C" w:rsidP="00F132B1">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26.0%</w:t>
            </w:r>
          </w:p>
        </w:tc>
        <w:tc>
          <w:tcPr>
            <w:tcW w:w="508" w:type="pct"/>
            <w:vAlign w:val="center"/>
            <w:hideMark/>
          </w:tcPr>
          <w:p w14:paraId="5791F8E9" w14:textId="77777777" w:rsidR="00474D6C" w:rsidRDefault="00474D6C" w:rsidP="00F132B1">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37.7%</w:t>
            </w:r>
          </w:p>
        </w:tc>
      </w:tr>
      <w:tr w:rsidR="00474D6C" w14:paraId="765D6DB1" w14:textId="77777777" w:rsidTr="00F132B1">
        <w:trPr>
          <w:trHeight w:val="495"/>
        </w:trPr>
        <w:tc>
          <w:tcPr>
            <w:tcW w:w="979" w:type="pct"/>
            <w:gridSpan w:val="2"/>
            <w:tcBorders>
              <w:top w:val="nil"/>
              <w:left w:val="nil"/>
              <w:bottom w:val="single" w:sz="8" w:space="0" w:color="auto"/>
              <w:right w:val="nil"/>
            </w:tcBorders>
            <w:vAlign w:val="center"/>
            <w:hideMark/>
          </w:tcPr>
          <w:p w14:paraId="204552B9" w14:textId="77777777" w:rsidR="00474D6C" w:rsidRDefault="00474D6C" w:rsidP="00F132B1">
            <w:pPr>
              <w:spacing w:after="0" w:line="240" w:lineRule="auto"/>
              <w:rPr>
                <w:rFonts w:ascii="Calibri" w:eastAsia="Times New Roman" w:hAnsi="Calibri" w:cs="Times New Roman"/>
                <w:color w:val="0000FF"/>
                <w:sz w:val="18"/>
                <w:szCs w:val="18"/>
              </w:rPr>
            </w:pPr>
            <w:r>
              <w:rPr>
                <w:rFonts w:ascii="Calibri" w:eastAsia="Times New Roman" w:hAnsi="Calibri" w:cs="Times New Roman"/>
                <w:color w:val="0000FF"/>
                <w:sz w:val="18"/>
                <w:szCs w:val="18"/>
              </w:rPr>
              <w:t>76–100 (Worst)†</w:t>
            </w:r>
          </w:p>
        </w:tc>
        <w:tc>
          <w:tcPr>
            <w:tcW w:w="463" w:type="pct"/>
            <w:tcBorders>
              <w:top w:val="nil"/>
              <w:left w:val="nil"/>
              <w:bottom w:val="single" w:sz="8" w:space="0" w:color="auto"/>
              <w:right w:val="nil"/>
            </w:tcBorders>
            <w:vAlign w:val="center"/>
            <w:hideMark/>
          </w:tcPr>
          <w:p w14:paraId="1E83363C" w14:textId="77777777" w:rsidR="00474D6C" w:rsidRDefault="00474D6C" w:rsidP="00F132B1">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2,982</w:t>
            </w:r>
          </w:p>
        </w:tc>
        <w:tc>
          <w:tcPr>
            <w:tcW w:w="510" w:type="pct"/>
            <w:tcBorders>
              <w:top w:val="nil"/>
              <w:left w:val="nil"/>
              <w:bottom w:val="single" w:sz="8" w:space="0" w:color="auto"/>
              <w:right w:val="nil"/>
            </w:tcBorders>
            <w:vAlign w:val="center"/>
            <w:hideMark/>
          </w:tcPr>
          <w:p w14:paraId="2AC46A06" w14:textId="77777777" w:rsidR="00474D6C" w:rsidRDefault="00474D6C" w:rsidP="00F132B1">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21.7%</w:t>
            </w:r>
          </w:p>
        </w:tc>
        <w:tc>
          <w:tcPr>
            <w:tcW w:w="507" w:type="pct"/>
            <w:tcBorders>
              <w:top w:val="nil"/>
              <w:left w:val="nil"/>
              <w:bottom w:val="single" w:sz="8" w:space="0" w:color="auto"/>
              <w:right w:val="nil"/>
            </w:tcBorders>
            <w:vAlign w:val="center"/>
            <w:hideMark/>
          </w:tcPr>
          <w:p w14:paraId="4C2433EF" w14:textId="77777777" w:rsidR="00474D6C" w:rsidRDefault="00474D6C" w:rsidP="00F132B1">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14.2%</w:t>
            </w:r>
          </w:p>
        </w:tc>
        <w:tc>
          <w:tcPr>
            <w:tcW w:w="507" w:type="pct"/>
            <w:tcBorders>
              <w:top w:val="nil"/>
              <w:left w:val="nil"/>
              <w:bottom w:val="single" w:sz="8" w:space="0" w:color="auto"/>
              <w:right w:val="nil"/>
            </w:tcBorders>
            <w:vAlign w:val="center"/>
            <w:hideMark/>
          </w:tcPr>
          <w:p w14:paraId="23E923CE" w14:textId="77777777" w:rsidR="00474D6C" w:rsidRDefault="00474D6C" w:rsidP="00F132B1">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7.0%</w:t>
            </w:r>
          </w:p>
        </w:tc>
        <w:tc>
          <w:tcPr>
            <w:tcW w:w="508" w:type="pct"/>
            <w:tcBorders>
              <w:top w:val="nil"/>
              <w:left w:val="nil"/>
              <w:bottom w:val="single" w:sz="8" w:space="0" w:color="auto"/>
              <w:right w:val="nil"/>
            </w:tcBorders>
            <w:vAlign w:val="center"/>
            <w:hideMark/>
          </w:tcPr>
          <w:p w14:paraId="420F505B" w14:textId="77777777" w:rsidR="00474D6C" w:rsidRDefault="00474D6C" w:rsidP="00F132B1">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11.7%</w:t>
            </w:r>
          </w:p>
        </w:tc>
        <w:tc>
          <w:tcPr>
            <w:tcW w:w="508" w:type="pct"/>
            <w:tcBorders>
              <w:top w:val="nil"/>
              <w:left w:val="nil"/>
              <w:bottom w:val="single" w:sz="8" w:space="0" w:color="auto"/>
              <w:right w:val="nil"/>
            </w:tcBorders>
            <w:vAlign w:val="center"/>
            <w:hideMark/>
          </w:tcPr>
          <w:p w14:paraId="608A8793" w14:textId="77777777" w:rsidR="00474D6C" w:rsidRDefault="00474D6C" w:rsidP="00F132B1">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18.5%</w:t>
            </w:r>
          </w:p>
        </w:tc>
        <w:tc>
          <w:tcPr>
            <w:tcW w:w="510" w:type="pct"/>
            <w:tcBorders>
              <w:top w:val="nil"/>
              <w:left w:val="nil"/>
              <w:bottom w:val="single" w:sz="8" w:space="0" w:color="auto"/>
              <w:right w:val="nil"/>
            </w:tcBorders>
            <w:vAlign w:val="center"/>
            <w:hideMark/>
          </w:tcPr>
          <w:p w14:paraId="3D800E69" w14:textId="77777777" w:rsidR="00474D6C" w:rsidRDefault="00474D6C" w:rsidP="00F132B1">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28.2%</w:t>
            </w:r>
          </w:p>
        </w:tc>
        <w:tc>
          <w:tcPr>
            <w:tcW w:w="508" w:type="pct"/>
            <w:tcBorders>
              <w:top w:val="nil"/>
              <w:left w:val="nil"/>
              <w:bottom w:val="single" w:sz="8" w:space="0" w:color="auto"/>
              <w:right w:val="nil"/>
            </w:tcBorders>
            <w:vAlign w:val="center"/>
            <w:hideMark/>
          </w:tcPr>
          <w:p w14:paraId="74B59D38" w14:textId="77777777" w:rsidR="00474D6C" w:rsidRDefault="00474D6C" w:rsidP="00F132B1">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39.7%</w:t>
            </w:r>
          </w:p>
        </w:tc>
      </w:tr>
      <w:tr w:rsidR="00474D6C" w14:paraId="1363E5B6" w14:textId="77777777" w:rsidTr="00F132B1">
        <w:trPr>
          <w:trHeight w:val="315"/>
        </w:trPr>
        <w:tc>
          <w:tcPr>
            <w:tcW w:w="979" w:type="pct"/>
            <w:gridSpan w:val="2"/>
            <w:tcBorders>
              <w:top w:val="nil"/>
              <w:left w:val="nil"/>
              <w:bottom w:val="single" w:sz="12" w:space="0" w:color="auto"/>
              <w:right w:val="nil"/>
            </w:tcBorders>
            <w:vAlign w:val="center"/>
            <w:hideMark/>
          </w:tcPr>
          <w:p w14:paraId="79462558" w14:textId="77777777" w:rsidR="00474D6C" w:rsidRDefault="00474D6C" w:rsidP="00F132B1">
            <w:pPr>
              <w:spacing w:after="0" w:line="240" w:lineRule="auto"/>
              <w:rPr>
                <w:rFonts w:ascii="Calibri" w:eastAsia="Times New Roman" w:hAnsi="Calibri" w:cs="Times New Roman"/>
                <w:color w:val="0000FF"/>
                <w:sz w:val="18"/>
                <w:szCs w:val="18"/>
              </w:rPr>
            </w:pPr>
            <w:r>
              <w:rPr>
                <w:rFonts w:ascii="Calibri" w:eastAsia="Times New Roman" w:hAnsi="Calibri" w:cs="Times New Roman"/>
                <w:color w:val="0000FF"/>
                <w:sz w:val="18"/>
                <w:szCs w:val="18"/>
              </w:rPr>
              <w:t>Total</w:t>
            </w:r>
          </w:p>
        </w:tc>
        <w:tc>
          <w:tcPr>
            <w:tcW w:w="463" w:type="pct"/>
            <w:tcBorders>
              <w:top w:val="nil"/>
              <w:left w:val="nil"/>
              <w:bottom w:val="single" w:sz="12" w:space="0" w:color="auto"/>
              <w:right w:val="nil"/>
            </w:tcBorders>
            <w:vAlign w:val="center"/>
            <w:hideMark/>
          </w:tcPr>
          <w:p w14:paraId="13139F87" w14:textId="77777777" w:rsidR="00474D6C" w:rsidRDefault="00474D6C" w:rsidP="00F132B1">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11,945</w:t>
            </w:r>
          </w:p>
        </w:tc>
        <w:tc>
          <w:tcPr>
            <w:tcW w:w="510" w:type="pct"/>
            <w:tcBorders>
              <w:top w:val="nil"/>
              <w:left w:val="nil"/>
              <w:bottom w:val="single" w:sz="12" w:space="0" w:color="auto"/>
              <w:right w:val="nil"/>
            </w:tcBorders>
            <w:vAlign w:val="center"/>
            <w:hideMark/>
          </w:tcPr>
          <w:p w14:paraId="72DBA993" w14:textId="77777777" w:rsidR="00474D6C" w:rsidRDefault="00474D6C" w:rsidP="00F132B1">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20.3%</w:t>
            </w:r>
          </w:p>
        </w:tc>
        <w:tc>
          <w:tcPr>
            <w:tcW w:w="507" w:type="pct"/>
            <w:tcBorders>
              <w:top w:val="nil"/>
              <w:left w:val="nil"/>
              <w:bottom w:val="single" w:sz="12" w:space="0" w:color="auto"/>
              <w:right w:val="nil"/>
            </w:tcBorders>
            <w:vAlign w:val="center"/>
            <w:hideMark/>
          </w:tcPr>
          <w:p w14:paraId="70055AB2" w14:textId="77777777" w:rsidR="00474D6C" w:rsidRDefault="00474D6C" w:rsidP="00F132B1">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12.9%</w:t>
            </w:r>
          </w:p>
        </w:tc>
        <w:tc>
          <w:tcPr>
            <w:tcW w:w="507" w:type="pct"/>
            <w:tcBorders>
              <w:top w:val="nil"/>
              <w:left w:val="nil"/>
              <w:bottom w:val="single" w:sz="12" w:space="0" w:color="auto"/>
              <w:right w:val="nil"/>
            </w:tcBorders>
            <w:vAlign w:val="center"/>
            <w:hideMark/>
          </w:tcPr>
          <w:p w14:paraId="187546E4" w14:textId="77777777" w:rsidR="00474D6C" w:rsidRDefault="00474D6C" w:rsidP="00F132B1">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7.3%</w:t>
            </w:r>
          </w:p>
        </w:tc>
        <w:tc>
          <w:tcPr>
            <w:tcW w:w="508" w:type="pct"/>
            <w:tcBorders>
              <w:top w:val="nil"/>
              <w:left w:val="nil"/>
              <w:bottom w:val="single" w:sz="12" w:space="0" w:color="auto"/>
              <w:right w:val="nil"/>
            </w:tcBorders>
            <w:vAlign w:val="center"/>
            <w:hideMark/>
          </w:tcPr>
          <w:p w14:paraId="662D65C7" w14:textId="77777777" w:rsidR="00474D6C" w:rsidRDefault="00474D6C" w:rsidP="00F132B1">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11.5%</w:t>
            </w:r>
          </w:p>
        </w:tc>
        <w:tc>
          <w:tcPr>
            <w:tcW w:w="508" w:type="pct"/>
            <w:tcBorders>
              <w:top w:val="nil"/>
              <w:left w:val="nil"/>
              <w:bottom w:val="single" w:sz="12" w:space="0" w:color="auto"/>
              <w:right w:val="nil"/>
            </w:tcBorders>
            <w:vAlign w:val="center"/>
            <w:hideMark/>
          </w:tcPr>
          <w:p w14:paraId="76A67209" w14:textId="77777777" w:rsidR="00474D6C" w:rsidRDefault="00474D6C" w:rsidP="00F132B1">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17.4%</w:t>
            </w:r>
          </w:p>
        </w:tc>
        <w:tc>
          <w:tcPr>
            <w:tcW w:w="510" w:type="pct"/>
            <w:tcBorders>
              <w:top w:val="nil"/>
              <w:left w:val="nil"/>
              <w:bottom w:val="single" w:sz="12" w:space="0" w:color="auto"/>
              <w:right w:val="nil"/>
            </w:tcBorders>
            <w:vAlign w:val="center"/>
            <w:hideMark/>
          </w:tcPr>
          <w:p w14:paraId="6A71AEF0" w14:textId="77777777" w:rsidR="00474D6C" w:rsidRDefault="00474D6C" w:rsidP="00F132B1">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25.8%</w:t>
            </w:r>
          </w:p>
        </w:tc>
        <w:tc>
          <w:tcPr>
            <w:tcW w:w="508" w:type="pct"/>
            <w:tcBorders>
              <w:top w:val="nil"/>
              <w:left w:val="nil"/>
              <w:bottom w:val="single" w:sz="12" w:space="0" w:color="auto"/>
              <w:right w:val="nil"/>
            </w:tcBorders>
            <w:vAlign w:val="center"/>
            <w:hideMark/>
          </w:tcPr>
          <w:p w14:paraId="26512E24" w14:textId="77777777" w:rsidR="00474D6C" w:rsidRDefault="00474D6C" w:rsidP="00F132B1">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37.1%</w:t>
            </w:r>
          </w:p>
        </w:tc>
      </w:tr>
    </w:tbl>
    <w:p w14:paraId="7A70274B" w14:textId="77777777" w:rsidR="00474D6C" w:rsidRDefault="00474D6C" w:rsidP="00474D6C">
      <w:pPr>
        <w:pStyle w:val="Response"/>
        <w:rPr>
          <w:sz w:val="20"/>
          <w:szCs w:val="20"/>
        </w:rPr>
      </w:pPr>
      <w:r>
        <w:rPr>
          <w:sz w:val="20"/>
          <w:szCs w:val="20"/>
        </w:rPr>
        <w:t xml:space="preserve">NOTES:  †Facilities with scores in the lowest part of the distribution are considered to have better performance relative to facilities with scores in higher parts of the distribution. </w:t>
      </w:r>
    </w:p>
    <w:p w14:paraId="3BA06095" w14:textId="77777777" w:rsidR="00474D6C" w:rsidRDefault="00474D6C" w:rsidP="00474D6C">
      <w:pPr>
        <w:pStyle w:val="Response"/>
        <w:rPr>
          <w:sz w:val="20"/>
          <w:szCs w:val="20"/>
        </w:rPr>
      </w:pPr>
      <w:r>
        <w:rPr>
          <w:sz w:val="20"/>
          <w:szCs w:val="20"/>
        </w:rPr>
        <w:t>Analysis date: 11/15/2017</w:t>
      </w:r>
    </w:p>
    <w:p w14:paraId="12A6032E" w14:textId="77777777" w:rsidR="00474D6C" w:rsidRDefault="00474D6C" w:rsidP="00474D6C">
      <w:pPr>
        <w:pStyle w:val="Response"/>
        <w:rPr>
          <w:sz w:val="20"/>
          <w:szCs w:val="20"/>
        </w:rPr>
      </w:pPr>
      <w:r>
        <w:rPr>
          <w:sz w:val="20"/>
          <w:szCs w:val="20"/>
        </w:rPr>
        <w:t xml:space="preserve">SOURCE: RTI analysis of Q2 2017 MDS 3.0 data (programming reference: rn16/rn16_request_ls.log; </w:t>
      </w:r>
      <w:proofErr w:type="spellStart"/>
      <w:r>
        <w:rPr>
          <w:sz w:val="20"/>
          <w:szCs w:val="20"/>
        </w:rPr>
        <w:t>av</w:t>
      </w:r>
      <w:proofErr w:type="spellEnd"/>
      <w:r>
        <w:rPr>
          <w:sz w:val="20"/>
          <w:szCs w:val="20"/>
        </w:rPr>
        <w:t>/av_db361_rerun.log)</w:t>
      </w:r>
    </w:p>
    <w:p w14:paraId="4EF20C56" w14:textId="2C8A2261" w:rsidR="00474D6C" w:rsidRPr="00F2539C" w:rsidRDefault="00474D6C" w:rsidP="007A2425">
      <w:pPr>
        <w:pStyle w:val="Response"/>
        <w:ind w:left="720"/>
      </w:pPr>
      <w:r>
        <w:t xml:space="preserve">Our analysis showed </w:t>
      </w:r>
      <w:r w:rsidRPr="00F97D95">
        <w:t xml:space="preserve">that the average missing data rate across facilities was 20.3% (shown in the “Total” row of </w:t>
      </w:r>
      <w:r w:rsidRPr="00F97D95">
        <w:rPr>
          <w:b/>
          <w:i/>
        </w:rPr>
        <w:t>Table 11</w:t>
      </w:r>
      <w:r w:rsidRPr="00F97D95">
        <w:t xml:space="preserve">) on items used to construct this measure, with a greater percentage of facilities having lower missing data rates and relatively </w:t>
      </w:r>
      <w:r w:rsidRPr="00F2539C">
        <w:t>fewer facilities having high</w:t>
      </w:r>
      <w:r w:rsidR="00AE1098">
        <w:t>er</w:t>
      </w:r>
      <w:r w:rsidRPr="00F2539C">
        <w:t xml:space="preserve"> missing data rates.</w:t>
      </w:r>
      <w:r w:rsidR="007A2425" w:rsidRPr="00F2539C">
        <w:t xml:space="preserve"> </w:t>
      </w:r>
      <w:r w:rsidR="00F97D95" w:rsidRPr="00F2539C">
        <w:rPr>
          <w:b/>
          <w:i/>
        </w:rPr>
        <w:t>Table 11</w:t>
      </w:r>
      <w:r w:rsidR="00F97D95" w:rsidRPr="00F2539C">
        <w:t xml:space="preserve"> indicates that </w:t>
      </w:r>
      <w:r w:rsidRPr="00F2539C">
        <w:t>10% of facilities had missing data rates of 37.1% or higher.</w:t>
      </w:r>
    </w:p>
    <w:p w14:paraId="36D0243F" w14:textId="7EC4540A" w:rsidR="00474D6C" w:rsidRDefault="00474D6C" w:rsidP="00474D6C">
      <w:pPr>
        <w:pStyle w:val="Response"/>
        <w:ind w:left="720"/>
      </w:pPr>
      <w:r w:rsidRPr="00F2539C">
        <w:rPr>
          <w:rFonts w:cs="Arial"/>
        </w:rPr>
        <w:t xml:space="preserve">In addition, RTI examined the relationship between missing data for items used to calculate this measure by quality measure score quartile.  </w:t>
      </w:r>
      <w:r w:rsidRPr="00F2539C">
        <w:rPr>
          <w:b/>
          <w:i/>
          <w:iCs/>
        </w:rPr>
        <w:t xml:space="preserve">Table 11 </w:t>
      </w:r>
      <w:r w:rsidRPr="00F2539C">
        <w:t>shows the mean facility-level missing rate for items used to calculate this measure increases with the score quartile, from the quartile containing the lowest (best) scores (missing rate: 19.3%) to the quartile containing the highest (worst) scores (</w:t>
      </w:r>
      <w:r w:rsidR="007A2425" w:rsidRPr="00F2539C">
        <w:t>21.7</w:t>
      </w:r>
      <w:r w:rsidRPr="00F2539C">
        <w:t>%). This pattern is also shown by the significant but weak correlation between missing data and quality measure scores (</w:t>
      </w:r>
      <w:r w:rsidRPr="00F2539C">
        <w:rPr>
          <w:i/>
        </w:rPr>
        <w:t>r</w:t>
      </w:r>
      <w:r w:rsidRPr="00F2539C">
        <w:t xml:space="preserve"> = .067, </w:t>
      </w:r>
      <w:r w:rsidRPr="00F2539C">
        <w:rPr>
          <w:i/>
        </w:rPr>
        <w:t>p</w:t>
      </w:r>
      <w:r w:rsidRPr="00F2539C">
        <w:t xml:space="preserve"> &lt; .001).</w:t>
      </w:r>
    </w:p>
    <w:p w14:paraId="6A0B5907" w14:textId="77777777" w:rsidR="00474D6C" w:rsidRDefault="00474D6C" w:rsidP="00474D6C">
      <w:pPr>
        <w:pStyle w:val="bulletblue1"/>
        <w:numPr>
          <w:ilvl w:val="0"/>
          <w:numId w:val="0"/>
        </w:numPr>
        <w:ind w:left="720"/>
      </w:pPr>
      <w:r>
        <w:t xml:space="preserve">This analysis addresses the potential concern that missing data in the pain items would lead to under-reporting residents in pain, resulting in lower (better) scores on this measure. Our analysis demonstrated that this is not an issue for this measure. The positive relationship between missing rate and percentage of residents who self-report pain suggests that facilities with poorer pain management may not do well in assessing and documenting pain. </w:t>
      </w:r>
    </w:p>
    <w:p w14:paraId="50636112" w14:textId="77777777" w:rsidR="00474D6C" w:rsidRDefault="00474D6C" w:rsidP="00747647">
      <w:pPr>
        <w:pStyle w:val="Response"/>
        <w:numPr>
          <w:ilvl w:val="0"/>
          <w:numId w:val="13"/>
        </w:numPr>
      </w:pPr>
      <w:r>
        <w:rPr>
          <w:b/>
          <w:i/>
          <w:iCs/>
        </w:rPr>
        <w:t>Table 12</w:t>
      </w:r>
      <w:r>
        <w:t xml:space="preserve"> summarizes the results of RTI’s analysis of whether missing data varied across selected resident characteristics related to self-reported pain. </w:t>
      </w:r>
    </w:p>
    <w:p w14:paraId="0F8FCF3A" w14:textId="1B88A31B" w:rsidR="00474D6C" w:rsidRDefault="00474D6C" w:rsidP="00474D6C">
      <w:pPr>
        <w:pStyle w:val="bulletblue1"/>
        <w:numPr>
          <w:ilvl w:val="0"/>
          <w:numId w:val="0"/>
        </w:numPr>
        <w:ind w:left="720"/>
      </w:pPr>
      <w:r>
        <w:t xml:space="preserve">Specifically, we analyzed whether missing data on pain items J0300, J0400, or J0600 varied systematically on the following characteristics: age greater than or equal to 85, gender, and a </w:t>
      </w:r>
      <w:r w:rsidR="0048203B">
        <w:t xml:space="preserve">BIMS </w:t>
      </w:r>
      <w:r>
        <w:t xml:space="preserve">score </w:t>
      </w:r>
      <w:r w:rsidR="0048203B">
        <w:t>of</w:t>
      </w:r>
      <w:r>
        <w:t xml:space="preserve"> less than or equal to 12 (indicating cognitive impairment</w:t>
      </w:r>
      <w:proofErr w:type="gramStart"/>
      <w:r>
        <w:t>)</w:t>
      </w:r>
      <w:r w:rsidR="0048203B">
        <w:t xml:space="preserve">, </w:t>
      </w:r>
      <w:r w:rsidR="0048203B">
        <w:rPr>
          <w:rFonts w:ascii="Calibri" w:eastAsia="MS Mincho" w:hAnsi="Calibri" w:cs="Calibri"/>
          <w:bCs/>
        </w:rPr>
        <w:t>and</w:t>
      </w:r>
      <w:proofErr w:type="gramEnd"/>
      <w:r w:rsidR="0048203B">
        <w:rPr>
          <w:rFonts w:ascii="Calibri" w:eastAsia="MS Mincho" w:hAnsi="Calibri" w:cs="Calibri"/>
          <w:bCs/>
        </w:rPr>
        <w:t xml:space="preserve"> used Chi-Squared tests to determine whether these differences were statistically significant</w:t>
      </w:r>
      <w:r>
        <w:t xml:space="preserve">. </w:t>
      </w:r>
      <w:r>
        <w:rPr>
          <w:b/>
          <w:bCs/>
          <w:i/>
          <w:iCs/>
        </w:rPr>
        <w:t>Table 12</w:t>
      </w:r>
      <w:r>
        <w:t xml:space="preserve"> summarizes the results of this analysis. </w:t>
      </w:r>
    </w:p>
    <w:p w14:paraId="1B0D95D3" w14:textId="173B573A" w:rsidR="00474D6C" w:rsidRDefault="00474D6C" w:rsidP="00474D6C">
      <w:pPr>
        <w:pStyle w:val="TableTitle"/>
      </w:pPr>
      <w:r>
        <w:t>Table 12</w:t>
      </w:r>
      <w:r>
        <w:br/>
        <w:t xml:space="preserve"> Frequency of Missing Data by Select Res</w:t>
      </w:r>
      <w:r w:rsidR="00984D5D">
        <w:t>ident Characteristics Among Short</w:t>
      </w:r>
      <w:r>
        <w:t>-Stay Residents</w:t>
      </w:r>
    </w:p>
    <w:tbl>
      <w:tblPr>
        <w:tblW w:w="0" w:type="auto"/>
        <w:tblLook w:val="04A0" w:firstRow="1" w:lastRow="0" w:firstColumn="1" w:lastColumn="0" w:noHBand="0" w:noVBand="1"/>
      </w:tblPr>
      <w:tblGrid>
        <w:gridCol w:w="3347"/>
        <w:gridCol w:w="913"/>
        <w:gridCol w:w="899"/>
        <w:gridCol w:w="908"/>
        <w:gridCol w:w="1133"/>
        <w:gridCol w:w="1082"/>
        <w:gridCol w:w="1078"/>
      </w:tblGrid>
      <w:tr w:rsidR="00474D6C" w14:paraId="4CC0EE0C" w14:textId="77777777" w:rsidTr="00F132B1">
        <w:trPr>
          <w:trHeight w:val="315"/>
        </w:trPr>
        <w:tc>
          <w:tcPr>
            <w:tcW w:w="0" w:type="auto"/>
            <w:vMerge w:val="restart"/>
            <w:tcBorders>
              <w:top w:val="single" w:sz="12" w:space="0" w:color="auto"/>
              <w:left w:val="nil"/>
              <w:bottom w:val="single" w:sz="4" w:space="0" w:color="auto"/>
              <w:right w:val="single" w:sz="12" w:space="0" w:color="auto"/>
            </w:tcBorders>
            <w:vAlign w:val="center"/>
            <w:hideMark/>
          </w:tcPr>
          <w:p w14:paraId="73398A81" w14:textId="77777777" w:rsidR="00474D6C" w:rsidRDefault="00474D6C" w:rsidP="00F132B1">
            <w:pPr>
              <w:spacing w:after="0" w:line="240" w:lineRule="auto"/>
              <w:jc w:val="center"/>
              <w:rPr>
                <w:rFonts w:ascii="Calibri" w:eastAsia="Times New Roman" w:hAnsi="Calibri" w:cs="Times New Roman"/>
                <w:color w:val="0000FF"/>
                <w:sz w:val="20"/>
                <w:szCs w:val="20"/>
              </w:rPr>
            </w:pPr>
            <w:r>
              <w:rPr>
                <w:rFonts w:ascii="Calibri" w:eastAsia="Times New Roman" w:hAnsi="Calibri" w:cs="Times New Roman"/>
                <w:color w:val="0000FF"/>
                <w:sz w:val="20"/>
                <w:szCs w:val="20"/>
              </w:rPr>
              <w:t>Any missing data on J0300, J0400, or J0600</w:t>
            </w:r>
          </w:p>
        </w:tc>
        <w:tc>
          <w:tcPr>
            <w:tcW w:w="0" w:type="auto"/>
            <w:gridSpan w:val="2"/>
            <w:tcBorders>
              <w:top w:val="single" w:sz="12" w:space="0" w:color="auto"/>
              <w:left w:val="nil"/>
              <w:bottom w:val="single" w:sz="4" w:space="0" w:color="auto"/>
              <w:right w:val="single" w:sz="8" w:space="0" w:color="auto"/>
            </w:tcBorders>
            <w:vAlign w:val="center"/>
            <w:hideMark/>
          </w:tcPr>
          <w:p w14:paraId="01836251" w14:textId="77777777" w:rsidR="00474D6C" w:rsidRDefault="00474D6C" w:rsidP="00F132B1">
            <w:pPr>
              <w:spacing w:after="0" w:line="240" w:lineRule="auto"/>
              <w:jc w:val="center"/>
              <w:rPr>
                <w:rFonts w:ascii="Calibri" w:eastAsia="Times New Roman" w:hAnsi="Calibri" w:cs="Times New Roman"/>
                <w:color w:val="0000FF"/>
                <w:sz w:val="20"/>
                <w:szCs w:val="20"/>
              </w:rPr>
            </w:pPr>
            <w:r>
              <w:rPr>
                <w:rFonts w:ascii="Calibri" w:eastAsia="Times New Roman" w:hAnsi="Calibri" w:cs="Times New Roman"/>
                <w:color w:val="0000FF"/>
                <w:sz w:val="20"/>
                <w:szCs w:val="20"/>
              </w:rPr>
              <w:t>Age</w:t>
            </w:r>
          </w:p>
        </w:tc>
        <w:tc>
          <w:tcPr>
            <w:tcW w:w="2046" w:type="dxa"/>
            <w:gridSpan w:val="2"/>
            <w:tcBorders>
              <w:top w:val="single" w:sz="12" w:space="0" w:color="auto"/>
              <w:left w:val="single" w:sz="8" w:space="0" w:color="auto"/>
              <w:bottom w:val="single" w:sz="4" w:space="0" w:color="auto"/>
              <w:right w:val="single" w:sz="8" w:space="0" w:color="auto"/>
            </w:tcBorders>
            <w:vAlign w:val="center"/>
            <w:hideMark/>
          </w:tcPr>
          <w:p w14:paraId="285F5CD3" w14:textId="77777777" w:rsidR="00474D6C" w:rsidRDefault="00474D6C" w:rsidP="00F132B1">
            <w:pPr>
              <w:spacing w:after="0" w:line="240" w:lineRule="auto"/>
              <w:jc w:val="center"/>
              <w:rPr>
                <w:rFonts w:ascii="Calibri" w:eastAsia="Times New Roman" w:hAnsi="Calibri" w:cs="Times New Roman"/>
                <w:color w:val="0000FF"/>
                <w:sz w:val="20"/>
                <w:szCs w:val="20"/>
              </w:rPr>
            </w:pPr>
            <w:r>
              <w:rPr>
                <w:rFonts w:ascii="Calibri" w:eastAsia="Times New Roman" w:hAnsi="Calibri" w:cs="Times New Roman"/>
                <w:color w:val="0000FF"/>
                <w:sz w:val="20"/>
                <w:szCs w:val="20"/>
              </w:rPr>
              <w:t>Gender</w:t>
            </w:r>
          </w:p>
        </w:tc>
        <w:tc>
          <w:tcPr>
            <w:tcW w:w="2160" w:type="dxa"/>
            <w:gridSpan w:val="2"/>
            <w:tcBorders>
              <w:top w:val="single" w:sz="12" w:space="0" w:color="auto"/>
              <w:left w:val="single" w:sz="8" w:space="0" w:color="auto"/>
              <w:bottom w:val="single" w:sz="4" w:space="0" w:color="auto"/>
              <w:right w:val="nil"/>
            </w:tcBorders>
            <w:vAlign w:val="center"/>
            <w:hideMark/>
          </w:tcPr>
          <w:p w14:paraId="6D78C23F" w14:textId="77777777" w:rsidR="00474D6C" w:rsidRDefault="00474D6C" w:rsidP="00F132B1">
            <w:pPr>
              <w:spacing w:after="0" w:line="240" w:lineRule="auto"/>
              <w:jc w:val="center"/>
              <w:rPr>
                <w:rFonts w:ascii="Calibri" w:eastAsia="Times New Roman" w:hAnsi="Calibri" w:cs="Times New Roman"/>
                <w:color w:val="0000FF"/>
                <w:sz w:val="20"/>
                <w:szCs w:val="20"/>
              </w:rPr>
            </w:pPr>
            <w:r>
              <w:rPr>
                <w:rFonts w:ascii="Calibri" w:eastAsia="Times New Roman" w:hAnsi="Calibri" w:cs="Times New Roman"/>
                <w:color w:val="0000FF"/>
                <w:sz w:val="20"/>
                <w:szCs w:val="20"/>
              </w:rPr>
              <w:t>BIMS Score</w:t>
            </w:r>
          </w:p>
        </w:tc>
      </w:tr>
      <w:tr w:rsidR="00474D6C" w14:paraId="70A5FE49" w14:textId="77777777" w:rsidTr="00F132B1">
        <w:trPr>
          <w:trHeight w:val="330"/>
        </w:trPr>
        <w:tc>
          <w:tcPr>
            <w:tcW w:w="0" w:type="auto"/>
            <w:vMerge/>
            <w:tcBorders>
              <w:top w:val="single" w:sz="12" w:space="0" w:color="auto"/>
              <w:left w:val="nil"/>
              <w:bottom w:val="single" w:sz="4" w:space="0" w:color="auto"/>
              <w:right w:val="single" w:sz="12" w:space="0" w:color="auto"/>
            </w:tcBorders>
            <w:vAlign w:val="center"/>
            <w:hideMark/>
          </w:tcPr>
          <w:p w14:paraId="20792E09" w14:textId="77777777" w:rsidR="00474D6C" w:rsidRDefault="00474D6C" w:rsidP="00F132B1">
            <w:pPr>
              <w:spacing w:after="0"/>
              <w:rPr>
                <w:rFonts w:ascii="Calibri" w:eastAsia="Times New Roman" w:hAnsi="Calibri" w:cs="Times New Roman"/>
                <w:color w:val="0000FF"/>
                <w:sz w:val="20"/>
                <w:szCs w:val="20"/>
              </w:rPr>
            </w:pPr>
          </w:p>
        </w:tc>
        <w:tc>
          <w:tcPr>
            <w:tcW w:w="0" w:type="auto"/>
            <w:tcBorders>
              <w:top w:val="single" w:sz="4" w:space="0" w:color="auto"/>
              <w:left w:val="nil"/>
              <w:bottom w:val="single" w:sz="4" w:space="0" w:color="auto"/>
              <w:right w:val="single" w:sz="4" w:space="0" w:color="auto"/>
            </w:tcBorders>
            <w:vAlign w:val="center"/>
            <w:hideMark/>
          </w:tcPr>
          <w:p w14:paraId="63E7C36B" w14:textId="77777777" w:rsidR="00474D6C" w:rsidRDefault="00474D6C" w:rsidP="00F132B1">
            <w:pPr>
              <w:spacing w:after="0" w:line="240" w:lineRule="auto"/>
              <w:jc w:val="center"/>
              <w:rPr>
                <w:rFonts w:ascii="Calibri" w:eastAsia="Times New Roman" w:hAnsi="Calibri" w:cs="Times New Roman"/>
                <w:color w:val="0000FF"/>
                <w:sz w:val="20"/>
                <w:szCs w:val="20"/>
              </w:rPr>
            </w:pPr>
            <w:r>
              <w:rPr>
                <w:rFonts w:ascii="Calibri" w:eastAsia="Times New Roman" w:hAnsi="Calibri" w:cs="Times New Roman"/>
                <w:color w:val="0000FF"/>
                <w:sz w:val="20"/>
                <w:szCs w:val="20"/>
              </w:rPr>
              <w:t>Age &lt; 85</w:t>
            </w:r>
          </w:p>
        </w:tc>
        <w:tc>
          <w:tcPr>
            <w:tcW w:w="0" w:type="auto"/>
            <w:tcBorders>
              <w:top w:val="single" w:sz="4" w:space="0" w:color="auto"/>
              <w:left w:val="nil"/>
              <w:bottom w:val="single" w:sz="4" w:space="0" w:color="auto"/>
              <w:right w:val="nil"/>
            </w:tcBorders>
            <w:vAlign w:val="center"/>
            <w:hideMark/>
          </w:tcPr>
          <w:p w14:paraId="4D40C9E5" w14:textId="77777777" w:rsidR="00474D6C" w:rsidRDefault="00474D6C" w:rsidP="00F132B1">
            <w:pPr>
              <w:spacing w:after="0" w:line="240" w:lineRule="auto"/>
              <w:jc w:val="center"/>
              <w:rPr>
                <w:rFonts w:ascii="Calibri" w:eastAsia="Times New Roman" w:hAnsi="Calibri" w:cs="Times New Roman"/>
                <w:color w:val="0000FF"/>
                <w:sz w:val="20"/>
                <w:szCs w:val="20"/>
              </w:rPr>
            </w:pPr>
            <w:r>
              <w:rPr>
                <w:rFonts w:ascii="Calibri" w:eastAsia="Times New Roman" w:hAnsi="Calibri" w:cs="Times New Roman"/>
                <w:color w:val="0000FF"/>
                <w:sz w:val="20"/>
                <w:szCs w:val="20"/>
              </w:rPr>
              <w:t>Age ≥ 85</w:t>
            </w:r>
          </w:p>
        </w:tc>
        <w:tc>
          <w:tcPr>
            <w:tcW w:w="0" w:type="auto"/>
            <w:tcBorders>
              <w:top w:val="single" w:sz="4" w:space="0" w:color="auto"/>
              <w:left w:val="single" w:sz="4" w:space="0" w:color="auto"/>
              <w:bottom w:val="single" w:sz="4" w:space="0" w:color="auto"/>
              <w:right w:val="single" w:sz="4" w:space="0" w:color="auto"/>
            </w:tcBorders>
            <w:vAlign w:val="center"/>
            <w:hideMark/>
          </w:tcPr>
          <w:p w14:paraId="498E30DB" w14:textId="77777777" w:rsidR="00474D6C" w:rsidRDefault="00474D6C" w:rsidP="00F132B1">
            <w:pPr>
              <w:spacing w:after="0" w:line="240" w:lineRule="auto"/>
              <w:jc w:val="center"/>
              <w:rPr>
                <w:rFonts w:ascii="Calibri" w:eastAsia="Times New Roman" w:hAnsi="Calibri" w:cs="Times New Roman"/>
                <w:color w:val="0000FF"/>
                <w:sz w:val="20"/>
                <w:szCs w:val="20"/>
              </w:rPr>
            </w:pPr>
            <w:r>
              <w:rPr>
                <w:rFonts w:ascii="Calibri" w:eastAsia="Times New Roman" w:hAnsi="Calibri" w:cs="Times New Roman"/>
                <w:color w:val="0000FF"/>
                <w:sz w:val="20"/>
                <w:szCs w:val="20"/>
              </w:rPr>
              <w:t>Female</w:t>
            </w:r>
          </w:p>
        </w:tc>
        <w:tc>
          <w:tcPr>
            <w:tcW w:w="1085" w:type="dxa"/>
            <w:tcBorders>
              <w:top w:val="single" w:sz="4" w:space="0" w:color="auto"/>
              <w:left w:val="nil"/>
              <w:bottom w:val="single" w:sz="4" w:space="0" w:color="auto"/>
              <w:right w:val="single" w:sz="4" w:space="0" w:color="auto"/>
            </w:tcBorders>
            <w:vAlign w:val="center"/>
            <w:hideMark/>
          </w:tcPr>
          <w:p w14:paraId="6EF51327" w14:textId="77777777" w:rsidR="00474D6C" w:rsidRDefault="00474D6C" w:rsidP="00F132B1">
            <w:pPr>
              <w:spacing w:after="0" w:line="240" w:lineRule="auto"/>
              <w:jc w:val="center"/>
              <w:rPr>
                <w:rFonts w:ascii="Calibri" w:eastAsia="Times New Roman" w:hAnsi="Calibri" w:cs="Times New Roman"/>
                <w:color w:val="0000FF"/>
                <w:sz w:val="20"/>
                <w:szCs w:val="20"/>
              </w:rPr>
            </w:pPr>
            <w:r>
              <w:rPr>
                <w:rFonts w:ascii="Calibri" w:eastAsia="Times New Roman" w:hAnsi="Calibri" w:cs="Times New Roman"/>
                <w:color w:val="0000FF"/>
                <w:sz w:val="20"/>
                <w:szCs w:val="20"/>
              </w:rPr>
              <w:t>Male</w:t>
            </w:r>
          </w:p>
        </w:tc>
        <w:tc>
          <w:tcPr>
            <w:tcW w:w="1082" w:type="dxa"/>
            <w:tcBorders>
              <w:top w:val="single" w:sz="4" w:space="0" w:color="auto"/>
              <w:left w:val="nil"/>
              <w:bottom w:val="single" w:sz="4" w:space="0" w:color="auto"/>
              <w:right w:val="single" w:sz="4" w:space="0" w:color="auto"/>
            </w:tcBorders>
            <w:vAlign w:val="center"/>
            <w:hideMark/>
          </w:tcPr>
          <w:p w14:paraId="4AECB7F4" w14:textId="77777777" w:rsidR="00474D6C" w:rsidRDefault="00474D6C" w:rsidP="00F132B1">
            <w:pPr>
              <w:spacing w:after="0" w:line="240" w:lineRule="auto"/>
              <w:jc w:val="center"/>
              <w:rPr>
                <w:rFonts w:ascii="Calibri" w:eastAsia="Times New Roman" w:hAnsi="Calibri" w:cs="Times New Roman"/>
                <w:color w:val="0000FF"/>
                <w:sz w:val="20"/>
                <w:szCs w:val="20"/>
              </w:rPr>
            </w:pPr>
            <w:r>
              <w:rPr>
                <w:rFonts w:ascii="Calibri" w:eastAsia="Times New Roman" w:hAnsi="Calibri" w:cs="Times New Roman"/>
                <w:color w:val="0000FF"/>
                <w:sz w:val="20"/>
                <w:szCs w:val="20"/>
              </w:rPr>
              <w:t>BIMS &gt; 12</w:t>
            </w:r>
          </w:p>
        </w:tc>
        <w:tc>
          <w:tcPr>
            <w:tcW w:w="0" w:type="auto"/>
            <w:tcBorders>
              <w:top w:val="single" w:sz="4" w:space="0" w:color="auto"/>
              <w:left w:val="nil"/>
              <w:bottom w:val="single" w:sz="4" w:space="0" w:color="auto"/>
              <w:right w:val="nil"/>
            </w:tcBorders>
            <w:vAlign w:val="center"/>
            <w:hideMark/>
          </w:tcPr>
          <w:p w14:paraId="7659DDFC" w14:textId="77777777" w:rsidR="00474D6C" w:rsidRDefault="00474D6C" w:rsidP="00F132B1">
            <w:pPr>
              <w:spacing w:after="0" w:line="240" w:lineRule="auto"/>
              <w:jc w:val="center"/>
              <w:rPr>
                <w:rFonts w:ascii="Calibri" w:eastAsia="Times New Roman" w:hAnsi="Calibri" w:cs="Times New Roman"/>
                <w:color w:val="0000FF"/>
                <w:sz w:val="20"/>
                <w:szCs w:val="20"/>
              </w:rPr>
            </w:pPr>
            <w:r>
              <w:rPr>
                <w:rFonts w:ascii="Calibri" w:eastAsia="Times New Roman" w:hAnsi="Calibri" w:cs="Times New Roman"/>
                <w:color w:val="0000FF"/>
                <w:sz w:val="20"/>
                <w:szCs w:val="20"/>
              </w:rPr>
              <w:t>BIMS ≤ 12</w:t>
            </w:r>
          </w:p>
        </w:tc>
      </w:tr>
      <w:tr w:rsidR="00474D6C" w14:paraId="506A32CD" w14:textId="77777777" w:rsidTr="00F132B1">
        <w:trPr>
          <w:trHeight w:val="315"/>
        </w:trPr>
        <w:tc>
          <w:tcPr>
            <w:tcW w:w="0" w:type="auto"/>
            <w:tcBorders>
              <w:top w:val="single" w:sz="4" w:space="0" w:color="auto"/>
              <w:left w:val="nil"/>
              <w:bottom w:val="nil"/>
              <w:right w:val="single" w:sz="12" w:space="0" w:color="auto"/>
            </w:tcBorders>
            <w:vAlign w:val="center"/>
            <w:hideMark/>
          </w:tcPr>
          <w:p w14:paraId="2B192C88" w14:textId="77777777" w:rsidR="00474D6C" w:rsidRDefault="00474D6C" w:rsidP="00F132B1">
            <w:pPr>
              <w:spacing w:after="0" w:line="240" w:lineRule="auto"/>
              <w:rPr>
                <w:rFonts w:ascii="Calibri" w:eastAsia="Times New Roman" w:hAnsi="Calibri" w:cs="Times New Roman"/>
                <w:color w:val="0000FF"/>
                <w:sz w:val="20"/>
                <w:szCs w:val="20"/>
              </w:rPr>
            </w:pPr>
            <w:r>
              <w:rPr>
                <w:rFonts w:ascii="Calibri" w:eastAsia="Times New Roman" w:hAnsi="Calibri" w:cs="Times New Roman"/>
                <w:color w:val="0000FF"/>
                <w:sz w:val="20"/>
                <w:szCs w:val="20"/>
              </w:rPr>
              <w:t>Percent of Resident (%)</w:t>
            </w:r>
          </w:p>
        </w:tc>
        <w:tc>
          <w:tcPr>
            <w:tcW w:w="0" w:type="auto"/>
            <w:tcBorders>
              <w:top w:val="single" w:sz="4" w:space="0" w:color="auto"/>
              <w:left w:val="nil"/>
              <w:bottom w:val="nil"/>
              <w:right w:val="single" w:sz="4" w:space="0" w:color="auto"/>
            </w:tcBorders>
            <w:vAlign w:val="bottom"/>
            <w:hideMark/>
          </w:tcPr>
          <w:p w14:paraId="7FCE3A8A" w14:textId="77777777" w:rsidR="00474D6C" w:rsidRDefault="00474D6C" w:rsidP="00F132B1">
            <w:pPr>
              <w:spacing w:after="0" w:line="240" w:lineRule="auto"/>
              <w:jc w:val="right"/>
              <w:rPr>
                <w:rFonts w:ascii="Calibri" w:eastAsia="Times New Roman" w:hAnsi="Calibri" w:cs="Times New Roman"/>
                <w:color w:val="0000FF"/>
                <w:sz w:val="20"/>
                <w:szCs w:val="20"/>
              </w:rPr>
            </w:pPr>
            <w:r>
              <w:rPr>
                <w:rFonts w:ascii="Calibri" w:eastAsia="Times New Roman" w:hAnsi="Calibri" w:cs="Times New Roman"/>
                <w:color w:val="0000FF"/>
                <w:sz w:val="20"/>
                <w:szCs w:val="20"/>
              </w:rPr>
              <w:t>23.8%</w:t>
            </w:r>
          </w:p>
        </w:tc>
        <w:tc>
          <w:tcPr>
            <w:tcW w:w="0" w:type="auto"/>
            <w:tcBorders>
              <w:top w:val="single" w:sz="4" w:space="0" w:color="auto"/>
              <w:left w:val="nil"/>
              <w:bottom w:val="nil"/>
              <w:right w:val="single" w:sz="4" w:space="0" w:color="auto"/>
            </w:tcBorders>
            <w:vAlign w:val="bottom"/>
            <w:hideMark/>
          </w:tcPr>
          <w:p w14:paraId="25A8B7DF" w14:textId="77777777" w:rsidR="00474D6C" w:rsidRDefault="00474D6C" w:rsidP="00F132B1">
            <w:pPr>
              <w:spacing w:after="0" w:line="240" w:lineRule="auto"/>
              <w:jc w:val="right"/>
              <w:rPr>
                <w:rFonts w:ascii="Calibri" w:eastAsia="Times New Roman" w:hAnsi="Calibri" w:cs="Times New Roman"/>
                <w:color w:val="0000FF"/>
                <w:sz w:val="20"/>
                <w:szCs w:val="20"/>
              </w:rPr>
            </w:pPr>
            <w:r>
              <w:rPr>
                <w:rFonts w:ascii="Calibri" w:eastAsia="Times New Roman" w:hAnsi="Calibri" w:cs="Times New Roman"/>
                <w:color w:val="0000FF"/>
                <w:sz w:val="20"/>
                <w:szCs w:val="20"/>
              </w:rPr>
              <w:t>20.4%</w:t>
            </w:r>
          </w:p>
        </w:tc>
        <w:tc>
          <w:tcPr>
            <w:tcW w:w="0" w:type="auto"/>
            <w:tcBorders>
              <w:top w:val="single" w:sz="4" w:space="0" w:color="auto"/>
              <w:left w:val="nil"/>
              <w:bottom w:val="nil"/>
              <w:right w:val="single" w:sz="4" w:space="0" w:color="auto"/>
            </w:tcBorders>
            <w:vAlign w:val="bottom"/>
          </w:tcPr>
          <w:p w14:paraId="54A2A3AD" w14:textId="77777777" w:rsidR="00474D6C" w:rsidRDefault="00474D6C" w:rsidP="00F132B1">
            <w:pPr>
              <w:spacing w:after="0" w:line="240" w:lineRule="auto"/>
              <w:jc w:val="right"/>
              <w:rPr>
                <w:rFonts w:ascii="Calibri" w:eastAsia="Times New Roman" w:hAnsi="Calibri" w:cs="Times New Roman"/>
                <w:color w:val="0000FF"/>
                <w:sz w:val="20"/>
                <w:szCs w:val="20"/>
              </w:rPr>
            </w:pPr>
            <w:r>
              <w:rPr>
                <w:rFonts w:ascii="Calibri" w:eastAsia="Times New Roman" w:hAnsi="Calibri" w:cs="Times New Roman"/>
                <w:color w:val="0000FF"/>
                <w:sz w:val="20"/>
                <w:szCs w:val="20"/>
              </w:rPr>
              <w:t>21.3%</w:t>
            </w:r>
          </w:p>
        </w:tc>
        <w:tc>
          <w:tcPr>
            <w:tcW w:w="1085" w:type="dxa"/>
            <w:tcBorders>
              <w:top w:val="single" w:sz="4" w:space="0" w:color="auto"/>
              <w:left w:val="nil"/>
              <w:bottom w:val="nil"/>
              <w:right w:val="single" w:sz="4" w:space="0" w:color="auto"/>
            </w:tcBorders>
            <w:vAlign w:val="bottom"/>
          </w:tcPr>
          <w:p w14:paraId="7E6E107D" w14:textId="77777777" w:rsidR="00474D6C" w:rsidRDefault="00474D6C" w:rsidP="00F132B1">
            <w:pPr>
              <w:spacing w:after="0" w:line="240" w:lineRule="auto"/>
              <w:jc w:val="right"/>
              <w:rPr>
                <w:rFonts w:ascii="Calibri" w:eastAsia="Times New Roman" w:hAnsi="Calibri" w:cs="Times New Roman"/>
                <w:color w:val="0000FF"/>
                <w:sz w:val="20"/>
                <w:szCs w:val="20"/>
              </w:rPr>
            </w:pPr>
            <w:r>
              <w:rPr>
                <w:rFonts w:ascii="Calibri" w:eastAsia="Times New Roman" w:hAnsi="Calibri" w:cs="Times New Roman"/>
                <w:color w:val="0000FF"/>
                <w:sz w:val="20"/>
                <w:szCs w:val="20"/>
              </w:rPr>
              <w:t>25.0%</w:t>
            </w:r>
          </w:p>
        </w:tc>
        <w:tc>
          <w:tcPr>
            <w:tcW w:w="1082" w:type="dxa"/>
            <w:tcBorders>
              <w:top w:val="single" w:sz="4" w:space="0" w:color="auto"/>
              <w:left w:val="nil"/>
              <w:bottom w:val="nil"/>
              <w:right w:val="single" w:sz="4" w:space="0" w:color="auto"/>
            </w:tcBorders>
            <w:vAlign w:val="bottom"/>
            <w:hideMark/>
          </w:tcPr>
          <w:p w14:paraId="5F7B9A26" w14:textId="77777777" w:rsidR="00474D6C" w:rsidRDefault="00474D6C" w:rsidP="00F132B1">
            <w:pPr>
              <w:spacing w:after="0" w:line="240" w:lineRule="auto"/>
              <w:jc w:val="right"/>
              <w:rPr>
                <w:rFonts w:ascii="Calibri" w:eastAsia="Times New Roman" w:hAnsi="Calibri" w:cs="Times New Roman"/>
                <w:color w:val="0000FF"/>
                <w:sz w:val="20"/>
                <w:szCs w:val="20"/>
              </w:rPr>
            </w:pPr>
            <w:r>
              <w:rPr>
                <w:rFonts w:ascii="Calibri" w:eastAsia="Times New Roman" w:hAnsi="Calibri" w:cs="Times New Roman"/>
                <w:color w:val="0000FF"/>
                <w:sz w:val="20"/>
                <w:szCs w:val="20"/>
              </w:rPr>
              <w:t>5.6%</w:t>
            </w:r>
          </w:p>
        </w:tc>
        <w:tc>
          <w:tcPr>
            <w:tcW w:w="0" w:type="auto"/>
            <w:tcBorders>
              <w:top w:val="single" w:sz="4" w:space="0" w:color="auto"/>
              <w:left w:val="nil"/>
              <w:bottom w:val="nil"/>
              <w:right w:val="nil"/>
            </w:tcBorders>
            <w:vAlign w:val="bottom"/>
            <w:hideMark/>
          </w:tcPr>
          <w:p w14:paraId="23D57EB2" w14:textId="77777777" w:rsidR="00474D6C" w:rsidRDefault="00474D6C" w:rsidP="00F132B1">
            <w:pPr>
              <w:spacing w:after="0" w:line="240" w:lineRule="auto"/>
              <w:jc w:val="right"/>
              <w:rPr>
                <w:rFonts w:ascii="Calibri" w:eastAsia="Times New Roman" w:hAnsi="Calibri" w:cs="Times New Roman"/>
                <w:color w:val="0000FF"/>
                <w:sz w:val="20"/>
                <w:szCs w:val="20"/>
              </w:rPr>
            </w:pPr>
            <w:r>
              <w:rPr>
                <w:rFonts w:ascii="Calibri" w:eastAsia="Times New Roman" w:hAnsi="Calibri" w:cs="Times New Roman"/>
                <w:color w:val="0000FF"/>
                <w:sz w:val="20"/>
                <w:szCs w:val="20"/>
              </w:rPr>
              <w:t>6.0%</w:t>
            </w:r>
          </w:p>
        </w:tc>
      </w:tr>
      <w:tr w:rsidR="00474D6C" w14:paraId="44D2D4E6" w14:textId="77777777" w:rsidTr="00F132B1">
        <w:trPr>
          <w:trHeight w:val="315"/>
        </w:trPr>
        <w:tc>
          <w:tcPr>
            <w:tcW w:w="0" w:type="auto"/>
            <w:tcBorders>
              <w:top w:val="nil"/>
              <w:left w:val="nil"/>
              <w:bottom w:val="single" w:sz="4" w:space="0" w:color="auto"/>
              <w:right w:val="single" w:sz="12" w:space="0" w:color="auto"/>
            </w:tcBorders>
            <w:vAlign w:val="center"/>
            <w:hideMark/>
          </w:tcPr>
          <w:p w14:paraId="152BCEE6" w14:textId="77777777" w:rsidR="00474D6C" w:rsidRDefault="00474D6C" w:rsidP="00F132B1">
            <w:pPr>
              <w:spacing w:after="0" w:line="240" w:lineRule="auto"/>
              <w:rPr>
                <w:rFonts w:ascii="Calibri" w:eastAsia="Times New Roman" w:hAnsi="Calibri" w:cs="Times New Roman"/>
                <w:color w:val="0000FF"/>
                <w:sz w:val="20"/>
                <w:szCs w:val="20"/>
              </w:rPr>
            </w:pPr>
            <w:r>
              <w:rPr>
                <w:rFonts w:ascii="Calibri" w:eastAsia="Times New Roman" w:hAnsi="Calibri" w:cs="Times New Roman"/>
                <w:color w:val="0000FF"/>
                <w:sz w:val="20"/>
                <w:szCs w:val="20"/>
              </w:rPr>
              <w:t>Frequency of Residents (n)</w:t>
            </w:r>
          </w:p>
        </w:tc>
        <w:tc>
          <w:tcPr>
            <w:tcW w:w="0" w:type="auto"/>
            <w:tcBorders>
              <w:top w:val="nil"/>
              <w:left w:val="nil"/>
              <w:bottom w:val="single" w:sz="8" w:space="0" w:color="auto"/>
              <w:right w:val="single" w:sz="4" w:space="0" w:color="auto"/>
            </w:tcBorders>
            <w:vAlign w:val="bottom"/>
            <w:hideMark/>
          </w:tcPr>
          <w:p w14:paraId="4CACFAA9" w14:textId="77777777" w:rsidR="00474D6C" w:rsidRDefault="00474D6C" w:rsidP="00F132B1">
            <w:pPr>
              <w:spacing w:after="0" w:line="240" w:lineRule="auto"/>
              <w:jc w:val="right"/>
              <w:rPr>
                <w:rFonts w:ascii="Calibri" w:eastAsia="Times New Roman" w:hAnsi="Calibri" w:cs="Times New Roman"/>
                <w:color w:val="0000FF"/>
                <w:sz w:val="20"/>
                <w:szCs w:val="20"/>
              </w:rPr>
            </w:pPr>
            <w:r>
              <w:rPr>
                <w:rFonts w:ascii="Calibri" w:eastAsia="Times New Roman" w:hAnsi="Calibri" w:cs="Times New Roman"/>
                <w:color w:val="0000FF"/>
                <w:sz w:val="20"/>
                <w:szCs w:val="20"/>
              </w:rPr>
              <w:t xml:space="preserve">254,642          </w:t>
            </w:r>
          </w:p>
        </w:tc>
        <w:tc>
          <w:tcPr>
            <w:tcW w:w="0" w:type="auto"/>
            <w:tcBorders>
              <w:top w:val="nil"/>
              <w:left w:val="nil"/>
              <w:bottom w:val="single" w:sz="8" w:space="0" w:color="auto"/>
              <w:right w:val="single" w:sz="4" w:space="0" w:color="auto"/>
            </w:tcBorders>
            <w:vAlign w:val="bottom"/>
            <w:hideMark/>
          </w:tcPr>
          <w:p w14:paraId="23190C93" w14:textId="77777777" w:rsidR="00474D6C" w:rsidRDefault="00474D6C" w:rsidP="00F132B1">
            <w:pPr>
              <w:spacing w:after="0" w:line="240" w:lineRule="auto"/>
              <w:jc w:val="right"/>
              <w:rPr>
                <w:rFonts w:ascii="Calibri" w:eastAsia="Times New Roman" w:hAnsi="Calibri" w:cs="Times New Roman"/>
                <w:color w:val="0000FF"/>
                <w:sz w:val="20"/>
                <w:szCs w:val="20"/>
              </w:rPr>
            </w:pPr>
            <w:r>
              <w:rPr>
                <w:rFonts w:ascii="Calibri" w:eastAsia="Times New Roman" w:hAnsi="Calibri" w:cs="Times New Roman"/>
                <w:color w:val="0000FF"/>
                <w:sz w:val="20"/>
                <w:szCs w:val="20"/>
              </w:rPr>
              <w:t xml:space="preserve">92,734         </w:t>
            </w:r>
          </w:p>
        </w:tc>
        <w:tc>
          <w:tcPr>
            <w:tcW w:w="0" w:type="auto"/>
            <w:tcBorders>
              <w:top w:val="nil"/>
              <w:left w:val="nil"/>
              <w:bottom w:val="single" w:sz="8" w:space="0" w:color="auto"/>
              <w:right w:val="single" w:sz="4" w:space="0" w:color="auto"/>
            </w:tcBorders>
            <w:vAlign w:val="bottom"/>
            <w:hideMark/>
          </w:tcPr>
          <w:p w14:paraId="13041B74" w14:textId="77777777" w:rsidR="00474D6C" w:rsidRDefault="00474D6C" w:rsidP="00F132B1">
            <w:pPr>
              <w:spacing w:after="0" w:line="240" w:lineRule="auto"/>
              <w:jc w:val="right"/>
              <w:rPr>
                <w:rFonts w:ascii="Calibri" w:eastAsia="Times New Roman" w:hAnsi="Calibri" w:cs="Times New Roman"/>
                <w:color w:val="0000FF"/>
                <w:sz w:val="20"/>
                <w:szCs w:val="20"/>
              </w:rPr>
            </w:pPr>
            <w:r>
              <w:rPr>
                <w:rFonts w:ascii="Calibri" w:eastAsia="Times New Roman" w:hAnsi="Calibri" w:cs="Times New Roman"/>
                <w:color w:val="0000FF"/>
                <w:sz w:val="20"/>
                <w:szCs w:val="20"/>
              </w:rPr>
              <w:t xml:space="preserve">191,827          </w:t>
            </w:r>
          </w:p>
        </w:tc>
        <w:tc>
          <w:tcPr>
            <w:tcW w:w="1085" w:type="dxa"/>
            <w:tcBorders>
              <w:top w:val="nil"/>
              <w:left w:val="nil"/>
              <w:bottom w:val="single" w:sz="8" w:space="0" w:color="auto"/>
              <w:right w:val="single" w:sz="4" w:space="0" w:color="auto"/>
            </w:tcBorders>
            <w:vAlign w:val="bottom"/>
            <w:hideMark/>
          </w:tcPr>
          <w:p w14:paraId="1F9DDF86" w14:textId="77777777" w:rsidR="00474D6C" w:rsidRDefault="00474D6C" w:rsidP="00F132B1">
            <w:pPr>
              <w:spacing w:after="0" w:line="240" w:lineRule="auto"/>
              <w:jc w:val="right"/>
              <w:rPr>
                <w:rFonts w:ascii="Calibri" w:eastAsia="Times New Roman" w:hAnsi="Calibri" w:cs="Times New Roman"/>
                <w:color w:val="0000FF"/>
                <w:sz w:val="20"/>
                <w:szCs w:val="20"/>
              </w:rPr>
            </w:pPr>
            <w:r>
              <w:rPr>
                <w:rFonts w:ascii="Calibri" w:eastAsia="Times New Roman" w:hAnsi="Calibri" w:cs="Times New Roman"/>
                <w:color w:val="0000FF"/>
                <w:sz w:val="20"/>
                <w:szCs w:val="20"/>
              </w:rPr>
              <w:t xml:space="preserve">155,549          </w:t>
            </w:r>
          </w:p>
        </w:tc>
        <w:tc>
          <w:tcPr>
            <w:tcW w:w="1082" w:type="dxa"/>
            <w:tcBorders>
              <w:top w:val="nil"/>
              <w:left w:val="nil"/>
              <w:bottom w:val="single" w:sz="8" w:space="0" w:color="auto"/>
              <w:right w:val="single" w:sz="4" w:space="0" w:color="auto"/>
            </w:tcBorders>
            <w:vAlign w:val="bottom"/>
            <w:hideMark/>
          </w:tcPr>
          <w:p w14:paraId="0694DBDE" w14:textId="77777777" w:rsidR="00474D6C" w:rsidRDefault="00474D6C" w:rsidP="00F132B1">
            <w:pPr>
              <w:spacing w:after="0" w:line="240" w:lineRule="auto"/>
              <w:jc w:val="right"/>
              <w:rPr>
                <w:rFonts w:ascii="Calibri" w:eastAsia="Times New Roman" w:hAnsi="Calibri" w:cs="Times New Roman"/>
                <w:color w:val="0000FF"/>
                <w:sz w:val="20"/>
                <w:szCs w:val="20"/>
              </w:rPr>
            </w:pPr>
            <w:r>
              <w:rPr>
                <w:rFonts w:ascii="Calibri" w:eastAsia="Times New Roman" w:hAnsi="Calibri" w:cs="Times New Roman"/>
                <w:color w:val="0000FF"/>
                <w:sz w:val="20"/>
                <w:szCs w:val="20"/>
              </w:rPr>
              <w:t xml:space="preserve">45,277          </w:t>
            </w:r>
          </w:p>
        </w:tc>
        <w:tc>
          <w:tcPr>
            <w:tcW w:w="0" w:type="auto"/>
            <w:tcBorders>
              <w:top w:val="nil"/>
              <w:left w:val="nil"/>
              <w:bottom w:val="single" w:sz="8" w:space="0" w:color="auto"/>
              <w:right w:val="nil"/>
            </w:tcBorders>
            <w:vAlign w:val="bottom"/>
            <w:hideMark/>
          </w:tcPr>
          <w:p w14:paraId="17C3925E" w14:textId="77777777" w:rsidR="00474D6C" w:rsidRDefault="00474D6C" w:rsidP="00F132B1">
            <w:pPr>
              <w:spacing w:after="0" w:line="240" w:lineRule="auto"/>
              <w:jc w:val="right"/>
              <w:rPr>
                <w:rFonts w:ascii="Calibri" w:eastAsia="Times New Roman" w:hAnsi="Calibri" w:cs="Times New Roman"/>
                <w:color w:val="0000FF"/>
                <w:sz w:val="20"/>
                <w:szCs w:val="20"/>
              </w:rPr>
            </w:pPr>
            <w:r>
              <w:rPr>
                <w:rFonts w:ascii="Calibri" w:eastAsia="Times New Roman" w:hAnsi="Calibri" w:cs="Times New Roman"/>
                <w:color w:val="0000FF"/>
                <w:sz w:val="20"/>
                <w:szCs w:val="20"/>
              </w:rPr>
              <w:t xml:space="preserve">20,110          </w:t>
            </w:r>
          </w:p>
        </w:tc>
      </w:tr>
      <w:tr w:rsidR="00474D6C" w14:paraId="2D7DD18A" w14:textId="77777777" w:rsidTr="00F132B1">
        <w:trPr>
          <w:trHeight w:val="315"/>
        </w:trPr>
        <w:tc>
          <w:tcPr>
            <w:tcW w:w="0" w:type="auto"/>
            <w:tcBorders>
              <w:top w:val="single" w:sz="4" w:space="0" w:color="auto"/>
              <w:left w:val="nil"/>
              <w:bottom w:val="single" w:sz="12" w:space="0" w:color="auto"/>
              <w:right w:val="single" w:sz="12" w:space="0" w:color="auto"/>
            </w:tcBorders>
            <w:vAlign w:val="center"/>
            <w:hideMark/>
          </w:tcPr>
          <w:p w14:paraId="673E5099" w14:textId="77777777" w:rsidR="00474D6C" w:rsidRDefault="00474D6C" w:rsidP="00F132B1">
            <w:pPr>
              <w:spacing w:after="0" w:line="240" w:lineRule="auto"/>
              <w:rPr>
                <w:rFonts w:ascii="Calibri" w:eastAsia="Times New Roman" w:hAnsi="Calibri" w:cs="Times New Roman"/>
                <w:color w:val="0000FF"/>
                <w:sz w:val="20"/>
                <w:szCs w:val="20"/>
              </w:rPr>
            </w:pPr>
            <w:r>
              <w:rPr>
                <w:rFonts w:eastAsia="Times New Roman" w:cs="Times New Roman"/>
                <w:color w:val="0000FF"/>
                <w:sz w:val="18"/>
                <w:szCs w:val="18"/>
              </w:rPr>
              <w:t>Pearson chi</w:t>
            </w:r>
            <w:r>
              <w:rPr>
                <w:rFonts w:eastAsia="Times New Roman" w:cs="Times New Roman"/>
                <w:color w:val="0000FF"/>
                <w:sz w:val="18"/>
                <w:szCs w:val="18"/>
                <w:vertAlign w:val="superscript"/>
              </w:rPr>
              <w:t>2</w:t>
            </w:r>
            <w:r>
              <w:rPr>
                <w:rFonts w:eastAsia="Times New Roman" w:cs="Times New Roman"/>
                <w:color w:val="0000FF"/>
                <w:sz w:val="18"/>
                <w:szCs w:val="18"/>
              </w:rPr>
              <w:t xml:space="preserve"> P-value</w:t>
            </w:r>
          </w:p>
        </w:tc>
        <w:tc>
          <w:tcPr>
            <w:tcW w:w="0" w:type="auto"/>
            <w:gridSpan w:val="2"/>
            <w:tcBorders>
              <w:top w:val="single" w:sz="8" w:space="0" w:color="auto"/>
              <w:left w:val="nil"/>
              <w:bottom w:val="single" w:sz="12" w:space="0" w:color="auto"/>
              <w:right w:val="single" w:sz="4" w:space="0" w:color="auto"/>
            </w:tcBorders>
            <w:vAlign w:val="bottom"/>
            <w:hideMark/>
          </w:tcPr>
          <w:p w14:paraId="5CA6DDA4" w14:textId="77777777" w:rsidR="00474D6C" w:rsidRDefault="00474D6C" w:rsidP="00F132B1">
            <w:pPr>
              <w:spacing w:after="0" w:line="240" w:lineRule="auto"/>
              <w:jc w:val="center"/>
              <w:rPr>
                <w:rFonts w:ascii="Calibri" w:eastAsia="Times New Roman" w:hAnsi="Calibri" w:cs="Times New Roman"/>
                <w:color w:val="0000FF"/>
                <w:sz w:val="20"/>
                <w:szCs w:val="20"/>
              </w:rPr>
            </w:pPr>
            <w:r>
              <w:rPr>
                <w:rFonts w:eastAsia="Times New Roman" w:cs="Times New Roman"/>
                <w:color w:val="0000FF"/>
                <w:sz w:val="18"/>
                <w:szCs w:val="18"/>
              </w:rPr>
              <w:t>&lt;0.001</w:t>
            </w:r>
          </w:p>
        </w:tc>
        <w:tc>
          <w:tcPr>
            <w:tcW w:w="2046" w:type="dxa"/>
            <w:gridSpan w:val="2"/>
            <w:tcBorders>
              <w:top w:val="single" w:sz="8" w:space="0" w:color="auto"/>
              <w:left w:val="nil"/>
              <w:bottom w:val="single" w:sz="12" w:space="0" w:color="auto"/>
              <w:right w:val="single" w:sz="4" w:space="0" w:color="auto"/>
            </w:tcBorders>
            <w:vAlign w:val="bottom"/>
            <w:hideMark/>
          </w:tcPr>
          <w:p w14:paraId="0891B12D" w14:textId="77777777" w:rsidR="00474D6C" w:rsidRDefault="00474D6C" w:rsidP="00F132B1">
            <w:pPr>
              <w:spacing w:after="0" w:line="240" w:lineRule="auto"/>
              <w:jc w:val="center"/>
              <w:rPr>
                <w:rFonts w:ascii="Calibri" w:eastAsia="Times New Roman" w:hAnsi="Calibri" w:cs="Times New Roman"/>
                <w:color w:val="0000FF"/>
                <w:sz w:val="20"/>
                <w:szCs w:val="20"/>
              </w:rPr>
            </w:pPr>
            <w:r>
              <w:rPr>
                <w:rFonts w:eastAsia="Times New Roman" w:cs="Times New Roman"/>
                <w:color w:val="0000FF"/>
                <w:sz w:val="18"/>
                <w:szCs w:val="18"/>
              </w:rPr>
              <w:t>&lt;0.001</w:t>
            </w:r>
          </w:p>
        </w:tc>
        <w:tc>
          <w:tcPr>
            <w:tcW w:w="2160" w:type="dxa"/>
            <w:gridSpan w:val="2"/>
            <w:tcBorders>
              <w:top w:val="single" w:sz="8" w:space="0" w:color="auto"/>
              <w:left w:val="nil"/>
              <w:bottom w:val="single" w:sz="12" w:space="0" w:color="auto"/>
              <w:right w:val="nil"/>
            </w:tcBorders>
            <w:vAlign w:val="bottom"/>
            <w:hideMark/>
          </w:tcPr>
          <w:p w14:paraId="5846C198" w14:textId="77777777" w:rsidR="00474D6C" w:rsidRDefault="00474D6C" w:rsidP="00F132B1">
            <w:pPr>
              <w:spacing w:after="0" w:line="240" w:lineRule="auto"/>
              <w:jc w:val="center"/>
              <w:rPr>
                <w:rFonts w:ascii="Calibri" w:eastAsia="Times New Roman" w:hAnsi="Calibri" w:cs="Times New Roman"/>
                <w:color w:val="0000FF"/>
                <w:sz w:val="20"/>
                <w:szCs w:val="20"/>
              </w:rPr>
            </w:pPr>
            <w:r>
              <w:rPr>
                <w:rFonts w:eastAsia="Times New Roman" w:cs="Times New Roman"/>
                <w:color w:val="0000FF"/>
                <w:sz w:val="18"/>
                <w:szCs w:val="18"/>
              </w:rPr>
              <w:t>&lt;0.001</w:t>
            </w:r>
          </w:p>
        </w:tc>
      </w:tr>
    </w:tbl>
    <w:p w14:paraId="4EDC757F" w14:textId="027C6515" w:rsidR="00474D6C" w:rsidRDefault="00474D6C" w:rsidP="00474D6C">
      <w:pPr>
        <w:pStyle w:val="Response"/>
        <w:rPr>
          <w:sz w:val="20"/>
          <w:szCs w:val="20"/>
        </w:rPr>
      </w:pPr>
      <w:r>
        <w:rPr>
          <w:sz w:val="20"/>
          <w:szCs w:val="20"/>
        </w:rPr>
        <w:t xml:space="preserve">NOTES: J0300 = Pain Presence; J0400 = Pain Frequency; J0600 = Pain Intensity; Please note residents who were excluded because they were unable to participate in the pain assessment interview (i.e., they were rarely or never understood (J0200 = [0]) or they were unable to answer when asked, “Have you had pain or hurting at any time in the last 5 days? (J0300 = [9])) are not considered to have missing data and are not </w:t>
      </w:r>
      <w:r w:rsidR="00F14E72">
        <w:rPr>
          <w:sz w:val="20"/>
          <w:szCs w:val="20"/>
        </w:rPr>
        <w:t xml:space="preserve">presented </w:t>
      </w:r>
      <w:r>
        <w:rPr>
          <w:sz w:val="20"/>
          <w:szCs w:val="20"/>
        </w:rPr>
        <w:t xml:space="preserve">in this </w:t>
      </w:r>
      <w:r w:rsidR="00F14E72">
        <w:rPr>
          <w:sz w:val="20"/>
          <w:szCs w:val="20"/>
        </w:rPr>
        <w:t>table</w:t>
      </w:r>
      <w:r>
        <w:rPr>
          <w:sz w:val="20"/>
          <w:szCs w:val="20"/>
        </w:rPr>
        <w:t>; rather we consider them excluded because they were unable to self-report.</w:t>
      </w:r>
    </w:p>
    <w:p w14:paraId="7A946538" w14:textId="77777777" w:rsidR="00474D6C" w:rsidRDefault="00474D6C" w:rsidP="00474D6C">
      <w:pPr>
        <w:pStyle w:val="Response"/>
        <w:rPr>
          <w:sz w:val="20"/>
          <w:szCs w:val="20"/>
        </w:rPr>
      </w:pPr>
      <w:r>
        <w:rPr>
          <w:sz w:val="20"/>
          <w:szCs w:val="20"/>
        </w:rPr>
        <w:t>Analysis date: 12/5/2017</w:t>
      </w:r>
    </w:p>
    <w:p w14:paraId="29FC1E9D" w14:textId="77777777" w:rsidR="00474D6C" w:rsidRDefault="00474D6C" w:rsidP="00474D6C">
      <w:pPr>
        <w:pStyle w:val="Response"/>
        <w:rPr>
          <w:sz w:val="20"/>
          <w:szCs w:val="20"/>
        </w:rPr>
      </w:pPr>
      <w:r>
        <w:rPr>
          <w:sz w:val="20"/>
          <w:szCs w:val="20"/>
        </w:rPr>
        <w:t>SOURCE: RTI analysis of Q2 2017MDS 3.0 data (programming reference: rn16/rn16_request_ss.log)</w:t>
      </w:r>
    </w:p>
    <w:p w14:paraId="057DB59C" w14:textId="0A1E37A8" w:rsidR="00474D6C" w:rsidRPr="000A399C" w:rsidRDefault="00474D6C" w:rsidP="000A399C">
      <w:pPr>
        <w:autoSpaceDE w:val="0"/>
        <w:autoSpaceDN w:val="0"/>
        <w:adjustRightInd w:val="0"/>
        <w:spacing w:after="0" w:line="240" w:lineRule="auto"/>
        <w:ind w:left="720"/>
        <w:rPr>
          <w:rFonts w:ascii="Calibri" w:eastAsia="MS Mincho" w:hAnsi="Calibri" w:cs="Calibri"/>
          <w:bCs/>
          <w:color w:val="0000FF"/>
        </w:rPr>
      </w:pPr>
      <w:r>
        <w:rPr>
          <w:rFonts w:ascii="Calibri" w:eastAsia="MS Mincho" w:hAnsi="Calibri" w:cs="Calibri"/>
          <w:b/>
          <w:bCs/>
          <w:i/>
          <w:color w:val="0000FF"/>
        </w:rPr>
        <w:t xml:space="preserve">Table 12 </w:t>
      </w:r>
      <w:r>
        <w:rPr>
          <w:rFonts w:ascii="Calibri" w:eastAsia="MS Mincho" w:hAnsi="Calibri" w:cs="Calibri"/>
          <w:bCs/>
          <w:color w:val="0000FF"/>
        </w:rPr>
        <w:t xml:space="preserve">shows that, </w:t>
      </w:r>
      <w:r w:rsidR="0048203B">
        <w:rPr>
          <w:rFonts w:ascii="Calibri" w:eastAsia="MS Mincho" w:hAnsi="Calibri" w:cs="Calibri"/>
          <w:bCs/>
          <w:color w:val="0000FF"/>
        </w:rPr>
        <w:t xml:space="preserve">while all differences were statistically significant, </w:t>
      </w:r>
      <w:r>
        <w:rPr>
          <w:rFonts w:ascii="Calibri" w:eastAsia="MS Mincho" w:hAnsi="Calibri" w:cs="Calibri"/>
          <w:bCs/>
          <w:color w:val="0000FF"/>
        </w:rPr>
        <w:t xml:space="preserve">rates of missing data on pain items are not drastically different among individuals by age, gender and cognitive impairment.  </w:t>
      </w:r>
      <w:r w:rsidR="0048203B">
        <w:rPr>
          <w:rFonts w:ascii="Calibri" w:eastAsia="MS Mincho" w:hAnsi="Calibri" w:cs="Calibri"/>
          <w:bCs/>
          <w:color w:val="0000FF"/>
        </w:rPr>
        <w:t>For residents aged 85 years or older, 20.4% had missing data on J0300, J0400, or J0600, compared to 23.8% of younger residents (</w:t>
      </w:r>
      <w:r w:rsidR="0048203B">
        <w:rPr>
          <w:rFonts w:ascii="Calibri" w:eastAsia="MS Mincho" w:hAnsi="Calibri" w:cs="Calibri"/>
          <w:bCs/>
          <w:i/>
          <w:color w:val="0000FF"/>
        </w:rPr>
        <w:t>χ</w:t>
      </w:r>
      <w:r w:rsidR="0048203B">
        <w:rPr>
          <w:rFonts w:ascii="Calibri" w:eastAsia="MS Mincho" w:hAnsi="Calibri" w:cs="Calibri"/>
          <w:bCs/>
          <w:color w:val="0000FF"/>
          <w:vertAlign w:val="superscript"/>
        </w:rPr>
        <w:t>2</w:t>
      </w:r>
      <w:r w:rsidR="0048203B">
        <w:rPr>
          <w:rFonts w:ascii="Calibri" w:eastAsia="MS Mincho" w:hAnsi="Calibri" w:cs="Calibri"/>
          <w:bCs/>
          <w:color w:val="0000FF"/>
        </w:rPr>
        <w:t xml:space="preserve">(1) = 3,000, </w:t>
      </w:r>
      <w:r w:rsidR="0048203B">
        <w:rPr>
          <w:rFonts w:ascii="Calibri" w:eastAsia="MS Mincho" w:hAnsi="Calibri" w:cs="Calibri"/>
          <w:bCs/>
          <w:i/>
          <w:color w:val="0000FF"/>
        </w:rPr>
        <w:t>p</w:t>
      </w:r>
      <w:r w:rsidR="0048203B">
        <w:rPr>
          <w:rFonts w:ascii="Calibri" w:eastAsia="MS Mincho" w:hAnsi="Calibri" w:cs="Calibri"/>
          <w:bCs/>
          <w:color w:val="0000FF"/>
        </w:rPr>
        <w:t xml:space="preserve"> &lt; .001). Whereas 25.0% of the male residents had missing data, 21.3% of the female residents had missing data (</w:t>
      </w:r>
      <w:r w:rsidR="0048203B">
        <w:rPr>
          <w:rFonts w:ascii="Calibri" w:eastAsia="MS Mincho" w:hAnsi="Calibri" w:cs="Calibri"/>
          <w:bCs/>
          <w:i/>
          <w:color w:val="0000FF"/>
        </w:rPr>
        <w:t>χ</w:t>
      </w:r>
      <w:r w:rsidR="0048203B">
        <w:rPr>
          <w:rFonts w:ascii="Calibri" w:eastAsia="MS Mincho" w:hAnsi="Calibri" w:cs="Calibri"/>
          <w:bCs/>
          <w:color w:val="0000FF"/>
          <w:vertAlign w:val="superscript"/>
        </w:rPr>
        <w:t>2</w:t>
      </w:r>
      <w:r w:rsidR="0048203B">
        <w:rPr>
          <w:rFonts w:ascii="Calibri" w:eastAsia="MS Mincho" w:hAnsi="Calibri" w:cs="Calibri"/>
          <w:bCs/>
          <w:color w:val="0000FF"/>
        </w:rPr>
        <w:t xml:space="preserve">(1) = 2,900, </w:t>
      </w:r>
      <w:r w:rsidR="0048203B">
        <w:rPr>
          <w:rFonts w:ascii="Calibri" w:eastAsia="MS Mincho" w:hAnsi="Calibri" w:cs="Calibri"/>
          <w:bCs/>
          <w:i/>
          <w:color w:val="0000FF"/>
        </w:rPr>
        <w:t>p</w:t>
      </w:r>
      <w:r w:rsidR="0048203B">
        <w:rPr>
          <w:rFonts w:ascii="Calibri" w:eastAsia="MS Mincho" w:hAnsi="Calibri" w:cs="Calibri"/>
          <w:bCs/>
          <w:color w:val="0000FF"/>
        </w:rPr>
        <w:t xml:space="preserve"> &lt; .001).  In addition, 5.6% of residents with a BIMS score greater than 12 had missing data, and 6.0% of residents with a BIMS score ≤12 had missing data (</w:t>
      </w:r>
      <w:r w:rsidR="0048203B">
        <w:rPr>
          <w:rFonts w:ascii="Calibri" w:eastAsia="MS Mincho" w:hAnsi="Calibri" w:cs="Calibri"/>
          <w:bCs/>
          <w:i/>
          <w:color w:val="0000FF"/>
        </w:rPr>
        <w:t>χ</w:t>
      </w:r>
      <w:r w:rsidR="0048203B">
        <w:rPr>
          <w:rFonts w:ascii="Calibri" w:eastAsia="MS Mincho" w:hAnsi="Calibri" w:cs="Calibri"/>
          <w:bCs/>
          <w:color w:val="0000FF"/>
          <w:vertAlign w:val="superscript"/>
        </w:rPr>
        <w:t>2</w:t>
      </w:r>
      <w:r w:rsidR="0048203B">
        <w:rPr>
          <w:rFonts w:ascii="Calibri" w:eastAsia="MS Mincho" w:hAnsi="Calibri" w:cs="Calibri"/>
          <w:bCs/>
          <w:color w:val="0000FF"/>
        </w:rPr>
        <w:t xml:space="preserve">(1) = </w:t>
      </w:r>
      <w:r w:rsidR="00F06D71">
        <w:rPr>
          <w:rFonts w:ascii="Calibri" w:eastAsia="MS Mincho" w:hAnsi="Calibri" w:cs="Calibri"/>
          <w:bCs/>
          <w:color w:val="0000FF"/>
        </w:rPr>
        <w:t>5,900,</w:t>
      </w:r>
      <w:r w:rsidR="0048203B">
        <w:rPr>
          <w:rFonts w:ascii="Calibri" w:eastAsia="MS Mincho" w:hAnsi="Calibri" w:cs="Calibri"/>
          <w:bCs/>
          <w:color w:val="0000FF"/>
        </w:rPr>
        <w:t xml:space="preserve"> </w:t>
      </w:r>
      <w:r w:rsidR="0048203B">
        <w:rPr>
          <w:rFonts w:ascii="Calibri" w:eastAsia="MS Mincho" w:hAnsi="Calibri" w:cs="Calibri"/>
          <w:bCs/>
          <w:i/>
          <w:color w:val="0000FF"/>
        </w:rPr>
        <w:t>p</w:t>
      </w:r>
      <w:r w:rsidR="0048203B">
        <w:rPr>
          <w:rFonts w:ascii="Calibri" w:eastAsia="MS Mincho" w:hAnsi="Calibri" w:cs="Calibri"/>
          <w:bCs/>
          <w:color w:val="0000FF"/>
        </w:rPr>
        <w:t xml:space="preserve"> &lt; .001).   </w:t>
      </w:r>
    </w:p>
    <w:p w14:paraId="42ACE196" w14:textId="77777777" w:rsidR="00474D6C" w:rsidRPr="00E1508F" w:rsidRDefault="00474D6C" w:rsidP="00474D6C">
      <w:pPr>
        <w:autoSpaceDE w:val="0"/>
        <w:autoSpaceDN w:val="0"/>
        <w:adjustRightInd w:val="0"/>
        <w:spacing w:after="0" w:line="240" w:lineRule="auto"/>
        <w:rPr>
          <w:rFonts w:cstheme="minorHAnsi"/>
          <w:bCs/>
        </w:rPr>
      </w:pPr>
    </w:p>
    <w:p w14:paraId="7D570F01" w14:textId="77777777" w:rsidR="00474D6C" w:rsidRDefault="00474D6C" w:rsidP="00474D6C">
      <w:pPr>
        <w:autoSpaceDE w:val="0"/>
        <w:autoSpaceDN w:val="0"/>
        <w:adjustRightInd w:val="0"/>
        <w:spacing w:after="0" w:line="240" w:lineRule="auto"/>
        <w:rPr>
          <w:rFonts w:cstheme="minorHAnsi"/>
          <w:bCs/>
        </w:rPr>
      </w:pPr>
      <w:r>
        <w:rPr>
          <w:rFonts w:cstheme="minorHAnsi"/>
          <w:b/>
          <w:bCs/>
        </w:rPr>
        <w:t xml:space="preserve">2b6.3. </w:t>
      </w:r>
      <w:r w:rsidRPr="00A25024">
        <w:rPr>
          <w:rFonts w:cstheme="minorHAnsi"/>
          <w:b/>
          <w:bCs/>
        </w:rPr>
        <w:t>What is your interpretation of the results in terms of demonstrating</w:t>
      </w:r>
      <w:r>
        <w:rPr>
          <w:rFonts w:cstheme="minorHAnsi"/>
          <w:b/>
          <w:bCs/>
        </w:rPr>
        <w:t xml:space="preserve"> that </w:t>
      </w:r>
      <w:r w:rsidRPr="00A831B4">
        <w:rPr>
          <w:rFonts w:ascii="Calibri" w:eastAsia="Calibri" w:hAnsi="Calibri" w:cs="Calibri"/>
          <w:b/>
        </w:rPr>
        <w:t>performance results are not biased</w:t>
      </w:r>
      <w:r w:rsidRPr="006A028C">
        <w:rPr>
          <w:rFonts w:ascii="Calibri" w:eastAsia="Calibri" w:hAnsi="Calibri" w:cs="Calibri"/>
        </w:rPr>
        <w:t xml:space="preserve"> due to systematic missing data (or differences between responders and </w:t>
      </w:r>
      <w:proofErr w:type="spellStart"/>
      <w:r w:rsidRPr="006A028C">
        <w:rPr>
          <w:rFonts w:ascii="Calibri" w:eastAsia="Calibri" w:hAnsi="Calibri" w:cs="Calibri"/>
        </w:rPr>
        <w:t>nonresponders</w:t>
      </w:r>
      <w:proofErr w:type="spellEnd"/>
      <w:r w:rsidRPr="006A028C">
        <w:rPr>
          <w:rFonts w:ascii="Calibri" w:eastAsia="Calibri" w:hAnsi="Calibri" w:cs="Calibri"/>
        </w:rPr>
        <w:t>)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Pr="00FC5DE1">
        <w:rPr>
          <w:rFonts w:cstheme="minorHAnsi"/>
          <w:bCs/>
          <w:i/>
        </w:rPr>
        <w:t>in terms of supporting the selected approach for missing data</w:t>
      </w:r>
      <w:r w:rsidRPr="00A25024">
        <w:rPr>
          <w:rFonts w:cstheme="minorHAnsi"/>
          <w:bCs/>
          <w:i/>
        </w:rPr>
        <w:t xml:space="preserve"> and what are the norms for the test conducted</w:t>
      </w:r>
      <w:r>
        <w:rPr>
          <w:rFonts w:cstheme="minorHAnsi"/>
          <w:bCs/>
          <w:i/>
        </w:rPr>
        <w:t>;</w:t>
      </w:r>
      <w:r w:rsidRPr="00FC5DE1">
        <w:rPr>
          <w:rFonts w:cstheme="minorHAnsi"/>
          <w:bCs/>
          <w:i/>
        </w:rPr>
        <w:t xml:space="preserve"> </w:t>
      </w:r>
      <w:r w:rsidRPr="00FC5DE1">
        <w:rPr>
          <w:rFonts w:cstheme="minorHAnsi"/>
          <w:bCs/>
          <w:i/>
          <w:u w:val="single"/>
        </w:rPr>
        <w:t>if no empirical analysis</w:t>
      </w:r>
      <w:r w:rsidRPr="00FC5DE1">
        <w:rPr>
          <w:rFonts w:cstheme="minorHAnsi"/>
          <w:bCs/>
          <w:i/>
        </w:rPr>
        <w:t>, provide rationale for the selected approach for missing data</w:t>
      </w:r>
      <w:r w:rsidRPr="00A25024">
        <w:rPr>
          <w:rFonts w:cstheme="minorHAnsi"/>
          <w:bCs/>
        </w:rPr>
        <w:t>)</w:t>
      </w:r>
    </w:p>
    <w:p w14:paraId="0FE79F90" w14:textId="77777777" w:rsidR="00474D6C" w:rsidRDefault="00474D6C" w:rsidP="00474D6C">
      <w:pPr>
        <w:autoSpaceDE w:val="0"/>
        <w:autoSpaceDN w:val="0"/>
        <w:adjustRightInd w:val="0"/>
        <w:spacing w:after="0" w:line="240" w:lineRule="auto"/>
        <w:rPr>
          <w:rFonts w:cstheme="minorHAnsi"/>
          <w:bCs/>
        </w:rPr>
      </w:pPr>
    </w:p>
    <w:p w14:paraId="43E11714" w14:textId="5A68AF0F" w:rsidR="00474D6C" w:rsidRDefault="00143099" w:rsidP="00E11663">
      <w:pPr>
        <w:pStyle w:val="ListBullet2"/>
        <w:tabs>
          <w:tab w:val="left" w:pos="720"/>
        </w:tabs>
        <w:spacing w:line="240" w:lineRule="auto"/>
        <w:ind w:left="360" w:firstLine="0"/>
      </w:pPr>
      <w:r>
        <w:t>The</w:t>
      </w:r>
      <w:r w:rsidR="00474D6C">
        <w:t xml:space="preserve"> mean facility-level missing data </w:t>
      </w:r>
      <w:r w:rsidR="00474D6C" w:rsidRPr="00143099">
        <w:t>rate for this measure was 20.3%</w:t>
      </w:r>
      <w:r w:rsidRPr="00143099">
        <w:t>; the top</w:t>
      </w:r>
      <w:r w:rsidR="00474D6C" w:rsidRPr="00143099">
        <w:t xml:space="preserve"> 10% of facilities had missing data rates of 37.1% or higher.</w:t>
      </w:r>
      <w:r w:rsidR="00474D6C">
        <w:t xml:space="preserve"> </w:t>
      </w:r>
    </w:p>
    <w:p w14:paraId="2D3F23D9" w14:textId="77777777" w:rsidR="00474D6C" w:rsidRDefault="00474D6C" w:rsidP="00E11663">
      <w:pPr>
        <w:pStyle w:val="ListBullet2"/>
        <w:tabs>
          <w:tab w:val="left" w:pos="720"/>
        </w:tabs>
        <w:spacing w:line="240" w:lineRule="auto"/>
        <w:ind w:left="360" w:firstLine="0"/>
      </w:pPr>
    </w:p>
    <w:p w14:paraId="6A4EFD8B" w14:textId="42E76B23" w:rsidR="00474D6C" w:rsidRDefault="003813D6" w:rsidP="00E11663">
      <w:pPr>
        <w:pStyle w:val="ListBullet2"/>
        <w:tabs>
          <w:tab w:val="left" w:pos="720"/>
        </w:tabs>
        <w:spacing w:line="240" w:lineRule="auto"/>
        <w:ind w:left="360" w:firstLine="0"/>
      </w:pPr>
      <w:r>
        <w:t>Of the 21.1</w:t>
      </w:r>
      <w:r w:rsidR="00474D6C">
        <w:t>% of residents excluded from this measure due to missing data on the pain items (</w:t>
      </w:r>
      <w:r w:rsidR="00474D6C" w:rsidRPr="00F14E72">
        <w:rPr>
          <w:i/>
        </w:rPr>
        <w:t>n</w:t>
      </w:r>
      <w:r w:rsidR="00474D6C">
        <w:t xml:space="preserve"> = </w:t>
      </w:r>
      <w:r w:rsidRPr="0029162E">
        <w:t>347,376</w:t>
      </w:r>
      <w:r>
        <w:rPr>
          <w:bCs/>
        </w:rPr>
        <w:t>)</w:t>
      </w:r>
      <w:r w:rsidR="00611C7A">
        <w:rPr>
          <w:bCs/>
        </w:rPr>
        <w:t>,</w:t>
      </w:r>
      <w:r>
        <w:rPr>
          <w:bCs/>
        </w:rPr>
        <w:t xml:space="preserve"> 71.4</w:t>
      </w:r>
      <w:r w:rsidR="00474D6C">
        <w:rPr>
          <w:bCs/>
        </w:rPr>
        <w:t>% (</w:t>
      </w:r>
      <w:r w:rsidR="00474D6C" w:rsidRPr="00F14E72">
        <w:rPr>
          <w:bCs/>
          <w:i/>
        </w:rPr>
        <w:t>n</w:t>
      </w:r>
      <w:r w:rsidR="00474D6C">
        <w:rPr>
          <w:bCs/>
        </w:rPr>
        <w:t xml:space="preserve"> = </w:t>
      </w:r>
      <w:r w:rsidRPr="008B02C0">
        <w:t>248,</w:t>
      </w:r>
      <w:r w:rsidRPr="009D4F8B">
        <w:t>092</w:t>
      </w:r>
      <w:r w:rsidR="00474D6C">
        <w:rPr>
          <w:bCs/>
        </w:rPr>
        <w:t xml:space="preserve">) had target assessments that were unplanned discharge assessments. If the unplanned discharge item set is used, the resident interview items are not present and </w:t>
      </w:r>
      <w:r w:rsidR="00474D6C">
        <w:t>there is no opportunity to conduct a resident</w:t>
      </w:r>
      <w:r w:rsidR="00474D6C">
        <w:rPr>
          <w:bCs/>
        </w:rPr>
        <w:t xml:space="preserve"> interview or staff assessment. In these cases, </w:t>
      </w:r>
      <w:r w:rsidR="00474D6C">
        <w:t>the MDS 3.0 RAI manual allows for the entry of dashes in lieu of pain data. This is</w:t>
      </w:r>
      <w:r w:rsidR="00611C7A">
        <w:t>,</w:t>
      </w:r>
      <w:r w:rsidR="00474D6C">
        <w:t xml:space="preserve"> therefore</w:t>
      </w:r>
      <w:r w:rsidR="00611C7A">
        <w:t>,</w:t>
      </w:r>
      <w:r w:rsidR="00474D6C">
        <w:t xml:space="preserve"> a logical reason to exclude those residents for which no data are available. Analyses illustrate that missing data are weakly associated with higher scores on this measure, indicating that the use of dashes does not lead to better measure scores for facilities, which was a potential concern for the measure. Thus, not only do missing data do little to bias scores for this measure, they tend to be associated with slight </w:t>
      </w:r>
      <w:r w:rsidR="00474D6C">
        <w:rPr>
          <w:i/>
          <w:iCs/>
        </w:rPr>
        <w:t>increases</w:t>
      </w:r>
      <w:r w:rsidR="00474D6C">
        <w:t xml:space="preserve"> in quality measure scores, suggesting that facilities with missing data on assessments have not seen any quality rating benefit from missing data.</w:t>
      </w:r>
    </w:p>
    <w:p w14:paraId="7361A2CC" w14:textId="07B4F3D4" w:rsidR="00474D6C" w:rsidRDefault="00474D6C" w:rsidP="003813D6">
      <w:pPr>
        <w:pStyle w:val="ListBullet2"/>
        <w:tabs>
          <w:tab w:val="left" w:pos="720"/>
        </w:tabs>
        <w:spacing w:line="240" w:lineRule="auto"/>
        <w:ind w:left="0" w:firstLine="0"/>
      </w:pPr>
    </w:p>
    <w:p w14:paraId="03AF5C22" w14:textId="379842B9" w:rsidR="00474D6C" w:rsidRDefault="00474D6C" w:rsidP="00E11663">
      <w:pPr>
        <w:pStyle w:val="ListBullet2"/>
        <w:tabs>
          <w:tab w:val="left" w:pos="720"/>
        </w:tabs>
        <w:spacing w:line="240" w:lineRule="auto"/>
        <w:ind w:left="360" w:firstLine="0"/>
        <w:rPr>
          <w:highlight w:val="yellow"/>
        </w:rPr>
      </w:pPr>
      <w:r>
        <w:rPr>
          <w:rFonts w:cstheme="minorHAnsi"/>
          <w:bCs/>
        </w:rPr>
        <w:t>Finally, for this measure, rates of missing data on pain items are not drastically different among individuals with selected characteristics related to pain (age, gender, cognitive impairment)</w:t>
      </w:r>
      <w:r w:rsidR="00611C7A">
        <w:rPr>
          <w:rFonts w:cstheme="minorHAnsi"/>
          <w:bCs/>
        </w:rPr>
        <w:t>;</w:t>
      </w:r>
      <w:r>
        <w:rPr>
          <w:rFonts w:cstheme="minorHAnsi"/>
          <w:bCs/>
        </w:rPr>
        <w:t xml:space="preserve"> however, these small differences are statistically significant.</w:t>
      </w:r>
    </w:p>
    <w:p w14:paraId="796E26BE" w14:textId="77777777" w:rsidR="00474D6C" w:rsidRDefault="00474D6C" w:rsidP="00474D6C">
      <w:pPr>
        <w:pStyle w:val="Response"/>
      </w:pPr>
    </w:p>
    <w:p w14:paraId="1B3AF8CC" w14:textId="77777777" w:rsidR="007E6E74" w:rsidRPr="005560E7" w:rsidRDefault="007E6E74">
      <w:pPr>
        <w:autoSpaceDE w:val="0"/>
        <w:autoSpaceDN w:val="0"/>
        <w:adjustRightInd w:val="0"/>
        <w:spacing w:after="0" w:line="240" w:lineRule="auto"/>
        <w:rPr>
          <w:rFonts w:cstheme="minorHAnsi"/>
          <w:bCs/>
        </w:rPr>
      </w:pPr>
    </w:p>
    <w:sectPr w:rsidR="007E6E74" w:rsidRPr="005560E7" w:rsidSect="008505D1">
      <w:headerReference w:type="default" r:id="rId23"/>
      <w:footerReference w:type="defaul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D50AFE" w14:textId="77777777" w:rsidR="001D4EB8" w:rsidRDefault="001D4EB8" w:rsidP="005C73CA">
      <w:pPr>
        <w:spacing w:after="0" w:line="240" w:lineRule="auto"/>
      </w:pPr>
      <w:r>
        <w:separator/>
      </w:r>
    </w:p>
  </w:endnote>
  <w:endnote w:type="continuationSeparator" w:id="0">
    <w:p w14:paraId="54D3EA29" w14:textId="77777777" w:rsidR="001D4EB8" w:rsidRDefault="001D4EB8" w:rsidP="005C73CA">
      <w:pPr>
        <w:spacing w:after="0" w:line="240" w:lineRule="auto"/>
      </w:pPr>
      <w:r>
        <w:continuationSeparator/>
      </w:r>
    </w:p>
  </w:endnote>
  <w:endnote w:type="continuationNotice" w:id="1">
    <w:p w14:paraId="7968620A" w14:textId="77777777" w:rsidR="001D4EB8" w:rsidRDefault="001D4E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6" w14:textId="1955D36F" w:rsidR="001D4EB8" w:rsidRDefault="001D4EB8">
    <w:pPr>
      <w:pStyle w:val="Footer"/>
    </w:pPr>
    <w:r>
      <w:t>Version 7.1 9/6/2017</w:t>
    </w:r>
    <w:r>
      <w:ptab w:relativeTo="margin" w:alignment="right" w:leader="none"/>
    </w:r>
    <w:r>
      <w:fldChar w:fldCharType="begin"/>
    </w:r>
    <w:r>
      <w:instrText xml:space="preserve"> PAGE   \* MERGEFORMAT </w:instrText>
    </w:r>
    <w:r>
      <w:fldChar w:fldCharType="separate"/>
    </w:r>
    <w:r>
      <w:rPr>
        <w:noProof/>
      </w:rPr>
      <w:t>21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69AB1B" w14:textId="77777777" w:rsidR="001D4EB8" w:rsidRDefault="001D4EB8" w:rsidP="005C73CA">
      <w:pPr>
        <w:spacing w:after="0" w:line="240" w:lineRule="auto"/>
      </w:pPr>
      <w:r>
        <w:separator/>
      </w:r>
    </w:p>
  </w:footnote>
  <w:footnote w:type="continuationSeparator" w:id="0">
    <w:p w14:paraId="67B64C5E" w14:textId="77777777" w:rsidR="001D4EB8" w:rsidRDefault="001D4EB8" w:rsidP="005C73CA">
      <w:pPr>
        <w:spacing w:after="0" w:line="240" w:lineRule="auto"/>
      </w:pPr>
      <w:r>
        <w:continuationSeparator/>
      </w:r>
    </w:p>
  </w:footnote>
  <w:footnote w:type="continuationNotice" w:id="1">
    <w:p w14:paraId="5BE65FDA" w14:textId="77777777" w:rsidR="001D4EB8" w:rsidRDefault="001D4EB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5" w14:textId="77777777" w:rsidR="001D4EB8" w:rsidRPr="00105D8B" w:rsidRDefault="001D4EB8"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852914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4D3F97"/>
    <w:multiLevelType w:val="hybridMultilevel"/>
    <w:tmpl w:val="42B47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36F35CD"/>
    <w:multiLevelType w:val="hybridMultilevel"/>
    <w:tmpl w:val="C568B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6E3F8B"/>
    <w:multiLevelType w:val="hybridMultilevel"/>
    <w:tmpl w:val="C5F260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4050385"/>
    <w:multiLevelType w:val="hybridMultilevel"/>
    <w:tmpl w:val="0FFEF94E"/>
    <w:lvl w:ilvl="0" w:tplc="D93099B2">
      <w:start w:val="1"/>
      <w:numFmt w:val="bullet"/>
      <w:pStyle w:val="bulletblue2"/>
      <w:lvlText w:val="–"/>
      <w:lvlJc w:val="left"/>
      <w:pPr>
        <w:ind w:left="720" w:hanging="360"/>
      </w:pPr>
      <w:rPr>
        <w:rFonts w:ascii="Times New Roman" w:hAnsi="Times New Roman" w:cs="Times New Roman" w:hint="default"/>
        <w:color w:val="0000FF"/>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9F271B0"/>
    <w:multiLevelType w:val="hybridMultilevel"/>
    <w:tmpl w:val="49BC479A"/>
    <w:lvl w:ilvl="0" w:tplc="430EE34A">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15:restartNumberingAfterBreak="0">
    <w:nsid w:val="3C29388B"/>
    <w:multiLevelType w:val="hybridMultilevel"/>
    <w:tmpl w:val="05E816A2"/>
    <w:lvl w:ilvl="0" w:tplc="BB401190">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42032480"/>
    <w:multiLevelType w:val="hybridMultilevel"/>
    <w:tmpl w:val="792A9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1B15B1"/>
    <w:multiLevelType w:val="hybridMultilevel"/>
    <w:tmpl w:val="B57E4208"/>
    <w:lvl w:ilvl="0" w:tplc="C1AA15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2F41178"/>
    <w:multiLevelType w:val="hybridMultilevel"/>
    <w:tmpl w:val="A9827B4A"/>
    <w:lvl w:ilvl="0" w:tplc="076AE5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7C5765"/>
    <w:multiLevelType w:val="hybridMultilevel"/>
    <w:tmpl w:val="827A0B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B063761"/>
    <w:multiLevelType w:val="hybridMultilevel"/>
    <w:tmpl w:val="792A9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18C7E45"/>
    <w:multiLevelType w:val="hybridMultilevel"/>
    <w:tmpl w:val="E8966AFC"/>
    <w:lvl w:ilvl="0" w:tplc="6EBA739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EC0A2E"/>
    <w:multiLevelType w:val="hybridMultilevel"/>
    <w:tmpl w:val="44D86B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num>
  <w:num w:numId="2">
    <w:abstractNumId w:val="14"/>
  </w:num>
  <w:num w:numId="3">
    <w:abstractNumId w:val="5"/>
  </w:num>
  <w:num w:numId="4">
    <w:abstractNumId w:val="1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2"/>
  </w:num>
  <w:num w:numId="9">
    <w:abstractNumId w:val="8"/>
  </w:num>
  <w:num w:numId="10">
    <w:abstractNumId w:val="0"/>
  </w:num>
  <w:num w:numId="11">
    <w:abstractNumId w:val="6"/>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0"/>
  </w:num>
  <w:num w:numId="16">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44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03A"/>
    <w:rsid w:val="00001D73"/>
    <w:rsid w:val="00003469"/>
    <w:rsid w:val="00004020"/>
    <w:rsid w:val="0001094F"/>
    <w:rsid w:val="00015FEC"/>
    <w:rsid w:val="00017CCF"/>
    <w:rsid w:val="00020A61"/>
    <w:rsid w:val="00021170"/>
    <w:rsid w:val="0002128B"/>
    <w:rsid w:val="00024DFD"/>
    <w:rsid w:val="00027AB8"/>
    <w:rsid w:val="000309DD"/>
    <w:rsid w:val="00031414"/>
    <w:rsid w:val="00033038"/>
    <w:rsid w:val="00033D63"/>
    <w:rsid w:val="0003436F"/>
    <w:rsid w:val="000414E8"/>
    <w:rsid w:val="00043B37"/>
    <w:rsid w:val="00044011"/>
    <w:rsid w:val="0004593A"/>
    <w:rsid w:val="00047A20"/>
    <w:rsid w:val="00050A3E"/>
    <w:rsid w:val="00052A6F"/>
    <w:rsid w:val="00053F02"/>
    <w:rsid w:val="0005612B"/>
    <w:rsid w:val="00056F6F"/>
    <w:rsid w:val="000574AB"/>
    <w:rsid w:val="0006147A"/>
    <w:rsid w:val="0006234F"/>
    <w:rsid w:val="000662A8"/>
    <w:rsid w:val="00067719"/>
    <w:rsid w:val="00067FB2"/>
    <w:rsid w:val="00075F15"/>
    <w:rsid w:val="00076814"/>
    <w:rsid w:val="000775F8"/>
    <w:rsid w:val="00080CF7"/>
    <w:rsid w:val="00081022"/>
    <w:rsid w:val="000843A1"/>
    <w:rsid w:val="000851B2"/>
    <w:rsid w:val="000869B7"/>
    <w:rsid w:val="00087940"/>
    <w:rsid w:val="00092566"/>
    <w:rsid w:val="00093B67"/>
    <w:rsid w:val="000968F8"/>
    <w:rsid w:val="00097012"/>
    <w:rsid w:val="000A399C"/>
    <w:rsid w:val="000A4DAA"/>
    <w:rsid w:val="000B032A"/>
    <w:rsid w:val="000B2DF7"/>
    <w:rsid w:val="000B3880"/>
    <w:rsid w:val="000B3DA1"/>
    <w:rsid w:val="000B6319"/>
    <w:rsid w:val="000B6727"/>
    <w:rsid w:val="000B7D57"/>
    <w:rsid w:val="000C036D"/>
    <w:rsid w:val="000C06D7"/>
    <w:rsid w:val="000C0FF8"/>
    <w:rsid w:val="000C6E93"/>
    <w:rsid w:val="000D2722"/>
    <w:rsid w:val="000D7948"/>
    <w:rsid w:val="000D7C84"/>
    <w:rsid w:val="000E4E13"/>
    <w:rsid w:val="000E78F6"/>
    <w:rsid w:val="000F034A"/>
    <w:rsid w:val="000F06B5"/>
    <w:rsid w:val="000F1B7A"/>
    <w:rsid w:val="000F39E9"/>
    <w:rsid w:val="00104B45"/>
    <w:rsid w:val="00105D8B"/>
    <w:rsid w:val="0011342F"/>
    <w:rsid w:val="001202E9"/>
    <w:rsid w:val="0012454F"/>
    <w:rsid w:val="00125273"/>
    <w:rsid w:val="0012575E"/>
    <w:rsid w:val="00127C06"/>
    <w:rsid w:val="00132A39"/>
    <w:rsid w:val="00140126"/>
    <w:rsid w:val="00141074"/>
    <w:rsid w:val="00143099"/>
    <w:rsid w:val="00143DE1"/>
    <w:rsid w:val="00145149"/>
    <w:rsid w:val="00145D4F"/>
    <w:rsid w:val="0014773C"/>
    <w:rsid w:val="001532BB"/>
    <w:rsid w:val="00154228"/>
    <w:rsid w:val="0015479C"/>
    <w:rsid w:val="0015492B"/>
    <w:rsid w:val="00154B19"/>
    <w:rsid w:val="001618EB"/>
    <w:rsid w:val="00163087"/>
    <w:rsid w:val="001636B7"/>
    <w:rsid w:val="00164845"/>
    <w:rsid w:val="00166F32"/>
    <w:rsid w:val="0017696D"/>
    <w:rsid w:val="001848FC"/>
    <w:rsid w:val="00184CC7"/>
    <w:rsid w:val="00186242"/>
    <w:rsid w:val="001866A9"/>
    <w:rsid w:val="00187891"/>
    <w:rsid w:val="0019065F"/>
    <w:rsid w:val="00193F21"/>
    <w:rsid w:val="0019498C"/>
    <w:rsid w:val="001969C5"/>
    <w:rsid w:val="001A5895"/>
    <w:rsid w:val="001A6CDD"/>
    <w:rsid w:val="001B6729"/>
    <w:rsid w:val="001C04E1"/>
    <w:rsid w:val="001C12EE"/>
    <w:rsid w:val="001C7B02"/>
    <w:rsid w:val="001D4EB8"/>
    <w:rsid w:val="001D63C4"/>
    <w:rsid w:val="001E4073"/>
    <w:rsid w:val="001E4DD4"/>
    <w:rsid w:val="001E69DC"/>
    <w:rsid w:val="001F169D"/>
    <w:rsid w:val="001F1DA1"/>
    <w:rsid w:val="001F6F93"/>
    <w:rsid w:val="001F7795"/>
    <w:rsid w:val="001F7A20"/>
    <w:rsid w:val="00201485"/>
    <w:rsid w:val="002075F5"/>
    <w:rsid w:val="0021054A"/>
    <w:rsid w:val="0021195A"/>
    <w:rsid w:val="0021319A"/>
    <w:rsid w:val="00213383"/>
    <w:rsid w:val="00220250"/>
    <w:rsid w:val="002207C8"/>
    <w:rsid w:val="00222444"/>
    <w:rsid w:val="00223C70"/>
    <w:rsid w:val="002258B5"/>
    <w:rsid w:val="0022691B"/>
    <w:rsid w:val="00232163"/>
    <w:rsid w:val="0023388A"/>
    <w:rsid w:val="002376F8"/>
    <w:rsid w:val="002408E4"/>
    <w:rsid w:val="00241591"/>
    <w:rsid w:val="00250B4F"/>
    <w:rsid w:val="00256AAF"/>
    <w:rsid w:val="002570B2"/>
    <w:rsid w:val="0025762F"/>
    <w:rsid w:val="00262582"/>
    <w:rsid w:val="002645DF"/>
    <w:rsid w:val="002648EA"/>
    <w:rsid w:val="002715C1"/>
    <w:rsid w:val="00275563"/>
    <w:rsid w:val="0028114D"/>
    <w:rsid w:val="0028596F"/>
    <w:rsid w:val="00286FCC"/>
    <w:rsid w:val="00287649"/>
    <w:rsid w:val="00287E84"/>
    <w:rsid w:val="0029162E"/>
    <w:rsid w:val="0029286C"/>
    <w:rsid w:val="0029300E"/>
    <w:rsid w:val="002A4CD3"/>
    <w:rsid w:val="002A778F"/>
    <w:rsid w:val="002B083F"/>
    <w:rsid w:val="002B0C3A"/>
    <w:rsid w:val="002B2116"/>
    <w:rsid w:val="002B2D9B"/>
    <w:rsid w:val="002B5016"/>
    <w:rsid w:val="002B742C"/>
    <w:rsid w:val="002B75B2"/>
    <w:rsid w:val="002B7F4D"/>
    <w:rsid w:val="002C285C"/>
    <w:rsid w:val="002C7872"/>
    <w:rsid w:val="002C7BE4"/>
    <w:rsid w:val="002D3293"/>
    <w:rsid w:val="002D417D"/>
    <w:rsid w:val="002D5E5D"/>
    <w:rsid w:val="002D703B"/>
    <w:rsid w:val="002D754A"/>
    <w:rsid w:val="002D7EAA"/>
    <w:rsid w:val="002E05E2"/>
    <w:rsid w:val="002E78A0"/>
    <w:rsid w:val="002F2687"/>
    <w:rsid w:val="002F48E1"/>
    <w:rsid w:val="002F4F3B"/>
    <w:rsid w:val="00304C86"/>
    <w:rsid w:val="003059EB"/>
    <w:rsid w:val="0031098F"/>
    <w:rsid w:val="003116AC"/>
    <w:rsid w:val="00315567"/>
    <w:rsid w:val="003258DB"/>
    <w:rsid w:val="00330144"/>
    <w:rsid w:val="00331F0A"/>
    <w:rsid w:val="00334329"/>
    <w:rsid w:val="00340570"/>
    <w:rsid w:val="00345CBA"/>
    <w:rsid w:val="00346245"/>
    <w:rsid w:val="00356267"/>
    <w:rsid w:val="0035651A"/>
    <w:rsid w:val="00356BAD"/>
    <w:rsid w:val="003605B4"/>
    <w:rsid w:val="003627AC"/>
    <w:rsid w:val="00366914"/>
    <w:rsid w:val="00372FE3"/>
    <w:rsid w:val="0037472D"/>
    <w:rsid w:val="003750BB"/>
    <w:rsid w:val="003755CB"/>
    <w:rsid w:val="00377341"/>
    <w:rsid w:val="003813D6"/>
    <w:rsid w:val="00383EBC"/>
    <w:rsid w:val="00383F85"/>
    <w:rsid w:val="00387BA1"/>
    <w:rsid w:val="003A1307"/>
    <w:rsid w:val="003A18A9"/>
    <w:rsid w:val="003A2A9A"/>
    <w:rsid w:val="003A306C"/>
    <w:rsid w:val="003A7DE7"/>
    <w:rsid w:val="003B1006"/>
    <w:rsid w:val="003B45FB"/>
    <w:rsid w:val="003B49BF"/>
    <w:rsid w:val="003C215A"/>
    <w:rsid w:val="003C3A0D"/>
    <w:rsid w:val="003C5F11"/>
    <w:rsid w:val="003D2897"/>
    <w:rsid w:val="003D294B"/>
    <w:rsid w:val="003D2F3F"/>
    <w:rsid w:val="003D34AE"/>
    <w:rsid w:val="003D34FB"/>
    <w:rsid w:val="003D6401"/>
    <w:rsid w:val="003E1863"/>
    <w:rsid w:val="00402B63"/>
    <w:rsid w:val="0040607D"/>
    <w:rsid w:val="00410B78"/>
    <w:rsid w:val="0041606D"/>
    <w:rsid w:val="00416962"/>
    <w:rsid w:val="004206A8"/>
    <w:rsid w:val="00422121"/>
    <w:rsid w:val="00423534"/>
    <w:rsid w:val="00423F87"/>
    <w:rsid w:val="00424F18"/>
    <w:rsid w:val="004348CC"/>
    <w:rsid w:val="00440DE5"/>
    <w:rsid w:val="00446B1D"/>
    <w:rsid w:val="00450C58"/>
    <w:rsid w:val="004524FF"/>
    <w:rsid w:val="00453A1C"/>
    <w:rsid w:val="004546AB"/>
    <w:rsid w:val="004658FF"/>
    <w:rsid w:val="00473F2F"/>
    <w:rsid w:val="00474D6C"/>
    <w:rsid w:val="00474ED7"/>
    <w:rsid w:val="004753D1"/>
    <w:rsid w:val="004756E1"/>
    <w:rsid w:val="00475B64"/>
    <w:rsid w:val="00476C9C"/>
    <w:rsid w:val="0048008A"/>
    <w:rsid w:val="004803A1"/>
    <w:rsid w:val="0048203B"/>
    <w:rsid w:val="00483E94"/>
    <w:rsid w:val="00484120"/>
    <w:rsid w:val="00484A85"/>
    <w:rsid w:val="00485104"/>
    <w:rsid w:val="004853A0"/>
    <w:rsid w:val="00485E5D"/>
    <w:rsid w:val="00493D50"/>
    <w:rsid w:val="004951F8"/>
    <w:rsid w:val="00495203"/>
    <w:rsid w:val="00496B5F"/>
    <w:rsid w:val="004A2E10"/>
    <w:rsid w:val="004A3C33"/>
    <w:rsid w:val="004A5A1A"/>
    <w:rsid w:val="004A67E1"/>
    <w:rsid w:val="004A7039"/>
    <w:rsid w:val="004B17FF"/>
    <w:rsid w:val="004B1BA0"/>
    <w:rsid w:val="004B4F01"/>
    <w:rsid w:val="004B6CEE"/>
    <w:rsid w:val="004C2443"/>
    <w:rsid w:val="004C498F"/>
    <w:rsid w:val="004C5D29"/>
    <w:rsid w:val="004C681A"/>
    <w:rsid w:val="004D1879"/>
    <w:rsid w:val="004D436F"/>
    <w:rsid w:val="004D4D8A"/>
    <w:rsid w:val="004E2A3E"/>
    <w:rsid w:val="004E3AE3"/>
    <w:rsid w:val="004E65D4"/>
    <w:rsid w:val="004E71C8"/>
    <w:rsid w:val="004F2660"/>
    <w:rsid w:val="004F68EE"/>
    <w:rsid w:val="0050265E"/>
    <w:rsid w:val="005038D5"/>
    <w:rsid w:val="00511BA4"/>
    <w:rsid w:val="005149E7"/>
    <w:rsid w:val="00516D7E"/>
    <w:rsid w:val="005232D6"/>
    <w:rsid w:val="005333CC"/>
    <w:rsid w:val="005363F1"/>
    <w:rsid w:val="00537C1B"/>
    <w:rsid w:val="00542C52"/>
    <w:rsid w:val="005459BD"/>
    <w:rsid w:val="00547EF0"/>
    <w:rsid w:val="0055007C"/>
    <w:rsid w:val="00554922"/>
    <w:rsid w:val="00555282"/>
    <w:rsid w:val="005560E7"/>
    <w:rsid w:val="00560AB1"/>
    <w:rsid w:val="005612CC"/>
    <w:rsid w:val="00563029"/>
    <w:rsid w:val="005634F1"/>
    <w:rsid w:val="00565946"/>
    <w:rsid w:val="00567D12"/>
    <w:rsid w:val="00571C1C"/>
    <w:rsid w:val="00576062"/>
    <w:rsid w:val="00580FD8"/>
    <w:rsid w:val="0058121F"/>
    <w:rsid w:val="00581663"/>
    <w:rsid w:val="00582D9F"/>
    <w:rsid w:val="005832F6"/>
    <w:rsid w:val="00585DFE"/>
    <w:rsid w:val="005874A5"/>
    <w:rsid w:val="0059559F"/>
    <w:rsid w:val="005A17C9"/>
    <w:rsid w:val="005A39C0"/>
    <w:rsid w:val="005A49FF"/>
    <w:rsid w:val="005A5B19"/>
    <w:rsid w:val="005A7634"/>
    <w:rsid w:val="005B3F71"/>
    <w:rsid w:val="005B4D94"/>
    <w:rsid w:val="005B4F90"/>
    <w:rsid w:val="005B6F04"/>
    <w:rsid w:val="005C0447"/>
    <w:rsid w:val="005C0D72"/>
    <w:rsid w:val="005C5833"/>
    <w:rsid w:val="005C739F"/>
    <w:rsid w:val="005C73CA"/>
    <w:rsid w:val="005D4768"/>
    <w:rsid w:val="005D5A47"/>
    <w:rsid w:val="005D6F61"/>
    <w:rsid w:val="005E2CAB"/>
    <w:rsid w:val="005E429E"/>
    <w:rsid w:val="005E7086"/>
    <w:rsid w:val="005F320E"/>
    <w:rsid w:val="00601ED4"/>
    <w:rsid w:val="006030BC"/>
    <w:rsid w:val="00603A07"/>
    <w:rsid w:val="00611C7A"/>
    <w:rsid w:val="00612866"/>
    <w:rsid w:val="00616EB5"/>
    <w:rsid w:val="0062087A"/>
    <w:rsid w:val="006269D4"/>
    <w:rsid w:val="00627706"/>
    <w:rsid w:val="006327D8"/>
    <w:rsid w:val="0064070A"/>
    <w:rsid w:val="00643A01"/>
    <w:rsid w:val="00650629"/>
    <w:rsid w:val="00651D44"/>
    <w:rsid w:val="006533CB"/>
    <w:rsid w:val="0065391E"/>
    <w:rsid w:val="006574D2"/>
    <w:rsid w:val="00660E2D"/>
    <w:rsid w:val="00661ADA"/>
    <w:rsid w:val="00663563"/>
    <w:rsid w:val="006648FC"/>
    <w:rsid w:val="006676D4"/>
    <w:rsid w:val="00675535"/>
    <w:rsid w:val="00681359"/>
    <w:rsid w:val="006825A7"/>
    <w:rsid w:val="006866AF"/>
    <w:rsid w:val="0069157C"/>
    <w:rsid w:val="006923DE"/>
    <w:rsid w:val="00692856"/>
    <w:rsid w:val="00693734"/>
    <w:rsid w:val="00696262"/>
    <w:rsid w:val="006A5CE9"/>
    <w:rsid w:val="006B36C3"/>
    <w:rsid w:val="006C1F5F"/>
    <w:rsid w:val="006C3A4F"/>
    <w:rsid w:val="006C4845"/>
    <w:rsid w:val="006C4AA3"/>
    <w:rsid w:val="006D4BA9"/>
    <w:rsid w:val="006D4DA7"/>
    <w:rsid w:val="006D6BC1"/>
    <w:rsid w:val="006D6ED6"/>
    <w:rsid w:val="006E17FC"/>
    <w:rsid w:val="006E2BFC"/>
    <w:rsid w:val="006E3FDA"/>
    <w:rsid w:val="006E48A2"/>
    <w:rsid w:val="006E5C57"/>
    <w:rsid w:val="006F22A5"/>
    <w:rsid w:val="006F7FC1"/>
    <w:rsid w:val="00700A5C"/>
    <w:rsid w:val="00702C73"/>
    <w:rsid w:val="007127BB"/>
    <w:rsid w:val="00713394"/>
    <w:rsid w:val="00714A0F"/>
    <w:rsid w:val="0072109A"/>
    <w:rsid w:val="00721ECC"/>
    <w:rsid w:val="007225D3"/>
    <w:rsid w:val="00722603"/>
    <w:rsid w:val="00724677"/>
    <w:rsid w:val="007251E4"/>
    <w:rsid w:val="00725AC2"/>
    <w:rsid w:val="00732880"/>
    <w:rsid w:val="00735FB9"/>
    <w:rsid w:val="007416B9"/>
    <w:rsid w:val="007422FD"/>
    <w:rsid w:val="00743E46"/>
    <w:rsid w:val="0074520C"/>
    <w:rsid w:val="00747647"/>
    <w:rsid w:val="00747C45"/>
    <w:rsid w:val="00753FCC"/>
    <w:rsid w:val="00756C98"/>
    <w:rsid w:val="00756FDB"/>
    <w:rsid w:val="00757E03"/>
    <w:rsid w:val="007629B6"/>
    <w:rsid w:val="007665BF"/>
    <w:rsid w:val="00767ADE"/>
    <w:rsid w:val="00771B2A"/>
    <w:rsid w:val="007757CE"/>
    <w:rsid w:val="00775800"/>
    <w:rsid w:val="00777287"/>
    <w:rsid w:val="00783DFF"/>
    <w:rsid w:val="00784D1E"/>
    <w:rsid w:val="007865E1"/>
    <w:rsid w:val="0079180E"/>
    <w:rsid w:val="0079236C"/>
    <w:rsid w:val="007950CC"/>
    <w:rsid w:val="0079538B"/>
    <w:rsid w:val="007961B8"/>
    <w:rsid w:val="00797624"/>
    <w:rsid w:val="007A03D2"/>
    <w:rsid w:val="007A2425"/>
    <w:rsid w:val="007A4828"/>
    <w:rsid w:val="007B06DF"/>
    <w:rsid w:val="007B093D"/>
    <w:rsid w:val="007B2069"/>
    <w:rsid w:val="007C04A1"/>
    <w:rsid w:val="007C21FA"/>
    <w:rsid w:val="007C30C5"/>
    <w:rsid w:val="007C35A0"/>
    <w:rsid w:val="007C500D"/>
    <w:rsid w:val="007D13B1"/>
    <w:rsid w:val="007D4351"/>
    <w:rsid w:val="007D5985"/>
    <w:rsid w:val="007D7019"/>
    <w:rsid w:val="007D758D"/>
    <w:rsid w:val="007E18DB"/>
    <w:rsid w:val="007E6A37"/>
    <w:rsid w:val="007E6E74"/>
    <w:rsid w:val="007E6F1C"/>
    <w:rsid w:val="008001BA"/>
    <w:rsid w:val="008019FE"/>
    <w:rsid w:val="00804C69"/>
    <w:rsid w:val="0080711D"/>
    <w:rsid w:val="008105FB"/>
    <w:rsid w:val="008109EA"/>
    <w:rsid w:val="008155CD"/>
    <w:rsid w:val="0082268D"/>
    <w:rsid w:val="008265CB"/>
    <w:rsid w:val="00830391"/>
    <w:rsid w:val="00833325"/>
    <w:rsid w:val="00840A41"/>
    <w:rsid w:val="00841E5E"/>
    <w:rsid w:val="00842F3C"/>
    <w:rsid w:val="00843A6D"/>
    <w:rsid w:val="00850382"/>
    <w:rsid w:val="008505D1"/>
    <w:rsid w:val="00855158"/>
    <w:rsid w:val="00857EE8"/>
    <w:rsid w:val="0086464B"/>
    <w:rsid w:val="008646BD"/>
    <w:rsid w:val="008647FC"/>
    <w:rsid w:val="00864A83"/>
    <w:rsid w:val="00864CA8"/>
    <w:rsid w:val="00865E2D"/>
    <w:rsid w:val="0086612E"/>
    <w:rsid w:val="00870E6C"/>
    <w:rsid w:val="00872594"/>
    <w:rsid w:val="0087371B"/>
    <w:rsid w:val="00875846"/>
    <w:rsid w:val="00880BBB"/>
    <w:rsid w:val="00881315"/>
    <w:rsid w:val="008838F4"/>
    <w:rsid w:val="00884486"/>
    <w:rsid w:val="008871A9"/>
    <w:rsid w:val="008916BA"/>
    <w:rsid w:val="00891D0D"/>
    <w:rsid w:val="00892176"/>
    <w:rsid w:val="008954AE"/>
    <w:rsid w:val="008A1DB7"/>
    <w:rsid w:val="008A27B6"/>
    <w:rsid w:val="008A403A"/>
    <w:rsid w:val="008A4C13"/>
    <w:rsid w:val="008B02C0"/>
    <w:rsid w:val="008B604D"/>
    <w:rsid w:val="008C2420"/>
    <w:rsid w:val="008C4B8B"/>
    <w:rsid w:val="008C54A9"/>
    <w:rsid w:val="008C54E9"/>
    <w:rsid w:val="008D3ECC"/>
    <w:rsid w:val="008E5F52"/>
    <w:rsid w:val="008E5FD3"/>
    <w:rsid w:val="008E67C3"/>
    <w:rsid w:val="008F3DFE"/>
    <w:rsid w:val="008F589F"/>
    <w:rsid w:val="008F5BDD"/>
    <w:rsid w:val="008F76A9"/>
    <w:rsid w:val="008F7E67"/>
    <w:rsid w:val="00900DBF"/>
    <w:rsid w:val="00901973"/>
    <w:rsid w:val="009028EA"/>
    <w:rsid w:val="009043F9"/>
    <w:rsid w:val="009048B9"/>
    <w:rsid w:val="00904E91"/>
    <w:rsid w:val="00915886"/>
    <w:rsid w:val="00920862"/>
    <w:rsid w:val="009213B3"/>
    <w:rsid w:val="009214DC"/>
    <w:rsid w:val="00926989"/>
    <w:rsid w:val="00927027"/>
    <w:rsid w:val="009344BA"/>
    <w:rsid w:val="00946E61"/>
    <w:rsid w:val="00947F78"/>
    <w:rsid w:val="009529D6"/>
    <w:rsid w:val="00953234"/>
    <w:rsid w:val="00956942"/>
    <w:rsid w:val="00956C61"/>
    <w:rsid w:val="00961EAF"/>
    <w:rsid w:val="0096278F"/>
    <w:rsid w:val="0097107E"/>
    <w:rsid w:val="009726E1"/>
    <w:rsid w:val="00972A04"/>
    <w:rsid w:val="00976D1B"/>
    <w:rsid w:val="00977591"/>
    <w:rsid w:val="00980E75"/>
    <w:rsid w:val="00984D5D"/>
    <w:rsid w:val="00987B1A"/>
    <w:rsid w:val="00994BE0"/>
    <w:rsid w:val="009A190B"/>
    <w:rsid w:val="009A1FF7"/>
    <w:rsid w:val="009A25B1"/>
    <w:rsid w:val="009A4608"/>
    <w:rsid w:val="009A5088"/>
    <w:rsid w:val="009A6A57"/>
    <w:rsid w:val="009A70BF"/>
    <w:rsid w:val="009B1A15"/>
    <w:rsid w:val="009B3F5F"/>
    <w:rsid w:val="009C0852"/>
    <w:rsid w:val="009C13CA"/>
    <w:rsid w:val="009C27BA"/>
    <w:rsid w:val="009C32C6"/>
    <w:rsid w:val="009C3D5D"/>
    <w:rsid w:val="009C620C"/>
    <w:rsid w:val="009C665F"/>
    <w:rsid w:val="009C7513"/>
    <w:rsid w:val="009D2E8B"/>
    <w:rsid w:val="009D3882"/>
    <w:rsid w:val="009D4F8B"/>
    <w:rsid w:val="009D7E38"/>
    <w:rsid w:val="009E095B"/>
    <w:rsid w:val="009E1846"/>
    <w:rsid w:val="009E60DC"/>
    <w:rsid w:val="009E78FF"/>
    <w:rsid w:val="009F3F26"/>
    <w:rsid w:val="009F6192"/>
    <w:rsid w:val="00A01494"/>
    <w:rsid w:val="00A040D4"/>
    <w:rsid w:val="00A06942"/>
    <w:rsid w:val="00A166C7"/>
    <w:rsid w:val="00A22FA9"/>
    <w:rsid w:val="00A24F44"/>
    <w:rsid w:val="00A25024"/>
    <w:rsid w:val="00A25F82"/>
    <w:rsid w:val="00A26C25"/>
    <w:rsid w:val="00A310A6"/>
    <w:rsid w:val="00A342EA"/>
    <w:rsid w:val="00A35F8F"/>
    <w:rsid w:val="00A41377"/>
    <w:rsid w:val="00A4263D"/>
    <w:rsid w:val="00A43B2C"/>
    <w:rsid w:val="00A509B8"/>
    <w:rsid w:val="00A52AB9"/>
    <w:rsid w:val="00A56D5E"/>
    <w:rsid w:val="00A620F7"/>
    <w:rsid w:val="00A6210B"/>
    <w:rsid w:val="00A64EBF"/>
    <w:rsid w:val="00A66C9F"/>
    <w:rsid w:val="00A71200"/>
    <w:rsid w:val="00A7323A"/>
    <w:rsid w:val="00A75C77"/>
    <w:rsid w:val="00A831B4"/>
    <w:rsid w:val="00A90347"/>
    <w:rsid w:val="00A91B5A"/>
    <w:rsid w:val="00A97798"/>
    <w:rsid w:val="00AA341D"/>
    <w:rsid w:val="00AA4D32"/>
    <w:rsid w:val="00AA5213"/>
    <w:rsid w:val="00AA65A6"/>
    <w:rsid w:val="00AB3B72"/>
    <w:rsid w:val="00AC1D8E"/>
    <w:rsid w:val="00AC2B2A"/>
    <w:rsid w:val="00AC4297"/>
    <w:rsid w:val="00AC48FA"/>
    <w:rsid w:val="00AD0240"/>
    <w:rsid w:val="00AD04AF"/>
    <w:rsid w:val="00AD15C7"/>
    <w:rsid w:val="00AD1B40"/>
    <w:rsid w:val="00AD4137"/>
    <w:rsid w:val="00AD77E6"/>
    <w:rsid w:val="00AE1098"/>
    <w:rsid w:val="00AE6F00"/>
    <w:rsid w:val="00AF2D68"/>
    <w:rsid w:val="00AF3C9D"/>
    <w:rsid w:val="00AF4271"/>
    <w:rsid w:val="00AF6874"/>
    <w:rsid w:val="00B003A2"/>
    <w:rsid w:val="00B0142A"/>
    <w:rsid w:val="00B037BA"/>
    <w:rsid w:val="00B03D05"/>
    <w:rsid w:val="00B20139"/>
    <w:rsid w:val="00B20972"/>
    <w:rsid w:val="00B218DA"/>
    <w:rsid w:val="00B24618"/>
    <w:rsid w:val="00B2560A"/>
    <w:rsid w:val="00B342FA"/>
    <w:rsid w:val="00B41914"/>
    <w:rsid w:val="00B50537"/>
    <w:rsid w:val="00B53E8B"/>
    <w:rsid w:val="00B6023B"/>
    <w:rsid w:val="00B62D53"/>
    <w:rsid w:val="00B66F55"/>
    <w:rsid w:val="00B67CE2"/>
    <w:rsid w:val="00B7656A"/>
    <w:rsid w:val="00B774D2"/>
    <w:rsid w:val="00B8015A"/>
    <w:rsid w:val="00B82A57"/>
    <w:rsid w:val="00B84ED4"/>
    <w:rsid w:val="00B86A0A"/>
    <w:rsid w:val="00B92D6D"/>
    <w:rsid w:val="00B94EF2"/>
    <w:rsid w:val="00BA053B"/>
    <w:rsid w:val="00BA16CF"/>
    <w:rsid w:val="00BA75D2"/>
    <w:rsid w:val="00BB35AE"/>
    <w:rsid w:val="00BC03A1"/>
    <w:rsid w:val="00BC0D25"/>
    <w:rsid w:val="00BC4BDC"/>
    <w:rsid w:val="00BC7F2D"/>
    <w:rsid w:val="00BD2505"/>
    <w:rsid w:val="00BE020C"/>
    <w:rsid w:val="00BE592D"/>
    <w:rsid w:val="00BE5B77"/>
    <w:rsid w:val="00BF52B0"/>
    <w:rsid w:val="00BF5697"/>
    <w:rsid w:val="00C029FE"/>
    <w:rsid w:val="00C07BDD"/>
    <w:rsid w:val="00C14CCC"/>
    <w:rsid w:val="00C15333"/>
    <w:rsid w:val="00C1695E"/>
    <w:rsid w:val="00C22C1C"/>
    <w:rsid w:val="00C3208F"/>
    <w:rsid w:val="00C33F2E"/>
    <w:rsid w:val="00C34936"/>
    <w:rsid w:val="00C34C14"/>
    <w:rsid w:val="00C355B9"/>
    <w:rsid w:val="00C37EF1"/>
    <w:rsid w:val="00C401C4"/>
    <w:rsid w:val="00C41680"/>
    <w:rsid w:val="00C45077"/>
    <w:rsid w:val="00C5067B"/>
    <w:rsid w:val="00C52402"/>
    <w:rsid w:val="00C57AE2"/>
    <w:rsid w:val="00C60602"/>
    <w:rsid w:val="00C60A25"/>
    <w:rsid w:val="00C70F06"/>
    <w:rsid w:val="00C74584"/>
    <w:rsid w:val="00C765C5"/>
    <w:rsid w:val="00C775CE"/>
    <w:rsid w:val="00C82249"/>
    <w:rsid w:val="00C82479"/>
    <w:rsid w:val="00C826AF"/>
    <w:rsid w:val="00C839D5"/>
    <w:rsid w:val="00C867F0"/>
    <w:rsid w:val="00C87A3A"/>
    <w:rsid w:val="00CA06D8"/>
    <w:rsid w:val="00CA13BC"/>
    <w:rsid w:val="00CA345A"/>
    <w:rsid w:val="00CA3949"/>
    <w:rsid w:val="00CA7FDD"/>
    <w:rsid w:val="00CB170E"/>
    <w:rsid w:val="00CB2B29"/>
    <w:rsid w:val="00CB49FF"/>
    <w:rsid w:val="00CC02CF"/>
    <w:rsid w:val="00CC086A"/>
    <w:rsid w:val="00CC15C0"/>
    <w:rsid w:val="00CD0E24"/>
    <w:rsid w:val="00CD0F66"/>
    <w:rsid w:val="00CD1243"/>
    <w:rsid w:val="00CD364B"/>
    <w:rsid w:val="00CE09E1"/>
    <w:rsid w:val="00CE0C30"/>
    <w:rsid w:val="00CE23B8"/>
    <w:rsid w:val="00CE284E"/>
    <w:rsid w:val="00CE4F9E"/>
    <w:rsid w:val="00CE50D7"/>
    <w:rsid w:val="00CE7228"/>
    <w:rsid w:val="00CE7442"/>
    <w:rsid w:val="00CF4CBE"/>
    <w:rsid w:val="00D00344"/>
    <w:rsid w:val="00D06803"/>
    <w:rsid w:val="00D07972"/>
    <w:rsid w:val="00D101B3"/>
    <w:rsid w:val="00D12982"/>
    <w:rsid w:val="00D13732"/>
    <w:rsid w:val="00D1754D"/>
    <w:rsid w:val="00D20AA3"/>
    <w:rsid w:val="00D2223F"/>
    <w:rsid w:val="00D274A4"/>
    <w:rsid w:val="00D277AF"/>
    <w:rsid w:val="00D27E0A"/>
    <w:rsid w:val="00D310E3"/>
    <w:rsid w:val="00D31163"/>
    <w:rsid w:val="00D320B1"/>
    <w:rsid w:val="00D33AFD"/>
    <w:rsid w:val="00D34B03"/>
    <w:rsid w:val="00D36489"/>
    <w:rsid w:val="00D369E9"/>
    <w:rsid w:val="00D42195"/>
    <w:rsid w:val="00D438FF"/>
    <w:rsid w:val="00D441E7"/>
    <w:rsid w:val="00D46153"/>
    <w:rsid w:val="00D50704"/>
    <w:rsid w:val="00D5760A"/>
    <w:rsid w:val="00D61410"/>
    <w:rsid w:val="00D64FD4"/>
    <w:rsid w:val="00D66A40"/>
    <w:rsid w:val="00D72DC5"/>
    <w:rsid w:val="00D75FF6"/>
    <w:rsid w:val="00D8181D"/>
    <w:rsid w:val="00D86385"/>
    <w:rsid w:val="00D9221E"/>
    <w:rsid w:val="00D96746"/>
    <w:rsid w:val="00D968D8"/>
    <w:rsid w:val="00D97430"/>
    <w:rsid w:val="00DA0260"/>
    <w:rsid w:val="00DA563D"/>
    <w:rsid w:val="00DA7277"/>
    <w:rsid w:val="00DB2C18"/>
    <w:rsid w:val="00DB3627"/>
    <w:rsid w:val="00DB3810"/>
    <w:rsid w:val="00DB4724"/>
    <w:rsid w:val="00DB6944"/>
    <w:rsid w:val="00DC4746"/>
    <w:rsid w:val="00DC564C"/>
    <w:rsid w:val="00DC5EB2"/>
    <w:rsid w:val="00DD561D"/>
    <w:rsid w:val="00DD61C6"/>
    <w:rsid w:val="00DE3EBB"/>
    <w:rsid w:val="00DE5538"/>
    <w:rsid w:val="00DE7149"/>
    <w:rsid w:val="00DF3B52"/>
    <w:rsid w:val="00E0314C"/>
    <w:rsid w:val="00E06C72"/>
    <w:rsid w:val="00E11663"/>
    <w:rsid w:val="00E1508F"/>
    <w:rsid w:val="00E16959"/>
    <w:rsid w:val="00E261DF"/>
    <w:rsid w:val="00E27240"/>
    <w:rsid w:val="00E27EDD"/>
    <w:rsid w:val="00E30584"/>
    <w:rsid w:val="00E310B9"/>
    <w:rsid w:val="00E315A6"/>
    <w:rsid w:val="00E37A5D"/>
    <w:rsid w:val="00E37E1B"/>
    <w:rsid w:val="00E41616"/>
    <w:rsid w:val="00E47E3F"/>
    <w:rsid w:val="00E562C0"/>
    <w:rsid w:val="00E578A5"/>
    <w:rsid w:val="00E57FAF"/>
    <w:rsid w:val="00E61608"/>
    <w:rsid w:val="00E63453"/>
    <w:rsid w:val="00E642AA"/>
    <w:rsid w:val="00E672D6"/>
    <w:rsid w:val="00E70710"/>
    <w:rsid w:val="00E76024"/>
    <w:rsid w:val="00E856A2"/>
    <w:rsid w:val="00E90EBB"/>
    <w:rsid w:val="00E91C71"/>
    <w:rsid w:val="00E967AD"/>
    <w:rsid w:val="00E96884"/>
    <w:rsid w:val="00EA1712"/>
    <w:rsid w:val="00EA5435"/>
    <w:rsid w:val="00EA5F47"/>
    <w:rsid w:val="00EB40B6"/>
    <w:rsid w:val="00EB455E"/>
    <w:rsid w:val="00EB4F12"/>
    <w:rsid w:val="00EB69E1"/>
    <w:rsid w:val="00EC44AE"/>
    <w:rsid w:val="00EC79DE"/>
    <w:rsid w:val="00ED0A9F"/>
    <w:rsid w:val="00ED337C"/>
    <w:rsid w:val="00ED4ACE"/>
    <w:rsid w:val="00EE2BC0"/>
    <w:rsid w:val="00EE4D35"/>
    <w:rsid w:val="00EE500A"/>
    <w:rsid w:val="00EF218D"/>
    <w:rsid w:val="00EF2DA7"/>
    <w:rsid w:val="00F06D71"/>
    <w:rsid w:val="00F11CE0"/>
    <w:rsid w:val="00F13171"/>
    <w:rsid w:val="00F132B1"/>
    <w:rsid w:val="00F1412B"/>
    <w:rsid w:val="00F14E72"/>
    <w:rsid w:val="00F15BFA"/>
    <w:rsid w:val="00F2539C"/>
    <w:rsid w:val="00F322E0"/>
    <w:rsid w:val="00F3243B"/>
    <w:rsid w:val="00F34FAB"/>
    <w:rsid w:val="00F351E9"/>
    <w:rsid w:val="00F435AA"/>
    <w:rsid w:val="00F56065"/>
    <w:rsid w:val="00F57222"/>
    <w:rsid w:val="00F5738A"/>
    <w:rsid w:val="00F612D4"/>
    <w:rsid w:val="00F7389E"/>
    <w:rsid w:val="00F757BE"/>
    <w:rsid w:val="00F76858"/>
    <w:rsid w:val="00F77F1D"/>
    <w:rsid w:val="00F8205D"/>
    <w:rsid w:val="00F85E33"/>
    <w:rsid w:val="00F87CCB"/>
    <w:rsid w:val="00F96F32"/>
    <w:rsid w:val="00F97D95"/>
    <w:rsid w:val="00FA48C7"/>
    <w:rsid w:val="00FA6C6B"/>
    <w:rsid w:val="00FA7100"/>
    <w:rsid w:val="00FB33CE"/>
    <w:rsid w:val="00FB51FB"/>
    <w:rsid w:val="00FB550F"/>
    <w:rsid w:val="00FB564C"/>
    <w:rsid w:val="00FB73C1"/>
    <w:rsid w:val="00FC3EF6"/>
    <w:rsid w:val="00FD67DF"/>
    <w:rsid w:val="00FE0B13"/>
    <w:rsid w:val="00FE2F21"/>
    <w:rsid w:val="00FF06BC"/>
    <w:rsid w:val="00FF0DC1"/>
    <w:rsid w:val="00FF4B2C"/>
    <w:rsid w:val="00FF66C4"/>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4449"/>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paragraph" w:styleId="Heading5">
    <w:name w:val="heading 5"/>
    <w:basedOn w:val="Normal"/>
    <w:link w:val="Heading5Char"/>
    <w:uiPriority w:val="9"/>
    <w:unhideWhenUsed/>
    <w:qFormat/>
    <w:rsid w:val="00747647"/>
    <w:pPr>
      <w:keepNext/>
      <w:spacing w:before="240" w:after="240" w:line="240" w:lineRule="auto"/>
      <w:ind w:firstLine="432"/>
      <w:outlineLvl w:val="4"/>
    </w:pPr>
    <w:rPr>
      <w:rFonts w:ascii="Calibri" w:eastAsiaTheme="minorHAnsi" w:hAnsi="Calibri"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rsid w:val="00145149"/>
    <w:rPr>
      <w:rFonts w:ascii="Times New Roman" w:eastAsia="Calibri" w:hAnsi="Times New Roman" w:cs="Times New Roman"/>
      <w:sz w:val="20"/>
      <w:szCs w:val="20"/>
    </w:rPr>
  </w:style>
  <w:style w:type="character" w:styleId="FootnoteReference">
    <w:name w:val="footnote reference"/>
    <w:basedOn w:val="DefaultParagraphFont"/>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customStyle="1" w:styleId="Response">
    <w:name w:val="Response"/>
    <w:basedOn w:val="Normal"/>
    <w:qFormat/>
    <w:rsid w:val="00424F18"/>
    <w:pPr>
      <w:autoSpaceDE w:val="0"/>
      <w:autoSpaceDN w:val="0"/>
      <w:adjustRightInd w:val="0"/>
      <w:spacing w:before="240" w:after="240" w:line="240" w:lineRule="auto"/>
    </w:pPr>
    <w:rPr>
      <w:rFonts w:cstheme="minorHAnsi"/>
      <w:bCs/>
      <w:color w:val="0000FF"/>
    </w:rPr>
  </w:style>
  <w:style w:type="paragraph" w:customStyle="1" w:styleId="areplyblue">
    <w:name w:val="areply_blue"/>
    <w:basedOn w:val="Normal"/>
    <w:qFormat/>
    <w:rsid w:val="00424F18"/>
    <w:pPr>
      <w:spacing w:after="120" w:line="240" w:lineRule="auto"/>
      <w:ind w:left="547"/>
    </w:pPr>
    <w:rPr>
      <w:rFonts w:cstheme="minorHAnsi"/>
      <w:color w:val="0000FF"/>
    </w:rPr>
  </w:style>
  <w:style w:type="paragraph" w:customStyle="1" w:styleId="abluebold">
    <w:name w:val="ablue_bold"/>
    <w:basedOn w:val="areplyblue"/>
    <w:qFormat/>
    <w:rsid w:val="00424F18"/>
    <w:pPr>
      <w:keepNext/>
      <w:keepLines/>
    </w:pPr>
    <w:rPr>
      <w:b/>
    </w:rPr>
  </w:style>
  <w:style w:type="paragraph" w:customStyle="1" w:styleId="areplyref">
    <w:name w:val="areply_ref"/>
    <w:basedOn w:val="areplyblue"/>
    <w:qFormat/>
    <w:rsid w:val="00424F18"/>
    <w:pPr>
      <w:ind w:left="990" w:hanging="443"/>
    </w:pPr>
  </w:style>
  <w:style w:type="paragraph" w:customStyle="1" w:styleId="TableText">
    <w:name w:val="Table Text"/>
    <w:basedOn w:val="Normal"/>
    <w:qFormat/>
    <w:rsid w:val="00424F18"/>
    <w:pPr>
      <w:keepNext/>
      <w:spacing w:after="0" w:line="240" w:lineRule="auto"/>
    </w:pPr>
    <w:rPr>
      <w:rFonts w:ascii="Calibri" w:eastAsia="Times New Roman" w:hAnsi="Calibri" w:cs="Times New Roman"/>
      <w:sz w:val="20"/>
      <w:szCs w:val="20"/>
    </w:rPr>
  </w:style>
  <w:style w:type="paragraph" w:customStyle="1" w:styleId="TableHeaders">
    <w:name w:val="Table Headers"/>
    <w:basedOn w:val="Normal"/>
    <w:qFormat/>
    <w:rsid w:val="00424F18"/>
    <w:pPr>
      <w:keepNext/>
      <w:spacing w:before="20" w:after="20" w:line="240" w:lineRule="exact"/>
      <w:jc w:val="center"/>
    </w:pPr>
    <w:rPr>
      <w:rFonts w:eastAsia="Times New Roman" w:cs="Times New Roman"/>
      <w:snapToGrid w:val="0"/>
    </w:rPr>
  </w:style>
  <w:style w:type="table" w:customStyle="1" w:styleId="CMSTable">
    <w:name w:val="CMS_Table"/>
    <w:basedOn w:val="TableNormal"/>
    <w:uiPriority w:val="99"/>
    <w:rsid w:val="00424F18"/>
    <w:pPr>
      <w:spacing w:after="0" w:line="240" w:lineRule="auto"/>
    </w:pPr>
    <w:rPr>
      <w:rFonts w:ascii="Calibri" w:eastAsia="Times New Roman" w:hAnsi="Calibri" w:cs="Times New Roman"/>
      <w:sz w:val="20"/>
      <w:szCs w:val="20"/>
    </w:rPr>
    <w:tblPr>
      <w:tblBorders>
        <w:top w:val="single" w:sz="12" w:space="0" w:color="auto"/>
      </w:tblBorders>
      <w:tblCellMar>
        <w:left w:w="43" w:type="dxa"/>
        <w:right w:w="43" w:type="dxa"/>
      </w:tblCellMar>
    </w:tblPr>
    <w:tblStylePr w:type="firstRow">
      <w:pPr>
        <w:jc w:val="center"/>
      </w:pPr>
      <w:tblPr/>
      <w:tcPr>
        <w:tcBorders>
          <w:top w:val="single" w:sz="12" w:space="0" w:color="auto"/>
          <w:bottom w:val="single" w:sz="6" w:space="0" w:color="auto"/>
        </w:tcBorders>
        <w:vAlign w:val="bottom"/>
      </w:tcPr>
    </w:tblStylePr>
    <w:tblStylePr w:type="lastRow">
      <w:tblPr/>
      <w:tcPr>
        <w:tcBorders>
          <w:bottom w:val="single" w:sz="12" w:space="0" w:color="auto"/>
        </w:tcBorders>
      </w:tcPr>
    </w:tblStylePr>
  </w:style>
  <w:style w:type="paragraph" w:customStyle="1" w:styleId="TableText-cent">
    <w:name w:val="Table Text-cent"/>
    <w:basedOn w:val="TableText"/>
    <w:qFormat/>
    <w:rsid w:val="00424F18"/>
    <w:pPr>
      <w:jc w:val="center"/>
    </w:pPr>
  </w:style>
  <w:style w:type="paragraph" w:customStyle="1" w:styleId="FigureNObox">
    <w:name w:val="Figure_NObox"/>
    <w:basedOn w:val="Normal"/>
    <w:qFormat/>
    <w:rsid w:val="00424F18"/>
    <w:pPr>
      <w:keepNext/>
      <w:spacing w:before="240" w:after="0" w:line="240" w:lineRule="auto"/>
      <w:jc w:val="center"/>
    </w:pPr>
    <w:rPr>
      <w:rFonts w:ascii="Times New Roman" w:eastAsia="Times New Roman" w:hAnsi="Times New Roman" w:cs="Times New Roman"/>
      <w:sz w:val="24"/>
      <w:szCs w:val="20"/>
    </w:rPr>
  </w:style>
  <w:style w:type="paragraph" w:customStyle="1" w:styleId="bulletblue2">
    <w:name w:val="bullet_blue2"/>
    <w:basedOn w:val="Normal"/>
    <w:qFormat/>
    <w:rsid w:val="00424F18"/>
    <w:pPr>
      <w:numPr>
        <w:numId w:val="3"/>
      </w:numPr>
      <w:spacing w:after="120"/>
      <w:contextualSpacing/>
    </w:pPr>
    <w:rPr>
      <w:color w:val="0000FF"/>
    </w:rPr>
  </w:style>
  <w:style w:type="character" w:styleId="UnresolvedMention">
    <w:name w:val="Unresolved Mention"/>
    <w:basedOn w:val="DefaultParagraphFont"/>
    <w:uiPriority w:val="99"/>
    <w:semiHidden/>
    <w:unhideWhenUsed/>
    <w:rsid w:val="00F13171"/>
    <w:rPr>
      <w:color w:val="808080"/>
      <w:shd w:val="clear" w:color="auto" w:fill="E6E6E6"/>
    </w:rPr>
  </w:style>
  <w:style w:type="character" w:customStyle="1" w:styleId="areply">
    <w:name w:val="areply"/>
    <w:basedOn w:val="DefaultParagraphFont"/>
    <w:uiPriority w:val="1"/>
    <w:qFormat/>
    <w:rsid w:val="00A91B5A"/>
  </w:style>
  <w:style w:type="paragraph" w:styleId="ListBullet">
    <w:name w:val="List Bullet"/>
    <w:basedOn w:val="Normal"/>
    <w:uiPriority w:val="99"/>
    <w:unhideWhenUsed/>
    <w:rsid w:val="003D2897"/>
    <w:pPr>
      <w:numPr>
        <w:numId w:val="10"/>
      </w:numPr>
      <w:contextualSpacing/>
    </w:pPr>
  </w:style>
  <w:style w:type="paragraph" w:styleId="ListBullet2">
    <w:name w:val="List Bullet 2"/>
    <w:basedOn w:val="ListParagraph"/>
    <w:uiPriority w:val="99"/>
    <w:unhideWhenUsed/>
    <w:rsid w:val="003D2897"/>
    <w:pPr>
      <w:spacing w:after="120"/>
      <w:ind w:hanging="360"/>
    </w:pPr>
    <w:rPr>
      <w:color w:val="0000FF"/>
    </w:rPr>
  </w:style>
  <w:style w:type="paragraph" w:customStyle="1" w:styleId="bulletblue1">
    <w:name w:val="bullet_blue1"/>
    <w:basedOn w:val="ListBullet"/>
    <w:uiPriority w:val="99"/>
    <w:qFormat/>
    <w:rsid w:val="003D2897"/>
    <w:pPr>
      <w:tabs>
        <w:tab w:val="clear" w:pos="360"/>
      </w:tabs>
      <w:spacing w:line="240" w:lineRule="auto"/>
      <w:ind w:left="907"/>
    </w:pPr>
    <w:rPr>
      <w:color w:val="0000FF"/>
    </w:rPr>
  </w:style>
  <w:style w:type="paragraph" w:customStyle="1" w:styleId="FigureTitle">
    <w:name w:val="FigureTitle"/>
    <w:basedOn w:val="Normal"/>
    <w:qFormat/>
    <w:rsid w:val="00E63453"/>
    <w:pPr>
      <w:keepNext/>
      <w:autoSpaceDE w:val="0"/>
      <w:autoSpaceDN w:val="0"/>
      <w:adjustRightInd w:val="0"/>
      <w:spacing w:after="240" w:line="240" w:lineRule="auto"/>
      <w:contextualSpacing/>
      <w:jc w:val="center"/>
    </w:pPr>
    <w:rPr>
      <w:rFonts w:cstheme="minorHAnsi"/>
      <w:b/>
      <w:bCs/>
      <w:color w:val="0000FF"/>
    </w:rPr>
  </w:style>
  <w:style w:type="paragraph" w:customStyle="1" w:styleId="TableTitle">
    <w:name w:val="TableTitle"/>
    <w:basedOn w:val="Response"/>
    <w:qFormat/>
    <w:rsid w:val="00474D6C"/>
    <w:pPr>
      <w:keepNext/>
      <w:spacing w:before="0"/>
      <w:contextualSpacing/>
      <w:jc w:val="center"/>
    </w:pPr>
    <w:rPr>
      <w:b/>
    </w:rPr>
  </w:style>
  <w:style w:type="character" w:customStyle="1" w:styleId="Heading5Char">
    <w:name w:val="Heading 5 Char"/>
    <w:basedOn w:val="DefaultParagraphFont"/>
    <w:link w:val="Heading5"/>
    <w:uiPriority w:val="9"/>
    <w:rsid w:val="00747647"/>
    <w:rPr>
      <w:rFonts w:ascii="Calibri" w:eastAsiaTheme="minorHAnsi" w:hAnsi="Calibri" w:cs="Times New Roman"/>
      <w:b/>
      <w:bCs/>
    </w:rPr>
  </w:style>
  <w:style w:type="paragraph" w:styleId="BodyText">
    <w:name w:val="Body Text"/>
    <w:basedOn w:val="Normal"/>
    <w:link w:val="BodyTextChar"/>
    <w:uiPriority w:val="99"/>
    <w:unhideWhenUsed/>
    <w:rsid w:val="00747647"/>
    <w:pPr>
      <w:spacing w:before="160" w:after="120" w:line="240" w:lineRule="auto"/>
    </w:pPr>
    <w:rPr>
      <w:rFonts w:ascii="Calibri" w:eastAsia="Calibri" w:hAnsi="Calibri" w:cs="Times New Roman"/>
      <w:sz w:val="24"/>
    </w:rPr>
  </w:style>
  <w:style w:type="character" w:customStyle="1" w:styleId="BodyTextChar">
    <w:name w:val="Body Text Char"/>
    <w:basedOn w:val="DefaultParagraphFont"/>
    <w:link w:val="BodyText"/>
    <w:uiPriority w:val="99"/>
    <w:rsid w:val="00747647"/>
    <w:rPr>
      <w:rFonts w:ascii="Calibri" w:eastAsia="Calibri" w:hAnsi="Calibri"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668286857">
      <w:bodyDiv w:val="1"/>
      <w:marLeft w:val="0"/>
      <w:marRight w:val="0"/>
      <w:marTop w:val="0"/>
      <w:marBottom w:val="0"/>
      <w:divBdr>
        <w:top w:val="none" w:sz="0" w:space="0" w:color="auto"/>
        <w:left w:val="none" w:sz="0" w:space="0" w:color="auto"/>
        <w:bottom w:val="none" w:sz="0" w:space="0" w:color="auto"/>
        <w:right w:val="none" w:sz="0" w:space="0" w:color="auto"/>
      </w:divBdr>
    </w:div>
    <w:div w:id="1199321053">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 w:id="1835215944">
      <w:bodyDiv w:val="1"/>
      <w:marLeft w:val="0"/>
      <w:marRight w:val="0"/>
      <w:marTop w:val="0"/>
      <w:marBottom w:val="0"/>
      <w:divBdr>
        <w:top w:val="none" w:sz="0" w:space="0" w:color="auto"/>
        <w:left w:val="none" w:sz="0" w:space="0" w:color="auto"/>
        <w:bottom w:val="none" w:sz="0" w:space="0" w:color="auto"/>
        <w:right w:val="none" w:sz="0" w:space="0" w:color="auto"/>
      </w:divBdr>
    </w:div>
    <w:div w:id="1953632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ms.hhs.gov/NursingHomeQualityInits/Downloads/MDS30FinalReport.pdf" TargetMode="External"/><Relationship Id="rId18" Type="http://schemas.openxmlformats.org/officeDocument/2006/relationships/hyperlink" Target="http://www.cms.hhs.gov/NursingHomeQualityInits/Downloads/MDS30FinalReport.pdf"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chart" Target="charts/chart2.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hyperlink" Target="http://www.cms.hhs.gov/NursingHomeQualityInits/Downloads/MDS30FinalReport.pd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cms.hhs.gov/NursingHomeQualityInits/Downloads/MDS30FinalReport.pdf" TargetMode="External"/><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www.cms.hhs.gov/NursingHomeQualityInits/Downloads/MDS30FinalReport.pdf" TargetMode="External"/><Relationship Id="rId23"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www.cms.hhs.gov/NursingHomeQualityInits/Downloads/MDS30FinalReport.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cms.hhs.gov/NursingHomeQualityInits/Downloads/MDS30FinalReport.pdf" TargetMode="External"/><Relationship Id="rId22" Type="http://schemas.openxmlformats.org/officeDocument/2006/relationships/chart" Target="charts/chart3.xm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Sheet1!$B$1</c:f>
              <c:strCache>
                <c:ptCount val="1"/>
                <c:pt idx="0">
                  <c:v>Mean</c:v>
                </c:pt>
              </c:strCache>
            </c:strRef>
          </c:tx>
          <c:spPr>
            <a:ln w="22225" cap="rnd">
              <a:solidFill>
                <a:schemeClr val="accent1"/>
              </a:solidFill>
              <a:round/>
            </a:ln>
            <a:effectLst/>
          </c:spPr>
          <c:marker>
            <c:symbol val="diamond"/>
            <c:size val="6"/>
            <c:spPr>
              <a:solidFill>
                <a:schemeClr val="accent1"/>
              </a:solidFill>
              <a:ln w="9525">
                <a:solidFill>
                  <a:schemeClr val="accent1"/>
                </a:solidFill>
                <a:round/>
              </a:ln>
              <a:effectLst/>
            </c:spPr>
          </c:marker>
          <c:dLbls>
            <c:dLbl>
              <c:idx val="0"/>
              <c:layout>
                <c:manualLayout>
                  <c:x val="-4.0829754706076103E-2"/>
                  <c:y val="-3.37004749406324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F59-4679-80E4-52BD5800F6CC}"/>
                </c:ext>
              </c:extLst>
            </c:dLbl>
            <c:dLbl>
              <c:idx val="1"/>
              <c:delete val="1"/>
              <c:extLst>
                <c:ext xmlns:c15="http://schemas.microsoft.com/office/drawing/2012/chart" uri="{CE6537A1-D6FC-4f65-9D91-7224C49458BB}"/>
                <c:ext xmlns:c16="http://schemas.microsoft.com/office/drawing/2014/chart" uri="{C3380CC4-5D6E-409C-BE32-E72D297353CC}">
                  <c16:uniqueId val="{00000001-FF59-4679-80E4-52BD5800F6CC}"/>
                </c:ext>
              </c:extLst>
            </c:dLbl>
            <c:dLbl>
              <c:idx val="2"/>
              <c:delete val="1"/>
              <c:extLst>
                <c:ext xmlns:c15="http://schemas.microsoft.com/office/drawing/2012/chart" uri="{CE6537A1-D6FC-4f65-9D91-7224C49458BB}"/>
                <c:ext xmlns:c16="http://schemas.microsoft.com/office/drawing/2014/chart" uri="{C3380CC4-5D6E-409C-BE32-E72D297353CC}">
                  <c16:uniqueId val="{00000002-FF59-4679-80E4-52BD5800F6CC}"/>
                </c:ext>
              </c:extLst>
            </c:dLbl>
            <c:dLbl>
              <c:idx val="3"/>
              <c:delete val="1"/>
              <c:extLst>
                <c:ext xmlns:c15="http://schemas.microsoft.com/office/drawing/2012/chart" uri="{CE6537A1-D6FC-4f65-9D91-7224C49458BB}"/>
                <c:ext xmlns:c16="http://schemas.microsoft.com/office/drawing/2014/chart" uri="{C3380CC4-5D6E-409C-BE32-E72D297353CC}">
                  <c16:uniqueId val="{00000003-FF59-4679-80E4-52BD5800F6CC}"/>
                </c:ext>
              </c:extLst>
            </c:dLbl>
            <c:dLbl>
              <c:idx val="4"/>
              <c:delete val="1"/>
              <c:extLst>
                <c:ext xmlns:c15="http://schemas.microsoft.com/office/drawing/2012/chart" uri="{CE6537A1-D6FC-4f65-9D91-7224C49458BB}"/>
                <c:ext xmlns:c16="http://schemas.microsoft.com/office/drawing/2014/chart" uri="{C3380CC4-5D6E-409C-BE32-E72D297353CC}">
                  <c16:uniqueId val="{00000004-FF59-4679-80E4-52BD5800F6CC}"/>
                </c:ext>
              </c:extLst>
            </c:dLbl>
            <c:dLbl>
              <c:idx val="5"/>
              <c:delete val="1"/>
              <c:extLst>
                <c:ext xmlns:c15="http://schemas.microsoft.com/office/drawing/2012/chart" uri="{CE6537A1-D6FC-4f65-9D91-7224C49458BB}"/>
                <c:ext xmlns:c16="http://schemas.microsoft.com/office/drawing/2014/chart" uri="{C3380CC4-5D6E-409C-BE32-E72D297353CC}">
                  <c16:uniqueId val="{00000005-FF59-4679-80E4-52BD5800F6CC}"/>
                </c:ext>
              </c:extLst>
            </c:dLbl>
            <c:dLbl>
              <c:idx val="6"/>
              <c:delete val="1"/>
              <c:extLst>
                <c:ext xmlns:c15="http://schemas.microsoft.com/office/drawing/2012/chart" uri="{CE6537A1-D6FC-4f65-9D91-7224C49458BB}"/>
                <c:ext xmlns:c16="http://schemas.microsoft.com/office/drawing/2014/chart" uri="{C3380CC4-5D6E-409C-BE32-E72D297353CC}">
                  <c16:uniqueId val="{00000006-FF59-4679-80E4-52BD5800F6CC}"/>
                </c:ext>
              </c:extLst>
            </c:dLbl>
            <c:dLbl>
              <c:idx val="7"/>
              <c:delete val="1"/>
              <c:extLst>
                <c:ext xmlns:c15="http://schemas.microsoft.com/office/drawing/2012/chart" uri="{CE6537A1-D6FC-4f65-9D91-7224C49458BB}"/>
                <c:ext xmlns:c16="http://schemas.microsoft.com/office/drawing/2014/chart" uri="{C3380CC4-5D6E-409C-BE32-E72D297353CC}">
                  <c16:uniqueId val="{00000007-FF59-4679-80E4-52BD5800F6CC}"/>
                </c:ext>
              </c:extLst>
            </c:dLbl>
            <c:dLbl>
              <c:idx val="8"/>
              <c:delete val="1"/>
              <c:extLst>
                <c:ext xmlns:c15="http://schemas.microsoft.com/office/drawing/2012/chart" uri="{CE6537A1-D6FC-4f65-9D91-7224C49458BB}"/>
                <c:ext xmlns:c16="http://schemas.microsoft.com/office/drawing/2014/chart" uri="{C3380CC4-5D6E-409C-BE32-E72D297353CC}">
                  <c16:uniqueId val="{00000008-FF59-4679-80E4-52BD5800F6CC}"/>
                </c:ext>
              </c:extLst>
            </c:dLbl>
            <c:dLbl>
              <c:idx val="9"/>
              <c:delete val="1"/>
              <c:extLst>
                <c:ext xmlns:c15="http://schemas.microsoft.com/office/drawing/2012/chart" uri="{CE6537A1-D6FC-4f65-9D91-7224C49458BB}"/>
                <c:ext xmlns:c16="http://schemas.microsoft.com/office/drawing/2014/chart" uri="{C3380CC4-5D6E-409C-BE32-E72D297353CC}">
                  <c16:uniqueId val="{00000009-FF59-4679-80E4-52BD5800F6CC}"/>
                </c:ext>
              </c:extLst>
            </c:dLbl>
            <c:dLbl>
              <c:idx val="10"/>
              <c:delete val="1"/>
              <c:extLst>
                <c:ext xmlns:c15="http://schemas.microsoft.com/office/drawing/2012/chart" uri="{CE6537A1-D6FC-4f65-9D91-7224C49458BB}"/>
                <c:ext xmlns:c16="http://schemas.microsoft.com/office/drawing/2014/chart" uri="{C3380CC4-5D6E-409C-BE32-E72D297353CC}">
                  <c16:uniqueId val="{0000000A-FF59-4679-80E4-52BD5800F6CC}"/>
                </c:ext>
              </c:extLst>
            </c:dLbl>
            <c:dLbl>
              <c:idx val="11"/>
              <c:delete val="1"/>
              <c:extLst>
                <c:ext xmlns:c15="http://schemas.microsoft.com/office/drawing/2012/chart" uri="{CE6537A1-D6FC-4f65-9D91-7224C49458BB}"/>
                <c:ext xmlns:c16="http://schemas.microsoft.com/office/drawing/2014/chart" uri="{C3380CC4-5D6E-409C-BE32-E72D297353CC}">
                  <c16:uniqueId val="{0000000B-FF59-4679-80E4-52BD5800F6CC}"/>
                </c:ext>
              </c:extLst>
            </c:dLbl>
            <c:dLbl>
              <c:idx val="12"/>
              <c:delete val="1"/>
              <c:extLst>
                <c:ext xmlns:c15="http://schemas.microsoft.com/office/drawing/2012/chart" uri="{CE6537A1-D6FC-4f65-9D91-7224C49458BB}"/>
                <c:ext xmlns:c16="http://schemas.microsoft.com/office/drawing/2014/chart" uri="{C3380CC4-5D6E-409C-BE32-E72D297353CC}">
                  <c16:uniqueId val="{0000000C-FF59-4679-80E4-52BD5800F6CC}"/>
                </c:ext>
              </c:extLst>
            </c:dLbl>
            <c:dLbl>
              <c:idx val="13"/>
              <c:delete val="1"/>
              <c:extLst>
                <c:ext xmlns:c15="http://schemas.microsoft.com/office/drawing/2012/chart" uri="{CE6537A1-D6FC-4f65-9D91-7224C49458BB}"/>
                <c:ext xmlns:c16="http://schemas.microsoft.com/office/drawing/2014/chart" uri="{C3380CC4-5D6E-409C-BE32-E72D297353CC}">
                  <c16:uniqueId val="{0000000D-FF59-4679-80E4-52BD5800F6CC}"/>
                </c:ext>
              </c:extLst>
            </c:dLbl>
            <c:dLbl>
              <c:idx val="14"/>
              <c:delete val="1"/>
              <c:extLst>
                <c:ext xmlns:c15="http://schemas.microsoft.com/office/drawing/2012/chart" uri="{CE6537A1-D6FC-4f65-9D91-7224C49458BB}"/>
                <c:ext xmlns:c16="http://schemas.microsoft.com/office/drawing/2014/chart" uri="{C3380CC4-5D6E-409C-BE32-E72D297353CC}">
                  <c16:uniqueId val="{0000000E-FF59-4679-80E4-52BD5800F6CC}"/>
                </c:ext>
              </c:extLst>
            </c:dLbl>
            <c:dLbl>
              <c:idx val="15"/>
              <c:delete val="1"/>
              <c:extLst>
                <c:ext xmlns:c15="http://schemas.microsoft.com/office/drawing/2012/chart" uri="{CE6537A1-D6FC-4f65-9D91-7224C49458BB}"/>
                <c:ext xmlns:c16="http://schemas.microsoft.com/office/drawing/2014/chart" uri="{C3380CC4-5D6E-409C-BE32-E72D297353CC}">
                  <c16:uniqueId val="{0000000F-FF59-4679-80E4-52BD5800F6CC}"/>
                </c:ext>
              </c:extLst>
            </c:dLbl>
            <c:dLbl>
              <c:idx val="16"/>
              <c:delete val="1"/>
              <c:extLst>
                <c:ext xmlns:c15="http://schemas.microsoft.com/office/drawing/2012/chart" uri="{CE6537A1-D6FC-4f65-9D91-7224C49458BB}"/>
                <c:ext xmlns:c16="http://schemas.microsoft.com/office/drawing/2014/chart" uri="{C3380CC4-5D6E-409C-BE32-E72D297353CC}">
                  <c16:uniqueId val="{00000010-FF59-4679-80E4-52BD5800F6CC}"/>
                </c:ext>
              </c:extLst>
            </c:dLbl>
            <c:dLbl>
              <c:idx val="17"/>
              <c:delete val="1"/>
              <c:extLst>
                <c:ext xmlns:c15="http://schemas.microsoft.com/office/drawing/2012/chart" uri="{CE6537A1-D6FC-4f65-9D91-7224C49458BB}"/>
                <c:ext xmlns:c16="http://schemas.microsoft.com/office/drawing/2014/chart" uri="{C3380CC4-5D6E-409C-BE32-E72D297353CC}">
                  <c16:uniqueId val="{00000011-FF59-4679-80E4-52BD5800F6CC}"/>
                </c:ext>
              </c:extLst>
            </c:dLbl>
            <c:dLbl>
              <c:idx val="18"/>
              <c:delete val="1"/>
              <c:extLst>
                <c:ext xmlns:c15="http://schemas.microsoft.com/office/drawing/2012/chart" uri="{CE6537A1-D6FC-4f65-9D91-7224C49458BB}"/>
                <c:ext xmlns:c16="http://schemas.microsoft.com/office/drawing/2014/chart" uri="{C3380CC4-5D6E-409C-BE32-E72D297353CC}">
                  <c16:uniqueId val="{00000012-FF59-4679-80E4-52BD5800F6CC}"/>
                </c:ext>
              </c:extLst>
            </c:dLbl>
            <c:dLbl>
              <c:idx val="19"/>
              <c:delete val="1"/>
              <c:extLst>
                <c:ext xmlns:c15="http://schemas.microsoft.com/office/drawing/2012/chart" uri="{CE6537A1-D6FC-4f65-9D91-7224C49458BB}"/>
                <c:ext xmlns:c16="http://schemas.microsoft.com/office/drawing/2014/chart" uri="{C3380CC4-5D6E-409C-BE32-E72D297353CC}">
                  <c16:uniqueId val="{00000013-FF59-4679-80E4-52BD5800F6CC}"/>
                </c:ext>
              </c:extLst>
            </c:dLbl>
            <c:dLbl>
              <c:idx val="20"/>
              <c:delete val="1"/>
              <c:extLst>
                <c:ext xmlns:c15="http://schemas.microsoft.com/office/drawing/2012/chart" uri="{CE6537A1-D6FC-4f65-9D91-7224C49458BB}"/>
                <c:ext xmlns:c16="http://schemas.microsoft.com/office/drawing/2014/chart" uri="{C3380CC4-5D6E-409C-BE32-E72D297353CC}">
                  <c16:uniqueId val="{00000014-FF59-4679-80E4-52BD5800F6CC}"/>
                </c:ext>
              </c:extLst>
            </c:dLbl>
            <c:dLbl>
              <c:idx val="21"/>
              <c:delete val="1"/>
              <c:extLst>
                <c:ext xmlns:c15="http://schemas.microsoft.com/office/drawing/2012/chart" uri="{CE6537A1-D6FC-4f65-9D91-7224C49458BB}"/>
                <c:ext xmlns:c16="http://schemas.microsoft.com/office/drawing/2014/chart" uri="{C3380CC4-5D6E-409C-BE32-E72D297353CC}">
                  <c16:uniqueId val="{00000015-FF59-4679-80E4-52BD5800F6CC}"/>
                </c:ext>
              </c:extLst>
            </c:dLbl>
            <c:dLbl>
              <c:idx val="22"/>
              <c:delete val="1"/>
              <c:extLst>
                <c:ext xmlns:c15="http://schemas.microsoft.com/office/drawing/2012/chart" uri="{CE6537A1-D6FC-4f65-9D91-7224C49458BB}"/>
                <c:ext xmlns:c16="http://schemas.microsoft.com/office/drawing/2014/chart" uri="{C3380CC4-5D6E-409C-BE32-E72D297353CC}">
                  <c16:uniqueId val="{00000016-FF59-4679-80E4-52BD5800F6CC}"/>
                </c:ext>
              </c:extLst>
            </c:dLbl>
            <c:dLbl>
              <c:idx val="23"/>
              <c:delete val="1"/>
              <c:extLst>
                <c:ext xmlns:c15="http://schemas.microsoft.com/office/drawing/2012/chart" uri="{CE6537A1-D6FC-4f65-9D91-7224C49458BB}"/>
                <c:ext xmlns:c16="http://schemas.microsoft.com/office/drawing/2014/chart" uri="{C3380CC4-5D6E-409C-BE32-E72D297353CC}">
                  <c16:uniqueId val="{00000017-FF59-4679-80E4-52BD5800F6CC}"/>
                </c:ext>
              </c:extLst>
            </c:dLbl>
            <c:dLbl>
              <c:idx val="24"/>
              <c:delete val="1"/>
              <c:extLst>
                <c:ext xmlns:c15="http://schemas.microsoft.com/office/drawing/2012/chart" uri="{CE6537A1-D6FC-4f65-9D91-7224C49458BB}"/>
                <c:ext xmlns:c16="http://schemas.microsoft.com/office/drawing/2014/chart" uri="{C3380CC4-5D6E-409C-BE32-E72D297353CC}">
                  <c16:uniqueId val="{00000018-FF59-4679-80E4-52BD5800F6C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50000"/>
                        <a:lumOff val="50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Sheet1!$A$2:$A$27</c:f>
              <c:strCache>
                <c:ptCount val="26"/>
                <c:pt idx="0">
                  <c:v>Q1 2011</c:v>
                </c:pt>
                <c:pt idx="1">
                  <c:v>Q2 2011</c:v>
                </c:pt>
                <c:pt idx="2">
                  <c:v>Q3 2011</c:v>
                </c:pt>
                <c:pt idx="3">
                  <c:v>Q4 2011</c:v>
                </c:pt>
                <c:pt idx="4">
                  <c:v>Q1 2012</c:v>
                </c:pt>
                <c:pt idx="5">
                  <c:v>Q2 2012</c:v>
                </c:pt>
                <c:pt idx="6">
                  <c:v>Q3 2012</c:v>
                </c:pt>
                <c:pt idx="7">
                  <c:v>Q4 2012</c:v>
                </c:pt>
                <c:pt idx="8">
                  <c:v>Q1 2013</c:v>
                </c:pt>
                <c:pt idx="9">
                  <c:v>Q2 2013</c:v>
                </c:pt>
                <c:pt idx="10">
                  <c:v>Q3 2013</c:v>
                </c:pt>
                <c:pt idx="11">
                  <c:v>Q4 2013</c:v>
                </c:pt>
                <c:pt idx="12">
                  <c:v>Q1 2014</c:v>
                </c:pt>
                <c:pt idx="13">
                  <c:v>Q2 2014</c:v>
                </c:pt>
                <c:pt idx="14">
                  <c:v>Q3 2014</c:v>
                </c:pt>
                <c:pt idx="15">
                  <c:v>Q4 2014</c:v>
                </c:pt>
                <c:pt idx="16">
                  <c:v>Q1 2015</c:v>
                </c:pt>
                <c:pt idx="17">
                  <c:v>Q2 2015</c:v>
                </c:pt>
                <c:pt idx="18">
                  <c:v>Q3 2015</c:v>
                </c:pt>
                <c:pt idx="19">
                  <c:v>Q4 2015</c:v>
                </c:pt>
                <c:pt idx="20">
                  <c:v>Q1 2016</c:v>
                </c:pt>
                <c:pt idx="21">
                  <c:v>Q2 2016</c:v>
                </c:pt>
                <c:pt idx="22">
                  <c:v>Q3 2016</c:v>
                </c:pt>
                <c:pt idx="23">
                  <c:v>Q4 2016</c:v>
                </c:pt>
                <c:pt idx="24">
                  <c:v>Q1 2017</c:v>
                </c:pt>
                <c:pt idx="25">
                  <c:v>Q2 2017</c:v>
                </c:pt>
              </c:strCache>
            </c:strRef>
          </c:cat>
          <c:val>
            <c:numRef>
              <c:f>Sheet1!$B$2:$B$27</c:f>
              <c:numCache>
                <c:formatCode>0.0%</c:formatCode>
                <c:ptCount val="26"/>
                <c:pt idx="0">
                  <c:v>0.23699999999999999</c:v>
                </c:pt>
                <c:pt idx="1">
                  <c:v>0.23100000000000001</c:v>
                </c:pt>
                <c:pt idx="2">
                  <c:v>0.23200000000000001</c:v>
                </c:pt>
                <c:pt idx="3">
                  <c:v>0.23100000000000001</c:v>
                </c:pt>
                <c:pt idx="4">
                  <c:v>0.22600000000000001</c:v>
                </c:pt>
                <c:pt idx="5">
                  <c:v>0.219</c:v>
                </c:pt>
                <c:pt idx="6">
                  <c:v>0.2125223</c:v>
                </c:pt>
                <c:pt idx="7">
                  <c:v>0.20399999999999999</c:v>
                </c:pt>
                <c:pt idx="8">
                  <c:v>0.193</c:v>
                </c:pt>
                <c:pt idx="9">
                  <c:v>0.1896042</c:v>
                </c:pt>
                <c:pt idx="10">
                  <c:v>0.19205040000000001</c:v>
                </c:pt>
                <c:pt idx="11">
                  <c:v>0.192</c:v>
                </c:pt>
                <c:pt idx="12">
                  <c:v>0.186</c:v>
                </c:pt>
                <c:pt idx="13">
                  <c:v>0.182</c:v>
                </c:pt>
                <c:pt idx="14">
                  <c:v>0.183</c:v>
                </c:pt>
                <c:pt idx="15">
                  <c:v>0.18099999999999999</c:v>
                </c:pt>
                <c:pt idx="16">
                  <c:v>0.17199999999999999</c:v>
                </c:pt>
                <c:pt idx="17">
                  <c:v>0.16800000000000001</c:v>
                </c:pt>
                <c:pt idx="18">
                  <c:v>0.16900000000000001</c:v>
                </c:pt>
                <c:pt idx="19">
                  <c:v>0.16600000000000001</c:v>
                </c:pt>
                <c:pt idx="20">
                  <c:v>0.157</c:v>
                </c:pt>
                <c:pt idx="21">
                  <c:v>0.15</c:v>
                </c:pt>
                <c:pt idx="22">
                  <c:v>0.14699999999999999</c:v>
                </c:pt>
                <c:pt idx="23">
                  <c:v>0.14199999999999999</c:v>
                </c:pt>
                <c:pt idx="24">
                  <c:v>0.13200000000000001</c:v>
                </c:pt>
                <c:pt idx="25">
                  <c:v>0.127</c:v>
                </c:pt>
              </c:numCache>
            </c:numRef>
          </c:val>
          <c:smooth val="0"/>
          <c:extLst>
            <c:ext xmlns:c16="http://schemas.microsoft.com/office/drawing/2014/chart" uri="{C3380CC4-5D6E-409C-BE32-E72D297353CC}">
              <c16:uniqueId val="{00000019-FF59-4679-80E4-52BD5800F6CC}"/>
            </c:ext>
          </c:extLst>
        </c:ser>
        <c:ser>
          <c:idx val="1"/>
          <c:order val="1"/>
          <c:tx>
            <c:strRef>
              <c:f>Sheet1!$C$1</c:f>
              <c:strCache>
                <c:ptCount val="1"/>
                <c:pt idx="0">
                  <c:v>Median</c:v>
                </c:pt>
              </c:strCache>
            </c:strRef>
          </c:tx>
          <c:spPr>
            <a:ln w="22225" cap="rnd">
              <a:solidFill>
                <a:schemeClr val="accent2"/>
              </a:solidFill>
              <a:round/>
            </a:ln>
            <a:effectLst/>
          </c:spPr>
          <c:marker>
            <c:symbol val="square"/>
            <c:size val="6"/>
            <c:spPr>
              <a:solidFill>
                <a:schemeClr val="accent2"/>
              </a:solidFill>
              <a:ln w="9525">
                <a:solidFill>
                  <a:schemeClr val="accent2"/>
                </a:solidFill>
                <a:round/>
              </a:ln>
              <a:effectLst/>
            </c:spPr>
          </c:marker>
          <c:dLbls>
            <c:dLbl>
              <c:idx val="0"/>
              <c:layout>
                <c:manualLayout>
                  <c:x val="-5.4641909402208699E-2"/>
                  <c:y val="3.375984251968503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A-FF59-4679-80E4-52BD5800F6CC}"/>
                </c:ext>
              </c:extLst>
            </c:dLbl>
            <c:dLbl>
              <c:idx val="1"/>
              <c:delete val="1"/>
              <c:extLst>
                <c:ext xmlns:c15="http://schemas.microsoft.com/office/drawing/2012/chart" uri="{CE6537A1-D6FC-4f65-9D91-7224C49458BB}"/>
                <c:ext xmlns:c16="http://schemas.microsoft.com/office/drawing/2014/chart" uri="{C3380CC4-5D6E-409C-BE32-E72D297353CC}">
                  <c16:uniqueId val="{0000001B-FF59-4679-80E4-52BD5800F6CC}"/>
                </c:ext>
              </c:extLst>
            </c:dLbl>
            <c:dLbl>
              <c:idx val="2"/>
              <c:delete val="1"/>
              <c:extLst>
                <c:ext xmlns:c15="http://schemas.microsoft.com/office/drawing/2012/chart" uri="{CE6537A1-D6FC-4f65-9D91-7224C49458BB}"/>
                <c:ext xmlns:c16="http://schemas.microsoft.com/office/drawing/2014/chart" uri="{C3380CC4-5D6E-409C-BE32-E72D297353CC}">
                  <c16:uniqueId val="{0000001C-FF59-4679-80E4-52BD5800F6CC}"/>
                </c:ext>
              </c:extLst>
            </c:dLbl>
            <c:dLbl>
              <c:idx val="3"/>
              <c:delete val="1"/>
              <c:extLst>
                <c:ext xmlns:c15="http://schemas.microsoft.com/office/drawing/2012/chart" uri="{CE6537A1-D6FC-4f65-9D91-7224C49458BB}"/>
                <c:ext xmlns:c16="http://schemas.microsoft.com/office/drawing/2014/chart" uri="{C3380CC4-5D6E-409C-BE32-E72D297353CC}">
                  <c16:uniqueId val="{0000001D-FF59-4679-80E4-52BD5800F6CC}"/>
                </c:ext>
              </c:extLst>
            </c:dLbl>
            <c:dLbl>
              <c:idx val="4"/>
              <c:delete val="1"/>
              <c:extLst>
                <c:ext xmlns:c15="http://schemas.microsoft.com/office/drawing/2012/chart" uri="{CE6537A1-D6FC-4f65-9D91-7224C49458BB}"/>
                <c:ext xmlns:c16="http://schemas.microsoft.com/office/drawing/2014/chart" uri="{C3380CC4-5D6E-409C-BE32-E72D297353CC}">
                  <c16:uniqueId val="{0000001E-FF59-4679-80E4-52BD5800F6CC}"/>
                </c:ext>
              </c:extLst>
            </c:dLbl>
            <c:dLbl>
              <c:idx val="5"/>
              <c:delete val="1"/>
              <c:extLst>
                <c:ext xmlns:c15="http://schemas.microsoft.com/office/drawing/2012/chart" uri="{CE6537A1-D6FC-4f65-9D91-7224C49458BB}"/>
                <c:ext xmlns:c16="http://schemas.microsoft.com/office/drawing/2014/chart" uri="{C3380CC4-5D6E-409C-BE32-E72D297353CC}">
                  <c16:uniqueId val="{0000001F-FF59-4679-80E4-52BD5800F6CC}"/>
                </c:ext>
              </c:extLst>
            </c:dLbl>
            <c:dLbl>
              <c:idx val="6"/>
              <c:delete val="1"/>
              <c:extLst>
                <c:ext xmlns:c15="http://schemas.microsoft.com/office/drawing/2012/chart" uri="{CE6537A1-D6FC-4f65-9D91-7224C49458BB}"/>
                <c:ext xmlns:c16="http://schemas.microsoft.com/office/drawing/2014/chart" uri="{C3380CC4-5D6E-409C-BE32-E72D297353CC}">
                  <c16:uniqueId val="{00000020-FF59-4679-80E4-52BD5800F6CC}"/>
                </c:ext>
              </c:extLst>
            </c:dLbl>
            <c:dLbl>
              <c:idx val="7"/>
              <c:delete val="1"/>
              <c:extLst>
                <c:ext xmlns:c15="http://schemas.microsoft.com/office/drawing/2012/chart" uri="{CE6537A1-D6FC-4f65-9D91-7224C49458BB}"/>
                <c:ext xmlns:c16="http://schemas.microsoft.com/office/drawing/2014/chart" uri="{C3380CC4-5D6E-409C-BE32-E72D297353CC}">
                  <c16:uniqueId val="{00000021-FF59-4679-80E4-52BD5800F6CC}"/>
                </c:ext>
              </c:extLst>
            </c:dLbl>
            <c:dLbl>
              <c:idx val="8"/>
              <c:delete val="1"/>
              <c:extLst>
                <c:ext xmlns:c15="http://schemas.microsoft.com/office/drawing/2012/chart" uri="{CE6537A1-D6FC-4f65-9D91-7224C49458BB}"/>
                <c:ext xmlns:c16="http://schemas.microsoft.com/office/drawing/2014/chart" uri="{C3380CC4-5D6E-409C-BE32-E72D297353CC}">
                  <c16:uniqueId val="{00000022-FF59-4679-80E4-52BD5800F6CC}"/>
                </c:ext>
              </c:extLst>
            </c:dLbl>
            <c:dLbl>
              <c:idx val="9"/>
              <c:delete val="1"/>
              <c:extLst>
                <c:ext xmlns:c15="http://schemas.microsoft.com/office/drawing/2012/chart" uri="{CE6537A1-D6FC-4f65-9D91-7224C49458BB}"/>
                <c:ext xmlns:c16="http://schemas.microsoft.com/office/drawing/2014/chart" uri="{C3380CC4-5D6E-409C-BE32-E72D297353CC}">
                  <c16:uniqueId val="{00000023-FF59-4679-80E4-52BD5800F6CC}"/>
                </c:ext>
              </c:extLst>
            </c:dLbl>
            <c:dLbl>
              <c:idx val="10"/>
              <c:delete val="1"/>
              <c:extLst>
                <c:ext xmlns:c15="http://schemas.microsoft.com/office/drawing/2012/chart" uri="{CE6537A1-D6FC-4f65-9D91-7224C49458BB}"/>
                <c:ext xmlns:c16="http://schemas.microsoft.com/office/drawing/2014/chart" uri="{C3380CC4-5D6E-409C-BE32-E72D297353CC}">
                  <c16:uniqueId val="{00000024-FF59-4679-80E4-52BD5800F6CC}"/>
                </c:ext>
              </c:extLst>
            </c:dLbl>
            <c:dLbl>
              <c:idx val="11"/>
              <c:delete val="1"/>
              <c:extLst>
                <c:ext xmlns:c15="http://schemas.microsoft.com/office/drawing/2012/chart" uri="{CE6537A1-D6FC-4f65-9D91-7224C49458BB}"/>
                <c:ext xmlns:c16="http://schemas.microsoft.com/office/drawing/2014/chart" uri="{C3380CC4-5D6E-409C-BE32-E72D297353CC}">
                  <c16:uniqueId val="{00000025-FF59-4679-80E4-52BD5800F6CC}"/>
                </c:ext>
              </c:extLst>
            </c:dLbl>
            <c:dLbl>
              <c:idx val="12"/>
              <c:delete val="1"/>
              <c:extLst>
                <c:ext xmlns:c15="http://schemas.microsoft.com/office/drawing/2012/chart" uri="{CE6537A1-D6FC-4f65-9D91-7224C49458BB}"/>
                <c:ext xmlns:c16="http://schemas.microsoft.com/office/drawing/2014/chart" uri="{C3380CC4-5D6E-409C-BE32-E72D297353CC}">
                  <c16:uniqueId val="{00000026-FF59-4679-80E4-52BD5800F6CC}"/>
                </c:ext>
              </c:extLst>
            </c:dLbl>
            <c:dLbl>
              <c:idx val="13"/>
              <c:delete val="1"/>
              <c:extLst>
                <c:ext xmlns:c15="http://schemas.microsoft.com/office/drawing/2012/chart" uri="{CE6537A1-D6FC-4f65-9D91-7224C49458BB}"/>
                <c:ext xmlns:c16="http://schemas.microsoft.com/office/drawing/2014/chart" uri="{C3380CC4-5D6E-409C-BE32-E72D297353CC}">
                  <c16:uniqueId val="{00000027-FF59-4679-80E4-52BD5800F6CC}"/>
                </c:ext>
              </c:extLst>
            </c:dLbl>
            <c:dLbl>
              <c:idx val="14"/>
              <c:delete val="1"/>
              <c:extLst>
                <c:ext xmlns:c15="http://schemas.microsoft.com/office/drawing/2012/chart" uri="{CE6537A1-D6FC-4f65-9D91-7224C49458BB}"/>
                <c:ext xmlns:c16="http://schemas.microsoft.com/office/drawing/2014/chart" uri="{C3380CC4-5D6E-409C-BE32-E72D297353CC}">
                  <c16:uniqueId val="{00000028-FF59-4679-80E4-52BD5800F6CC}"/>
                </c:ext>
              </c:extLst>
            </c:dLbl>
            <c:dLbl>
              <c:idx val="15"/>
              <c:delete val="1"/>
              <c:extLst>
                <c:ext xmlns:c15="http://schemas.microsoft.com/office/drawing/2012/chart" uri="{CE6537A1-D6FC-4f65-9D91-7224C49458BB}"/>
                <c:ext xmlns:c16="http://schemas.microsoft.com/office/drawing/2014/chart" uri="{C3380CC4-5D6E-409C-BE32-E72D297353CC}">
                  <c16:uniqueId val="{00000029-FF59-4679-80E4-52BD5800F6CC}"/>
                </c:ext>
              </c:extLst>
            </c:dLbl>
            <c:dLbl>
              <c:idx val="16"/>
              <c:delete val="1"/>
              <c:extLst>
                <c:ext xmlns:c15="http://schemas.microsoft.com/office/drawing/2012/chart" uri="{CE6537A1-D6FC-4f65-9D91-7224C49458BB}"/>
                <c:ext xmlns:c16="http://schemas.microsoft.com/office/drawing/2014/chart" uri="{C3380CC4-5D6E-409C-BE32-E72D297353CC}">
                  <c16:uniqueId val="{0000002A-FF59-4679-80E4-52BD5800F6CC}"/>
                </c:ext>
              </c:extLst>
            </c:dLbl>
            <c:dLbl>
              <c:idx val="17"/>
              <c:delete val="1"/>
              <c:extLst>
                <c:ext xmlns:c15="http://schemas.microsoft.com/office/drawing/2012/chart" uri="{CE6537A1-D6FC-4f65-9D91-7224C49458BB}"/>
                <c:ext xmlns:c16="http://schemas.microsoft.com/office/drawing/2014/chart" uri="{C3380CC4-5D6E-409C-BE32-E72D297353CC}">
                  <c16:uniqueId val="{0000002B-FF59-4679-80E4-52BD5800F6CC}"/>
                </c:ext>
              </c:extLst>
            </c:dLbl>
            <c:dLbl>
              <c:idx val="18"/>
              <c:delete val="1"/>
              <c:extLst>
                <c:ext xmlns:c15="http://schemas.microsoft.com/office/drawing/2012/chart" uri="{CE6537A1-D6FC-4f65-9D91-7224C49458BB}"/>
                <c:ext xmlns:c16="http://schemas.microsoft.com/office/drawing/2014/chart" uri="{C3380CC4-5D6E-409C-BE32-E72D297353CC}">
                  <c16:uniqueId val="{0000002C-FF59-4679-80E4-52BD5800F6CC}"/>
                </c:ext>
              </c:extLst>
            </c:dLbl>
            <c:dLbl>
              <c:idx val="19"/>
              <c:delete val="1"/>
              <c:extLst>
                <c:ext xmlns:c15="http://schemas.microsoft.com/office/drawing/2012/chart" uri="{CE6537A1-D6FC-4f65-9D91-7224C49458BB}"/>
                <c:ext xmlns:c16="http://schemas.microsoft.com/office/drawing/2014/chart" uri="{C3380CC4-5D6E-409C-BE32-E72D297353CC}">
                  <c16:uniqueId val="{0000002D-FF59-4679-80E4-52BD5800F6CC}"/>
                </c:ext>
              </c:extLst>
            </c:dLbl>
            <c:dLbl>
              <c:idx val="20"/>
              <c:delete val="1"/>
              <c:extLst>
                <c:ext xmlns:c15="http://schemas.microsoft.com/office/drawing/2012/chart" uri="{CE6537A1-D6FC-4f65-9D91-7224C49458BB}"/>
                <c:ext xmlns:c16="http://schemas.microsoft.com/office/drawing/2014/chart" uri="{C3380CC4-5D6E-409C-BE32-E72D297353CC}">
                  <c16:uniqueId val="{0000002E-FF59-4679-80E4-52BD5800F6CC}"/>
                </c:ext>
              </c:extLst>
            </c:dLbl>
            <c:dLbl>
              <c:idx val="21"/>
              <c:delete val="1"/>
              <c:extLst>
                <c:ext xmlns:c15="http://schemas.microsoft.com/office/drawing/2012/chart" uri="{CE6537A1-D6FC-4f65-9D91-7224C49458BB}"/>
                <c:ext xmlns:c16="http://schemas.microsoft.com/office/drawing/2014/chart" uri="{C3380CC4-5D6E-409C-BE32-E72D297353CC}">
                  <c16:uniqueId val="{0000002F-FF59-4679-80E4-52BD5800F6CC}"/>
                </c:ext>
              </c:extLst>
            </c:dLbl>
            <c:dLbl>
              <c:idx val="22"/>
              <c:delete val="1"/>
              <c:extLst>
                <c:ext xmlns:c15="http://schemas.microsoft.com/office/drawing/2012/chart" uri="{CE6537A1-D6FC-4f65-9D91-7224C49458BB}"/>
                <c:ext xmlns:c16="http://schemas.microsoft.com/office/drawing/2014/chart" uri="{C3380CC4-5D6E-409C-BE32-E72D297353CC}">
                  <c16:uniqueId val="{00000030-FF59-4679-80E4-52BD5800F6CC}"/>
                </c:ext>
              </c:extLst>
            </c:dLbl>
            <c:dLbl>
              <c:idx val="23"/>
              <c:delete val="1"/>
              <c:extLst>
                <c:ext xmlns:c15="http://schemas.microsoft.com/office/drawing/2012/chart" uri="{CE6537A1-D6FC-4f65-9D91-7224C49458BB}"/>
                <c:ext xmlns:c16="http://schemas.microsoft.com/office/drawing/2014/chart" uri="{C3380CC4-5D6E-409C-BE32-E72D297353CC}">
                  <c16:uniqueId val="{00000031-FF59-4679-80E4-52BD5800F6CC}"/>
                </c:ext>
              </c:extLst>
            </c:dLbl>
            <c:dLbl>
              <c:idx val="24"/>
              <c:delete val="1"/>
              <c:extLst>
                <c:ext xmlns:c15="http://schemas.microsoft.com/office/drawing/2012/chart" uri="{CE6537A1-D6FC-4f65-9D91-7224C49458BB}"/>
                <c:ext xmlns:c16="http://schemas.microsoft.com/office/drawing/2014/chart" uri="{C3380CC4-5D6E-409C-BE32-E72D297353CC}">
                  <c16:uniqueId val="{00000032-FF59-4679-80E4-52BD5800F6C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50000"/>
                        <a:lumOff val="50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Sheet1!$A$2:$A$27</c:f>
              <c:strCache>
                <c:ptCount val="26"/>
                <c:pt idx="0">
                  <c:v>Q1 2011</c:v>
                </c:pt>
                <c:pt idx="1">
                  <c:v>Q2 2011</c:v>
                </c:pt>
                <c:pt idx="2">
                  <c:v>Q3 2011</c:v>
                </c:pt>
                <c:pt idx="3">
                  <c:v>Q4 2011</c:v>
                </c:pt>
                <c:pt idx="4">
                  <c:v>Q1 2012</c:v>
                </c:pt>
                <c:pt idx="5">
                  <c:v>Q2 2012</c:v>
                </c:pt>
                <c:pt idx="6">
                  <c:v>Q3 2012</c:v>
                </c:pt>
                <c:pt idx="7">
                  <c:v>Q4 2012</c:v>
                </c:pt>
                <c:pt idx="8">
                  <c:v>Q1 2013</c:v>
                </c:pt>
                <c:pt idx="9">
                  <c:v>Q2 2013</c:v>
                </c:pt>
                <c:pt idx="10">
                  <c:v>Q3 2013</c:v>
                </c:pt>
                <c:pt idx="11">
                  <c:v>Q4 2013</c:v>
                </c:pt>
                <c:pt idx="12">
                  <c:v>Q1 2014</c:v>
                </c:pt>
                <c:pt idx="13">
                  <c:v>Q2 2014</c:v>
                </c:pt>
                <c:pt idx="14">
                  <c:v>Q3 2014</c:v>
                </c:pt>
                <c:pt idx="15">
                  <c:v>Q4 2014</c:v>
                </c:pt>
                <c:pt idx="16">
                  <c:v>Q1 2015</c:v>
                </c:pt>
                <c:pt idx="17">
                  <c:v>Q2 2015</c:v>
                </c:pt>
                <c:pt idx="18">
                  <c:v>Q3 2015</c:v>
                </c:pt>
                <c:pt idx="19">
                  <c:v>Q4 2015</c:v>
                </c:pt>
                <c:pt idx="20">
                  <c:v>Q1 2016</c:v>
                </c:pt>
                <c:pt idx="21">
                  <c:v>Q2 2016</c:v>
                </c:pt>
                <c:pt idx="22">
                  <c:v>Q3 2016</c:v>
                </c:pt>
                <c:pt idx="23">
                  <c:v>Q4 2016</c:v>
                </c:pt>
                <c:pt idx="24">
                  <c:v>Q1 2017</c:v>
                </c:pt>
                <c:pt idx="25">
                  <c:v>Q2 2017</c:v>
                </c:pt>
              </c:strCache>
            </c:strRef>
          </c:cat>
          <c:val>
            <c:numRef>
              <c:f>Sheet1!$C$2:$C$27</c:f>
              <c:numCache>
                <c:formatCode>0.0%</c:formatCode>
                <c:ptCount val="26"/>
                <c:pt idx="0">
                  <c:v>0.22900000000000001</c:v>
                </c:pt>
                <c:pt idx="1">
                  <c:v>0.222</c:v>
                </c:pt>
                <c:pt idx="2">
                  <c:v>0.224</c:v>
                </c:pt>
                <c:pt idx="3">
                  <c:v>0.222</c:v>
                </c:pt>
                <c:pt idx="4">
                  <c:v>0.217</c:v>
                </c:pt>
                <c:pt idx="5">
                  <c:v>0.20699999999999999</c:v>
                </c:pt>
                <c:pt idx="6">
                  <c:v>0.2</c:v>
                </c:pt>
                <c:pt idx="7">
                  <c:v>0.19400000000000001</c:v>
                </c:pt>
                <c:pt idx="8">
                  <c:v>0.182</c:v>
                </c:pt>
                <c:pt idx="9">
                  <c:v>0.17857139999999999</c:v>
                </c:pt>
                <c:pt idx="10">
                  <c:v>0.17948720000000001</c:v>
                </c:pt>
                <c:pt idx="11">
                  <c:v>0.17799999999999999</c:v>
                </c:pt>
                <c:pt idx="12">
                  <c:v>0.17299999999999999</c:v>
                </c:pt>
                <c:pt idx="13">
                  <c:v>0.17</c:v>
                </c:pt>
                <c:pt idx="14">
                  <c:v>0.17</c:v>
                </c:pt>
                <c:pt idx="15">
                  <c:v>0.16700000000000001</c:v>
                </c:pt>
                <c:pt idx="16">
                  <c:v>0.159</c:v>
                </c:pt>
                <c:pt idx="17">
                  <c:v>0.152</c:v>
                </c:pt>
                <c:pt idx="18">
                  <c:v>0.153</c:v>
                </c:pt>
                <c:pt idx="19">
                  <c:v>0.15</c:v>
                </c:pt>
                <c:pt idx="20">
                  <c:v>0.13900000000000001</c:v>
                </c:pt>
                <c:pt idx="21">
                  <c:v>0.13100000000000001</c:v>
                </c:pt>
                <c:pt idx="22">
                  <c:v>0.13</c:v>
                </c:pt>
                <c:pt idx="23">
                  <c:v>0.122</c:v>
                </c:pt>
                <c:pt idx="24">
                  <c:v>0.111</c:v>
                </c:pt>
                <c:pt idx="25">
                  <c:v>0.105</c:v>
                </c:pt>
              </c:numCache>
            </c:numRef>
          </c:val>
          <c:smooth val="0"/>
          <c:extLst>
            <c:ext xmlns:c16="http://schemas.microsoft.com/office/drawing/2014/chart" uri="{C3380CC4-5D6E-409C-BE32-E72D297353CC}">
              <c16:uniqueId val="{00000033-FF59-4679-80E4-52BD5800F6CC}"/>
            </c:ext>
          </c:extLst>
        </c:ser>
        <c:dLbls>
          <c:dLblPos val="t"/>
          <c:showLegendKey val="0"/>
          <c:showVal val="1"/>
          <c:showCatName val="0"/>
          <c:showSerName val="0"/>
          <c:showPercent val="0"/>
          <c:showBubbleSize val="0"/>
        </c:dLbls>
        <c:marker val="1"/>
        <c:smooth val="0"/>
        <c:axId val="127645008"/>
        <c:axId val="461108048"/>
      </c:lineChart>
      <c:catAx>
        <c:axId val="1276450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n-US"/>
          </a:p>
        </c:txPr>
        <c:crossAx val="461108048"/>
        <c:crosses val="autoZero"/>
        <c:auto val="1"/>
        <c:lblAlgn val="ctr"/>
        <c:lblOffset val="100"/>
        <c:noMultiLvlLbl val="0"/>
      </c:catAx>
      <c:valAx>
        <c:axId val="461108048"/>
        <c:scaling>
          <c:orientation val="minMax"/>
        </c:scaling>
        <c:delete val="0"/>
        <c:axPos val="l"/>
        <c:numFmt formatCode="0.0%"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645008"/>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Percentage of Facilities</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Within 1 Decile</c:v>
                </c:pt>
                <c:pt idx="1">
                  <c:v>Between 1 &amp; 2 Deciles</c:v>
                </c:pt>
                <c:pt idx="2">
                  <c:v>Between 2 &amp; 3 Deciles</c:v>
                </c:pt>
                <c:pt idx="3">
                  <c:v>More than 3 deciles</c:v>
                </c:pt>
              </c:strCache>
            </c:strRef>
          </c:cat>
          <c:val>
            <c:numRef>
              <c:f>Sheet1!$B$2:$B$5</c:f>
              <c:numCache>
                <c:formatCode>0.00%</c:formatCode>
                <c:ptCount val="4"/>
                <c:pt idx="0">
                  <c:v>0.71609999999999996</c:v>
                </c:pt>
                <c:pt idx="1">
                  <c:v>0.17199999999999999</c:v>
                </c:pt>
                <c:pt idx="2">
                  <c:v>7.0499999999999993E-2</c:v>
                </c:pt>
                <c:pt idx="3">
                  <c:v>4.1399999999999999E-2</c:v>
                </c:pt>
              </c:numCache>
            </c:numRef>
          </c:val>
          <c:extLst>
            <c:ext xmlns:c16="http://schemas.microsoft.com/office/drawing/2014/chart" uri="{C3380CC4-5D6E-409C-BE32-E72D297353CC}">
              <c16:uniqueId val="{00000000-7F74-40CA-94BE-84834DB8DE1E}"/>
            </c:ext>
          </c:extLst>
        </c:ser>
        <c:dLbls>
          <c:dLblPos val="outEnd"/>
          <c:showLegendKey val="0"/>
          <c:showVal val="1"/>
          <c:showCatName val="0"/>
          <c:showSerName val="0"/>
          <c:showPercent val="0"/>
          <c:showBubbleSize val="0"/>
        </c:dLbls>
        <c:gapWidth val="219"/>
        <c:overlap val="-27"/>
        <c:axId val="457570912"/>
        <c:axId val="457571240"/>
      </c:barChart>
      <c:catAx>
        <c:axId val="4575709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57571240"/>
        <c:crosses val="autoZero"/>
        <c:auto val="1"/>
        <c:lblAlgn val="ctr"/>
        <c:lblOffset val="100"/>
        <c:noMultiLvlLbl val="0"/>
      </c:catAx>
      <c:valAx>
        <c:axId val="457571240"/>
        <c:scaling>
          <c:orientation val="minMax"/>
          <c:max val="1"/>
        </c:scaling>
        <c:delete val="0"/>
        <c:axPos val="l"/>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57570912"/>
        <c:crosses val="autoZero"/>
        <c:crossBetween val="between"/>
        <c:minorUnit val="0.1"/>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Percentage of Facilities</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Within 1 SD</c:v>
                </c:pt>
                <c:pt idx="1">
                  <c:v>Between 1 &amp; 2 SD</c:v>
                </c:pt>
                <c:pt idx="2">
                  <c:v>Between 2 &amp; 3 SD</c:v>
                </c:pt>
                <c:pt idx="3">
                  <c:v>More than 3 SD</c:v>
                </c:pt>
              </c:strCache>
            </c:strRef>
          </c:cat>
          <c:val>
            <c:numRef>
              <c:f>Sheet1!$B$2:$B$5</c:f>
              <c:numCache>
                <c:formatCode>0.00%</c:formatCode>
                <c:ptCount val="4"/>
                <c:pt idx="0">
                  <c:v>0.75409999999999999</c:v>
                </c:pt>
                <c:pt idx="1">
                  <c:v>0.185</c:v>
                </c:pt>
                <c:pt idx="2">
                  <c:v>4.7500000000000001E-2</c:v>
                </c:pt>
                <c:pt idx="3">
                  <c:v>1.34E-2</c:v>
                </c:pt>
              </c:numCache>
            </c:numRef>
          </c:val>
          <c:extLst>
            <c:ext xmlns:c16="http://schemas.microsoft.com/office/drawing/2014/chart" uri="{C3380CC4-5D6E-409C-BE32-E72D297353CC}">
              <c16:uniqueId val="{00000000-2C2A-4AB8-BF5A-40213F2DAA8A}"/>
            </c:ext>
          </c:extLst>
        </c:ser>
        <c:dLbls>
          <c:dLblPos val="outEnd"/>
          <c:showLegendKey val="0"/>
          <c:showVal val="1"/>
          <c:showCatName val="0"/>
          <c:showSerName val="0"/>
          <c:showPercent val="0"/>
          <c:showBubbleSize val="0"/>
        </c:dLbls>
        <c:gapWidth val="219"/>
        <c:overlap val="-27"/>
        <c:axId val="241648080"/>
        <c:axId val="241648408"/>
      </c:barChart>
      <c:catAx>
        <c:axId val="241648080"/>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41648408"/>
        <c:crosses val="autoZero"/>
        <c:auto val="1"/>
        <c:lblAlgn val="ctr"/>
        <c:lblOffset val="100"/>
        <c:noMultiLvlLbl val="0"/>
      </c:catAx>
      <c:valAx>
        <c:axId val="241648408"/>
        <c:scaling>
          <c:orientation val="minMax"/>
          <c:max val="1"/>
        </c:scaling>
        <c:delete val="0"/>
        <c:axPos val="l"/>
        <c:numFmt formatCode="0.0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41648080"/>
        <c:crosses val="autoZero"/>
        <c:crossBetween val="between"/>
        <c:minorUnit val="0.1"/>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3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Yu Mincho">
    <w:charset w:val="80"/>
    <w:family w:val="roman"/>
    <w:pitch w:val="variable"/>
    <w:sig w:usb0="800002E7" w:usb1="2AC7FCFF" w:usb2="00000012" w:usb3="00000000" w:csb0="0002009F" w:csb1="00000000"/>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0121"/>
    <w:rsid w:val="00021F89"/>
    <w:rsid w:val="00036D00"/>
    <w:rsid w:val="0005756F"/>
    <w:rsid w:val="00127222"/>
    <w:rsid w:val="001736D7"/>
    <w:rsid w:val="00190AF4"/>
    <w:rsid w:val="00222213"/>
    <w:rsid w:val="00223FA3"/>
    <w:rsid w:val="002A288F"/>
    <w:rsid w:val="002C65A7"/>
    <w:rsid w:val="002D2C4F"/>
    <w:rsid w:val="002F052A"/>
    <w:rsid w:val="00350176"/>
    <w:rsid w:val="003703E6"/>
    <w:rsid w:val="003840F0"/>
    <w:rsid w:val="00437537"/>
    <w:rsid w:val="0045486C"/>
    <w:rsid w:val="004B5361"/>
    <w:rsid w:val="004D785E"/>
    <w:rsid w:val="00513FC9"/>
    <w:rsid w:val="0053654E"/>
    <w:rsid w:val="00610196"/>
    <w:rsid w:val="00632A7E"/>
    <w:rsid w:val="00632AB6"/>
    <w:rsid w:val="006834DF"/>
    <w:rsid w:val="00730B33"/>
    <w:rsid w:val="00772B2A"/>
    <w:rsid w:val="0079243B"/>
    <w:rsid w:val="007C672A"/>
    <w:rsid w:val="007D4368"/>
    <w:rsid w:val="007D568A"/>
    <w:rsid w:val="00822666"/>
    <w:rsid w:val="00823ECC"/>
    <w:rsid w:val="00826796"/>
    <w:rsid w:val="00866C97"/>
    <w:rsid w:val="00870F5A"/>
    <w:rsid w:val="00875391"/>
    <w:rsid w:val="008E2449"/>
    <w:rsid w:val="009017AE"/>
    <w:rsid w:val="00911425"/>
    <w:rsid w:val="00935634"/>
    <w:rsid w:val="009678D5"/>
    <w:rsid w:val="009755FA"/>
    <w:rsid w:val="009C542D"/>
    <w:rsid w:val="009E31DF"/>
    <w:rsid w:val="00A01A18"/>
    <w:rsid w:val="00A579D3"/>
    <w:rsid w:val="00A95183"/>
    <w:rsid w:val="00AB4AF7"/>
    <w:rsid w:val="00AD3234"/>
    <w:rsid w:val="00AD7C4F"/>
    <w:rsid w:val="00B445F5"/>
    <w:rsid w:val="00B63777"/>
    <w:rsid w:val="00B63AD0"/>
    <w:rsid w:val="00BD40CB"/>
    <w:rsid w:val="00C362A2"/>
    <w:rsid w:val="00C90121"/>
    <w:rsid w:val="00C96E73"/>
    <w:rsid w:val="00CA1FE8"/>
    <w:rsid w:val="00CA344F"/>
    <w:rsid w:val="00CA660C"/>
    <w:rsid w:val="00CB2D68"/>
    <w:rsid w:val="00CB6012"/>
    <w:rsid w:val="00CF75BF"/>
    <w:rsid w:val="00D1676E"/>
    <w:rsid w:val="00DB2169"/>
    <w:rsid w:val="00DC0246"/>
    <w:rsid w:val="00DC2518"/>
    <w:rsid w:val="00DE7236"/>
    <w:rsid w:val="00E238D4"/>
    <w:rsid w:val="00E6518A"/>
    <w:rsid w:val="00E869D4"/>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3.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00C901-3C40-4C03-AF30-8401D54B3554}">
  <ds:schemaRefs>
    <ds:schemaRef ds:uri="http://purl.org/dc/dcmitype/"/>
    <ds:schemaRef ds:uri="http://purl.org/dc/terms/"/>
    <ds:schemaRef ds:uri="http://schemas.openxmlformats.org/package/2006/metadata/core-properties"/>
    <ds:schemaRef ds:uri="http://schemas.microsoft.com/office/2006/documentManagement/types"/>
    <ds:schemaRef ds:uri="836b82f1-340d-495e-85b5-201c5296619a"/>
    <ds:schemaRef ds:uri="http://purl.org/dc/elements/1.1/"/>
    <ds:schemaRef ds:uri="http://www.w3.org/XML/1998/namespace"/>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4.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5.xml><?xml version="1.0" encoding="utf-8"?>
<ds:datastoreItem xmlns:ds="http://schemas.openxmlformats.org/officeDocument/2006/customXml" ds:itemID="{564F4C66-50A4-48B8-91E4-C4E1997C9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32</Pages>
  <Words>13690</Words>
  <Characters>78037</Characters>
  <Application>Microsoft Office Word</Application>
  <DocSecurity>0</DocSecurity>
  <Lines>650</Lines>
  <Paragraphs>183</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91544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RTI</cp:lastModifiedBy>
  <cp:revision>13</cp:revision>
  <cp:lastPrinted>2018-04-16T14:10:00Z</cp:lastPrinted>
  <dcterms:created xsi:type="dcterms:W3CDTF">2018-04-13T20:05:00Z</dcterms:created>
  <dcterms:modified xsi:type="dcterms:W3CDTF">2018-04-16T17:24:00Z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