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2A2BF494"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290FF0">
            <w:rPr>
              <w:rStyle w:val="Style1"/>
            </w:rPr>
            <w:t>0677</w:t>
          </w:r>
        </w:sdtContent>
      </w:sdt>
    </w:p>
    <w:p w14:paraId="0CABCF56" w14:textId="5414406F"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290FF0">
            <w:rPr>
              <w:rStyle w:val="Style1"/>
              <w:rFonts w:cstheme="minorHAnsi"/>
            </w:rPr>
            <w:t>Percent of Residents Who Self-Report Moderate to Severe Pain (</w:t>
          </w:r>
          <w:r w:rsidR="002E747B">
            <w:rPr>
              <w:rStyle w:val="Style1"/>
              <w:rFonts w:cstheme="minorHAnsi"/>
            </w:rPr>
            <w:t>Long Stay</w:t>
          </w:r>
          <w:r w:rsidR="00290FF0">
            <w:rPr>
              <w:rStyle w:val="Style1"/>
              <w:rFonts w:cstheme="minorHAnsi"/>
            </w:rPr>
            <w:t>)</w:t>
          </w:r>
        </w:sdtContent>
      </w:sdt>
    </w:p>
    <w:p w14:paraId="0CABCF57" w14:textId="4DFA0AA8"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4-16T00:00:00Z">
            <w:dateFormat w:val="M/d/yyyy"/>
            <w:lid w:val="en-US"/>
            <w:storeMappedDataAs w:val="dateTime"/>
            <w:calendar w:val="gregorian"/>
          </w:date>
        </w:sdtPr>
        <w:sdtEndPr>
          <w:rPr>
            <w:rStyle w:val="DefaultParagraphFont"/>
            <w:noProof/>
            <w:color w:val="auto"/>
            <w:u w:val="none"/>
          </w:rPr>
        </w:sdtEndPr>
        <w:sdtContent>
          <w:r w:rsidR="00CA70D6">
            <w:rPr>
              <w:rStyle w:val="Style2"/>
              <w:rFonts w:cstheme="minorHAnsi"/>
            </w:rPr>
            <w:t>4/16/2018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039F01F1" w:rsidR="000B7D57" w:rsidRPr="00C775CE" w:rsidRDefault="007076F8" w:rsidP="00CD364B">
            <w:pPr>
              <w:autoSpaceDE w:val="0"/>
              <w:autoSpaceDN w:val="0"/>
              <w:adjustRightInd w:val="0"/>
              <w:rPr>
                <w:rFonts w:cstheme="minorHAnsi"/>
                <w:bCs/>
              </w:rPr>
            </w:pPr>
            <w:sdt>
              <w:sdtPr>
                <w:rPr>
                  <w:rFonts w:cstheme="minorHAnsi"/>
                  <w:bCs/>
                  <w:color w:val="0000FF"/>
                  <w:highlight w:val="yellow"/>
                </w:rPr>
                <w:id w:val="40960739"/>
                <w14:checkbox>
                  <w14:checked w14:val="1"/>
                  <w14:checkedState w14:val="2612" w14:font="MS Gothic"/>
                  <w14:uncheckedState w14:val="2610" w14:font="MS Gothic"/>
                </w14:checkbox>
              </w:sdtPr>
              <w:sdtContent>
                <w:r w:rsidR="00F04B4B" w:rsidRPr="00AF076E">
                  <w:rPr>
                    <w:rFonts w:ascii="MS Gothic" w:eastAsia="MS Gothic" w:hAnsi="MS Gothic" w:cstheme="minorHAnsi" w:hint="eastAsia"/>
                    <w:bCs/>
                    <w:color w:val="0000FF"/>
                    <w:highlight w:val="yellow"/>
                  </w:rPr>
                  <w:t>☒</w:t>
                </w:r>
              </w:sdtContent>
            </w:sdt>
            <w:r w:rsidR="000B7D57" w:rsidRPr="00AF076E">
              <w:rPr>
                <w:rFonts w:cstheme="minorHAnsi"/>
                <w:bCs/>
                <w:highlight w:val="yellow"/>
              </w:rPr>
              <w:t xml:space="preserve"> Outcome (</w:t>
            </w:r>
            <w:r w:rsidR="000B7D57" w:rsidRPr="00AF076E">
              <w:rPr>
                <w:rFonts w:cstheme="minorHAnsi"/>
                <w:bCs/>
                <w:i/>
                <w:highlight w:val="yellow"/>
              </w:rPr>
              <w:t>including PRO-PM</w:t>
            </w:r>
            <w:r w:rsidR="000B7D57" w:rsidRPr="00AF076E">
              <w:rPr>
                <w:rFonts w:cstheme="minorHAnsi"/>
                <w:bCs/>
                <w:highlight w:val="yellow"/>
              </w:rPr>
              <w:t>)</w:t>
            </w:r>
          </w:p>
        </w:tc>
        <w:tc>
          <w:tcPr>
            <w:tcW w:w="2487" w:type="pct"/>
          </w:tcPr>
          <w:p w14:paraId="0CABCF5A" w14:textId="77777777" w:rsidR="000B7D57" w:rsidRPr="00C775CE" w:rsidRDefault="007076F8"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7076F8"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7076F8"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7076F8"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7076F8"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7076F8"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000" w:type="pct"/>
        <w:tblLook w:val="04A0" w:firstRow="1" w:lastRow="0" w:firstColumn="1" w:lastColumn="0" w:noHBand="0" w:noVBand="1"/>
      </w:tblPr>
      <w:tblGrid>
        <w:gridCol w:w="9350"/>
      </w:tblGrid>
      <w:tr w:rsidR="00702C73" w14:paraId="0CABCF70" w14:textId="77777777" w:rsidTr="00003004">
        <w:trPr>
          <w:tblHead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2B676C">
            <w:pPr>
              <w:pStyle w:val="ListParagraph"/>
              <w:numPr>
                <w:ilvl w:val="0"/>
                <w:numId w:val="1"/>
              </w:numPr>
              <w:rPr>
                <w:noProof/>
              </w:rPr>
            </w:pPr>
            <w:r w:rsidRPr="00C14CCC">
              <w:rPr>
                <w:noProof/>
              </w:rPr>
              <w:t xml:space="preserve">Measures must be tested for all the data sources and levels of analyses that are specified. </w:t>
            </w:r>
            <w:r w:rsidRPr="00CB49FF">
              <w:rPr>
                <w:b/>
                <w:i/>
                <w:noProof/>
              </w:rPr>
              <w:t xml:space="preserve">If </w:t>
            </w:r>
            <w:r w:rsidR="000B032A" w:rsidRPr="00CB49FF">
              <w:rPr>
                <w:b/>
                <w:i/>
                <w:noProof/>
              </w:rPr>
              <w:t xml:space="preserve">there is </w:t>
            </w:r>
            <w:r w:rsidRPr="00CB49FF">
              <w:rPr>
                <w:b/>
                <w:i/>
                <w:noProof/>
              </w:rPr>
              <w:t>more than one</w:t>
            </w:r>
            <w:r w:rsidR="00E96884" w:rsidRPr="00CB49FF">
              <w:rPr>
                <w:b/>
                <w:i/>
                <w:noProof/>
              </w:rPr>
              <w:t xml:space="preserve"> set of</w:t>
            </w:r>
            <w:r w:rsidRPr="00CB49FF">
              <w:rPr>
                <w:b/>
                <w:i/>
                <w:noProof/>
              </w:rPr>
              <w:t xml:space="preserve"> data </w:t>
            </w:r>
            <w:r w:rsidR="000B032A" w:rsidRPr="00CB49FF">
              <w:rPr>
                <w:b/>
                <w:i/>
                <w:noProof/>
              </w:rPr>
              <w:t>specification</w:t>
            </w:r>
            <w:r w:rsidR="009E095B">
              <w:rPr>
                <w:b/>
                <w:i/>
                <w:noProof/>
              </w:rPr>
              <w:t>s</w:t>
            </w:r>
            <w:r w:rsidRPr="00CB49FF">
              <w:rPr>
                <w:b/>
                <w:i/>
                <w:noProof/>
              </w:rPr>
              <w:t xml:space="preserve"> or </w:t>
            </w:r>
            <w:r w:rsidR="009E095B">
              <w:rPr>
                <w:b/>
                <w:i/>
                <w:noProof/>
              </w:rPr>
              <w:t xml:space="preserve">more than one </w:t>
            </w:r>
            <w:r w:rsidRPr="00CB49FF">
              <w:rPr>
                <w:b/>
                <w:i/>
                <w:noProof/>
              </w:rPr>
              <w:t>level of an</w:t>
            </w:r>
            <w:r w:rsidR="001F1DA1" w:rsidRPr="00CB49FF">
              <w:rPr>
                <w:b/>
                <w:i/>
                <w:noProof/>
              </w:rPr>
              <w:t>a</w:t>
            </w:r>
            <w:r w:rsidRPr="00CB49FF">
              <w:rPr>
                <w:b/>
                <w:i/>
                <w:noProof/>
              </w:rPr>
              <w:t>lysis, contact NQF staff</w:t>
            </w:r>
            <w:r w:rsidRPr="00C14CCC">
              <w:rPr>
                <w:noProof/>
              </w:rPr>
              <w:t xml:space="preserve"> about how to present </w:t>
            </w:r>
            <w:r w:rsidR="004D4D8A">
              <w:rPr>
                <w:noProof/>
              </w:rPr>
              <w:t xml:space="preserve">all </w:t>
            </w:r>
            <w:r w:rsidRPr="00C14CCC">
              <w:rPr>
                <w:noProof/>
              </w:rPr>
              <w:t>the testing information</w:t>
            </w:r>
            <w:r w:rsidR="00416962">
              <w:rPr>
                <w:noProof/>
              </w:rPr>
              <w:t xml:space="preserve"> in one form</w:t>
            </w:r>
            <w:r w:rsidRPr="00C14CCC">
              <w:rPr>
                <w:noProof/>
              </w:rPr>
              <w:t>.</w:t>
            </w:r>
          </w:p>
          <w:p w14:paraId="0CABCF68" w14:textId="5AF5ED13" w:rsidR="00702C73" w:rsidRPr="00053F02" w:rsidRDefault="00702C73" w:rsidP="002B676C">
            <w:pPr>
              <w:pStyle w:val="ListParagraph"/>
              <w:numPr>
                <w:ilvl w:val="0"/>
                <w:numId w:val="1"/>
              </w:numPr>
              <w:rPr>
                <w:noProof/>
              </w:rPr>
            </w:pPr>
            <w:r w:rsidRPr="00053F02">
              <w:rPr>
                <w:noProof/>
              </w:rPr>
              <w:t xml:space="preserve">For </w:t>
            </w:r>
            <w:r w:rsidRPr="00483E94">
              <w:rPr>
                <w:noProof/>
                <w:u w:val="single"/>
              </w:rPr>
              <w:t>all</w:t>
            </w:r>
            <w:r w:rsidR="00D369E9">
              <w:rPr>
                <w:noProof/>
              </w:rPr>
              <w:t xml:space="preserve"> measures, sections 1, 2a2, 2b1, 2b2</w:t>
            </w:r>
            <w:r w:rsidRPr="00053F02">
              <w:rPr>
                <w:noProof/>
              </w:rPr>
              <w:t xml:space="preserve">, </w:t>
            </w:r>
            <w:r w:rsidR="004D4D8A">
              <w:rPr>
                <w:noProof/>
              </w:rPr>
              <w:t xml:space="preserve">and </w:t>
            </w:r>
            <w:r w:rsidR="00D369E9">
              <w:rPr>
                <w:noProof/>
              </w:rPr>
              <w:t>2b4</w:t>
            </w:r>
            <w:r w:rsidRPr="00053F02">
              <w:rPr>
                <w:noProof/>
              </w:rPr>
              <w:t xml:space="preserve"> must be completed</w:t>
            </w:r>
            <w:r w:rsidR="00E96884">
              <w:rPr>
                <w:noProof/>
              </w:rPr>
              <w:t>.</w:t>
            </w:r>
          </w:p>
          <w:p w14:paraId="0CABCF69" w14:textId="796FE809" w:rsidR="00702C73" w:rsidRDefault="00702C73" w:rsidP="002B676C">
            <w:pPr>
              <w:pStyle w:val="ListParagraph"/>
              <w:numPr>
                <w:ilvl w:val="0"/>
                <w:numId w:val="1"/>
              </w:numPr>
              <w:rPr>
                <w:noProof/>
              </w:rPr>
            </w:pPr>
            <w:r w:rsidRPr="00053F02">
              <w:rPr>
                <w:noProof/>
              </w:rPr>
              <w:t xml:space="preserve">For </w:t>
            </w:r>
            <w:r w:rsidRPr="00483E94">
              <w:rPr>
                <w:noProof/>
                <w:u w:val="single"/>
              </w:rPr>
              <w:t xml:space="preserve">outcome </w:t>
            </w:r>
            <w:r w:rsidR="00C34936">
              <w:rPr>
                <w:noProof/>
                <w:u w:val="single"/>
              </w:rPr>
              <w:t xml:space="preserve">and </w:t>
            </w:r>
            <w:r w:rsidRPr="00483E94">
              <w:rPr>
                <w:noProof/>
                <w:u w:val="single"/>
              </w:rPr>
              <w:t>resource use</w:t>
            </w:r>
            <w:r>
              <w:rPr>
                <w:noProof/>
              </w:rPr>
              <w:t xml:space="preserve"> </w:t>
            </w:r>
            <w:r w:rsidRPr="00053F02">
              <w:rPr>
                <w:noProof/>
              </w:rPr>
              <w:t>measures</w:t>
            </w:r>
            <w:r>
              <w:rPr>
                <w:noProof/>
              </w:rPr>
              <w:t xml:space="preserve">, section </w:t>
            </w:r>
            <w:r w:rsidR="00D369E9">
              <w:rPr>
                <w:noProof/>
              </w:rPr>
              <w:t xml:space="preserve">2b3 </w:t>
            </w:r>
            <w:r>
              <w:rPr>
                <w:noProof/>
              </w:rPr>
              <w:t>also must be completed</w:t>
            </w:r>
            <w:r w:rsidR="00892176">
              <w:rPr>
                <w:noProof/>
              </w:rPr>
              <w:t>.</w:t>
            </w:r>
          </w:p>
          <w:p w14:paraId="0CABCF6A" w14:textId="3FB05666" w:rsidR="00702C73" w:rsidRDefault="00702C73" w:rsidP="002B676C">
            <w:pPr>
              <w:pStyle w:val="ListParagraph"/>
              <w:numPr>
                <w:ilvl w:val="0"/>
                <w:numId w:val="1"/>
              </w:numPr>
              <w:rPr>
                <w:noProof/>
              </w:rPr>
            </w:pPr>
            <w:r>
              <w:rPr>
                <w:noProof/>
              </w:rPr>
              <w:t xml:space="preserve">If specified for </w:t>
            </w:r>
            <w:r w:rsidRPr="00483E94">
              <w:rPr>
                <w:b/>
                <w:noProof/>
                <w:u w:val="single"/>
              </w:rPr>
              <w:t>multiple data sources</w:t>
            </w:r>
            <w:r w:rsidR="004D4D8A">
              <w:rPr>
                <w:b/>
                <w:noProof/>
                <w:u w:val="single"/>
              </w:rPr>
              <w:t>/sets of specificaitons</w:t>
            </w:r>
            <w:r>
              <w:rPr>
                <w:noProof/>
              </w:rPr>
              <w:t xml:space="preserve"> (e.g., claims and</w:t>
            </w:r>
            <w:r w:rsidR="00E96884">
              <w:rPr>
                <w:noProof/>
              </w:rPr>
              <w:t xml:space="preserve"> </w:t>
            </w:r>
            <w:r w:rsidR="00416962">
              <w:rPr>
                <w:noProof/>
              </w:rPr>
              <w:t>EHRs</w:t>
            </w:r>
            <w:r>
              <w:rPr>
                <w:noProof/>
              </w:rPr>
              <w:t xml:space="preserve">), section </w:t>
            </w:r>
            <w:r w:rsidR="00D369E9">
              <w:rPr>
                <w:b/>
                <w:noProof/>
              </w:rPr>
              <w:t>2b5</w:t>
            </w:r>
            <w:r>
              <w:rPr>
                <w:noProof/>
              </w:rPr>
              <w:t xml:space="preserve"> also must be completed</w:t>
            </w:r>
            <w:r w:rsidR="00E96884">
              <w:rPr>
                <w:noProof/>
              </w:rPr>
              <w:t>.</w:t>
            </w:r>
          </w:p>
          <w:p w14:paraId="0CABCF6B" w14:textId="030139AC" w:rsidR="00702C73" w:rsidRPr="008F589F" w:rsidRDefault="00702C73" w:rsidP="002B676C">
            <w:pPr>
              <w:pStyle w:val="ListParagraph"/>
              <w:numPr>
                <w:ilvl w:val="0"/>
                <w:numId w:val="1"/>
              </w:numPr>
              <w:rPr>
                <w:noProof/>
              </w:rPr>
            </w:pPr>
            <w:r w:rsidRPr="008F589F">
              <w:rPr>
                <w:noProof/>
              </w:rPr>
              <w:t xml:space="preserve">Respond to </w:t>
            </w:r>
            <w:r w:rsidRPr="008F589F">
              <w:rPr>
                <w:noProof/>
                <w:u w:val="single"/>
              </w:rPr>
              <w:t>all</w:t>
            </w:r>
            <w:r w:rsidRPr="008F589F">
              <w:rPr>
                <w:noProof/>
              </w:rPr>
              <w:t xml:space="preserve"> questions </w:t>
            </w:r>
            <w:r w:rsidR="00977591" w:rsidRPr="008F589F">
              <w:rPr>
                <w:noProof/>
              </w:rPr>
              <w:t>as instructed</w:t>
            </w:r>
            <w:r w:rsidR="008F589F">
              <w:rPr>
                <w:noProof/>
              </w:rPr>
              <w:t xml:space="preserve"> </w:t>
            </w:r>
            <w:r w:rsidR="00977591" w:rsidRPr="008F589F">
              <w:rPr>
                <w:noProof/>
              </w:rPr>
              <w:t xml:space="preserve">with </w:t>
            </w:r>
            <w:r w:rsidRPr="008F589F">
              <w:rPr>
                <w:noProof/>
              </w:rPr>
              <w:t>answers immediately following the question.</w:t>
            </w:r>
            <w:r w:rsidR="0096278F" w:rsidRPr="008F589F">
              <w:rPr>
                <w:noProof/>
              </w:rPr>
              <w:t xml:space="preserve"> All information </w:t>
            </w:r>
            <w:r w:rsidR="008F589F">
              <w:rPr>
                <w:noProof/>
              </w:rPr>
              <w:t xml:space="preserve">on testing </w:t>
            </w:r>
            <w:r w:rsidR="0096278F" w:rsidRPr="008F589F">
              <w:rPr>
                <w:noProof/>
              </w:rPr>
              <w:t>to demonstrate meeting</w:t>
            </w:r>
            <w:r w:rsidR="008F589F">
              <w:rPr>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noProof/>
              </w:rPr>
              <w:t xml:space="preserve">must be in this form. An appendix for </w:t>
            </w:r>
            <w:r w:rsidR="0096278F" w:rsidRPr="008F589F">
              <w:rPr>
                <w:i/>
                <w:noProof/>
              </w:rPr>
              <w:t>supplemental</w:t>
            </w:r>
            <w:r w:rsidR="0096278F" w:rsidRPr="008F589F">
              <w:rPr>
                <w:noProof/>
              </w:rPr>
              <w:t xml:space="preserve"> materials may be submitted, but there is no guarantee it will be reviewed.</w:t>
            </w:r>
          </w:p>
          <w:p w14:paraId="0CABCF6C" w14:textId="77777777" w:rsidR="00C14CCC" w:rsidRDefault="00977591" w:rsidP="002B676C">
            <w:pPr>
              <w:pStyle w:val="ListParagraph"/>
              <w:numPr>
                <w:ilvl w:val="0"/>
                <w:numId w:val="1"/>
              </w:numPr>
              <w:rPr>
                <w:rFonts w:cstheme="minorHAnsi"/>
                <w:noProof/>
              </w:rPr>
            </w:pPr>
            <w:r>
              <w:t>If you are unable to check a</w:t>
            </w:r>
            <w:r w:rsidR="009D7E38">
              <w:t xml:space="preserve"> box, please highlight or </w:t>
            </w:r>
            <w:r w:rsidR="00C14CCC">
              <w:t>shade the box for your response.</w:t>
            </w:r>
          </w:p>
          <w:p w14:paraId="0CABCF6D" w14:textId="192D3D35" w:rsidR="00904E91" w:rsidRPr="008F589F" w:rsidRDefault="009D7E38" w:rsidP="002B676C">
            <w:pPr>
              <w:pStyle w:val="ListParagraph"/>
              <w:numPr>
                <w:ilvl w:val="0"/>
                <w:numId w:val="1"/>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noProof/>
              </w:rPr>
              <w:t>inc</w:t>
            </w:r>
            <w:r w:rsidR="00596508">
              <w:rPr>
                <w:rFonts w:cstheme="minorHAnsi"/>
                <w:noProof/>
              </w:rPr>
              <w:t>l</w:t>
            </w:r>
            <w:r w:rsidR="00702C73">
              <w:rPr>
                <w:rFonts w:cstheme="minorHAnsi"/>
                <w:noProof/>
              </w:rPr>
              <w:t>uding</w:t>
            </w:r>
            <w:r w:rsidR="00702C73" w:rsidRPr="006269D4">
              <w:rPr>
                <w:rFonts w:cstheme="minorHAnsi"/>
                <w:noProof/>
              </w:rPr>
              <w:t xml:space="preserve"> qu</w:t>
            </w:r>
            <w:r w:rsidR="00702C73">
              <w:rPr>
                <w:rFonts w:cstheme="minorHAns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rPr>
              <w:t xml:space="preserve">Contact </w:t>
            </w:r>
            <w:r w:rsidR="00977591">
              <w:rPr>
                <w:b/>
              </w:rPr>
              <w:t>NQF staff if more pages are needed</w:t>
            </w:r>
            <w:r w:rsidR="00977591" w:rsidRPr="000D6D06">
              <w:rPr>
                <w:b/>
              </w:rPr>
              <w:t>.</w:t>
            </w:r>
          </w:p>
          <w:p w14:paraId="0CABCF6E" w14:textId="77777777" w:rsidR="00904E91" w:rsidRPr="00A71200" w:rsidRDefault="00977591" w:rsidP="002B676C">
            <w:pPr>
              <w:pStyle w:val="ListParagraph"/>
              <w:numPr>
                <w:ilvl w:val="0"/>
                <w:numId w:val="1"/>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2B676C">
            <w:pPr>
              <w:pStyle w:val="ListParagraph"/>
              <w:numPr>
                <w:ilvl w:val="0"/>
                <w:numId w:val="1"/>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000" w:type="pct"/>
        <w:tblLook w:val="04A0" w:firstRow="1" w:lastRow="0" w:firstColumn="1" w:lastColumn="0" w:noHBand="0" w:noVBand="1"/>
      </w:tblPr>
      <w:tblGrid>
        <w:gridCol w:w="9350"/>
      </w:tblGrid>
      <w:tr w:rsidR="00BC0D25" w:rsidRPr="00A831B4" w14:paraId="0CABCF90" w14:textId="77777777" w:rsidTr="00003004">
        <w:tc>
          <w:tcPr>
            <w:tcW w:w="10285" w:type="dxa"/>
          </w:tcPr>
          <w:p w14:paraId="0CABCF72" w14:textId="7EAF47D5" w:rsidR="00B53E8B" w:rsidRPr="000F034A" w:rsidRDefault="00B53E8B" w:rsidP="00003004">
            <w:pPr>
              <w:widowControl w:val="0"/>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003004">
            <w:pPr>
              <w:widowControl w:val="0"/>
              <w:rPr>
                <w:rFonts w:cstheme="minorHAnsi"/>
                <w:b/>
                <w:bCs/>
                <w:sz w:val="20"/>
                <w:szCs w:val="20"/>
              </w:rPr>
            </w:pPr>
          </w:p>
          <w:p w14:paraId="0CABCF74" w14:textId="7D41E4AD" w:rsidR="00BC0D25" w:rsidRPr="000F034A" w:rsidRDefault="00145149" w:rsidP="00003004">
            <w:pPr>
              <w:widowControl w:val="0"/>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w:t>
            </w:r>
            <w:proofErr w:type="gramStart"/>
            <w:r w:rsidRPr="000F034A">
              <w:rPr>
                <w:rFonts w:cstheme="minorHAnsi"/>
                <w:bCs/>
                <w:iCs/>
              </w:rPr>
              <w:t>time period</w:t>
            </w:r>
            <w:proofErr w:type="gramEnd"/>
            <w:r w:rsidRPr="000F034A">
              <w:rPr>
                <w:rFonts w:cstheme="minorHAnsi"/>
                <w:bCs/>
                <w:iCs/>
              </w:rPr>
              <w:t xml:space="preserve">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003004">
            <w:pPr>
              <w:widowControl w:val="0"/>
              <w:autoSpaceDE w:val="0"/>
              <w:autoSpaceDN w:val="0"/>
              <w:adjustRightInd w:val="0"/>
              <w:rPr>
                <w:rFonts w:cstheme="minorHAnsi"/>
                <w:b/>
                <w:iCs/>
              </w:rPr>
            </w:pPr>
          </w:p>
          <w:p w14:paraId="0CABCF76" w14:textId="3BB3E55F" w:rsidR="00145149" w:rsidRPr="000F034A" w:rsidRDefault="00145149" w:rsidP="00003004">
            <w:pPr>
              <w:widowControl w:val="0"/>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w:t>
            </w:r>
            <w:r w:rsidR="00372FE3" w:rsidRPr="000F034A">
              <w:rPr>
                <w:rFonts w:cstheme="minorHAnsi"/>
                <w:bCs/>
                <w:iCs/>
              </w:rPr>
              <w:lastRenderedPageBreak/>
              <w:t>should be demonstrated for the computed performance score.</w:t>
            </w:r>
          </w:p>
          <w:p w14:paraId="0CABCF77" w14:textId="77777777" w:rsidR="00145149" w:rsidRPr="000F034A" w:rsidRDefault="00145149" w:rsidP="00003004">
            <w:pPr>
              <w:widowControl w:val="0"/>
              <w:rPr>
                <w:rFonts w:cstheme="minorHAnsi"/>
              </w:rPr>
            </w:pPr>
            <w:bookmarkStart w:id="0" w:name="_Toc256067249"/>
          </w:p>
          <w:p w14:paraId="0CABCF78" w14:textId="03461BC0" w:rsidR="00145149" w:rsidRPr="000F034A" w:rsidRDefault="00145149" w:rsidP="00003004">
            <w:pPr>
              <w:widowControl w:val="0"/>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003004">
            <w:pPr>
              <w:widowControl w:val="0"/>
              <w:rPr>
                <w:rFonts w:cstheme="minorHAnsi"/>
                <w:b/>
              </w:rPr>
            </w:pPr>
            <w:r w:rsidRPr="000F034A">
              <w:rPr>
                <w:rFonts w:cstheme="minorHAnsi"/>
                <w:b/>
              </w:rPr>
              <w:t xml:space="preserve">AND </w:t>
            </w:r>
          </w:p>
          <w:p w14:paraId="0CABCF7A" w14:textId="31595B06" w:rsidR="00145149" w:rsidRPr="000F034A" w:rsidRDefault="00145149" w:rsidP="00003004">
            <w:pPr>
              <w:widowControl w:val="0"/>
              <w:rPr>
                <w:rFonts w:cstheme="minorHAnsi"/>
              </w:rPr>
            </w:pPr>
            <w:r w:rsidRPr="000F034A">
              <w:rPr>
                <w:rFonts w:cstheme="minorHAnsi"/>
              </w:rPr>
              <w:t xml:space="preserve">If patient preference (e.g., informed </w:t>
            </w:r>
            <w:r w:rsidR="00F07565" w:rsidRPr="000F034A">
              <w:rPr>
                <w:rFonts w:cstheme="minorHAnsi"/>
              </w:rPr>
              <w:t>decision-making</w:t>
            </w:r>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003004">
            <w:pPr>
              <w:widowControl w:val="0"/>
              <w:rPr>
                <w:rFonts w:cstheme="minorHAnsi"/>
                <w:b/>
                <w:bCs/>
              </w:rPr>
            </w:pPr>
          </w:p>
          <w:p w14:paraId="0CABCF7C" w14:textId="29DA93BC" w:rsidR="00145149" w:rsidRPr="000F034A" w:rsidRDefault="00145149" w:rsidP="00003004">
            <w:pPr>
              <w:widowControl w:val="0"/>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2B676C">
            <w:pPr>
              <w:widowControl w:val="0"/>
              <w:numPr>
                <w:ilvl w:val="0"/>
                <w:numId w:val="2"/>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003004">
            <w:pPr>
              <w:widowControl w:val="0"/>
              <w:rPr>
                <w:rFonts w:cstheme="minorHAnsi"/>
                <w:b/>
              </w:rPr>
            </w:pPr>
            <w:r w:rsidRPr="000F034A">
              <w:rPr>
                <w:rFonts w:cstheme="minorHAnsi"/>
                <w:b/>
              </w:rPr>
              <w:t>OR</w:t>
            </w:r>
          </w:p>
          <w:p w14:paraId="0CABCF7F" w14:textId="77777777" w:rsidR="00145149" w:rsidRPr="000F034A" w:rsidRDefault="00145149" w:rsidP="002B676C">
            <w:pPr>
              <w:widowControl w:val="0"/>
              <w:numPr>
                <w:ilvl w:val="0"/>
                <w:numId w:val="2"/>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003004">
            <w:pPr>
              <w:widowControl w:val="0"/>
              <w:rPr>
                <w:rFonts w:cstheme="minorHAnsi"/>
                <w:b/>
                <w:bCs/>
              </w:rPr>
            </w:pPr>
          </w:p>
          <w:bookmarkEnd w:id="1"/>
          <w:p w14:paraId="0CABCF81" w14:textId="2585CCD3" w:rsidR="00145149" w:rsidRPr="000F034A" w:rsidRDefault="00145149" w:rsidP="00003004">
            <w:pPr>
              <w:widowControl w:val="0"/>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003004">
            <w:pPr>
              <w:widowControl w:val="0"/>
              <w:rPr>
                <w:rFonts w:cstheme="minorHAnsi"/>
              </w:rPr>
            </w:pPr>
            <w:r w:rsidRPr="000F034A">
              <w:rPr>
                <w:rFonts w:cstheme="minorHAnsi"/>
                <w:b/>
              </w:rPr>
              <w:t>OR</w:t>
            </w:r>
          </w:p>
          <w:p w14:paraId="0CABCF83" w14:textId="77777777" w:rsidR="00145149" w:rsidRPr="000F034A" w:rsidRDefault="00145149" w:rsidP="00003004">
            <w:pPr>
              <w:widowControl w:val="0"/>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003004">
            <w:pPr>
              <w:widowControl w:val="0"/>
              <w:rPr>
                <w:rFonts w:cstheme="minorHAnsi"/>
                <w:b/>
                <w:bCs/>
              </w:rPr>
            </w:pPr>
          </w:p>
          <w:p w14:paraId="0CABCF85" w14:textId="64041FFB" w:rsidR="00145149" w:rsidRPr="000F034A" w:rsidRDefault="00145149" w:rsidP="00003004">
            <w:pPr>
              <w:widowControl w:val="0"/>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088C154F"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003004">
      <w:pPr>
        <w:pStyle w:val="Heading1"/>
      </w:pPr>
      <w:r>
        <w:lastRenderedPageBreak/>
        <w:t xml:space="preserve">1. </w:t>
      </w:r>
      <w:r w:rsidR="00021170" w:rsidRPr="00A25024">
        <w:t xml:space="preserve">DATA/SAMPLE USED FOR </w:t>
      </w:r>
      <w:r w:rsidR="00021170" w:rsidRPr="00003004">
        <w:t>ALL</w:t>
      </w:r>
      <w:r w:rsidR="00021170" w:rsidRPr="00A25024">
        <w:t xml:space="preserve"> TESTING</w:t>
      </w:r>
      <w:r w:rsidR="006327D8" w:rsidRPr="00A25024">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7D3293">
        <w:trPr>
          <w:tblHeade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7076F8"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7076F8"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7076F8"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7076F8"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7076F8"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7076F8"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7076F8"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7076F8"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7076F8"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7076F8"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02E478B4" w:rsidR="00A01494" w:rsidRPr="00AF076E" w:rsidRDefault="007076F8" w:rsidP="00DB3627">
            <w:pPr>
              <w:autoSpaceDE w:val="0"/>
              <w:autoSpaceDN w:val="0"/>
              <w:adjustRightInd w:val="0"/>
              <w:rPr>
                <w:rFonts w:cstheme="minorHAnsi"/>
                <w:bCs/>
                <w:highlight w:val="yellow"/>
              </w:rPr>
            </w:pPr>
            <w:sdt>
              <w:sdtPr>
                <w:rPr>
                  <w:rFonts w:cstheme="minorHAnsi"/>
                  <w:bCs/>
                  <w:color w:val="0000FF"/>
                  <w:highlight w:val="yellow"/>
                </w:rPr>
                <w:id w:val="1316375390"/>
                <w14:checkbox>
                  <w14:checked w14:val="1"/>
                  <w14:checkedState w14:val="2612" w14:font="MS Gothic"/>
                  <w14:uncheckedState w14:val="2610" w14:font="MS Gothic"/>
                </w14:checkbox>
              </w:sdtPr>
              <w:sdtContent>
                <w:r w:rsidR="00F04B4B" w:rsidRPr="00AF076E">
                  <w:rPr>
                    <w:rFonts w:ascii="MS Gothic" w:eastAsia="MS Gothic" w:hAnsi="MS Gothic" w:cstheme="minorHAnsi" w:hint="eastAsia"/>
                    <w:bCs/>
                    <w:color w:val="0000FF"/>
                    <w:highlight w:val="yellow"/>
                  </w:rPr>
                  <w:t>☒</w:t>
                </w:r>
              </w:sdtContent>
            </w:sdt>
            <w:r w:rsidR="00B82A57" w:rsidRPr="00AF076E">
              <w:rPr>
                <w:rFonts w:cstheme="minorHAnsi"/>
                <w:bCs/>
                <w:highlight w:val="yellow"/>
              </w:rPr>
              <w:t xml:space="preserve"> </w:t>
            </w:r>
            <w:r w:rsidR="00A01494" w:rsidRPr="00AF076E">
              <w:rPr>
                <w:rFonts w:cstheme="minorHAnsi"/>
                <w:bCs/>
                <w:highlight w:val="yellow"/>
              </w:rPr>
              <w:t xml:space="preserve">other:  </w:t>
            </w:r>
            <w:sdt>
              <w:sdtPr>
                <w:rPr>
                  <w:rFonts w:cstheme="minorHAnsi"/>
                  <w:bCs/>
                  <w:color w:val="0000FF"/>
                </w:rPr>
                <w:id w:val="1834251992"/>
                <w:text/>
              </w:sdtPr>
              <w:sdtContent>
                <w:r w:rsidR="00C85118" w:rsidRPr="002E747B" w:rsidDel="00423AF8">
                  <w:rPr>
                    <w:rFonts w:cstheme="minorHAnsi"/>
                    <w:bCs/>
                    <w:color w:val="0000FF"/>
                  </w:rPr>
                  <w:t>Nursing Home Minimum Data Set (MDS) 3.0.</w:t>
                </w:r>
              </w:sdtContent>
            </w:sdt>
          </w:p>
        </w:tc>
        <w:tc>
          <w:tcPr>
            <w:tcW w:w="4847" w:type="dxa"/>
          </w:tcPr>
          <w:p w14:paraId="0CABCFAB" w14:textId="03E8B30E" w:rsidR="00A01494" w:rsidRPr="00AF076E" w:rsidRDefault="007076F8" w:rsidP="00DB3627">
            <w:pPr>
              <w:autoSpaceDE w:val="0"/>
              <w:autoSpaceDN w:val="0"/>
              <w:adjustRightInd w:val="0"/>
              <w:rPr>
                <w:rFonts w:cstheme="minorHAnsi"/>
                <w:bCs/>
                <w:highlight w:val="yellow"/>
              </w:rPr>
            </w:pPr>
            <w:sdt>
              <w:sdtPr>
                <w:rPr>
                  <w:rFonts w:cstheme="minorHAnsi"/>
                  <w:bCs/>
                  <w:color w:val="0000FF"/>
                  <w:highlight w:val="yellow"/>
                </w:rPr>
                <w:id w:val="1689098749"/>
                <w14:checkbox>
                  <w14:checked w14:val="1"/>
                  <w14:checkedState w14:val="2612" w14:font="MS Gothic"/>
                  <w14:uncheckedState w14:val="2610" w14:font="MS Gothic"/>
                </w14:checkbox>
              </w:sdtPr>
              <w:sdtContent>
                <w:r w:rsidR="00F04B4B" w:rsidRPr="00AF076E">
                  <w:rPr>
                    <w:rFonts w:ascii="MS Gothic" w:eastAsia="MS Gothic" w:hAnsi="MS Gothic" w:cstheme="minorHAnsi" w:hint="eastAsia"/>
                    <w:bCs/>
                    <w:color w:val="0000FF"/>
                    <w:highlight w:val="yellow"/>
                  </w:rPr>
                  <w:t>☒</w:t>
                </w:r>
              </w:sdtContent>
            </w:sdt>
            <w:r w:rsidR="00B82A57" w:rsidRPr="00AF076E">
              <w:rPr>
                <w:rFonts w:cstheme="minorHAnsi"/>
                <w:bCs/>
                <w:highlight w:val="yellow"/>
              </w:rPr>
              <w:t xml:space="preserve"> </w:t>
            </w:r>
            <w:r w:rsidR="00A01494" w:rsidRPr="00AF076E">
              <w:rPr>
                <w:rFonts w:cstheme="minorHAnsi"/>
                <w:bCs/>
                <w:highlight w:val="yellow"/>
              </w:rPr>
              <w:t xml:space="preserve">other:  </w:t>
            </w:r>
            <w:sdt>
              <w:sdtPr>
                <w:rPr>
                  <w:rFonts w:cstheme="minorHAnsi"/>
                  <w:bCs/>
                  <w:color w:val="0000FF"/>
                </w:rPr>
                <w:id w:val="1976178076"/>
                <w:text/>
              </w:sdtPr>
              <w:sdtContent>
                <w:r w:rsidR="00C85118" w:rsidRPr="002E747B" w:rsidDel="00423AF8">
                  <w:rPr>
                    <w:rFonts w:cstheme="minorHAnsi"/>
                    <w:bCs/>
                    <w:color w:val="0000FF"/>
                  </w:rPr>
                  <w:t xml:space="preserve">Nursing </w:t>
                </w:r>
                <w:r w:rsidR="00C85118">
                  <w:rPr>
                    <w:rFonts w:cstheme="minorHAnsi"/>
                    <w:bCs/>
                    <w:color w:val="0000FF"/>
                  </w:rPr>
                  <w:t>Home Minimum Data Set (MDS) 3.0.</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5EE6573" w14:textId="6A6B1BFF" w:rsidR="009B3A5A" w:rsidRDefault="008756BF" w:rsidP="009B3A5A">
      <w:pPr>
        <w:pStyle w:val="Response"/>
      </w:pPr>
      <w:r>
        <w:rPr>
          <w:rFonts w:eastAsia="Calibri"/>
        </w:rPr>
        <w:t>The data set used for testing was</w:t>
      </w:r>
      <w:r w:rsidR="009B3A5A">
        <w:rPr>
          <w:rFonts w:eastAsia="Calibri"/>
        </w:rPr>
        <w:t xml:space="preserve"> the </w:t>
      </w:r>
      <w:r w:rsidR="009B3A5A">
        <w:t>Nursing Ho</w:t>
      </w:r>
      <w:r>
        <w:t xml:space="preserve">me Minimum Data Set (MDS) </w:t>
      </w:r>
      <w:r w:rsidR="009B3A5A">
        <w:t>3.0.</w:t>
      </w:r>
    </w:p>
    <w:p w14:paraId="0CABCFB0" w14:textId="49B77F0B" w:rsidR="0004593A" w:rsidRDefault="002B5016" w:rsidP="00DB3627">
      <w:pPr>
        <w:autoSpaceDE w:val="0"/>
        <w:autoSpaceDN w:val="0"/>
        <w:adjustRightInd w:val="0"/>
        <w:spacing w:after="0" w:line="240" w:lineRule="auto"/>
        <w:rPr>
          <w:color w:val="0000FF"/>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52945EB1" w14:textId="77777777" w:rsidR="0056590D" w:rsidRPr="0015793B" w:rsidRDefault="0056590D" w:rsidP="0056590D">
      <w:pPr>
        <w:pStyle w:val="Response"/>
        <w:rPr>
          <w:rFonts w:eastAsiaTheme="minorHAnsi"/>
        </w:rPr>
      </w:pPr>
      <w:r>
        <w:rPr>
          <w:rFonts w:eastAsiaTheme="minorHAnsi"/>
        </w:rPr>
        <w:t>Two</w:t>
      </w:r>
      <w:r w:rsidRPr="0015793B">
        <w:rPr>
          <w:rFonts w:eastAsiaTheme="minorHAnsi"/>
        </w:rPr>
        <w:t xml:space="preserve"> studies were used in the testing of this measure; they are described in greater detail below.</w:t>
      </w:r>
    </w:p>
    <w:p w14:paraId="2A79767D" w14:textId="51C52F89" w:rsidR="002E786D" w:rsidRDefault="002E786D" w:rsidP="002B676C">
      <w:pPr>
        <w:pStyle w:val="ListParagraph"/>
        <w:numPr>
          <w:ilvl w:val="0"/>
          <w:numId w:val="6"/>
        </w:numPr>
      </w:pPr>
      <w:r w:rsidRPr="002A23FE">
        <w:t xml:space="preserve">RAND Development </w:t>
      </w:r>
      <w:r w:rsidR="000C6B8A">
        <w:t>and Validation of MDS 3.0 study</w:t>
      </w:r>
      <w:r w:rsidRPr="002A23FE">
        <w:t>: August 2006 to February 2007</w:t>
      </w:r>
      <w:r w:rsidR="005D3370">
        <w:t xml:space="preserve"> (</w:t>
      </w:r>
      <w:r w:rsidR="006F6113">
        <w:t xml:space="preserve">Saliba &amp; Buchanan, </w:t>
      </w:r>
      <w:r w:rsidR="006F6113" w:rsidRPr="005D3370">
        <w:t>2008</w:t>
      </w:r>
      <w:r w:rsidR="005D3370">
        <w:t>).</w:t>
      </w:r>
    </w:p>
    <w:p w14:paraId="196F12A8" w14:textId="77777777" w:rsidR="00706568" w:rsidRPr="002A23FE" w:rsidRDefault="00706568" w:rsidP="005D3370">
      <w:pPr>
        <w:pStyle w:val="ListParagraph"/>
        <w:numPr>
          <w:ilvl w:val="0"/>
          <w:numId w:val="0"/>
        </w:numPr>
        <w:ind w:left="765"/>
      </w:pPr>
    </w:p>
    <w:p w14:paraId="48F33B67" w14:textId="65AAAB25" w:rsidR="009B3A5A" w:rsidRPr="002934E0" w:rsidRDefault="00706568" w:rsidP="002B676C">
      <w:pPr>
        <w:pStyle w:val="ListParagraph"/>
        <w:numPr>
          <w:ilvl w:val="0"/>
          <w:numId w:val="6"/>
        </w:numPr>
      </w:pPr>
      <w:r w:rsidRPr="008E5BEE">
        <w:t>RTI I</w:t>
      </w:r>
      <w:r w:rsidRPr="002934E0">
        <w:t xml:space="preserve">nternational Analysis of MDS 3.0 data: Quarter </w:t>
      </w:r>
      <w:r w:rsidR="000C6B8A">
        <w:t xml:space="preserve">1, 2017 </w:t>
      </w:r>
      <w:r w:rsidR="009F5273">
        <w:t>and</w:t>
      </w:r>
      <w:r w:rsidRPr="002934E0">
        <w:t xml:space="preserve"> Quarter 2</w:t>
      </w:r>
      <w:r w:rsidR="00D63FD2" w:rsidRPr="002934E0">
        <w:t>,</w:t>
      </w:r>
      <w:r w:rsidRPr="002934E0">
        <w:t xml:space="preserve"> 2017 </w:t>
      </w:r>
      <w:r w:rsidR="009F5273">
        <w:t>(i</w:t>
      </w:r>
      <w:r w:rsidRPr="002934E0">
        <w:t>n addition, performance scores were presented for Quarter 1, 2011 – Quarter 2</w:t>
      </w:r>
      <w:r w:rsidR="00D63FD2" w:rsidRPr="002934E0">
        <w:t>,</w:t>
      </w:r>
      <w:r w:rsidRPr="002934E0">
        <w:t xml:space="preserve"> 2017 in </w:t>
      </w:r>
      <w:r w:rsidR="009F5273">
        <w:t>Section 2b1</w:t>
      </w:r>
      <w:r w:rsidRPr="002934E0">
        <w:t>)</w:t>
      </w:r>
      <w:r w:rsidR="009F5273">
        <w:t>.</w:t>
      </w:r>
    </w:p>
    <w:p w14:paraId="22C43D8E" w14:textId="1DD7BEA7" w:rsidR="008756BF" w:rsidRPr="006F6113" w:rsidRDefault="008756BF" w:rsidP="008756BF">
      <w:pPr>
        <w:pStyle w:val="Response"/>
        <w:ind w:left="360" w:hanging="360"/>
        <w:rPr>
          <w:sz w:val="20"/>
          <w:szCs w:val="20"/>
        </w:rPr>
      </w:pPr>
      <w:r w:rsidRPr="006F6113">
        <w:rPr>
          <w:sz w:val="20"/>
          <w:szCs w:val="20"/>
        </w:rPr>
        <w:t>Saliba, D., &amp; Buchanan, J. (2008, April).</w:t>
      </w:r>
      <w:r w:rsidRPr="006F6113">
        <w:rPr>
          <w:i/>
          <w:sz w:val="20"/>
          <w:szCs w:val="20"/>
        </w:rPr>
        <w:t xml:space="preserve"> Development and validation of a revised nursing home assessment tool: MDS 3.0</w:t>
      </w:r>
      <w:r w:rsidRPr="006F6113">
        <w:rPr>
          <w:sz w:val="20"/>
          <w:szCs w:val="20"/>
        </w:rPr>
        <w:t xml:space="preserve">. Contract No. 500-00-0027/Task Order #2. Santa Monica, CA: Rand Corporation. Retrieved from </w:t>
      </w:r>
      <w:hyperlink r:id="rId13" w:history="1">
        <w:r w:rsidRPr="006F6113">
          <w:rPr>
            <w:rStyle w:val="Hyperlink"/>
            <w:sz w:val="20"/>
            <w:szCs w:val="20"/>
          </w:rPr>
          <w:t>http://www.cms.hhs.gov/NursingHomeQualityInits/Downloads/MDS30FinalReport.pdf</w:t>
        </w:r>
      </w:hyperlink>
      <w:r w:rsidRPr="006F6113">
        <w:rPr>
          <w:sz w:val="20"/>
          <w:szCs w:val="20"/>
        </w:rPr>
        <w:t>.</w:t>
      </w:r>
    </w:p>
    <w:p w14:paraId="1E04F768" w14:textId="77777777" w:rsidR="008756BF" w:rsidRDefault="008756BF"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7D3293">
        <w:trPr>
          <w:tblHeade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0D862B44" w:rsidR="000414E8" w:rsidRPr="00A01494" w:rsidRDefault="007076F8"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F04B4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0E2BEDFC" w:rsidR="000414E8" w:rsidRPr="00A01494" w:rsidRDefault="007076F8"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sidR="006552D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7076F8"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20082DD" w14:textId="52B20CE7" w:rsidR="002E786D" w:rsidRDefault="009F5273" w:rsidP="002B676C">
      <w:pPr>
        <w:pStyle w:val="Response"/>
        <w:numPr>
          <w:ilvl w:val="0"/>
          <w:numId w:val="5"/>
        </w:numPr>
      </w:pPr>
      <w:r>
        <w:t>The</w:t>
      </w:r>
      <w:r w:rsidR="002E786D">
        <w:t xml:space="preserve"> </w:t>
      </w:r>
      <w:r w:rsidR="002E786D">
        <w:rPr>
          <w:rFonts w:eastAsiaTheme="minorHAnsi"/>
        </w:rPr>
        <w:t>RAND Development and Validation of MDS 3.0 study</w:t>
      </w:r>
      <w:r>
        <w:rPr>
          <w:rFonts w:eastAsiaTheme="minorHAnsi"/>
        </w:rPr>
        <w:t xml:space="preserve"> </w:t>
      </w:r>
      <w:r w:rsidR="00011117">
        <w:rPr>
          <w:rFonts w:eastAsiaTheme="minorHAnsi"/>
        </w:rPr>
        <w:t xml:space="preserve">sample </w:t>
      </w:r>
      <w:r>
        <w:rPr>
          <w:rFonts w:eastAsiaTheme="minorHAnsi"/>
        </w:rPr>
        <w:t>included a</w:t>
      </w:r>
      <w:r w:rsidR="002E786D">
        <w:rPr>
          <w:rFonts w:eastAsiaTheme="minorHAnsi"/>
        </w:rPr>
        <w:t xml:space="preserve"> </w:t>
      </w:r>
      <w:r w:rsidR="002E786D">
        <w:t>representative sample of for-profit and not-for-profit facilities, and hospital-based and freestanding facilities</w:t>
      </w:r>
      <w:r w:rsidR="00BF72A7">
        <w:t>,</w:t>
      </w:r>
      <w:r w:rsidR="002E786D">
        <w:t xml:space="preserve"> </w:t>
      </w:r>
      <w:r w:rsidR="00F65D2B">
        <w:t xml:space="preserve">which </w:t>
      </w:r>
      <w:r w:rsidR="002E747B">
        <w:t xml:space="preserve">were </w:t>
      </w:r>
      <w:r w:rsidR="002E786D">
        <w:t>recruited for the study</w:t>
      </w:r>
      <w:r w:rsidR="00F65D2B">
        <w:t xml:space="preserve">. It </w:t>
      </w:r>
      <w:r w:rsidR="002E786D">
        <w:t>included 71 community nursing facilities in 8 states and 19 Veterans Affairs (VA) nursing homes.</w:t>
      </w:r>
      <w:r w:rsidR="00706568">
        <w:t xml:space="preserve"> </w:t>
      </w:r>
      <w:r w:rsidR="00706568" w:rsidRPr="00340C92">
        <w:t>This study tested</w:t>
      </w:r>
      <w:r w:rsidR="002E786D" w:rsidRPr="00340C92">
        <w:t xml:space="preserve"> </w:t>
      </w:r>
      <w:r w:rsidR="00706568" w:rsidRPr="00340C92">
        <w:t>item-level reliability</w:t>
      </w:r>
      <w:r w:rsidR="00DA58D4" w:rsidRPr="00340C92">
        <w:t xml:space="preserve"> and validity</w:t>
      </w:r>
      <w:r w:rsidR="00706568" w:rsidRPr="00340C92">
        <w:t xml:space="preserve"> of the items used to calculate the pain measures </w:t>
      </w:r>
      <w:r w:rsidR="009A61A8">
        <w:t xml:space="preserve">by </w:t>
      </w:r>
      <w:r w:rsidR="00706568" w:rsidRPr="00340C92">
        <w:t>comparing item coding among gold-standard nurses (349 cases),</w:t>
      </w:r>
      <w:r w:rsidR="0065268E" w:rsidRPr="00340C92">
        <w:t xml:space="preserve"> and comparing</w:t>
      </w:r>
      <w:r w:rsidR="00706568" w:rsidRPr="00340C92">
        <w:t xml:space="preserve"> </w:t>
      </w:r>
      <w:r w:rsidR="00FD54C9" w:rsidRPr="00340C92">
        <w:t xml:space="preserve">item coding between </w:t>
      </w:r>
      <w:r w:rsidR="00706568" w:rsidRPr="00340C92">
        <w:t>gold-standard nurses and particip</w:t>
      </w:r>
      <w:r w:rsidR="00340C92" w:rsidRPr="00340C92">
        <w:t>ating facility staff (900 cases) (</w:t>
      </w:r>
      <w:r w:rsidR="00A97BBE">
        <w:t xml:space="preserve">Saliba &amp; Buchanan, </w:t>
      </w:r>
      <w:r w:rsidR="00A97BBE" w:rsidRPr="005D3370">
        <w:t>2008</w:t>
      </w:r>
      <w:r w:rsidR="00340C92" w:rsidRPr="00340C92">
        <w:t>).</w:t>
      </w:r>
    </w:p>
    <w:p w14:paraId="3A114FF8" w14:textId="05A4C6A1" w:rsidR="009F5273" w:rsidRDefault="00706568" w:rsidP="002B676C">
      <w:pPr>
        <w:pStyle w:val="Response"/>
        <w:numPr>
          <w:ilvl w:val="0"/>
          <w:numId w:val="5"/>
        </w:numPr>
      </w:pPr>
      <w:r>
        <w:t xml:space="preserve">RTI </w:t>
      </w:r>
      <w:r w:rsidR="008C7F87">
        <w:t xml:space="preserve">facility-level </w:t>
      </w:r>
      <w:r>
        <w:t>analys</w:t>
      </w:r>
      <w:r w:rsidR="008C7F87">
        <w:t>e</w:t>
      </w:r>
      <w:r>
        <w:t xml:space="preserve">s of MDS 3.0 </w:t>
      </w:r>
      <w:r w:rsidR="008C7F87">
        <w:t xml:space="preserve">data </w:t>
      </w:r>
      <w:r>
        <w:t>include all</w:t>
      </w:r>
      <w:r w:rsidR="00D74DF2">
        <w:t xml:space="preserve"> facilities with </w:t>
      </w:r>
      <w:r w:rsidR="00D74DF2" w:rsidRPr="00D74DF2">
        <w:t>sufficient sample size (</w:t>
      </w:r>
      <w:r w:rsidR="00861D87">
        <w:rPr>
          <w:i/>
        </w:rPr>
        <w:t>n</w:t>
      </w:r>
      <w:r w:rsidR="00D74DF2" w:rsidRPr="00D74DF2">
        <w:t xml:space="preserve"> ≥ 20) to </w:t>
      </w:r>
      <w:r w:rsidR="009A61A8">
        <w:t xml:space="preserve">publicly </w:t>
      </w:r>
      <w:r w:rsidR="00D74DF2" w:rsidRPr="00D74DF2">
        <w:t>report this measure in Q</w:t>
      </w:r>
      <w:r w:rsidR="008D6782">
        <w:t xml:space="preserve">uarter </w:t>
      </w:r>
      <w:r w:rsidR="00D74DF2" w:rsidRPr="00D74DF2">
        <w:t>2</w:t>
      </w:r>
      <w:r w:rsidR="008D6782">
        <w:t>,</w:t>
      </w:r>
      <w:r w:rsidR="00D74DF2" w:rsidRPr="00D74DF2">
        <w:t xml:space="preserve"> 2017</w:t>
      </w:r>
      <w:r w:rsidR="00D53C86">
        <w:t xml:space="preserve"> (</w:t>
      </w:r>
      <w:r w:rsidR="0030335C" w:rsidRPr="009878F2">
        <w:rPr>
          <w:i/>
        </w:rPr>
        <w:t>k</w:t>
      </w:r>
      <w:r w:rsidR="00D53C86">
        <w:t xml:space="preserve"> = 13,</w:t>
      </w:r>
      <w:r w:rsidR="00A5671D">
        <w:t>691</w:t>
      </w:r>
      <w:r w:rsidR="00D53C86">
        <w:t>)</w:t>
      </w:r>
      <w:r w:rsidR="00D74DF2">
        <w:t>.</w:t>
      </w:r>
      <w:r w:rsidR="008C7F87">
        <w:t xml:space="preserve"> </w:t>
      </w:r>
    </w:p>
    <w:p w14:paraId="009F7306" w14:textId="77777777" w:rsidR="00757C6D" w:rsidRPr="00757C6D" w:rsidRDefault="00757C6D" w:rsidP="00757C6D">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4" w:history="1">
        <w:r w:rsidRPr="00757C6D">
          <w:rPr>
            <w:rStyle w:val="Hyperlink"/>
            <w:sz w:val="20"/>
            <w:szCs w:val="20"/>
          </w:rPr>
          <w:t>http://www.cms.hhs.gov/NursingHomeQualityInits/Downloads/MDS30FinalReport.pdf</w:t>
        </w:r>
      </w:hyperlink>
      <w:r w:rsidRPr="00757C6D">
        <w:rPr>
          <w:sz w:val="20"/>
          <w:szCs w:val="20"/>
        </w:rPr>
        <w:t>.</w:t>
      </w:r>
    </w:p>
    <w:p w14:paraId="290F10AE" w14:textId="629129F4" w:rsidR="00F03DBF" w:rsidRPr="00E578A5" w:rsidRDefault="00F03DBF" w:rsidP="00F03DBF">
      <w:pPr>
        <w:pStyle w:val="Response"/>
        <w:rPr>
          <w:sz w:val="20"/>
        </w:rPr>
      </w:pPr>
      <w:r w:rsidRPr="00ED4158">
        <w:rPr>
          <w:sz w:val="20"/>
        </w:rPr>
        <w:t>SOURCE: RTI analys</w:t>
      </w:r>
      <w:r>
        <w:rPr>
          <w:sz w:val="20"/>
        </w:rPr>
        <w:t>is of MDS 3.0 data for Quarter 2 2017 (programming reference: rn01</w:t>
      </w:r>
      <w:r>
        <w:rPr>
          <w:bCs w:val="0"/>
          <w:sz w:val="20"/>
          <w:szCs w:val="20"/>
        </w:rPr>
        <w:t>/</w:t>
      </w:r>
      <w:r w:rsidR="00134A5F">
        <w:rPr>
          <w:bCs w:val="0"/>
          <w:sz w:val="20"/>
          <w:szCs w:val="20"/>
        </w:rPr>
        <w:t>ac</w:t>
      </w:r>
      <w:r>
        <w:rPr>
          <w:bCs w:val="0"/>
          <w:sz w:val="20"/>
          <w:szCs w:val="20"/>
        </w:rPr>
        <w:t>362</w:t>
      </w:r>
      <w:r w:rsidRPr="00CC52B7">
        <w:rPr>
          <w:bCs w:val="0"/>
          <w:sz w:val="20"/>
          <w:szCs w:val="20"/>
        </w:rPr>
        <w:t>_request_</w:t>
      </w:r>
      <w:r>
        <w:rPr>
          <w:bCs w:val="0"/>
          <w:sz w:val="20"/>
          <w:szCs w:val="20"/>
        </w:rPr>
        <w:t>q26</w:t>
      </w:r>
      <w:r w:rsidRPr="00CC52B7">
        <w:rPr>
          <w:bCs w:val="0"/>
          <w:sz w:val="20"/>
          <w:szCs w:val="20"/>
        </w:rPr>
        <w:t>27_67</w:t>
      </w:r>
      <w:r>
        <w:rPr>
          <w:bCs w:val="0"/>
          <w:sz w:val="20"/>
          <w:szCs w:val="20"/>
        </w:rPr>
        <w:t>7</w:t>
      </w:r>
      <w:r w:rsidRPr="00CC52B7">
        <w:rPr>
          <w:bCs w:val="0"/>
          <w:sz w:val="20"/>
          <w:szCs w:val="20"/>
        </w:rPr>
        <w:t>.log</w:t>
      </w:r>
      <w:r w:rsidRPr="007E6A37">
        <w:rPr>
          <w:sz w:val="20"/>
          <w:szCs w:val="20"/>
        </w:rPr>
        <w:t>)</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0CABCFC9" w14:textId="4BB4E780"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63D9A1D0" w14:textId="77777777" w:rsidR="00CD5382" w:rsidRDefault="00AA1FAB" w:rsidP="00CD5382">
      <w:pPr>
        <w:pStyle w:val="Response"/>
        <w:numPr>
          <w:ilvl w:val="0"/>
          <w:numId w:val="7"/>
        </w:numPr>
        <w:rPr>
          <w:rFonts w:eastAsiaTheme="minorHAnsi"/>
        </w:rPr>
      </w:pPr>
      <w:r>
        <w:t xml:space="preserve">The </w:t>
      </w:r>
      <w:r w:rsidRPr="0029186D">
        <w:t>RAND</w:t>
      </w:r>
      <w:r>
        <w:rPr>
          <w:rFonts w:eastAsiaTheme="minorHAnsi"/>
        </w:rPr>
        <w:t xml:space="preserve"> Development and Validation of MDS 3.0 </w:t>
      </w:r>
      <w:r w:rsidR="00011117">
        <w:rPr>
          <w:rFonts w:eastAsiaTheme="minorHAnsi"/>
        </w:rPr>
        <w:t xml:space="preserve">study </w:t>
      </w:r>
      <w:r>
        <w:t>sample included 3,822 residents from community nursing homes and 764 residents from VHA nursing homes</w:t>
      </w:r>
      <w:r w:rsidR="00011117">
        <w:t xml:space="preserve"> (</w:t>
      </w:r>
      <w:r w:rsidR="00A97BBE">
        <w:t xml:space="preserve">Saliba &amp; Buchanan, </w:t>
      </w:r>
      <w:r w:rsidR="00A97BBE" w:rsidRPr="005D3370">
        <w:t>2008</w:t>
      </w:r>
      <w:r w:rsidR="00011117">
        <w:t>)</w:t>
      </w:r>
      <w:r>
        <w:t>.</w:t>
      </w:r>
    </w:p>
    <w:p w14:paraId="385A2421" w14:textId="3F8CC1B0" w:rsidR="00CD5382" w:rsidRPr="00CD5382" w:rsidRDefault="00AA1FAB" w:rsidP="00CD5382">
      <w:pPr>
        <w:pStyle w:val="Response"/>
        <w:numPr>
          <w:ilvl w:val="0"/>
          <w:numId w:val="7"/>
        </w:numPr>
        <w:rPr>
          <w:rStyle w:val="areply"/>
          <w:rFonts w:eastAsiaTheme="minorHAnsi"/>
        </w:rPr>
      </w:pPr>
      <w:r>
        <w:t>The sample for the RTI analysis of MDS 3.0 includes all long-stay residents that meet the denominator inclusion criteria for this measure</w:t>
      </w:r>
      <w:r w:rsidR="008C7F87">
        <w:t xml:space="preserve"> </w:t>
      </w:r>
      <w:r w:rsidR="00F04B4B" w:rsidRPr="001D05FC">
        <w:rPr>
          <w:rStyle w:val="areply"/>
        </w:rPr>
        <w:t>in facilities wi</w:t>
      </w:r>
      <w:r w:rsidR="00F04B4B">
        <w:rPr>
          <w:rStyle w:val="areply"/>
        </w:rPr>
        <w:t>th sufficient sample size (</w:t>
      </w:r>
      <w:r w:rsidR="00340C92" w:rsidRPr="00CD5382">
        <w:rPr>
          <w:rStyle w:val="areply"/>
          <w:i/>
        </w:rPr>
        <w:t>n</w:t>
      </w:r>
      <w:r w:rsidR="00F04B4B" w:rsidRPr="00340C92">
        <w:rPr>
          <w:rStyle w:val="areply"/>
        </w:rPr>
        <w:t xml:space="preserve"> ≥ 20</w:t>
      </w:r>
      <w:r w:rsidR="007E5AF0">
        <w:rPr>
          <w:rStyle w:val="areply"/>
        </w:rPr>
        <w:t xml:space="preserve">, </w:t>
      </w:r>
      <w:r w:rsidR="007E5AF0" w:rsidRPr="00CD5382">
        <w:rPr>
          <w:i/>
        </w:rPr>
        <w:t>k</w:t>
      </w:r>
      <w:r w:rsidR="007E5AF0" w:rsidRPr="00454A6F">
        <w:t xml:space="preserve"> </w:t>
      </w:r>
      <w:r w:rsidR="007E5AF0">
        <w:t>= 13,</w:t>
      </w:r>
      <w:r w:rsidR="00A5671D">
        <w:t>691</w:t>
      </w:r>
      <w:r w:rsidR="007E5AF0">
        <w:t>)</w:t>
      </w:r>
      <w:r w:rsidR="00F04B4B" w:rsidRPr="001D05FC">
        <w:rPr>
          <w:rStyle w:val="areply"/>
        </w:rPr>
        <w:t xml:space="preserve"> to report this </w:t>
      </w:r>
      <w:r w:rsidR="00F04B4B" w:rsidRPr="005D3370">
        <w:rPr>
          <w:rStyle w:val="areply"/>
        </w:rPr>
        <w:t>measure</w:t>
      </w:r>
      <w:r w:rsidR="00A50758" w:rsidRPr="005D3370">
        <w:rPr>
          <w:rStyle w:val="areply"/>
        </w:rPr>
        <w:t xml:space="preserve"> </w:t>
      </w:r>
      <w:r w:rsidRPr="005D3370">
        <w:rPr>
          <w:rStyle w:val="areply"/>
        </w:rPr>
        <w:t>(</w:t>
      </w:r>
      <w:r w:rsidRPr="00CD5382">
        <w:rPr>
          <w:rStyle w:val="areply"/>
          <w:i/>
        </w:rPr>
        <w:t>n</w:t>
      </w:r>
      <w:r w:rsidRPr="005D3370">
        <w:rPr>
          <w:rStyle w:val="areply"/>
        </w:rPr>
        <w:t xml:space="preserve"> = </w:t>
      </w:r>
      <w:r w:rsidR="00A5671D">
        <w:rPr>
          <w:rStyle w:val="areply"/>
        </w:rPr>
        <w:t>813,872</w:t>
      </w:r>
      <w:r w:rsidRPr="005D3370">
        <w:rPr>
          <w:rStyle w:val="areply"/>
        </w:rPr>
        <w:t>) in Q</w:t>
      </w:r>
      <w:r w:rsidR="007E5AF0">
        <w:rPr>
          <w:rStyle w:val="areply"/>
        </w:rPr>
        <w:t xml:space="preserve">uarter </w:t>
      </w:r>
      <w:r w:rsidRPr="005D3370">
        <w:rPr>
          <w:rStyle w:val="areply"/>
        </w:rPr>
        <w:t>2</w:t>
      </w:r>
      <w:r w:rsidR="007E5AF0">
        <w:rPr>
          <w:rStyle w:val="areply"/>
        </w:rPr>
        <w:t>,</w:t>
      </w:r>
      <w:r>
        <w:rPr>
          <w:rStyle w:val="areply"/>
        </w:rPr>
        <w:t xml:space="preserve"> 2017.</w:t>
      </w:r>
    </w:p>
    <w:p w14:paraId="15EF4579" w14:textId="7323E447" w:rsidR="00CD5382" w:rsidRPr="00CD5382" w:rsidRDefault="00CD5382" w:rsidP="00CD5382">
      <w:pPr>
        <w:pStyle w:val="Response"/>
        <w:ind w:left="360"/>
        <w:rPr>
          <w:rStyle w:val="areply"/>
          <w:sz w:val="20"/>
        </w:rPr>
      </w:pPr>
      <w:r w:rsidRPr="00ED4158">
        <w:rPr>
          <w:sz w:val="20"/>
        </w:rPr>
        <w:t>SOURCE: RTI analys</w:t>
      </w:r>
      <w:r>
        <w:rPr>
          <w:sz w:val="20"/>
        </w:rPr>
        <w:t>is of MDS 3.0 data for Quarter 2 2017 (programming reference: rn01</w:t>
      </w:r>
      <w:r>
        <w:rPr>
          <w:bCs w:val="0"/>
          <w:sz w:val="20"/>
          <w:szCs w:val="20"/>
        </w:rPr>
        <w:t>/ac362</w:t>
      </w:r>
      <w:r w:rsidRPr="00CC52B7">
        <w:rPr>
          <w:bCs w:val="0"/>
          <w:sz w:val="20"/>
          <w:szCs w:val="20"/>
        </w:rPr>
        <w:t>_request_</w:t>
      </w:r>
      <w:r>
        <w:rPr>
          <w:bCs w:val="0"/>
          <w:sz w:val="20"/>
          <w:szCs w:val="20"/>
        </w:rPr>
        <w:t>q26</w:t>
      </w:r>
      <w:r w:rsidRPr="00CC52B7">
        <w:rPr>
          <w:bCs w:val="0"/>
          <w:sz w:val="20"/>
          <w:szCs w:val="20"/>
        </w:rPr>
        <w:t>27_67</w:t>
      </w:r>
      <w:r>
        <w:rPr>
          <w:bCs w:val="0"/>
          <w:sz w:val="20"/>
          <w:szCs w:val="20"/>
        </w:rPr>
        <w:t>7</w:t>
      </w:r>
      <w:r w:rsidRPr="00CC52B7">
        <w:rPr>
          <w:bCs w:val="0"/>
          <w:sz w:val="20"/>
          <w:szCs w:val="20"/>
        </w:rPr>
        <w:t>.log</w:t>
      </w:r>
      <w:r w:rsidRPr="007E6A37">
        <w:rPr>
          <w:sz w:val="20"/>
          <w:szCs w:val="20"/>
        </w:rPr>
        <w:t>)</w:t>
      </w:r>
    </w:p>
    <w:p w14:paraId="0160B44C" w14:textId="384B65CA" w:rsidR="004F151B" w:rsidRPr="00CD5382" w:rsidRDefault="00340C92" w:rsidP="00CD5382">
      <w:pPr>
        <w:pStyle w:val="Response"/>
        <w:ind w:left="720"/>
        <w:rPr>
          <w:rFonts w:eastAsiaTheme="minorHAnsi"/>
        </w:rPr>
      </w:pPr>
      <w:r w:rsidRPr="00CD5382">
        <w:rPr>
          <w:b/>
          <w:i/>
        </w:rPr>
        <w:t>Table 1</w:t>
      </w:r>
      <w:r w:rsidRPr="00ED4158">
        <w:t xml:space="preserve"> below presents the characteristics of long-stay residents counted in the denominator for this measure in </w:t>
      </w:r>
      <w:r>
        <w:t>Q</w:t>
      </w:r>
      <w:r w:rsidR="007E5AF0">
        <w:t xml:space="preserve">uarter </w:t>
      </w:r>
      <w:r>
        <w:t>2</w:t>
      </w:r>
      <w:r w:rsidR="007E5AF0">
        <w:t>,</w:t>
      </w:r>
      <w:r w:rsidRPr="00ED4158">
        <w:t xml:space="preserve"> </w:t>
      </w:r>
      <w:r>
        <w:t>2017</w:t>
      </w:r>
      <w:r w:rsidR="00800D2F">
        <w:t xml:space="preserve"> before applying </w:t>
      </w:r>
      <w:r w:rsidR="007A4FE1">
        <w:t>facility sample size restrictions</w:t>
      </w:r>
      <w:r w:rsidR="00A5671D">
        <w:t xml:space="preserve"> and without excluding those residents without both a prior and target assessment</w:t>
      </w:r>
      <w:r w:rsidR="007A4FE1">
        <w:t xml:space="preserve"> (</w:t>
      </w:r>
      <w:r w:rsidR="007A4FE1" w:rsidRPr="00CD5382">
        <w:rPr>
          <w:rStyle w:val="areply"/>
          <w:i/>
        </w:rPr>
        <w:t>n</w:t>
      </w:r>
      <w:r w:rsidR="007A4FE1" w:rsidRPr="005D3370">
        <w:rPr>
          <w:rStyle w:val="areply"/>
        </w:rPr>
        <w:t xml:space="preserve"> = </w:t>
      </w:r>
      <w:r w:rsidR="007A4FE1">
        <w:rPr>
          <w:rStyle w:val="areply"/>
        </w:rPr>
        <w:t>838,842)</w:t>
      </w:r>
      <w:r w:rsidR="009878F2">
        <w:t xml:space="preserve">; the </w:t>
      </w:r>
      <w:r w:rsidR="009878F2" w:rsidRPr="00CD5382">
        <w:rPr>
          <w:rStyle w:val="areply"/>
          <w:i/>
        </w:rPr>
        <w:t xml:space="preserve">n </w:t>
      </w:r>
      <w:r w:rsidR="009878F2">
        <w:rPr>
          <w:rStyle w:val="areply"/>
        </w:rPr>
        <w:t>for each resident characteristic varies due to the proportion of missing data for that characteristic</w:t>
      </w:r>
      <w:r w:rsidR="00AA45F1">
        <w:rPr>
          <w:rStyle w:val="areply"/>
        </w:rPr>
        <w:t>.</w:t>
      </w:r>
      <w:r w:rsidRPr="00ED4158">
        <w:t xml:space="preserve"> </w:t>
      </w:r>
    </w:p>
    <w:p w14:paraId="3051CA12" w14:textId="56AFBFC1" w:rsidR="004F151B" w:rsidRPr="00ED4158" w:rsidRDefault="004F151B" w:rsidP="00003004">
      <w:pPr>
        <w:pStyle w:val="TableTitle"/>
      </w:pPr>
      <w:r w:rsidRPr="00ED4158">
        <w:t xml:space="preserve">Table 1. </w:t>
      </w:r>
      <w:r>
        <w:br/>
      </w:r>
      <w:r w:rsidRPr="00ED4158">
        <w:t xml:space="preserve">Characteristics of </w:t>
      </w:r>
      <w:r>
        <w:t>Long</w:t>
      </w:r>
      <w:r w:rsidRPr="00ED4158">
        <w:t xml:space="preserve">-Stay Residents Included in </w:t>
      </w:r>
      <w:r>
        <w:t>Analyses of NQF #0677 (Quarter 2</w:t>
      </w:r>
      <w:r w:rsidR="00D63FD2">
        <w:t>,</w:t>
      </w:r>
      <w:r>
        <w:t xml:space="preserve"> 2017</w:t>
      </w:r>
      <w:r w:rsidRPr="00ED4158">
        <w:t>)</w:t>
      </w:r>
    </w:p>
    <w:tbl>
      <w:tblPr>
        <w:tblW w:w="9360" w:type="dxa"/>
        <w:tblLayout w:type="fixed"/>
        <w:tblLook w:val="04A0" w:firstRow="1" w:lastRow="0" w:firstColumn="1" w:lastColumn="0" w:noHBand="0" w:noVBand="1"/>
      </w:tblPr>
      <w:tblGrid>
        <w:gridCol w:w="5594"/>
        <w:gridCol w:w="1883"/>
        <w:gridCol w:w="1883"/>
      </w:tblGrid>
      <w:tr w:rsidR="004F151B" w:rsidRPr="00ED4158" w14:paraId="0EA5BB5D" w14:textId="77777777" w:rsidTr="00965109">
        <w:trPr>
          <w:tblHeader/>
        </w:trPr>
        <w:tc>
          <w:tcPr>
            <w:tcW w:w="5594" w:type="dxa"/>
            <w:tcBorders>
              <w:top w:val="single" w:sz="12" w:space="0" w:color="auto"/>
              <w:bottom w:val="single" w:sz="4" w:space="0" w:color="auto"/>
            </w:tcBorders>
            <w:shd w:val="clear" w:color="auto" w:fill="auto"/>
            <w:vAlign w:val="center"/>
            <w:hideMark/>
          </w:tcPr>
          <w:p w14:paraId="4CC1E324" w14:textId="77777777" w:rsidR="004F151B" w:rsidRPr="00ED4158" w:rsidRDefault="004F151B" w:rsidP="00003004">
            <w:pPr>
              <w:spacing w:after="0" w:line="240" w:lineRule="auto"/>
              <w:contextualSpacing/>
              <w:rPr>
                <w:rFonts w:eastAsia="Times New Roman" w:cs="Times New Roman"/>
                <w:color w:val="0000FF"/>
              </w:rPr>
            </w:pPr>
            <w:r w:rsidRPr="00ED4158">
              <w:rPr>
                <w:rFonts w:eastAsia="Times New Roman" w:cs="Times New Roman"/>
                <w:color w:val="0000FF"/>
              </w:rPr>
              <w:t>Resident characteristics</w:t>
            </w:r>
          </w:p>
        </w:tc>
        <w:tc>
          <w:tcPr>
            <w:tcW w:w="1883" w:type="dxa"/>
            <w:tcBorders>
              <w:top w:val="single" w:sz="12" w:space="0" w:color="auto"/>
              <w:bottom w:val="single" w:sz="4" w:space="0" w:color="auto"/>
            </w:tcBorders>
            <w:shd w:val="clear" w:color="auto" w:fill="auto"/>
            <w:vAlign w:val="center"/>
            <w:hideMark/>
          </w:tcPr>
          <w:p w14:paraId="4533AFCF" w14:textId="0FC2C4BF" w:rsidR="004F151B" w:rsidRPr="00ED4158" w:rsidRDefault="004F151B" w:rsidP="00003004">
            <w:pPr>
              <w:spacing w:after="0" w:line="240" w:lineRule="auto"/>
              <w:contextualSpacing/>
              <w:jc w:val="center"/>
              <w:rPr>
                <w:rFonts w:eastAsia="Times New Roman" w:cs="Times New Roman"/>
                <w:color w:val="0000FF"/>
              </w:rPr>
            </w:pPr>
            <w:r w:rsidRPr="00ED4158">
              <w:rPr>
                <w:rFonts w:eastAsia="Times New Roman" w:cs="Times New Roman"/>
                <w:color w:val="0000FF"/>
              </w:rPr>
              <w:t>Frequency</w:t>
            </w:r>
            <w:r w:rsidR="00340C92">
              <w:rPr>
                <w:rFonts w:eastAsia="Times New Roman" w:cs="Times New Roman"/>
                <w:color w:val="0000FF"/>
              </w:rPr>
              <w:t xml:space="preserve"> (n)</w:t>
            </w:r>
          </w:p>
        </w:tc>
        <w:tc>
          <w:tcPr>
            <w:tcW w:w="1883" w:type="dxa"/>
            <w:tcBorders>
              <w:top w:val="single" w:sz="12" w:space="0" w:color="auto"/>
              <w:bottom w:val="single" w:sz="4" w:space="0" w:color="auto"/>
            </w:tcBorders>
            <w:shd w:val="clear" w:color="auto" w:fill="auto"/>
            <w:vAlign w:val="center"/>
            <w:hideMark/>
          </w:tcPr>
          <w:p w14:paraId="6AEC848B" w14:textId="77777777" w:rsidR="004F151B" w:rsidRPr="00ED4158" w:rsidRDefault="004F151B" w:rsidP="00003004">
            <w:pPr>
              <w:spacing w:after="0" w:line="240" w:lineRule="auto"/>
              <w:contextualSpacing/>
              <w:jc w:val="center"/>
              <w:rPr>
                <w:rFonts w:eastAsia="Times New Roman" w:cs="Times New Roman"/>
                <w:color w:val="0000FF"/>
              </w:rPr>
            </w:pPr>
            <w:r w:rsidRPr="00ED4158">
              <w:rPr>
                <w:rFonts w:eastAsia="Times New Roman" w:cs="Times New Roman"/>
                <w:color w:val="0000FF"/>
              </w:rPr>
              <w:t>Percentage (%)</w:t>
            </w:r>
          </w:p>
        </w:tc>
      </w:tr>
      <w:tr w:rsidR="004F151B" w:rsidRPr="00ED4158" w14:paraId="68C3BE5B" w14:textId="77777777" w:rsidTr="00965109">
        <w:tc>
          <w:tcPr>
            <w:tcW w:w="5594" w:type="dxa"/>
            <w:tcBorders>
              <w:top w:val="single" w:sz="4" w:space="0" w:color="auto"/>
            </w:tcBorders>
            <w:shd w:val="clear" w:color="auto" w:fill="auto"/>
            <w:hideMark/>
          </w:tcPr>
          <w:p w14:paraId="0711A3CC" w14:textId="77777777" w:rsidR="004F151B" w:rsidRPr="00ED4158" w:rsidRDefault="004F151B" w:rsidP="00003004">
            <w:pPr>
              <w:spacing w:after="0" w:line="240" w:lineRule="auto"/>
              <w:rPr>
                <w:rFonts w:eastAsia="Times New Roman" w:cs="Times New Roman"/>
                <w:color w:val="0000FF"/>
              </w:rPr>
            </w:pPr>
            <w:r w:rsidRPr="00ED4158">
              <w:rPr>
                <w:rFonts w:eastAsia="Times New Roman" w:cs="Times New Roman"/>
                <w:color w:val="0000FF"/>
              </w:rPr>
              <w:t>Sex</w:t>
            </w:r>
          </w:p>
        </w:tc>
        <w:tc>
          <w:tcPr>
            <w:tcW w:w="1883" w:type="dxa"/>
            <w:tcBorders>
              <w:top w:val="single" w:sz="4" w:space="0" w:color="auto"/>
            </w:tcBorders>
            <w:shd w:val="clear" w:color="auto" w:fill="auto"/>
            <w:hideMark/>
          </w:tcPr>
          <w:p w14:paraId="4AC587C0" w14:textId="77777777" w:rsidR="004F151B" w:rsidRPr="00ED4158" w:rsidRDefault="004F151B" w:rsidP="00003004">
            <w:pPr>
              <w:spacing w:after="0" w:line="240" w:lineRule="auto"/>
              <w:jc w:val="center"/>
              <w:rPr>
                <w:rFonts w:eastAsia="Times New Roman" w:cs="Times New Roman"/>
                <w:color w:val="0000FF"/>
              </w:rPr>
            </w:pPr>
          </w:p>
        </w:tc>
        <w:tc>
          <w:tcPr>
            <w:tcW w:w="1883" w:type="dxa"/>
            <w:tcBorders>
              <w:top w:val="single" w:sz="4" w:space="0" w:color="auto"/>
            </w:tcBorders>
            <w:shd w:val="clear" w:color="auto" w:fill="auto"/>
            <w:noWrap/>
            <w:hideMark/>
          </w:tcPr>
          <w:p w14:paraId="16F5A4E6" w14:textId="77777777" w:rsidR="004F151B" w:rsidRPr="00ED4158" w:rsidRDefault="004F151B" w:rsidP="00003004">
            <w:pPr>
              <w:spacing w:after="0" w:line="240" w:lineRule="auto"/>
              <w:jc w:val="center"/>
              <w:rPr>
                <w:rFonts w:eastAsia="Times New Roman" w:cs="Times New Roman"/>
                <w:color w:val="0000FF"/>
              </w:rPr>
            </w:pPr>
          </w:p>
        </w:tc>
      </w:tr>
      <w:tr w:rsidR="004F151B" w:rsidRPr="00ED4158" w14:paraId="5357E9E8" w14:textId="77777777" w:rsidTr="00965109">
        <w:tc>
          <w:tcPr>
            <w:tcW w:w="5594" w:type="dxa"/>
            <w:shd w:val="clear" w:color="auto" w:fill="auto"/>
            <w:hideMark/>
          </w:tcPr>
          <w:p w14:paraId="386A88BE"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Female</w:t>
            </w:r>
          </w:p>
        </w:tc>
        <w:tc>
          <w:tcPr>
            <w:tcW w:w="1883" w:type="dxa"/>
            <w:tcBorders>
              <w:top w:val="nil"/>
              <w:left w:val="nil"/>
              <w:bottom w:val="nil"/>
              <w:right w:val="nil"/>
            </w:tcBorders>
            <w:shd w:val="clear" w:color="auto" w:fill="auto"/>
            <w:vAlign w:val="bottom"/>
          </w:tcPr>
          <w:p w14:paraId="6A0CB923" w14:textId="66AE62E5"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544,102</w:t>
            </w:r>
          </w:p>
        </w:tc>
        <w:tc>
          <w:tcPr>
            <w:tcW w:w="1883" w:type="dxa"/>
            <w:shd w:val="clear" w:color="auto" w:fill="auto"/>
            <w:noWrap/>
          </w:tcPr>
          <w:p w14:paraId="052764EF" w14:textId="6D91AC18"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64.9</w:t>
            </w:r>
            <w:r w:rsidR="00FE73CC">
              <w:rPr>
                <w:rFonts w:eastAsia="Times New Roman" w:cs="Times New Roman"/>
                <w:color w:val="0000FF"/>
              </w:rPr>
              <w:t>%</w:t>
            </w:r>
          </w:p>
        </w:tc>
      </w:tr>
      <w:tr w:rsidR="004F151B" w:rsidRPr="00ED4158" w14:paraId="00D89447" w14:textId="77777777" w:rsidTr="00965109">
        <w:tc>
          <w:tcPr>
            <w:tcW w:w="5594" w:type="dxa"/>
            <w:shd w:val="clear" w:color="auto" w:fill="auto"/>
            <w:hideMark/>
          </w:tcPr>
          <w:p w14:paraId="6EB55540"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Male</w:t>
            </w:r>
          </w:p>
        </w:tc>
        <w:tc>
          <w:tcPr>
            <w:tcW w:w="1883" w:type="dxa"/>
            <w:tcBorders>
              <w:top w:val="nil"/>
              <w:left w:val="nil"/>
              <w:bottom w:val="nil"/>
              <w:right w:val="nil"/>
            </w:tcBorders>
            <w:shd w:val="clear" w:color="auto" w:fill="auto"/>
            <w:vAlign w:val="bottom"/>
          </w:tcPr>
          <w:p w14:paraId="3D946EA3" w14:textId="4547E868"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294,740</w:t>
            </w:r>
          </w:p>
        </w:tc>
        <w:tc>
          <w:tcPr>
            <w:tcW w:w="1883" w:type="dxa"/>
            <w:shd w:val="clear" w:color="auto" w:fill="auto"/>
            <w:noWrap/>
          </w:tcPr>
          <w:p w14:paraId="02653CC2" w14:textId="5FD76821"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35.1</w:t>
            </w:r>
            <w:r w:rsidR="00FE73CC">
              <w:rPr>
                <w:rFonts w:eastAsia="Times New Roman" w:cs="Times New Roman"/>
                <w:color w:val="0000FF"/>
              </w:rPr>
              <w:t>%</w:t>
            </w:r>
          </w:p>
        </w:tc>
      </w:tr>
      <w:tr w:rsidR="004F151B" w:rsidRPr="00ED4158" w14:paraId="0FAA3F05" w14:textId="77777777" w:rsidTr="00965109">
        <w:tc>
          <w:tcPr>
            <w:tcW w:w="5594" w:type="dxa"/>
            <w:shd w:val="clear" w:color="auto" w:fill="auto"/>
            <w:hideMark/>
          </w:tcPr>
          <w:p w14:paraId="0FBD2B4F" w14:textId="77777777" w:rsidR="004F151B" w:rsidRPr="00ED4158" w:rsidRDefault="004F151B" w:rsidP="00003004">
            <w:pPr>
              <w:spacing w:after="0" w:line="240" w:lineRule="auto"/>
              <w:rPr>
                <w:rFonts w:eastAsia="Times New Roman" w:cs="Times New Roman"/>
                <w:color w:val="0000FF"/>
              </w:rPr>
            </w:pPr>
            <w:r w:rsidRPr="00ED4158">
              <w:rPr>
                <w:rFonts w:eastAsia="Times New Roman" w:cs="Times New Roman"/>
                <w:color w:val="0000FF"/>
              </w:rPr>
              <w:t>Race</w:t>
            </w:r>
          </w:p>
        </w:tc>
        <w:tc>
          <w:tcPr>
            <w:tcW w:w="1883" w:type="dxa"/>
            <w:shd w:val="clear" w:color="auto" w:fill="auto"/>
          </w:tcPr>
          <w:p w14:paraId="6733330F" w14:textId="77777777" w:rsidR="004F151B" w:rsidRPr="00ED4158" w:rsidRDefault="004F151B" w:rsidP="00003004">
            <w:pPr>
              <w:spacing w:after="0" w:line="240" w:lineRule="auto"/>
              <w:ind w:right="327"/>
              <w:jc w:val="right"/>
              <w:rPr>
                <w:rFonts w:eastAsia="Times New Roman" w:cs="Times New Roman"/>
                <w:color w:val="0000FF"/>
              </w:rPr>
            </w:pPr>
          </w:p>
        </w:tc>
        <w:tc>
          <w:tcPr>
            <w:tcW w:w="1883" w:type="dxa"/>
            <w:shd w:val="clear" w:color="auto" w:fill="auto"/>
            <w:noWrap/>
          </w:tcPr>
          <w:p w14:paraId="323AAA76" w14:textId="77777777" w:rsidR="004F151B" w:rsidRPr="00ED4158" w:rsidRDefault="004F151B" w:rsidP="00003004">
            <w:pPr>
              <w:tabs>
                <w:tab w:val="decimal" w:pos="627"/>
              </w:tabs>
              <w:spacing w:after="0" w:line="240" w:lineRule="auto"/>
              <w:rPr>
                <w:rFonts w:eastAsia="Times New Roman" w:cs="Times New Roman"/>
                <w:color w:val="0000FF"/>
              </w:rPr>
            </w:pPr>
          </w:p>
        </w:tc>
      </w:tr>
      <w:tr w:rsidR="004F151B" w:rsidRPr="00ED4158" w14:paraId="0D86E1E8" w14:textId="77777777" w:rsidTr="00965109">
        <w:tc>
          <w:tcPr>
            <w:tcW w:w="5594" w:type="dxa"/>
            <w:shd w:val="clear" w:color="auto" w:fill="auto"/>
            <w:hideMark/>
          </w:tcPr>
          <w:p w14:paraId="1140679B"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White</w:t>
            </w:r>
          </w:p>
        </w:tc>
        <w:tc>
          <w:tcPr>
            <w:tcW w:w="1883" w:type="dxa"/>
            <w:shd w:val="clear" w:color="auto" w:fill="auto"/>
          </w:tcPr>
          <w:p w14:paraId="6ED34F0B" w14:textId="13A31FB7" w:rsidR="004F151B" w:rsidRPr="00ED4158" w:rsidRDefault="004F151B" w:rsidP="00003004">
            <w:pPr>
              <w:spacing w:after="0" w:line="240" w:lineRule="auto"/>
              <w:ind w:right="327"/>
              <w:jc w:val="right"/>
              <w:rPr>
                <w:rFonts w:eastAsia="Times New Roman" w:cs="Times New Roman"/>
                <w:color w:val="0000FF"/>
              </w:rPr>
            </w:pPr>
            <w:r>
              <w:rPr>
                <w:rFonts w:eastAsia="Times New Roman" w:cs="Times New Roman"/>
                <w:color w:val="0000FF"/>
              </w:rPr>
              <w:t>635,209</w:t>
            </w:r>
          </w:p>
        </w:tc>
        <w:tc>
          <w:tcPr>
            <w:tcW w:w="1883" w:type="dxa"/>
            <w:shd w:val="clear" w:color="auto" w:fill="auto"/>
            <w:noWrap/>
          </w:tcPr>
          <w:p w14:paraId="3B8C3981" w14:textId="21FA143F"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75.7</w:t>
            </w:r>
            <w:r w:rsidR="00FE73CC">
              <w:rPr>
                <w:rFonts w:eastAsia="Times New Roman" w:cs="Times New Roman"/>
                <w:color w:val="0000FF"/>
              </w:rPr>
              <w:t>%</w:t>
            </w:r>
          </w:p>
        </w:tc>
      </w:tr>
      <w:tr w:rsidR="004F151B" w:rsidRPr="00ED4158" w14:paraId="027D6FCD" w14:textId="77777777" w:rsidTr="00965109">
        <w:tc>
          <w:tcPr>
            <w:tcW w:w="5594" w:type="dxa"/>
            <w:shd w:val="clear" w:color="auto" w:fill="auto"/>
            <w:hideMark/>
          </w:tcPr>
          <w:p w14:paraId="0A95452B"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Non-white</w:t>
            </w:r>
          </w:p>
        </w:tc>
        <w:tc>
          <w:tcPr>
            <w:tcW w:w="1883" w:type="dxa"/>
            <w:shd w:val="clear" w:color="auto" w:fill="auto"/>
          </w:tcPr>
          <w:p w14:paraId="1B8B4BD4" w14:textId="5A8A4187" w:rsidR="004F151B" w:rsidRPr="00ED4158" w:rsidRDefault="004F151B" w:rsidP="00003004">
            <w:pPr>
              <w:spacing w:after="0" w:line="240" w:lineRule="auto"/>
              <w:ind w:right="327"/>
              <w:jc w:val="right"/>
              <w:rPr>
                <w:rFonts w:eastAsia="Times New Roman" w:cs="Times New Roman"/>
                <w:color w:val="0000FF"/>
              </w:rPr>
            </w:pPr>
            <w:r>
              <w:rPr>
                <w:rFonts w:eastAsia="Times New Roman" w:cs="Times New Roman"/>
                <w:color w:val="0000FF"/>
              </w:rPr>
              <w:t>203,151</w:t>
            </w:r>
          </w:p>
        </w:tc>
        <w:tc>
          <w:tcPr>
            <w:tcW w:w="1883" w:type="dxa"/>
            <w:shd w:val="clear" w:color="auto" w:fill="auto"/>
            <w:noWrap/>
          </w:tcPr>
          <w:p w14:paraId="49E8C940" w14:textId="12AD2299"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24.2</w:t>
            </w:r>
            <w:r w:rsidR="00FE73CC">
              <w:rPr>
                <w:rFonts w:eastAsia="Times New Roman" w:cs="Times New Roman"/>
                <w:color w:val="0000FF"/>
              </w:rPr>
              <w:t>%</w:t>
            </w:r>
          </w:p>
        </w:tc>
      </w:tr>
      <w:tr w:rsidR="009878F2" w:rsidRPr="00ED4158" w14:paraId="27C4E695" w14:textId="77777777" w:rsidTr="00965109">
        <w:tc>
          <w:tcPr>
            <w:tcW w:w="5594" w:type="dxa"/>
            <w:shd w:val="clear" w:color="auto" w:fill="auto"/>
          </w:tcPr>
          <w:p w14:paraId="2E3D2904" w14:textId="2F8FE6D0" w:rsidR="009878F2" w:rsidRPr="00ED4158" w:rsidRDefault="009878F2" w:rsidP="00003004">
            <w:pPr>
              <w:spacing w:after="0" w:line="240" w:lineRule="auto"/>
              <w:ind w:firstLineChars="100" w:firstLine="220"/>
              <w:rPr>
                <w:rFonts w:eastAsia="Times New Roman" w:cs="Times New Roman"/>
                <w:color w:val="0000FF"/>
              </w:rPr>
            </w:pPr>
            <w:r>
              <w:rPr>
                <w:rFonts w:eastAsia="Times New Roman" w:cs="Times New Roman"/>
                <w:color w:val="0000FF"/>
              </w:rPr>
              <w:t>Missing</w:t>
            </w:r>
          </w:p>
        </w:tc>
        <w:tc>
          <w:tcPr>
            <w:tcW w:w="1883" w:type="dxa"/>
            <w:shd w:val="clear" w:color="auto" w:fill="auto"/>
          </w:tcPr>
          <w:p w14:paraId="7B5B379F" w14:textId="4DE7732C" w:rsidR="009878F2" w:rsidRDefault="009878F2" w:rsidP="00003004">
            <w:pPr>
              <w:spacing w:after="0" w:line="240" w:lineRule="auto"/>
              <w:ind w:right="327"/>
              <w:jc w:val="right"/>
              <w:rPr>
                <w:rFonts w:eastAsia="Times New Roman" w:cs="Times New Roman"/>
                <w:color w:val="0000FF"/>
              </w:rPr>
            </w:pPr>
            <w:r>
              <w:rPr>
                <w:rFonts w:eastAsia="Times New Roman" w:cs="Times New Roman"/>
                <w:color w:val="0000FF"/>
              </w:rPr>
              <w:t>482</w:t>
            </w:r>
          </w:p>
        </w:tc>
        <w:tc>
          <w:tcPr>
            <w:tcW w:w="1883" w:type="dxa"/>
            <w:shd w:val="clear" w:color="auto" w:fill="auto"/>
            <w:noWrap/>
          </w:tcPr>
          <w:p w14:paraId="7571BF4D" w14:textId="2C885A69" w:rsidR="009878F2" w:rsidRDefault="009878F2" w:rsidP="00003004">
            <w:pPr>
              <w:tabs>
                <w:tab w:val="decimal" w:pos="627"/>
              </w:tabs>
              <w:spacing w:after="0" w:line="240" w:lineRule="auto"/>
              <w:rPr>
                <w:rFonts w:eastAsia="Times New Roman" w:cs="Times New Roman"/>
                <w:color w:val="0000FF"/>
              </w:rPr>
            </w:pPr>
            <w:r>
              <w:rPr>
                <w:rFonts w:eastAsia="Times New Roman" w:cs="Times New Roman"/>
                <w:color w:val="0000FF"/>
              </w:rPr>
              <w:t>&lt;1.0%</w:t>
            </w:r>
          </w:p>
        </w:tc>
      </w:tr>
      <w:tr w:rsidR="004F151B" w:rsidRPr="00ED4158" w14:paraId="469B2DD7" w14:textId="77777777" w:rsidTr="00965109">
        <w:tc>
          <w:tcPr>
            <w:tcW w:w="5594" w:type="dxa"/>
            <w:shd w:val="clear" w:color="auto" w:fill="auto"/>
            <w:hideMark/>
          </w:tcPr>
          <w:p w14:paraId="77E14A9E" w14:textId="77777777" w:rsidR="004F151B" w:rsidRPr="00ED4158" w:rsidRDefault="004F151B" w:rsidP="00003004">
            <w:pPr>
              <w:spacing w:after="0" w:line="240" w:lineRule="auto"/>
              <w:rPr>
                <w:rFonts w:eastAsia="Times New Roman" w:cs="Times New Roman"/>
                <w:color w:val="0000FF"/>
              </w:rPr>
            </w:pPr>
            <w:r w:rsidRPr="00ED4158">
              <w:rPr>
                <w:rFonts w:eastAsia="Times New Roman" w:cs="Times New Roman"/>
                <w:color w:val="0000FF"/>
              </w:rPr>
              <w:t>Age</w:t>
            </w:r>
          </w:p>
        </w:tc>
        <w:tc>
          <w:tcPr>
            <w:tcW w:w="1883" w:type="dxa"/>
            <w:shd w:val="clear" w:color="auto" w:fill="auto"/>
          </w:tcPr>
          <w:p w14:paraId="18F87FB8" w14:textId="77777777" w:rsidR="004F151B" w:rsidRPr="00ED4158" w:rsidRDefault="004F151B" w:rsidP="00003004">
            <w:pPr>
              <w:spacing w:after="0" w:line="240" w:lineRule="auto"/>
              <w:ind w:right="327"/>
              <w:jc w:val="right"/>
              <w:rPr>
                <w:rFonts w:eastAsia="Times New Roman" w:cs="Times New Roman"/>
                <w:color w:val="0000FF"/>
              </w:rPr>
            </w:pPr>
          </w:p>
        </w:tc>
        <w:tc>
          <w:tcPr>
            <w:tcW w:w="1883" w:type="dxa"/>
            <w:shd w:val="clear" w:color="auto" w:fill="auto"/>
            <w:noWrap/>
          </w:tcPr>
          <w:p w14:paraId="1048741D" w14:textId="77777777" w:rsidR="004F151B" w:rsidRPr="00ED4158" w:rsidRDefault="004F151B" w:rsidP="00003004">
            <w:pPr>
              <w:tabs>
                <w:tab w:val="decimal" w:pos="627"/>
              </w:tabs>
              <w:spacing w:after="0" w:line="240" w:lineRule="auto"/>
              <w:rPr>
                <w:rFonts w:eastAsia="Times New Roman" w:cs="Times New Roman"/>
                <w:color w:val="0000FF"/>
              </w:rPr>
            </w:pPr>
          </w:p>
        </w:tc>
      </w:tr>
      <w:tr w:rsidR="004F151B" w:rsidRPr="00ED4158" w14:paraId="3EFF5072" w14:textId="77777777" w:rsidTr="00965109">
        <w:tc>
          <w:tcPr>
            <w:tcW w:w="5594" w:type="dxa"/>
            <w:shd w:val="clear" w:color="auto" w:fill="auto"/>
            <w:hideMark/>
          </w:tcPr>
          <w:p w14:paraId="4A3A5883"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&lt;65</w:t>
            </w:r>
          </w:p>
        </w:tc>
        <w:tc>
          <w:tcPr>
            <w:tcW w:w="1883" w:type="dxa"/>
            <w:shd w:val="clear" w:color="auto" w:fill="auto"/>
          </w:tcPr>
          <w:p w14:paraId="3B627767" w14:textId="393E7F2B" w:rsidR="004F151B" w:rsidRPr="00ED4158" w:rsidRDefault="004F151B" w:rsidP="00003004">
            <w:pPr>
              <w:spacing w:after="0" w:line="240" w:lineRule="auto"/>
              <w:ind w:right="327"/>
              <w:jc w:val="right"/>
              <w:rPr>
                <w:rFonts w:eastAsia="Times New Roman" w:cs="Times New Roman"/>
                <w:color w:val="0000FF"/>
              </w:rPr>
            </w:pPr>
            <w:r>
              <w:rPr>
                <w:rFonts w:eastAsia="Times New Roman" w:cs="Times New Roman"/>
                <w:color w:val="0000FF"/>
              </w:rPr>
              <w:t>133,213</w:t>
            </w:r>
          </w:p>
        </w:tc>
        <w:tc>
          <w:tcPr>
            <w:tcW w:w="1883" w:type="dxa"/>
            <w:shd w:val="clear" w:color="auto" w:fill="auto"/>
            <w:noWrap/>
          </w:tcPr>
          <w:p w14:paraId="4B8B6DC7" w14:textId="12D0C614"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15.9</w:t>
            </w:r>
            <w:r w:rsidR="00FE73CC">
              <w:rPr>
                <w:rFonts w:eastAsia="Times New Roman" w:cs="Times New Roman"/>
                <w:color w:val="0000FF"/>
              </w:rPr>
              <w:t>%</w:t>
            </w:r>
          </w:p>
        </w:tc>
      </w:tr>
      <w:tr w:rsidR="004F151B" w:rsidRPr="00ED4158" w14:paraId="11AB762D" w14:textId="77777777" w:rsidTr="00965109">
        <w:tc>
          <w:tcPr>
            <w:tcW w:w="5594" w:type="dxa"/>
            <w:shd w:val="clear" w:color="auto" w:fill="auto"/>
            <w:hideMark/>
          </w:tcPr>
          <w:p w14:paraId="63BE077E"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65-74</w:t>
            </w:r>
          </w:p>
        </w:tc>
        <w:tc>
          <w:tcPr>
            <w:tcW w:w="1883" w:type="dxa"/>
            <w:shd w:val="clear" w:color="auto" w:fill="auto"/>
          </w:tcPr>
          <w:p w14:paraId="0C326410" w14:textId="45F50FB2" w:rsidR="004F151B" w:rsidRPr="00ED4158" w:rsidRDefault="004F151B" w:rsidP="00003004">
            <w:pPr>
              <w:spacing w:after="0" w:line="240" w:lineRule="auto"/>
              <w:ind w:right="327"/>
              <w:jc w:val="right"/>
              <w:rPr>
                <w:rFonts w:eastAsia="Times New Roman" w:cs="Times New Roman"/>
                <w:color w:val="0000FF"/>
              </w:rPr>
            </w:pPr>
            <w:r>
              <w:rPr>
                <w:rFonts w:eastAsia="Times New Roman" w:cs="Times New Roman"/>
                <w:color w:val="0000FF"/>
              </w:rPr>
              <w:t>150,382</w:t>
            </w:r>
          </w:p>
        </w:tc>
        <w:tc>
          <w:tcPr>
            <w:tcW w:w="1883" w:type="dxa"/>
            <w:shd w:val="clear" w:color="auto" w:fill="auto"/>
            <w:noWrap/>
          </w:tcPr>
          <w:p w14:paraId="043573E3" w14:textId="57BB6D05"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17.9</w:t>
            </w:r>
            <w:r w:rsidR="00FE73CC">
              <w:rPr>
                <w:rFonts w:eastAsia="Times New Roman" w:cs="Times New Roman"/>
                <w:color w:val="0000FF"/>
              </w:rPr>
              <w:t>%</w:t>
            </w:r>
          </w:p>
        </w:tc>
      </w:tr>
      <w:tr w:rsidR="004F151B" w:rsidRPr="00ED4158" w14:paraId="74877A47" w14:textId="77777777" w:rsidTr="00965109">
        <w:tc>
          <w:tcPr>
            <w:tcW w:w="5594" w:type="dxa"/>
            <w:shd w:val="clear" w:color="auto" w:fill="auto"/>
            <w:hideMark/>
          </w:tcPr>
          <w:p w14:paraId="79E1645A"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75-84</w:t>
            </w:r>
          </w:p>
        </w:tc>
        <w:tc>
          <w:tcPr>
            <w:tcW w:w="1883" w:type="dxa"/>
            <w:shd w:val="clear" w:color="auto" w:fill="auto"/>
          </w:tcPr>
          <w:p w14:paraId="56D3BFE3" w14:textId="31DC8037" w:rsidR="004F151B" w:rsidRPr="00ED4158" w:rsidRDefault="004F151B" w:rsidP="00003004">
            <w:pPr>
              <w:spacing w:after="0" w:line="240" w:lineRule="auto"/>
              <w:ind w:right="327"/>
              <w:jc w:val="right"/>
              <w:rPr>
                <w:rFonts w:eastAsia="Times New Roman" w:cs="Times New Roman"/>
                <w:color w:val="0000FF"/>
              </w:rPr>
            </w:pPr>
            <w:r>
              <w:rPr>
                <w:rFonts w:eastAsia="Times New Roman" w:cs="Times New Roman"/>
                <w:color w:val="0000FF"/>
              </w:rPr>
              <w:t>214,025</w:t>
            </w:r>
          </w:p>
        </w:tc>
        <w:tc>
          <w:tcPr>
            <w:tcW w:w="1883" w:type="dxa"/>
            <w:shd w:val="clear" w:color="auto" w:fill="auto"/>
            <w:noWrap/>
          </w:tcPr>
          <w:p w14:paraId="14755696" w14:textId="5D8D39BA"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25.5</w:t>
            </w:r>
            <w:r w:rsidR="00FE73CC">
              <w:rPr>
                <w:rFonts w:eastAsia="Times New Roman" w:cs="Times New Roman"/>
                <w:color w:val="0000FF"/>
              </w:rPr>
              <w:t>%</w:t>
            </w:r>
          </w:p>
        </w:tc>
      </w:tr>
      <w:tr w:rsidR="004F151B" w:rsidRPr="00ED4158" w14:paraId="5A9B5589" w14:textId="77777777" w:rsidTr="00965109">
        <w:tc>
          <w:tcPr>
            <w:tcW w:w="5594" w:type="dxa"/>
            <w:shd w:val="clear" w:color="auto" w:fill="auto"/>
            <w:hideMark/>
          </w:tcPr>
          <w:p w14:paraId="0C6AE211"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85+</w:t>
            </w:r>
          </w:p>
        </w:tc>
        <w:tc>
          <w:tcPr>
            <w:tcW w:w="1883" w:type="dxa"/>
            <w:shd w:val="clear" w:color="auto" w:fill="auto"/>
          </w:tcPr>
          <w:p w14:paraId="7B6F6BC8" w14:textId="6D0722FE" w:rsidR="004F151B" w:rsidRPr="00ED4158" w:rsidRDefault="004F151B" w:rsidP="00003004">
            <w:pPr>
              <w:spacing w:after="0" w:line="240" w:lineRule="auto"/>
              <w:ind w:right="327"/>
              <w:jc w:val="right"/>
              <w:rPr>
                <w:rFonts w:eastAsia="Times New Roman" w:cs="Times New Roman"/>
                <w:color w:val="0000FF"/>
              </w:rPr>
            </w:pPr>
            <w:r>
              <w:rPr>
                <w:rFonts w:eastAsia="Times New Roman" w:cs="Times New Roman"/>
                <w:color w:val="0000FF"/>
              </w:rPr>
              <w:t>341,222</w:t>
            </w:r>
          </w:p>
        </w:tc>
        <w:tc>
          <w:tcPr>
            <w:tcW w:w="1883" w:type="dxa"/>
            <w:shd w:val="clear" w:color="auto" w:fill="auto"/>
            <w:noWrap/>
          </w:tcPr>
          <w:p w14:paraId="7C86CE0A" w14:textId="6A701423"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40.7</w:t>
            </w:r>
            <w:r w:rsidR="00FE73CC">
              <w:rPr>
                <w:rFonts w:eastAsia="Times New Roman" w:cs="Times New Roman"/>
                <w:color w:val="0000FF"/>
              </w:rPr>
              <w:t>%</w:t>
            </w:r>
          </w:p>
        </w:tc>
      </w:tr>
      <w:tr w:rsidR="004F151B" w:rsidRPr="00ED4158" w14:paraId="37376F23" w14:textId="77777777" w:rsidTr="00965109">
        <w:tc>
          <w:tcPr>
            <w:tcW w:w="5594" w:type="dxa"/>
            <w:shd w:val="clear" w:color="auto" w:fill="auto"/>
            <w:hideMark/>
          </w:tcPr>
          <w:p w14:paraId="142D4502" w14:textId="77777777" w:rsidR="004F151B" w:rsidRPr="00ED4158" w:rsidRDefault="004F151B" w:rsidP="00003004">
            <w:pPr>
              <w:spacing w:after="0" w:line="240" w:lineRule="auto"/>
              <w:rPr>
                <w:rFonts w:eastAsia="Times New Roman" w:cs="Times New Roman"/>
                <w:color w:val="0000FF"/>
              </w:rPr>
            </w:pPr>
            <w:r w:rsidRPr="00ED4158">
              <w:rPr>
                <w:rFonts w:eastAsia="Times New Roman" w:cs="Times New Roman"/>
                <w:color w:val="0000FF"/>
              </w:rPr>
              <w:t>Diagnoses</w:t>
            </w:r>
          </w:p>
        </w:tc>
        <w:tc>
          <w:tcPr>
            <w:tcW w:w="1883" w:type="dxa"/>
            <w:shd w:val="clear" w:color="auto" w:fill="auto"/>
          </w:tcPr>
          <w:p w14:paraId="27BD2835" w14:textId="77777777" w:rsidR="004F151B" w:rsidRPr="00ED4158" w:rsidRDefault="004F151B" w:rsidP="00003004">
            <w:pPr>
              <w:spacing w:after="0" w:line="240" w:lineRule="auto"/>
              <w:ind w:right="327"/>
              <w:jc w:val="right"/>
              <w:rPr>
                <w:rFonts w:eastAsia="Times New Roman" w:cs="Times New Roman"/>
                <w:color w:val="0000FF"/>
              </w:rPr>
            </w:pPr>
          </w:p>
        </w:tc>
        <w:tc>
          <w:tcPr>
            <w:tcW w:w="1883" w:type="dxa"/>
            <w:shd w:val="clear" w:color="auto" w:fill="auto"/>
            <w:noWrap/>
          </w:tcPr>
          <w:p w14:paraId="1EBC41DD" w14:textId="77777777" w:rsidR="004F151B" w:rsidRPr="00ED4158" w:rsidRDefault="004F151B" w:rsidP="00003004">
            <w:pPr>
              <w:tabs>
                <w:tab w:val="decimal" w:pos="627"/>
              </w:tabs>
              <w:spacing w:after="0" w:line="240" w:lineRule="auto"/>
              <w:rPr>
                <w:rFonts w:eastAsia="Times New Roman" w:cs="Times New Roman"/>
                <w:color w:val="0000FF"/>
              </w:rPr>
            </w:pPr>
          </w:p>
        </w:tc>
      </w:tr>
      <w:tr w:rsidR="004F151B" w:rsidRPr="00ED4158" w14:paraId="252A65BE" w14:textId="77777777" w:rsidTr="00965109">
        <w:tc>
          <w:tcPr>
            <w:tcW w:w="5594" w:type="dxa"/>
            <w:shd w:val="clear" w:color="auto" w:fill="auto"/>
            <w:hideMark/>
          </w:tcPr>
          <w:p w14:paraId="64AF5FDD"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Arthritis</w:t>
            </w:r>
          </w:p>
        </w:tc>
        <w:tc>
          <w:tcPr>
            <w:tcW w:w="1883" w:type="dxa"/>
            <w:tcBorders>
              <w:top w:val="nil"/>
              <w:left w:val="nil"/>
              <w:bottom w:val="nil"/>
              <w:right w:val="nil"/>
            </w:tcBorders>
            <w:shd w:val="clear" w:color="auto" w:fill="auto"/>
            <w:vAlign w:val="bottom"/>
          </w:tcPr>
          <w:p w14:paraId="36FD8C6F" w14:textId="3062AEA2"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258,001</w:t>
            </w:r>
          </w:p>
        </w:tc>
        <w:tc>
          <w:tcPr>
            <w:tcW w:w="1883" w:type="dxa"/>
            <w:shd w:val="clear" w:color="auto" w:fill="auto"/>
            <w:noWrap/>
          </w:tcPr>
          <w:p w14:paraId="38014E6C" w14:textId="67906F52"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30.9</w:t>
            </w:r>
            <w:r w:rsidR="00FE73CC">
              <w:rPr>
                <w:rFonts w:eastAsia="Times New Roman" w:cs="Times New Roman"/>
                <w:color w:val="0000FF"/>
              </w:rPr>
              <w:t>%</w:t>
            </w:r>
          </w:p>
        </w:tc>
      </w:tr>
      <w:tr w:rsidR="004F151B" w:rsidRPr="00ED4158" w14:paraId="05F77221" w14:textId="77777777" w:rsidTr="00965109">
        <w:tc>
          <w:tcPr>
            <w:tcW w:w="5594" w:type="dxa"/>
            <w:shd w:val="clear" w:color="auto" w:fill="auto"/>
            <w:hideMark/>
          </w:tcPr>
          <w:p w14:paraId="668E0210"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Osteoporosis</w:t>
            </w:r>
          </w:p>
        </w:tc>
        <w:tc>
          <w:tcPr>
            <w:tcW w:w="1883" w:type="dxa"/>
            <w:tcBorders>
              <w:top w:val="nil"/>
              <w:left w:val="nil"/>
              <w:bottom w:val="nil"/>
              <w:right w:val="nil"/>
            </w:tcBorders>
            <w:shd w:val="clear" w:color="auto" w:fill="auto"/>
            <w:vAlign w:val="bottom"/>
          </w:tcPr>
          <w:p w14:paraId="70F20A0F" w14:textId="67780C6C"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116,310</w:t>
            </w:r>
          </w:p>
        </w:tc>
        <w:tc>
          <w:tcPr>
            <w:tcW w:w="1883" w:type="dxa"/>
            <w:shd w:val="clear" w:color="auto" w:fill="auto"/>
            <w:noWrap/>
          </w:tcPr>
          <w:p w14:paraId="1078D105" w14:textId="22103232"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13.9</w:t>
            </w:r>
            <w:r w:rsidR="00FE73CC">
              <w:rPr>
                <w:rFonts w:eastAsia="Times New Roman" w:cs="Times New Roman"/>
                <w:color w:val="0000FF"/>
              </w:rPr>
              <w:t>%</w:t>
            </w:r>
          </w:p>
        </w:tc>
      </w:tr>
      <w:tr w:rsidR="004F151B" w:rsidRPr="00ED4158" w14:paraId="67705E49" w14:textId="77777777" w:rsidTr="00965109">
        <w:tc>
          <w:tcPr>
            <w:tcW w:w="5594" w:type="dxa"/>
            <w:shd w:val="clear" w:color="auto" w:fill="auto"/>
            <w:hideMark/>
          </w:tcPr>
          <w:p w14:paraId="00E21024"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Hip Fracture</w:t>
            </w:r>
          </w:p>
        </w:tc>
        <w:tc>
          <w:tcPr>
            <w:tcW w:w="1883" w:type="dxa"/>
            <w:tcBorders>
              <w:top w:val="nil"/>
              <w:left w:val="nil"/>
              <w:bottom w:val="nil"/>
              <w:right w:val="nil"/>
            </w:tcBorders>
            <w:shd w:val="clear" w:color="auto" w:fill="auto"/>
            <w:vAlign w:val="bottom"/>
          </w:tcPr>
          <w:p w14:paraId="7B91F8BC" w14:textId="3177106F"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13,577</w:t>
            </w:r>
          </w:p>
        </w:tc>
        <w:tc>
          <w:tcPr>
            <w:tcW w:w="1883" w:type="dxa"/>
            <w:shd w:val="clear" w:color="auto" w:fill="auto"/>
            <w:noWrap/>
          </w:tcPr>
          <w:p w14:paraId="2A004554" w14:textId="0501F3EB"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1.7</w:t>
            </w:r>
            <w:r w:rsidR="00FE73CC">
              <w:rPr>
                <w:rFonts w:eastAsia="Times New Roman" w:cs="Times New Roman"/>
                <w:color w:val="0000FF"/>
              </w:rPr>
              <w:t>%</w:t>
            </w:r>
          </w:p>
        </w:tc>
      </w:tr>
      <w:tr w:rsidR="004F151B" w:rsidRPr="00ED4158" w14:paraId="1A0FCE4E" w14:textId="77777777" w:rsidTr="00965109">
        <w:tc>
          <w:tcPr>
            <w:tcW w:w="5594" w:type="dxa"/>
            <w:shd w:val="clear" w:color="auto" w:fill="auto"/>
            <w:hideMark/>
          </w:tcPr>
          <w:p w14:paraId="5CDE0E41"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Other Fracture</w:t>
            </w:r>
          </w:p>
        </w:tc>
        <w:tc>
          <w:tcPr>
            <w:tcW w:w="1883" w:type="dxa"/>
            <w:tcBorders>
              <w:top w:val="nil"/>
              <w:left w:val="nil"/>
              <w:bottom w:val="nil"/>
              <w:right w:val="nil"/>
            </w:tcBorders>
            <w:shd w:val="clear" w:color="auto" w:fill="auto"/>
            <w:vAlign w:val="bottom"/>
          </w:tcPr>
          <w:p w14:paraId="4DD5B77E" w14:textId="3FED5B42"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24,098</w:t>
            </w:r>
          </w:p>
        </w:tc>
        <w:tc>
          <w:tcPr>
            <w:tcW w:w="1883" w:type="dxa"/>
            <w:shd w:val="clear" w:color="auto" w:fill="auto"/>
            <w:noWrap/>
          </w:tcPr>
          <w:p w14:paraId="1AED3B7C" w14:textId="1423C825"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3.0</w:t>
            </w:r>
            <w:r w:rsidR="00FE73CC">
              <w:rPr>
                <w:rFonts w:eastAsia="Times New Roman" w:cs="Times New Roman"/>
                <w:color w:val="0000FF"/>
              </w:rPr>
              <w:t>%</w:t>
            </w:r>
          </w:p>
        </w:tc>
      </w:tr>
      <w:tr w:rsidR="004F151B" w:rsidRPr="00ED4158" w14:paraId="5CC2AD24" w14:textId="77777777" w:rsidTr="00965109">
        <w:tc>
          <w:tcPr>
            <w:tcW w:w="5594" w:type="dxa"/>
            <w:shd w:val="clear" w:color="auto" w:fill="auto"/>
            <w:hideMark/>
          </w:tcPr>
          <w:p w14:paraId="6B6A3A09"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Depression</w:t>
            </w:r>
          </w:p>
        </w:tc>
        <w:tc>
          <w:tcPr>
            <w:tcW w:w="1883" w:type="dxa"/>
            <w:tcBorders>
              <w:top w:val="nil"/>
              <w:left w:val="nil"/>
              <w:bottom w:val="nil"/>
              <w:right w:val="nil"/>
            </w:tcBorders>
            <w:shd w:val="clear" w:color="auto" w:fill="auto"/>
            <w:vAlign w:val="bottom"/>
          </w:tcPr>
          <w:p w14:paraId="654151D8" w14:textId="79C2FF36"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433,082</w:t>
            </w:r>
          </w:p>
        </w:tc>
        <w:tc>
          <w:tcPr>
            <w:tcW w:w="1883" w:type="dxa"/>
            <w:shd w:val="clear" w:color="auto" w:fill="auto"/>
            <w:noWrap/>
          </w:tcPr>
          <w:p w14:paraId="15EDBEF0" w14:textId="46A07029"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53.4</w:t>
            </w:r>
            <w:r w:rsidR="00FE73CC">
              <w:rPr>
                <w:rFonts w:eastAsia="Times New Roman" w:cs="Times New Roman"/>
                <w:color w:val="0000FF"/>
              </w:rPr>
              <w:t>%</w:t>
            </w:r>
          </w:p>
        </w:tc>
      </w:tr>
      <w:tr w:rsidR="004F151B" w:rsidRPr="00ED4158" w14:paraId="53136525" w14:textId="77777777" w:rsidTr="00965109">
        <w:tc>
          <w:tcPr>
            <w:tcW w:w="5594" w:type="dxa"/>
            <w:shd w:val="clear" w:color="auto" w:fill="auto"/>
            <w:hideMark/>
          </w:tcPr>
          <w:p w14:paraId="33792182"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Stroke</w:t>
            </w:r>
          </w:p>
        </w:tc>
        <w:tc>
          <w:tcPr>
            <w:tcW w:w="1883" w:type="dxa"/>
            <w:tcBorders>
              <w:top w:val="nil"/>
              <w:left w:val="nil"/>
              <w:bottom w:val="nil"/>
              <w:right w:val="nil"/>
            </w:tcBorders>
            <w:shd w:val="clear" w:color="auto" w:fill="auto"/>
            <w:vAlign w:val="bottom"/>
          </w:tcPr>
          <w:p w14:paraId="4907537D" w14:textId="3FB91DF7"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98,284</w:t>
            </w:r>
          </w:p>
        </w:tc>
        <w:tc>
          <w:tcPr>
            <w:tcW w:w="1883" w:type="dxa"/>
            <w:shd w:val="clear" w:color="auto" w:fill="auto"/>
            <w:noWrap/>
          </w:tcPr>
          <w:p w14:paraId="391AC564" w14:textId="07228F35"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12.1</w:t>
            </w:r>
            <w:r w:rsidR="00FE73CC">
              <w:rPr>
                <w:rFonts w:eastAsia="Times New Roman" w:cs="Times New Roman"/>
                <w:color w:val="0000FF"/>
              </w:rPr>
              <w:t>%</w:t>
            </w:r>
          </w:p>
        </w:tc>
      </w:tr>
      <w:tr w:rsidR="004F151B" w:rsidRPr="00ED4158" w14:paraId="11971ED8" w14:textId="77777777" w:rsidTr="00965109">
        <w:tc>
          <w:tcPr>
            <w:tcW w:w="5594" w:type="dxa"/>
            <w:shd w:val="clear" w:color="auto" w:fill="auto"/>
            <w:hideMark/>
          </w:tcPr>
          <w:p w14:paraId="2A1C11C9"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Alzheimer's Disease</w:t>
            </w:r>
          </w:p>
        </w:tc>
        <w:tc>
          <w:tcPr>
            <w:tcW w:w="1883" w:type="dxa"/>
            <w:tcBorders>
              <w:top w:val="nil"/>
              <w:left w:val="nil"/>
              <w:bottom w:val="nil"/>
              <w:right w:val="nil"/>
            </w:tcBorders>
            <w:shd w:val="clear" w:color="auto" w:fill="auto"/>
            <w:vAlign w:val="bottom"/>
          </w:tcPr>
          <w:p w14:paraId="11E32197" w14:textId="27C4E356"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107,035</w:t>
            </w:r>
          </w:p>
        </w:tc>
        <w:tc>
          <w:tcPr>
            <w:tcW w:w="1883" w:type="dxa"/>
            <w:shd w:val="clear" w:color="auto" w:fill="auto"/>
            <w:noWrap/>
          </w:tcPr>
          <w:p w14:paraId="518C61F7" w14:textId="7254E570"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13.2</w:t>
            </w:r>
            <w:r w:rsidR="00FE73CC">
              <w:rPr>
                <w:rFonts w:eastAsia="Times New Roman" w:cs="Times New Roman"/>
                <w:color w:val="0000FF"/>
              </w:rPr>
              <w:t>%</w:t>
            </w:r>
          </w:p>
        </w:tc>
      </w:tr>
      <w:tr w:rsidR="004F151B" w:rsidRPr="00ED4158" w14:paraId="0D7771BF" w14:textId="77777777" w:rsidTr="00965109">
        <w:tc>
          <w:tcPr>
            <w:tcW w:w="5594" w:type="dxa"/>
            <w:shd w:val="clear" w:color="auto" w:fill="auto"/>
            <w:hideMark/>
          </w:tcPr>
          <w:p w14:paraId="6D86FD56"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Non-Alzheimer's Dementia</w:t>
            </w:r>
          </w:p>
        </w:tc>
        <w:tc>
          <w:tcPr>
            <w:tcW w:w="1883" w:type="dxa"/>
            <w:tcBorders>
              <w:top w:val="nil"/>
              <w:left w:val="nil"/>
              <w:bottom w:val="nil"/>
              <w:right w:val="nil"/>
            </w:tcBorders>
            <w:shd w:val="clear" w:color="auto" w:fill="auto"/>
            <w:vAlign w:val="bottom"/>
          </w:tcPr>
          <w:p w14:paraId="6EB1C746" w14:textId="128839DB"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371,583</w:t>
            </w:r>
          </w:p>
        </w:tc>
        <w:tc>
          <w:tcPr>
            <w:tcW w:w="1883" w:type="dxa"/>
            <w:shd w:val="clear" w:color="auto" w:fill="auto"/>
            <w:noWrap/>
          </w:tcPr>
          <w:p w14:paraId="3536AC29" w14:textId="3437E1CD"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45.9</w:t>
            </w:r>
            <w:r w:rsidR="00FE73CC">
              <w:rPr>
                <w:rFonts w:eastAsia="Times New Roman" w:cs="Times New Roman"/>
                <w:color w:val="0000FF"/>
              </w:rPr>
              <w:t>%</w:t>
            </w:r>
          </w:p>
        </w:tc>
      </w:tr>
      <w:tr w:rsidR="004F151B" w:rsidRPr="00ED4158" w14:paraId="6B5C31E7" w14:textId="77777777" w:rsidTr="00965109">
        <w:tc>
          <w:tcPr>
            <w:tcW w:w="5594" w:type="dxa"/>
            <w:shd w:val="clear" w:color="auto" w:fill="auto"/>
            <w:hideMark/>
          </w:tcPr>
          <w:p w14:paraId="3A535F7D" w14:textId="77777777" w:rsidR="004F151B" w:rsidRPr="00ED4158" w:rsidRDefault="004F151B" w:rsidP="00003004">
            <w:pPr>
              <w:spacing w:after="0" w:line="240" w:lineRule="auto"/>
              <w:ind w:left="242"/>
              <w:rPr>
                <w:rFonts w:eastAsia="Times New Roman" w:cs="Times New Roman"/>
                <w:color w:val="0000FF"/>
              </w:rPr>
            </w:pPr>
            <w:r w:rsidRPr="00ED4158">
              <w:rPr>
                <w:rFonts w:eastAsia="Times New Roman" w:cs="Times New Roman"/>
                <w:color w:val="0000FF"/>
              </w:rPr>
              <w:t>Malnutrition or at risk for malnutrition</w:t>
            </w:r>
          </w:p>
        </w:tc>
        <w:tc>
          <w:tcPr>
            <w:tcW w:w="1883" w:type="dxa"/>
            <w:tcBorders>
              <w:top w:val="nil"/>
              <w:left w:val="nil"/>
              <w:bottom w:val="nil"/>
              <w:right w:val="nil"/>
            </w:tcBorders>
            <w:shd w:val="clear" w:color="auto" w:fill="auto"/>
            <w:vAlign w:val="bottom"/>
          </w:tcPr>
          <w:p w14:paraId="2B83139B" w14:textId="361E5E40"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31,055</w:t>
            </w:r>
          </w:p>
        </w:tc>
        <w:tc>
          <w:tcPr>
            <w:tcW w:w="1883" w:type="dxa"/>
            <w:shd w:val="clear" w:color="auto" w:fill="auto"/>
            <w:noWrap/>
          </w:tcPr>
          <w:p w14:paraId="5E93E8F0" w14:textId="644260A3"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3.7</w:t>
            </w:r>
            <w:r w:rsidR="00FE73CC">
              <w:rPr>
                <w:rFonts w:eastAsia="Times New Roman" w:cs="Times New Roman"/>
                <w:color w:val="0000FF"/>
              </w:rPr>
              <w:t>%</w:t>
            </w:r>
          </w:p>
        </w:tc>
      </w:tr>
      <w:tr w:rsidR="004F151B" w:rsidRPr="00ED4158" w14:paraId="161AB0DA" w14:textId="77777777" w:rsidTr="00965109">
        <w:tc>
          <w:tcPr>
            <w:tcW w:w="5594" w:type="dxa"/>
            <w:shd w:val="clear" w:color="auto" w:fill="auto"/>
            <w:hideMark/>
          </w:tcPr>
          <w:p w14:paraId="4AF34847"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Cancer</w:t>
            </w:r>
          </w:p>
        </w:tc>
        <w:tc>
          <w:tcPr>
            <w:tcW w:w="1883" w:type="dxa"/>
            <w:tcBorders>
              <w:top w:val="nil"/>
              <w:left w:val="nil"/>
              <w:bottom w:val="nil"/>
              <w:right w:val="nil"/>
            </w:tcBorders>
            <w:shd w:val="clear" w:color="auto" w:fill="auto"/>
            <w:vAlign w:val="bottom"/>
          </w:tcPr>
          <w:p w14:paraId="7228B238" w14:textId="23227BEB"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53,214</w:t>
            </w:r>
          </w:p>
        </w:tc>
        <w:tc>
          <w:tcPr>
            <w:tcW w:w="1883" w:type="dxa"/>
            <w:shd w:val="clear" w:color="auto" w:fill="auto"/>
            <w:noWrap/>
          </w:tcPr>
          <w:p w14:paraId="1E49F3CD" w14:textId="69CCD86C"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6.4</w:t>
            </w:r>
            <w:r w:rsidR="00FE73CC">
              <w:rPr>
                <w:rFonts w:eastAsia="Times New Roman" w:cs="Times New Roman"/>
                <w:color w:val="0000FF"/>
              </w:rPr>
              <w:t>%</w:t>
            </w:r>
          </w:p>
        </w:tc>
      </w:tr>
      <w:tr w:rsidR="004F151B" w:rsidRPr="00ED4158" w14:paraId="50689DC1" w14:textId="77777777" w:rsidTr="00965109">
        <w:tc>
          <w:tcPr>
            <w:tcW w:w="5594" w:type="dxa"/>
            <w:shd w:val="clear" w:color="auto" w:fill="auto"/>
            <w:hideMark/>
          </w:tcPr>
          <w:p w14:paraId="18FF6993"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Anemia</w:t>
            </w:r>
          </w:p>
        </w:tc>
        <w:tc>
          <w:tcPr>
            <w:tcW w:w="1883" w:type="dxa"/>
            <w:tcBorders>
              <w:top w:val="nil"/>
              <w:left w:val="nil"/>
              <w:bottom w:val="nil"/>
              <w:right w:val="nil"/>
            </w:tcBorders>
            <w:shd w:val="clear" w:color="auto" w:fill="auto"/>
            <w:vAlign w:val="bottom"/>
          </w:tcPr>
          <w:p w14:paraId="1981DFBB" w14:textId="7B7D57C7"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245,866</w:t>
            </w:r>
          </w:p>
        </w:tc>
        <w:tc>
          <w:tcPr>
            <w:tcW w:w="1883" w:type="dxa"/>
            <w:shd w:val="clear" w:color="auto" w:fill="auto"/>
            <w:noWrap/>
          </w:tcPr>
          <w:p w14:paraId="2670CCAC" w14:textId="7088354A"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30.3</w:t>
            </w:r>
            <w:r w:rsidR="00FE73CC">
              <w:rPr>
                <w:rFonts w:eastAsia="Times New Roman" w:cs="Times New Roman"/>
                <w:color w:val="0000FF"/>
              </w:rPr>
              <w:t>%</w:t>
            </w:r>
          </w:p>
        </w:tc>
      </w:tr>
      <w:tr w:rsidR="004F151B" w:rsidRPr="00ED4158" w14:paraId="552434E9" w14:textId="77777777" w:rsidTr="00965109">
        <w:tc>
          <w:tcPr>
            <w:tcW w:w="5594" w:type="dxa"/>
            <w:shd w:val="clear" w:color="auto" w:fill="auto"/>
            <w:hideMark/>
          </w:tcPr>
          <w:p w14:paraId="5878C297"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Heart Failure</w:t>
            </w:r>
          </w:p>
        </w:tc>
        <w:tc>
          <w:tcPr>
            <w:tcW w:w="1883" w:type="dxa"/>
            <w:tcBorders>
              <w:top w:val="nil"/>
              <w:left w:val="nil"/>
              <w:bottom w:val="nil"/>
              <w:right w:val="nil"/>
            </w:tcBorders>
            <w:shd w:val="clear" w:color="auto" w:fill="auto"/>
            <w:vAlign w:val="bottom"/>
          </w:tcPr>
          <w:p w14:paraId="2BCDEDA7" w14:textId="48779ED4"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175,942</w:t>
            </w:r>
          </w:p>
        </w:tc>
        <w:tc>
          <w:tcPr>
            <w:tcW w:w="1883" w:type="dxa"/>
            <w:shd w:val="clear" w:color="auto" w:fill="auto"/>
            <w:noWrap/>
          </w:tcPr>
          <w:p w14:paraId="1622EE7F" w14:textId="208A68B0"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21.7</w:t>
            </w:r>
            <w:r w:rsidR="00FE73CC">
              <w:rPr>
                <w:rFonts w:eastAsia="Times New Roman" w:cs="Times New Roman"/>
                <w:color w:val="0000FF"/>
              </w:rPr>
              <w:t>%</w:t>
            </w:r>
          </w:p>
        </w:tc>
      </w:tr>
      <w:tr w:rsidR="004F151B" w:rsidRPr="00ED4158" w14:paraId="109BFF1D" w14:textId="77777777" w:rsidTr="00965109">
        <w:tc>
          <w:tcPr>
            <w:tcW w:w="5594" w:type="dxa"/>
            <w:shd w:val="clear" w:color="auto" w:fill="auto"/>
            <w:hideMark/>
          </w:tcPr>
          <w:p w14:paraId="690EA004"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Hypertension</w:t>
            </w:r>
          </w:p>
        </w:tc>
        <w:tc>
          <w:tcPr>
            <w:tcW w:w="1883" w:type="dxa"/>
            <w:tcBorders>
              <w:top w:val="nil"/>
              <w:left w:val="nil"/>
              <w:bottom w:val="nil"/>
              <w:right w:val="nil"/>
            </w:tcBorders>
            <w:shd w:val="clear" w:color="auto" w:fill="auto"/>
            <w:vAlign w:val="bottom"/>
          </w:tcPr>
          <w:p w14:paraId="711D9D54" w14:textId="0F87DC65"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634,161</w:t>
            </w:r>
          </w:p>
        </w:tc>
        <w:tc>
          <w:tcPr>
            <w:tcW w:w="1883" w:type="dxa"/>
            <w:shd w:val="clear" w:color="auto" w:fill="auto"/>
            <w:noWrap/>
          </w:tcPr>
          <w:p w14:paraId="1829A497" w14:textId="0D5DDFEE"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78.3</w:t>
            </w:r>
            <w:r w:rsidR="00FE73CC">
              <w:rPr>
                <w:rFonts w:eastAsia="Times New Roman" w:cs="Times New Roman"/>
                <w:color w:val="0000FF"/>
              </w:rPr>
              <w:t>%</w:t>
            </w:r>
          </w:p>
        </w:tc>
      </w:tr>
      <w:tr w:rsidR="004F151B" w:rsidRPr="00ED4158" w14:paraId="7636EF44" w14:textId="77777777" w:rsidTr="00965109">
        <w:tc>
          <w:tcPr>
            <w:tcW w:w="5594" w:type="dxa"/>
            <w:shd w:val="clear" w:color="auto" w:fill="auto"/>
            <w:hideMark/>
          </w:tcPr>
          <w:p w14:paraId="4B96AF3C"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Diabetes Mellitus</w:t>
            </w:r>
          </w:p>
        </w:tc>
        <w:tc>
          <w:tcPr>
            <w:tcW w:w="1883" w:type="dxa"/>
            <w:tcBorders>
              <w:top w:val="nil"/>
              <w:left w:val="nil"/>
              <w:bottom w:val="nil"/>
              <w:right w:val="nil"/>
            </w:tcBorders>
            <w:shd w:val="clear" w:color="auto" w:fill="auto"/>
            <w:vAlign w:val="bottom"/>
          </w:tcPr>
          <w:p w14:paraId="6ECD775F" w14:textId="03879C5B"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294,783</w:t>
            </w:r>
          </w:p>
        </w:tc>
        <w:tc>
          <w:tcPr>
            <w:tcW w:w="1883" w:type="dxa"/>
            <w:shd w:val="clear" w:color="auto" w:fill="auto"/>
            <w:noWrap/>
          </w:tcPr>
          <w:p w14:paraId="5B696AE6" w14:textId="7EF4C7BC"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35.1</w:t>
            </w:r>
            <w:r w:rsidR="00FE73CC">
              <w:rPr>
                <w:rFonts w:eastAsia="Times New Roman" w:cs="Times New Roman"/>
                <w:color w:val="0000FF"/>
              </w:rPr>
              <w:t>%</w:t>
            </w:r>
          </w:p>
        </w:tc>
      </w:tr>
      <w:tr w:rsidR="004F151B" w:rsidRPr="00ED4158" w14:paraId="478A5034" w14:textId="77777777" w:rsidTr="00965109">
        <w:tc>
          <w:tcPr>
            <w:tcW w:w="5594" w:type="dxa"/>
            <w:shd w:val="clear" w:color="auto" w:fill="auto"/>
            <w:hideMark/>
          </w:tcPr>
          <w:p w14:paraId="3485EB41" w14:textId="77777777" w:rsidR="004F151B" w:rsidRPr="00ED4158" w:rsidRDefault="004F151B" w:rsidP="00003004">
            <w:pPr>
              <w:spacing w:after="0" w:line="240" w:lineRule="auto"/>
              <w:ind w:firstLineChars="100" w:firstLine="220"/>
              <w:rPr>
                <w:rFonts w:eastAsia="Times New Roman" w:cs="Times New Roman"/>
                <w:color w:val="0000FF"/>
              </w:rPr>
            </w:pPr>
            <w:r w:rsidRPr="00ED4158">
              <w:rPr>
                <w:rFonts w:eastAsia="Times New Roman" w:cs="Times New Roman"/>
                <w:color w:val="0000FF"/>
              </w:rPr>
              <w:t>Anxiety Disorder</w:t>
            </w:r>
          </w:p>
        </w:tc>
        <w:tc>
          <w:tcPr>
            <w:tcW w:w="1883" w:type="dxa"/>
            <w:tcBorders>
              <w:top w:val="nil"/>
              <w:left w:val="nil"/>
              <w:bottom w:val="nil"/>
              <w:right w:val="nil"/>
            </w:tcBorders>
            <w:shd w:val="clear" w:color="auto" w:fill="auto"/>
            <w:vAlign w:val="bottom"/>
          </w:tcPr>
          <w:p w14:paraId="109EF7A8" w14:textId="72274E1A" w:rsidR="004F151B" w:rsidRPr="00ED4158" w:rsidRDefault="004F151B" w:rsidP="00003004">
            <w:pPr>
              <w:spacing w:after="0" w:line="240" w:lineRule="auto"/>
              <w:ind w:right="327"/>
              <w:jc w:val="right"/>
              <w:rPr>
                <w:rFonts w:eastAsia="Times New Roman" w:cs="Times New Roman"/>
                <w:color w:val="0000FF"/>
              </w:rPr>
            </w:pPr>
            <w:r w:rsidRPr="00FD54C9">
              <w:rPr>
                <w:rFonts w:eastAsia="Times New Roman" w:cs="Times New Roman"/>
                <w:color w:val="0000FF"/>
              </w:rPr>
              <w:t>265,825</w:t>
            </w:r>
          </w:p>
        </w:tc>
        <w:tc>
          <w:tcPr>
            <w:tcW w:w="1883" w:type="dxa"/>
            <w:shd w:val="clear" w:color="auto" w:fill="auto"/>
            <w:noWrap/>
          </w:tcPr>
          <w:p w14:paraId="3D8F8FBE" w14:textId="3A664B88"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31.7</w:t>
            </w:r>
            <w:r w:rsidR="00FE73CC">
              <w:rPr>
                <w:rFonts w:eastAsia="Times New Roman" w:cs="Times New Roman"/>
                <w:color w:val="0000FF"/>
              </w:rPr>
              <w:t>%</w:t>
            </w:r>
          </w:p>
        </w:tc>
      </w:tr>
      <w:tr w:rsidR="004F151B" w:rsidRPr="00ED4158" w14:paraId="1F275C32" w14:textId="77777777" w:rsidTr="00965109">
        <w:tc>
          <w:tcPr>
            <w:tcW w:w="5594" w:type="dxa"/>
            <w:tcBorders>
              <w:bottom w:val="single" w:sz="12" w:space="0" w:color="auto"/>
            </w:tcBorders>
            <w:shd w:val="clear" w:color="auto" w:fill="auto"/>
            <w:hideMark/>
          </w:tcPr>
          <w:p w14:paraId="2EDC3250" w14:textId="77777777" w:rsidR="00ED4C79" w:rsidRDefault="004F151B" w:rsidP="00003004">
            <w:pPr>
              <w:spacing w:after="0" w:line="240" w:lineRule="auto"/>
              <w:ind w:left="206" w:firstLineChars="5" w:firstLine="11"/>
              <w:rPr>
                <w:rFonts w:eastAsia="Times New Roman" w:cs="Times New Roman"/>
                <w:color w:val="0000FF"/>
              </w:rPr>
            </w:pPr>
            <w:r w:rsidRPr="00ED4158">
              <w:rPr>
                <w:rFonts w:eastAsia="Times New Roman" w:cs="Times New Roman"/>
                <w:color w:val="0000FF"/>
              </w:rPr>
              <w:t>Asthma, Chronic Obstructive Pulmonary Disease, or</w:t>
            </w:r>
          </w:p>
          <w:p w14:paraId="2033AF1D" w14:textId="3D3F2051" w:rsidR="004F151B" w:rsidRPr="00ED4158" w:rsidRDefault="00ED4C79" w:rsidP="00003004">
            <w:pPr>
              <w:spacing w:after="0" w:line="240" w:lineRule="auto"/>
              <w:ind w:left="206" w:firstLineChars="5" w:firstLine="11"/>
              <w:rPr>
                <w:rFonts w:eastAsia="Times New Roman" w:cs="Times New Roman"/>
                <w:color w:val="0000FF"/>
              </w:rPr>
            </w:pPr>
            <w:r>
              <w:rPr>
                <w:rFonts w:eastAsia="Times New Roman" w:cs="Times New Roman"/>
                <w:color w:val="0000FF"/>
              </w:rPr>
              <w:t xml:space="preserve">     </w:t>
            </w:r>
            <w:r w:rsidR="004F151B" w:rsidRPr="00ED4158">
              <w:rPr>
                <w:rFonts w:eastAsia="Times New Roman" w:cs="Times New Roman"/>
                <w:color w:val="0000FF"/>
              </w:rPr>
              <w:t>Chronic Lung Disease</w:t>
            </w:r>
          </w:p>
        </w:tc>
        <w:tc>
          <w:tcPr>
            <w:tcW w:w="1883" w:type="dxa"/>
            <w:tcBorders>
              <w:top w:val="nil"/>
              <w:left w:val="nil"/>
              <w:bottom w:val="single" w:sz="12" w:space="0" w:color="auto"/>
              <w:right w:val="nil"/>
            </w:tcBorders>
            <w:shd w:val="clear" w:color="auto" w:fill="auto"/>
          </w:tcPr>
          <w:p w14:paraId="79D1A54D" w14:textId="72844E23" w:rsidR="004F151B" w:rsidRPr="00ED4158" w:rsidRDefault="004F151B" w:rsidP="00003004">
            <w:pPr>
              <w:spacing w:after="0" w:line="240" w:lineRule="auto"/>
              <w:ind w:right="327"/>
              <w:jc w:val="right"/>
              <w:rPr>
                <w:rFonts w:eastAsia="Times New Roman" w:cs="Times New Roman"/>
                <w:color w:val="0000FF"/>
              </w:rPr>
            </w:pPr>
            <w:r>
              <w:rPr>
                <w:rFonts w:eastAsia="Times New Roman" w:cs="Times New Roman"/>
                <w:color w:val="0000FF"/>
              </w:rPr>
              <w:t>193,642</w:t>
            </w:r>
          </w:p>
        </w:tc>
        <w:tc>
          <w:tcPr>
            <w:tcW w:w="1883" w:type="dxa"/>
            <w:tcBorders>
              <w:bottom w:val="single" w:sz="12" w:space="0" w:color="auto"/>
            </w:tcBorders>
            <w:shd w:val="clear" w:color="auto" w:fill="auto"/>
            <w:noWrap/>
          </w:tcPr>
          <w:p w14:paraId="7ABF7CE5" w14:textId="1E139D73" w:rsidR="004F151B" w:rsidRPr="00ED4158" w:rsidRDefault="004F151B" w:rsidP="00003004">
            <w:pPr>
              <w:tabs>
                <w:tab w:val="decimal" w:pos="627"/>
              </w:tabs>
              <w:spacing w:after="0" w:line="240" w:lineRule="auto"/>
              <w:rPr>
                <w:rFonts w:eastAsia="Times New Roman" w:cs="Times New Roman"/>
                <w:color w:val="0000FF"/>
              </w:rPr>
            </w:pPr>
            <w:r>
              <w:rPr>
                <w:rFonts w:eastAsia="Times New Roman" w:cs="Times New Roman"/>
                <w:color w:val="0000FF"/>
              </w:rPr>
              <w:t>23.9</w:t>
            </w:r>
            <w:r w:rsidR="00FE73CC">
              <w:rPr>
                <w:rFonts w:eastAsia="Times New Roman" w:cs="Times New Roman"/>
                <w:color w:val="0000FF"/>
              </w:rPr>
              <w:t>%</w:t>
            </w:r>
          </w:p>
        </w:tc>
      </w:tr>
    </w:tbl>
    <w:p w14:paraId="4408BF82" w14:textId="77777777" w:rsidR="004F151B" w:rsidRPr="00ED4158" w:rsidRDefault="004F151B" w:rsidP="00FD54C9">
      <w:pPr>
        <w:pStyle w:val="Response"/>
        <w:rPr>
          <w:sz w:val="20"/>
        </w:rPr>
      </w:pPr>
      <w:r w:rsidRPr="00ED4158">
        <w:rPr>
          <w:sz w:val="20"/>
        </w:rPr>
        <w:t xml:space="preserve">Analysis date:  </w:t>
      </w:r>
      <w:r>
        <w:rPr>
          <w:sz w:val="20"/>
        </w:rPr>
        <w:t>12/6/17</w:t>
      </w:r>
    </w:p>
    <w:p w14:paraId="5C0B57CE" w14:textId="3671B201" w:rsidR="00011117" w:rsidRDefault="004F151B" w:rsidP="004F151B">
      <w:pPr>
        <w:pStyle w:val="Response"/>
        <w:rPr>
          <w:sz w:val="20"/>
          <w:szCs w:val="20"/>
        </w:rPr>
      </w:pPr>
      <w:r w:rsidRPr="00ED4158">
        <w:rPr>
          <w:sz w:val="20"/>
        </w:rPr>
        <w:t>SOURCE: RTI analys</w:t>
      </w:r>
      <w:r>
        <w:rPr>
          <w:sz w:val="20"/>
        </w:rPr>
        <w:t>is of MDS 3.0 data for Quarter 2</w:t>
      </w:r>
      <w:r w:rsidR="00D63FD2">
        <w:rPr>
          <w:sz w:val="20"/>
        </w:rPr>
        <w:t>,</w:t>
      </w:r>
      <w:r>
        <w:rPr>
          <w:sz w:val="20"/>
        </w:rPr>
        <w:t xml:space="preserve"> 2017</w:t>
      </w:r>
      <w:r w:rsidRPr="00ED4158">
        <w:rPr>
          <w:sz w:val="20"/>
        </w:rPr>
        <w:t xml:space="preserve"> (programming reference: </w:t>
      </w:r>
      <w:r w:rsidRPr="005A0BB7">
        <w:rPr>
          <w:bCs w:val="0"/>
          <w:sz w:val="20"/>
          <w:szCs w:val="20"/>
        </w:rPr>
        <w:t>av010/nb008_request_</w:t>
      </w:r>
      <w:r w:rsidR="00CD0228">
        <w:rPr>
          <w:bCs w:val="0"/>
          <w:sz w:val="20"/>
          <w:szCs w:val="20"/>
        </w:rPr>
        <w:t>v1_q_26_27_677</w:t>
      </w:r>
      <w:r w:rsidRPr="005A0BB7">
        <w:rPr>
          <w:bCs w:val="0"/>
          <w:sz w:val="20"/>
          <w:szCs w:val="20"/>
        </w:rPr>
        <w:t>.log</w:t>
      </w:r>
      <w:r w:rsidRPr="007E6A37">
        <w:rPr>
          <w:sz w:val="20"/>
          <w:szCs w:val="20"/>
        </w:rPr>
        <w:t>)</w:t>
      </w:r>
    </w:p>
    <w:p w14:paraId="291E001B" w14:textId="77777777" w:rsidR="00757C6D" w:rsidRPr="00757C6D" w:rsidRDefault="00757C6D" w:rsidP="00757C6D">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5" w:history="1">
        <w:r w:rsidRPr="00757C6D">
          <w:rPr>
            <w:rStyle w:val="Hyperlink"/>
            <w:sz w:val="20"/>
            <w:szCs w:val="20"/>
          </w:rPr>
          <w:t>http://www.cms.hhs.gov/NursingHomeQualityInits/Downloads/MDS30FinalReport.pdf</w:t>
        </w:r>
      </w:hyperlink>
      <w:r w:rsidRPr="00757C6D">
        <w:rPr>
          <w:sz w:val="20"/>
          <w:szCs w:val="20"/>
        </w:rPr>
        <w:t>.</w:t>
      </w: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1C59DEA2" w14:textId="39FB9C19" w:rsidR="00A16B9B" w:rsidRPr="00FD54C9" w:rsidRDefault="00CE0354">
      <w:pPr>
        <w:pStyle w:val="Response"/>
      </w:pPr>
      <w:r w:rsidRPr="00FD54C9">
        <w:t xml:space="preserve">The </w:t>
      </w:r>
      <w:r w:rsidR="00A16B9B" w:rsidRPr="00FD54C9">
        <w:t xml:space="preserve">analyses used the same data as described above in sections 1.5 and 1.6. </w:t>
      </w:r>
    </w:p>
    <w:p w14:paraId="3EBEB276" w14:textId="5A4AEE93" w:rsidR="00A16B9B" w:rsidRPr="00FD54C9" w:rsidRDefault="00D90299" w:rsidP="00A16B9B">
      <w:pPr>
        <w:pStyle w:val="Response"/>
        <w:rPr>
          <w:b/>
        </w:rPr>
      </w:pPr>
      <w:r w:rsidRPr="00FD54C9">
        <w:rPr>
          <w:b/>
        </w:rPr>
        <w:t>Data</w:t>
      </w:r>
      <w:r w:rsidR="00A16B9B" w:rsidRPr="00FD54C9">
        <w:rPr>
          <w:b/>
        </w:rPr>
        <w:t xml:space="preserve"> for Critical Data Elements</w:t>
      </w:r>
    </w:p>
    <w:p w14:paraId="34D128E4" w14:textId="2A3DCEDE" w:rsidR="00A16B9B" w:rsidRPr="00FD54C9" w:rsidRDefault="00A16B9B" w:rsidP="00A16B9B">
      <w:pPr>
        <w:pStyle w:val="Response"/>
      </w:pPr>
      <w:r w:rsidRPr="00FD54C9">
        <w:t>RAND reliability analysis</w:t>
      </w:r>
      <w:r w:rsidR="00F8100D">
        <w:t xml:space="preserve"> </w:t>
      </w:r>
      <w:r w:rsidRPr="00FD54C9">
        <w:t>of data elements used the same sample as described in sections 1.5 and 1.6</w:t>
      </w:r>
      <w:r w:rsidR="00F8100D">
        <w:t xml:space="preserve"> (</w:t>
      </w:r>
      <w:r w:rsidR="00757C6D">
        <w:t xml:space="preserve">Saliba &amp; Buchanan, </w:t>
      </w:r>
      <w:r w:rsidR="00757C6D" w:rsidRPr="005D3370">
        <w:t>2008</w:t>
      </w:r>
      <w:r w:rsidR="00F8100D">
        <w:t>)</w:t>
      </w:r>
      <w:r w:rsidRPr="00FD54C9">
        <w:t>.</w:t>
      </w:r>
    </w:p>
    <w:p w14:paraId="571A8C5E" w14:textId="6B08E56A" w:rsidR="00A16B9B" w:rsidRPr="00FD54C9" w:rsidRDefault="00D90299" w:rsidP="00A16B9B">
      <w:pPr>
        <w:pStyle w:val="Response"/>
        <w:rPr>
          <w:b/>
          <w:bCs w:val="0"/>
        </w:rPr>
      </w:pPr>
      <w:r w:rsidRPr="00FD54C9">
        <w:rPr>
          <w:b/>
          <w:bCs w:val="0"/>
        </w:rPr>
        <w:t xml:space="preserve">Data </w:t>
      </w:r>
      <w:r w:rsidR="00A16B9B" w:rsidRPr="00FD54C9">
        <w:rPr>
          <w:b/>
          <w:bCs w:val="0"/>
        </w:rPr>
        <w:t xml:space="preserve">for </w:t>
      </w:r>
      <w:r w:rsidR="00CE0354" w:rsidRPr="00FD54C9">
        <w:rPr>
          <w:b/>
          <w:bCs w:val="0"/>
        </w:rPr>
        <w:t>Measure Performance Score Testing</w:t>
      </w:r>
    </w:p>
    <w:p w14:paraId="65029692" w14:textId="5868353A" w:rsidR="00A16B9B" w:rsidRPr="00FD54C9" w:rsidRDefault="00A16B9B" w:rsidP="00A16B9B">
      <w:pPr>
        <w:pStyle w:val="Response"/>
      </w:pPr>
      <w:r w:rsidRPr="00FD54C9">
        <w:t>RTI analyses used the same data as described in sections 1.5 and 1.6.</w:t>
      </w:r>
    </w:p>
    <w:p w14:paraId="02FA140D" w14:textId="11AFFAC6" w:rsidR="00475C5B" w:rsidRPr="00757C6D" w:rsidRDefault="00475C5B" w:rsidP="00475C5B">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6" w:history="1">
        <w:r w:rsidRPr="00757C6D">
          <w:rPr>
            <w:rStyle w:val="Hyperlink"/>
            <w:sz w:val="20"/>
            <w:szCs w:val="20"/>
          </w:rPr>
          <w:t>http://www.cms.hhs.gov/NursingHomeQualityInits/Downloads/MDS30FinalReport.pdf</w:t>
        </w:r>
      </w:hyperlink>
      <w:r w:rsidRPr="00757C6D">
        <w:rPr>
          <w:sz w:val="20"/>
          <w:szCs w:val="20"/>
        </w:rPr>
        <w:t>.</w:t>
      </w:r>
    </w:p>
    <w:p w14:paraId="616D516C" w14:textId="77777777" w:rsidR="00F04B4B" w:rsidRDefault="00F04B4B" w:rsidP="00E37E1B">
      <w:pPr>
        <w:autoSpaceDE w:val="0"/>
        <w:autoSpaceDN w:val="0"/>
        <w:adjustRightInd w:val="0"/>
        <w:spacing w:after="0" w:line="240" w:lineRule="auto"/>
        <w:rPr>
          <w:rFonts w:cstheme="minorHAnsi"/>
          <w:bCs/>
        </w:rPr>
      </w:pPr>
    </w:p>
    <w:p w14:paraId="0CABCFCC" w14:textId="0E5921E1" w:rsidR="0021054A" w:rsidRDefault="0021054A" w:rsidP="00E37E1B">
      <w:pPr>
        <w:autoSpaceDE w:val="0"/>
        <w:autoSpaceDN w:val="0"/>
        <w:adjustRightInd w:val="0"/>
        <w:spacing w:after="0" w:line="240" w:lineRule="auto"/>
        <w:rPr>
          <w:rFonts w:cstheme="minorHAnsi"/>
          <w:bCs/>
        </w:rPr>
      </w:pPr>
      <w:r w:rsidRPr="0061213A">
        <w:rPr>
          <w:rFonts w:cstheme="minorHAnsi"/>
          <w:b/>
          <w:bCs/>
        </w:rPr>
        <w:t>1.8</w:t>
      </w:r>
      <w:r w:rsidRPr="0061213A">
        <w:rPr>
          <w:rFonts w:cstheme="minorHAnsi"/>
          <w:bCs/>
        </w:rPr>
        <w:t xml:space="preserve"> </w:t>
      </w:r>
      <w:r w:rsidRPr="0061213A">
        <w:rPr>
          <w:rFonts w:cstheme="minorHAnsi"/>
          <w:b/>
          <w:bCs/>
        </w:rPr>
        <w:t xml:space="preserve">What were the </w:t>
      </w:r>
      <w:r w:rsidR="009C7513" w:rsidRPr="0061213A">
        <w:rPr>
          <w:rFonts w:cstheme="minorHAnsi"/>
          <w:b/>
          <w:bCs/>
        </w:rPr>
        <w:t>social risk factors</w:t>
      </w:r>
      <w:r w:rsidRPr="0061213A">
        <w:rPr>
          <w:rFonts w:cstheme="minorHAnsi"/>
          <w:b/>
          <w:bCs/>
        </w:rPr>
        <w:t xml:space="preserve"> that were available and analyzed</w:t>
      </w:r>
      <w:r w:rsidRPr="0061213A">
        <w:rPr>
          <w:rFonts w:cstheme="minorHAnsi"/>
          <w:bCs/>
        </w:rPr>
        <w:t xml:space="preserve">? For example, patient-reported data (e.g., income, education, language), proxy variables when </w:t>
      </w:r>
      <w:r w:rsidR="009C7513" w:rsidRPr="0061213A">
        <w:rPr>
          <w:rFonts w:cstheme="minorHAnsi"/>
          <w:bCs/>
        </w:rPr>
        <w:t>social risk</w:t>
      </w:r>
      <w:r w:rsidRPr="0061213A">
        <w:rPr>
          <w:rFonts w:cstheme="minorHAnsi"/>
          <w:bCs/>
        </w:rPr>
        <w:t xml:space="preserve"> data are not collected from each patient (e.g. census tract), or patient community characteristics (e.g. percent vacant housing, crime rate)</w:t>
      </w:r>
      <w:r w:rsidR="009C7513" w:rsidRPr="0061213A">
        <w:rPr>
          <w:rFonts w:cstheme="minorHAnsi"/>
          <w:bCs/>
        </w:rPr>
        <w:t xml:space="preserve"> which do not have to be a proxy for patient-level data</w:t>
      </w:r>
      <w:r w:rsidRPr="0061213A">
        <w:rPr>
          <w:rFonts w:cstheme="minorHAnsi"/>
          <w:bCs/>
        </w:rPr>
        <w:t>.</w:t>
      </w:r>
      <w:r>
        <w:rPr>
          <w:rFonts w:cstheme="minorHAnsi"/>
          <w:bCs/>
        </w:rPr>
        <w:t xml:space="preserve"> </w:t>
      </w:r>
    </w:p>
    <w:p w14:paraId="33FE931F" w14:textId="357B6B03" w:rsidR="002E786D" w:rsidRPr="00706568" w:rsidRDefault="0044405E" w:rsidP="002A23FE">
      <w:pPr>
        <w:pStyle w:val="Response"/>
      </w:pPr>
      <w:r>
        <w:t>Analyses are based on social risk factor</w:t>
      </w:r>
      <w:r w:rsidR="002E786D">
        <w:t xml:space="preserve"> variables </w:t>
      </w:r>
      <w:r>
        <w:t xml:space="preserve">related to self-reported pain and </w:t>
      </w:r>
      <w:r w:rsidR="002E786D">
        <w:t xml:space="preserve">available in the MDS 3.0, including Medicaid status, </w:t>
      </w:r>
      <w:r>
        <w:t>gender</w:t>
      </w:r>
      <w:r w:rsidR="00266596">
        <w:t xml:space="preserve">, </w:t>
      </w:r>
      <w:r w:rsidR="002E786D">
        <w:t>marital status, and age.</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505C0C0D"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F04B4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F04B4B">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6B865C4" w14:textId="18DF2C2F" w:rsidR="00F04B4B" w:rsidRPr="003D1D04" w:rsidRDefault="003E4AA3" w:rsidP="00F04B4B">
      <w:pPr>
        <w:pStyle w:val="Response"/>
        <w:rPr>
          <w:b/>
          <w:bCs w:val="0"/>
        </w:rPr>
      </w:pPr>
      <w:r>
        <w:rPr>
          <w:b/>
          <w:bCs w:val="0"/>
        </w:rPr>
        <w:t xml:space="preserve">Critical </w:t>
      </w:r>
      <w:r w:rsidR="00F04B4B" w:rsidRPr="003D1D04">
        <w:rPr>
          <w:b/>
          <w:bCs w:val="0"/>
        </w:rPr>
        <w:t>Data Element Reliability</w:t>
      </w:r>
    </w:p>
    <w:p w14:paraId="4CF65129" w14:textId="20F8454A" w:rsidR="00AD053B" w:rsidRPr="00526D7A" w:rsidRDefault="00F04B4B" w:rsidP="002B676C">
      <w:pPr>
        <w:pStyle w:val="Response"/>
        <w:numPr>
          <w:ilvl w:val="0"/>
          <w:numId w:val="10"/>
        </w:numPr>
      </w:pPr>
      <w:r w:rsidRPr="00526D7A">
        <w:t>The national test of MDS 3.0 items examined the agreement between assessors (reliability</w:t>
      </w:r>
      <w:r>
        <w:t>)</w:t>
      </w:r>
      <w:r w:rsidR="00965B86">
        <w:t>.</w:t>
      </w:r>
      <w:r>
        <w:t xml:space="preserve"> </w:t>
      </w:r>
      <w:r w:rsidRPr="00526D7A">
        <w:t>Quality Improvement Organizations were employed to identify gold-standard (research) nurses and recruit community nursing facilities to participate in the national evaluation</w:t>
      </w:r>
      <w:r w:rsidR="00BE703E">
        <w:t xml:space="preserve"> (</w:t>
      </w:r>
      <w:r w:rsidR="00A97BBE">
        <w:t xml:space="preserve">Saliba &amp; Buchanan, </w:t>
      </w:r>
      <w:r w:rsidR="00A97BBE" w:rsidRPr="005D3370">
        <w:t>2008</w:t>
      </w:r>
      <w:r w:rsidR="00BE703E">
        <w:t>)</w:t>
      </w:r>
      <w:r w:rsidRPr="00526D7A">
        <w:t xml:space="preserve">. The gold-standard nurses were trained in the MDS 3.0 instrument, and they, in turn, trained a facility nurse from each participating nursing facility in their home states. Residents participating in the test were selected to capture a representative sample of short- and long-stay residents. </w:t>
      </w:r>
      <w:r w:rsidR="008124A4" w:rsidRPr="00CD5382">
        <w:t>In this national test, the agreement between gold-standard nurses and between gold-standard and facility nurses on pain treatment regimen items, pain interview items, and staff observed pain behaviors were examined</w:t>
      </w:r>
      <w:r w:rsidR="003F7C67" w:rsidRPr="00CD5382">
        <w:t xml:space="preserve">.  </w:t>
      </w:r>
      <w:bookmarkStart w:id="11" w:name="_Hlk504741365"/>
      <w:r w:rsidR="007E06D4" w:rsidRPr="00CD5382">
        <w:t>For the pain interview items used to create this measure,</w:t>
      </w:r>
      <w:r w:rsidR="0098457B" w:rsidRPr="00CD5382">
        <w:t xml:space="preserve"> reliability </w:t>
      </w:r>
      <w:r w:rsidR="007138A8" w:rsidRPr="00CD5382">
        <w:t>wa</w:t>
      </w:r>
      <w:r w:rsidR="0098457B" w:rsidRPr="00CD5382">
        <w:t>s assessed for the self-reported items as reported to gold-standard and facility nurses</w:t>
      </w:r>
      <w:bookmarkEnd w:id="11"/>
      <w:r w:rsidR="007138A8" w:rsidRPr="00CD5382">
        <w:t xml:space="preserve">.  </w:t>
      </w:r>
      <w:bookmarkStart w:id="12" w:name="_Hlk504742008"/>
      <w:r w:rsidR="007138A8" w:rsidRPr="00CD5382">
        <w:t>In addition, the temporal reliability of the pain interview items was assessed by administering the assessment twice within a 24-hour period; a 24-hour period was used to prevent actual changes in resident pain from influencing results of the reliability analyses.</w:t>
      </w:r>
      <w:bookmarkEnd w:id="12"/>
      <w:r w:rsidR="007138A8" w:rsidRPr="00CD5382">
        <w:t xml:space="preserve">  </w:t>
      </w:r>
      <w:r w:rsidR="003F7C67" w:rsidRPr="00CD5382">
        <w:t>A</w:t>
      </w:r>
      <w:r w:rsidR="0006524A" w:rsidRPr="00CD5382">
        <w:t xml:space="preserve">greement between gold-standard nurses </w:t>
      </w:r>
      <w:r w:rsidR="003F7C67" w:rsidRPr="00CD5382">
        <w:t>and between gold-standard and facility nurses was also examined for MDS Section C items, which comprise the Brief Interview for Mental Status (BIMS), a structured cognitive assessment; items for Section C are used to develop the risk adjustment covariate, described in 2b3.1.1</w:t>
      </w:r>
      <w:r w:rsidR="008124A4" w:rsidRPr="00CD5382">
        <w:t>.</w:t>
      </w:r>
      <w:r w:rsidR="008124A4">
        <w:t xml:space="preserve">  </w:t>
      </w:r>
      <w:r w:rsidR="00BE703E">
        <w:t xml:space="preserve">Cohen’s </w:t>
      </w:r>
      <w:proofErr w:type="spellStart"/>
      <w:r w:rsidR="00BE703E">
        <w:t>k</w:t>
      </w:r>
      <w:r w:rsidRPr="00526D7A">
        <w:t>appa</w:t>
      </w:r>
      <w:r w:rsidR="00BE703E">
        <w:t>s</w:t>
      </w:r>
      <w:proofErr w:type="spellEnd"/>
      <w:r w:rsidR="00474D69">
        <w:t xml:space="preserve"> </w:t>
      </w:r>
      <w:r w:rsidRPr="00526D7A">
        <w:t>were calculated to assess item reliability.  Kappa is a statistical measure of inter-rater agreement for qualitative data, ranging from 0.0 to 1.0</w:t>
      </w:r>
      <w:r w:rsidR="00BE703E">
        <w:t>, where a</w:t>
      </w:r>
      <w:r w:rsidRPr="00526D7A">
        <w:t xml:space="preserve"> rating of </w:t>
      </w:r>
      <w:r w:rsidR="00062DFD">
        <w:t xml:space="preserve">greater than </w:t>
      </w:r>
      <w:r w:rsidRPr="00526D7A">
        <w:t>0.</w:t>
      </w:r>
      <w:r w:rsidR="00062DFD">
        <w:t>60</w:t>
      </w:r>
      <w:r w:rsidRPr="00526D7A">
        <w:t xml:space="preserve"> is considered substantial agreement (</w:t>
      </w:r>
      <w:r w:rsidR="00A97BBE">
        <w:t>Landis &amp; Koch</w:t>
      </w:r>
      <w:r w:rsidR="00106D1F">
        <w:t>, 1977</w:t>
      </w:r>
      <w:r w:rsidRPr="00526D7A">
        <w:t>)</w:t>
      </w:r>
      <w:r w:rsidR="00BE703E">
        <w:t>.</w:t>
      </w:r>
      <w:r w:rsidR="005024F8">
        <w:t xml:space="preserve">  </w:t>
      </w:r>
    </w:p>
    <w:p w14:paraId="0A1D3D70" w14:textId="6A8D4A7B" w:rsidR="0045641C" w:rsidRPr="00A64389" w:rsidRDefault="0045641C" w:rsidP="00A64389">
      <w:pPr>
        <w:pStyle w:val="Response"/>
        <w:ind w:left="720"/>
      </w:pPr>
      <w:r w:rsidRPr="00CD5382">
        <w:t xml:space="preserve">In recent years, patient-reported outcomes and patient satisfaction with care have been emphasized in research and policy initiatives.  </w:t>
      </w:r>
      <w:proofErr w:type="gramStart"/>
      <w:r w:rsidRPr="00CD5382">
        <w:t>In particular, patient</w:t>
      </w:r>
      <w:proofErr w:type="gramEnd"/>
      <w:r w:rsidRPr="00CD5382">
        <w:t xml:space="preserve"> interview regarding the presence and severity of pain is considered to be the most reliable and accurate approach to pain assessment (American Geriatrics Society, 2002; Department of Veterans Affairs, 2003); however, it is still important to examine the agreement between assessors to ensure that there is not unintended variation in provider interpretation of patient-reported information.</w:t>
      </w:r>
      <w:r>
        <w:t xml:space="preserve">    </w:t>
      </w:r>
      <w:r w:rsidRPr="00526D7A" w:rsidDel="001F7F1A">
        <w:t xml:space="preserve"> </w:t>
      </w:r>
    </w:p>
    <w:p w14:paraId="516875DB" w14:textId="319DB45E" w:rsidR="009D3AD3" w:rsidRDefault="009D3AD3" w:rsidP="009D3AD3">
      <w:pPr>
        <w:pStyle w:val="Response"/>
        <w:ind w:left="360" w:hanging="360"/>
        <w:rPr>
          <w:sz w:val="20"/>
          <w:szCs w:val="20"/>
        </w:rPr>
      </w:pPr>
      <w:r w:rsidRPr="00757C6D">
        <w:rPr>
          <w:sz w:val="20"/>
          <w:szCs w:val="20"/>
        </w:rPr>
        <w:t>Saliba, D., &amp; Buchanan, J. (2008, April).</w:t>
      </w:r>
      <w:r w:rsidRPr="00757C6D">
        <w:rPr>
          <w:i/>
          <w:sz w:val="20"/>
          <w:szCs w:val="20"/>
        </w:rPr>
        <w:t xml:space="preserve"> Development and validation of a revised nursing home assessment tool: MDS 3.0</w:t>
      </w:r>
      <w:r w:rsidRPr="00757C6D">
        <w:rPr>
          <w:sz w:val="20"/>
          <w:szCs w:val="20"/>
        </w:rPr>
        <w:t xml:space="preserve">. Contract No. 500-00-0027/Task Order #2. Santa Monica, CA: Rand Corporation. Retrieved from </w:t>
      </w:r>
      <w:hyperlink r:id="rId17" w:history="1">
        <w:r w:rsidRPr="00757C6D">
          <w:rPr>
            <w:rStyle w:val="Hyperlink"/>
            <w:sz w:val="20"/>
            <w:szCs w:val="20"/>
          </w:rPr>
          <w:t>http://www.cms.hhs.gov/NursingHomeQualityInits/Downloads/MDS30FinalReport.pdf</w:t>
        </w:r>
      </w:hyperlink>
      <w:r w:rsidRPr="00757C6D">
        <w:rPr>
          <w:sz w:val="20"/>
          <w:szCs w:val="20"/>
        </w:rPr>
        <w:t>.</w:t>
      </w:r>
    </w:p>
    <w:p w14:paraId="413A3244" w14:textId="3214575E" w:rsidR="00BE703E" w:rsidRPr="00A97BBE" w:rsidRDefault="00062DFD" w:rsidP="009D3AD3">
      <w:pPr>
        <w:pStyle w:val="Response"/>
        <w:ind w:left="360" w:hanging="360"/>
        <w:rPr>
          <w:sz w:val="20"/>
          <w:szCs w:val="20"/>
        </w:rPr>
      </w:pPr>
      <w:r w:rsidRPr="00A97BBE">
        <w:rPr>
          <w:sz w:val="20"/>
          <w:szCs w:val="20"/>
        </w:rPr>
        <w:t xml:space="preserve">Landis, JR, Koch, GG. The measurement of observer agreement for </w:t>
      </w:r>
      <w:r w:rsidR="00AF076E" w:rsidRPr="00A97BBE">
        <w:rPr>
          <w:sz w:val="20"/>
          <w:szCs w:val="20"/>
        </w:rPr>
        <w:t>categorical</w:t>
      </w:r>
      <w:r w:rsidRPr="00A97BBE">
        <w:rPr>
          <w:sz w:val="20"/>
          <w:szCs w:val="20"/>
        </w:rPr>
        <w:t xml:space="preserve"> data. </w:t>
      </w:r>
      <w:r w:rsidR="00AF076E" w:rsidRPr="00A97BBE">
        <w:rPr>
          <w:i/>
          <w:sz w:val="20"/>
          <w:szCs w:val="20"/>
        </w:rPr>
        <w:t>Biometrics</w:t>
      </w:r>
      <w:r w:rsidRPr="00A97BBE">
        <w:rPr>
          <w:sz w:val="20"/>
          <w:szCs w:val="20"/>
        </w:rPr>
        <w:t xml:space="preserve"> </w:t>
      </w:r>
      <w:r w:rsidRPr="00A97BBE">
        <w:rPr>
          <w:i/>
          <w:sz w:val="20"/>
          <w:szCs w:val="20"/>
        </w:rPr>
        <w:t>33</w:t>
      </w:r>
      <w:r w:rsidRPr="00A97BBE">
        <w:rPr>
          <w:sz w:val="20"/>
          <w:szCs w:val="20"/>
        </w:rPr>
        <w:t>(1), p 159-174, 1977.</w:t>
      </w:r>
    </w:p>
    <w:p w14:paraId="58503493" w14:textId="77777777" w:rsidR="005024F8" w:rsidRDefault="005024F8" w:rsidP="005024F8">
      <w:pPr>
        <w:pStyle w:val="Response"/>
        <w:ind w:left="360" w:hanging="360"/>
        <w:rPr>
          <w:sz w:val="20"/>
          <w:szCs w:val="20"/>
        </w:rPr>
      </w:pPr>
      <w:r>
        <w:rPr>
          <w:sz w:val="20"/>
          <w:szCs w:val="20"/>
        </w:rPr>
        <w:t xml:space="preserve">American Geriatrics Society Panel on Persistent Pain in Older Persons.  The management of persistent pain in older persons. </w:t>
      </w:r>
      <w:r w:rsidRPr="00C27545">
        <w:rPr>
          <w:i/>
          <w:sz w:val="20"/>
          <w:szCs w:val="20"/>
        </w:rPr>
        <w:t>Journal of the American Geriatrics Society</w:t>
      </w:r>
      <w:r>
        <w:rPr>
          <w:i/>
          <w:sz w:val="20"/>
          <w:szCs w:val="20"/>
        </w:rPr>
        <w:t xml:space="preserve"> 50</w:t>
      </w:r>
      <w:r>
        <w:rPr>
          <w:sz w:val="20"/>
          <w:szCs w:val="20"/>
        </w:rPr>
        <w:t>, p S205-244, 2002.</w:t>
      </w:r>
    </w:p>
    <w:p w14:paraId="17FDDC19" w14:textId="77777777" w:rsidR="005024F8" w:rsidRDefault="005024F8" w:rsidP="005024F8">
      <w:pPr>
        <w:pStyle w:val="Response"/>
        <w:ind w:left="360" w:hanging="360"/>
        <w:rPr>
          <w:sz w:val="20"/>
          <w:szCs w:val="20"/>
        </w:rPr>
      </w:pPr>
      <w:r>
        <w:rPr>
          <w:sz w:val="20"/>
          <w:szCs w:val="20"/>
        </w:rPr>
        <w:t>Department of Veterans Affairs.  VHA directive 2003-021: pain management.  2003.</w:t>
      </w:r>
    </w:p>
    <w:p w14:paraId="29A7414A" w14:textId="5A7871A6" w:rsidR="00F04B4B" w:rsidRDefault="00F04B4B" w:rsidP="00F04B4B">
      <w:pPr>
        <w:pStyle w:val="Response"/>
      </w:pPr>
      <w:r w:rsidRPr="003D1D04">
        <w:rPr>
          <w:b/>
          <w:bCs w:val="0"/>
        </w:rPr>
        <w:t>Performance Measure Score Reliability</w:t>
      </w:r>
    </w:p>
    <w:p w14:paraId="6583D48B" w14:textId="06ED5CDC" w:rsidR="00CE0354" w:rsidRDefault="00CE0354" w:rsidP="00A64389">
      <w:pPr>
        <w:pStyle w:val="Response"/>
        <w:spacing w:before="0" w:after="0"/>
        <w:ind w:left="720" w:hanging="450"/>
      </w:pPr>
      <w:r w:rsidRPr="005D3370">
        <w:t>2.</w:t>
      </w:r>
      <w:r w:rsidR="008D5783">
        <w:t>a</w:t>
      </w:r>
      <w:r w:rsidRPr="005D3370">
        <w:t>.</w:t>
      </w:r>
      <w:r w:rsidRPr="005D3370">
        <w:tab/>
      </w:r>
      <w:r w:rsidR="00815C8F" w:rsidRPr="005D3370">
        <w:t xml:space="preserve">Signal to noise analysis: If a measure is reliable, then true differences in provider performance should explain a substantial proportion of the variance in quality measure scores. A signal-to-noise analysis was performed to determine what proportion of total variance in the measure is attributable to differences among providers. This analysis used logistic regression of the </w:t>
      </w:r>
      <w:r w:rsidR="00982D2F" w:rsidRPr="005D3370">
        <w:t>measure</w:t>
      </w:r>
      <w:r w:rsidR="00815C8F" w:rsidRPr="005D3370">
        <w:t xml:space="preserve"> numerator triggering for Quarter 2, 2017.</w:t>
      </w:r>
      <w:r w:rsidR="00840652">
        <w:t xml:space="preserve">  </w:t>
      </w:r>
      <w:bookmarkStart w:id="13" w:name="_Hlk504644052"/>
      <w:r w:rsidR="005248DA" w:rsidRPr="00CD5382">
        <w:t>W</w:t>
      </w:r>
      <w:r w:rsidR="00840652" w:rsidRPr="00CD5382">
        <w:t>e ran a logistic regression analysis with one term</w:t>
      </w:r>
      <w:r w:rsidR="005248DA" w:rsidRPr="00CD5382">
        <w:t xml:space="preserve"> (</w:t>
      </w:r>
      <w:r w:rsidR="008B4229" w:rsidRPr="00CD5382">
        <w:t>a binary variable equal to 1 if the measure numerator is triggered and 0 if otherwise</w:t>
      </w:r>
      <w:r w:rsidR="005248DA" w:rsidRPr="00CD5382">
        <w:t xml:space="preserve">; please refer to S.4 and S.5 for more details on the measure numerator specifications) with facility </w:t>
      </w:r>
      <w:r w:rsidR="00840652" w:rsidRPr="00CD5382">
        <w:t>random effects to obtain an estimate of ρ, the proportion of the total variance contributed by the fa</w:t>
      </w:r>
      <w:r w:rsidR="008B4229" w:rsidRPr="00CD5382">
        <w:t xml:space="preserve">cility-level variance component (i.e.., </w:t>
      </w:r>
      <w:r w:rsidR="00840652" w:rsidRPr="00CD5382">
        <w:rPr>
          <w:i/>
          <w:iCs/>
        </w:rPr>
        <w:t xml:space="preserve">ρ </w:t>
      </w:r>
      <w:r w:rsidR="00840652" w:rsidRPr="00CD5382">
        <w:t xml:space="preserve">= </w:t>
      </w:r>
      <m:oMath>
        <m:f>
          <m:fPr>
            <m:ctrlPr>
              <w:rPr>
                <w:rFonts w:ascii="Cambria Math" w:hAnsi="Cambria Math"/>
                <w:i/>
              </w:rPr>
            </m:ctrlPr>
          </m:fPr>
          <m:num>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num>
          <m:den>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ε</m:t>
                </m:r>
              </m:sub>
              <m:sup>
                <m:r>
                  <w:rPr>
                    <w:rFonts w:ascii="Cambria Math" w:hAnsi="Cambria Math"/>
                  </w:rPr>
                  <m:t>2</m:t>
                </m:r>
              </m:sup>
            </m:sSubSup>
          </m:den>
        </m:f>
      </m:oMath>
      <w:r w:rsidR="008B4229" w:rsidRPr="00CD5382">
        <w:t xml:space="preserve"> ).</w:t>
      </w:r>
      <w:bookmarkEnd w:id="13"/>
    </w:p>
    <w:p w14:paraId="3C0894F7" w14:textId="1091044C" w:rsidR="0034087E" w:rsidRDefault="00301933" w:rsidP="00CE0354">
      <w:pPr>
        <w:pStyle w:val="Response"/>
        <w:ind w:left="720" w:hanging="450"/>
      </w:pPr>
      <w:r>
        <w:t xml:space="preserve">2.b.  Split-Half reliability analysis: </w:t>
      </w:r>
      <w:r w:rsidR="0034087E" w:rsidRPr="000F6179">
        <w:t xml:space="preserve">Split-half reliability assesses </w:t>
      </w:r>
      <w:r w:rsidR="0034087E">
        <w:t>the internal consistency of a quality measure</w:t>
      </w:r>
      <w:r w:rsidR="0034087E" w:rsidRPr="000F6179">
        <w:t xml:space="preserve"> by randomly dividing the </w:t>
      </w:r>
      <w:r w:rsidR="0034087E">
        <w:t>resident</w:t>
      </w:r>
      <w:r w:rsidR="0034087E" w:rsidRPr="000F6179">
        <w:t xml:space="preserve">s </w:t>
      </w:r>
      <w:r w:rsidR="0034087E" w:rsidRPr="00E81537">
        <w:t xml:space="preserve">within each </w:t>
      </w:r>
      <w:r w:rsidR="0034087E">
        <w:t>nursing facility</w:t>
      </w:r>
      <w:r w:rsidR="0034087E" w:rsidRPr="00E81537">
        <w:t xml:space="preserve"> into two halves and calculating </w:t>
      </w:r>
      <w:r w:rsidR="0034087E">
        <w:t xml:space="preserve">the </w:t>
      </w:r>
      <w:r w:rsidR="0034087E" w:rsidRPr="00E81537">
        <w:t xml:space="preserve">correlation between the </w:t>
      </w:r>
      <w:r w:rsidR="0034087E">
        <w:t>nursing facility’s quality measure</w:t>
      </w:r>
      <w:r w:rsidR="0034087E" w:rsidRPr="00E81537">
        <w:t xml:space="preserve"> scores </w:t>
      </w:r>
      <w:proofErr w:type="gramStart"/>
      <w:r w:rsidR="0034087E" w:rsidRPr="00E81537">
        <w:t>on the basis of</w:t>
      </w:r>
      <w:proofErr w:type="gramEnd"/>
      <w:r w:rsidR="0034087E" w:rsidRPr="00E81537">
        <w:t xml:space="preserve"> the two randomly divided halves.</w:t>
      </w:r>
      <w:r w:rsidR="0034087E">
        <w:t xml:space="preserve"> When a nursing facility’s residents, randomly divided, have similar scores to one another, the quality measure score is more likely to reflect systematic differences in nursing home-level quality rather than random variation. </w:t>
      </w:r>
      <w:r w:rsidR="0034087E" w:rsidRPr="00E81537">
        <w:t xml:space="preserve"> In this analysis, we conducted a split-half reliability analysis on all fa</w:t>
      </w:r>
      <w:r w:rsidR="0034087E">
        <w:t>cilities with 20 or more residents</w:t>
      </w:r>
      <w:r w:rsidR="0034087E" w:rsidRPr="00E81537">
        <w:t xml:space="preserve"> counted in the measu</w:t>
      </w:r>
      <w:r w:rsidR="0034087E">
        <w:t xml:space="preserve">re denominator. We used the </w:t>
      </w:r>
      <w:r w:rsidR="0034087E" w:rsidRPr="00F64C55">
        <w:rPr>
          <w:szCs w:val="20"/>
        </w:rPr>
        <w:t>Pearson Product-Moment Correlation r</w:t>
      </w:r>
      <w:r w:rsidR="0034087E">
        <w:rPr>
          <w:szCs w:val="20"/>
        </w:rPr>
        <w:t xml:space="preserve">, </w:t>
      </w:r>
      <w:r w:rsidR="0034087E" w:rsidRPr="00F64C55">
        <w:rPr>
          <w:szCs w:val="20"/>
        </w:rPr>
        <w:t>Spearman Rank Correlation ρ</w:t>
      </w:r>
      <w:r w:rsidR="0034087E">
        <w:rPr>
          <w:szCs w:val="20"/>
        </w:rPr>
        <w:t xml:space="preserve">, and </w:t>
      </w:r>
      <w:r w:rsidR="0034087E">
        <w:t xml:space="preserve">Intraclass Correlation Coefficient (ICC) to measure the internal reliability.  </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CABCFD3" w14:textId="72692594"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5A5E1FD" w14:textId="15663BEC" w:rsidR="00DD3AF0" w:rsidRPr="003D1D04" w:rsidRDefault="00430A5F" w:rsidP="00DD3AF0">
      <w:pPr>
        <w:pStyle w:val="Response"/>
        <w:rPr>
          <w:b/>
          <w:bCs w:val="0"/>
        </w:rPr>
      </w:pPr>
      <w:r>
        <w:rPr>
          <w:b/>
          <w:bCs w:val="0"/>
        </w:rPr>
        <w:t xml:space="preserve">Critical </w:t>
      </w:r>
      <w:r w:rsidR="00F04B4B" w:rsidRPr="003D1D04">
        <w:rPr>
          <w:b/>
          <w:bCs w:val="0"/>
        </w:rPr>
        <w:t>Data Element Reliability</w:t>
      </w:r>
    </w:p>
    <w:p w14:paraId="765ECEE8" w14:textId="6D44D107" w:rsidR="007138A8" w:rsidRPr="00CD5382" w:rsidRDefault="00F04B4B" w:rsidP="002B676C">
      <w:pPr>
        <w:pStyle w:val="Response"/>
        <w:numPr>
          <w:ilvl w:val="0"/>
          <w:numId w:val="16"/>
        </w:numPr>
      </w:pPr>
      <w:bookmarkStart w:id="14" w:name="_Hlk504742380"/>
      <w:r w:rsidRPr="00CD5382">
        <w:t xml:space="preserve">For the pain items, the average kappa for gold-standard nurse to gold-standard nurse agreement was </w:t>
      </w:r>
      <w:r w:rsidR="00982D2F" w:rsidRPr="00CD5382">
        <w:t>0</w:t>
      </w:r>
      <w:r w:rsidRPr="00CD5382">
        <w:t xml:space="preserve">.961, and the average kappa for gold-standard nurse to facility nurse agreement was </w:t>
      </w:r>
      <w:r w:rsidR="00982D2F" w:rsidRPr="00CD5382">
        <w:t>0</w:t>
      </w:r>
      <w:r w:rsidRPr="00CD5382">
        <w:t>.967</w:t>
      </w:r>
      <w:r w:rsidR="007138A8" w:rsidRPr="00CD5382">
        <w:t xml:space="preserve">.  </w:t>
      </w:r>
      <w:bookmarkStart w:id="15" w:name="_Hlk504742459"/>
      <w:r w:rsidR="007138A8" w:rsidRPr="00CD5382">
        <w:t xml:space="preserve">The average kappa for temporal reliability was 0.920.  All three </w:t>
      </w:r>
      <w:proofErr w:type="spellStart"/>
      <w:r w:rsidR="007138A8" w:rsidRPr="00CD5382">
        <w:t>kappas</w:t>
      </w:r>
      <w:proofErr w:type="spellEnd"/>
      <w:r w:rsidR="007138A8" w:rsidRPr="00CD5382">
        <w:t xml:space="preserve"> are well above </w:t>
      </w:r>
      <w:r w:rsidR="00FC446D" w:rsidRPr="00CD5382">
        <w:t>the value of 0.</w:t>
      </w:r>
      <w:r w:rsidR="00520B0B" w:rsidRPr="00CD5382">
        <w:t>60</w:t>
      </w:r>
      <w:r w:rsidR="00FC446D" w:rsidRPr="00CD5382">
        <w:t>, which is generally considered substantial agreement</w:t>
      </w:r>
      <w:r w:rsidR="007138A8" w:rsidRPr="00CD5382">
        <w:t xml:space="preserve"> (Saliba &amp; Buchanan, 2008).</w:t>
      </w:r>
      <w:bookmarkEnd w:id="15"/>
      <w:r w:rsidR="007138A8" w:rsidRPr="00CD5382">
        <w:t xml:space="preserve">    </w:t>
      </w:r>
    </w:p>
    <w:bookmarkEnd w:id="14"/>
    <w:p w14:paraId="06B7607F" w14:textId="448CDD49" w:rsidR="003F7C67" w:rsidRPr="00A64389" w:rsidRDefault="003F7C67" w:rsidP="007138A8">
      <w:pPr>
        <w:pStyle w:val="Response"/>
        <w:ind w:left="720"/>
      </w:pPr>
      <w:r w:rsidRPr="00CD5382">
        <w:t xml:space="preserve">For the cognition items, the average kappa for gold-standard nurse to gold-standard nurse agreement was 0.977, and the average kappa for gold-standard nurse to facility nurse agreement was 0.973, </w:t>
      </w:r>
      <w:r w:rsidR="005E7F0E" w:rsidRPr="00CD5382">
        <w:t>demonstrating very strong agreement between assessors on these items.</w:t>
      </w:r>
    </w:p>
    <w:p w14:paraId="7242B198" w14:textId="111C5361" w:rsidR="00475C5B" w:rsidRPr="00106D1F" w:rsidRDefault="00475C5B" w:rsidP="00475C5B">
      <w:pPr>
        <w:pStyle w:val="Response"/>
        <w:ind w:left="360" w:hanging="360"/>
        <w:rPr>
          <w:sz w:val="20"/>
          <w:szCs w:val="20"/>
        </w:rPr>
      </w:pPr>
      <w:r w:rsidRPr="00106D1F">
        <w:rPr>
          <w:sz w:val="20"/>
          <w:szCs w:val="20"/>
        </w:rPr>
        <w:t>Saliba, D., &amp; Buchanan, J. (2008, April).</w:t>
      </w:r>
      <w:r w:rsidRPr="00106D1F">
        <w:rPr>
          <w:i/>
          <w:sz w:val="20"/>
          <w:szCs w:val="20"/>
        </w:rPr>
        <w:t xml:space="preserve"> Development and validation of a revised nursing home assessment tool: MDS 3.0</w:t>
      </w:r>
      <w:r w:rsidRPr="00106D1F">
        <w:rPr>
          <w:sz w:val="20"/>
          <w:szCs w:val="20"/>
        </w:rPr>
        <w:t xml:space="preserve">. Contract No. 500-00-0027/Task Order #2. Santa Monica, CA: Rand Corporation. Retrieved from </w:t>
      </w:r>
      <w:hyperlink r:id="rId18" w:history="1">
        <w:r w:rsidRPr="00106D1F">
          <w:rPr>
            <w:rStyle w:val="Hyperlink"/>
            <w:sz w:val="20"/>
            <w:szCs w:val="20"/>
          </w:rPr>
          <w:t>http://www.cms.hhs.gov/NursingHomeQualityInits/Downloads/MDS30FinalReport.pdf</w:t>
        </w:r>
      </w:hyperlink>
      <w:r w:rsidRPr="00106D1F">
        <w:rPr>
          <w:sz w:val="20"/>
          <w:szCs w:val="20"/>
        </w:rPr>
        <w:t>.</w:t>
      </w:r>
    </w:p>
    <w:p w14:paraId="78D00D78" w14:textId="0BCF6AB6" w:rsidR="00C62F53" w:rsidRPr="00A64389" w:rsidRDefault="00F04B4B" w:rsidP="00A64389">
      <w:pPr>
        <w:pStyle w:val="Response"/>
        <w:rPr>
          <w:b/>
          <w:bCs w:val="0"/>
        </w:rPr>
      </w:pPr>
      <w:r w:rsidRPr="003D1D04">
        <w:rPr>
          <w:b/>
          <w:bCs w:val="0"/>
        </w:rPr>
        <w:t>Perfor</w:t>
      </w:r>
      <w:r w:rsidR="00A64389">
        <w:rPr>
          <w:b/>
          <w:bCs w:val="0"/>
        </w:rPr>
        <w:t>mance Measure Score Reliability</w:t>
      </w:r>
    </w:p>
    <w:p w14:paraId="6BBEE545" w14:textId="6C38F07D" w:rsidR="00C62F53" w:rsidRDefault="00C62F53" w:rsidP="00E045DB">
      <w:pPr>
        <w:autoSpaceDE w:val="0"/>
        <w:autoSpaceDN w:val="0"/>
        <w:adjustRightInd w:val="0"/>
        <w:spacing w:after="0" w:line="240" w:lineRule="auto"/>
        <w:ind w:left="720" w:hanging="720"/>
        <w:rPr>
          <w:rFonts w:cstheme="minorHAnsi"/>
          <w:bCs/>
          <w:color w:val="0000FF"/>
        </w:rPr>
      </w:pPr>
      <w:r w:rsidRPr="005D3370">
        <w:rPr>
          <w:rFonts w:cstheme="minorHAnsi"/>
          <w:bCs/>
          <w:color w:val="0000FF"/>
        </w:rPr>
        <w:t>2.</w:t>
      </w:r>
      <w:r w:rsidR="008D5783">
        <w:rPr>
          <w:rFonts w:cstheme="minorHAnsi"/>
          <w:bCs/>
          <w:color w:val="0000FF"/>
        </w:rPr>
        <w:t>a</w:t>
      </w:r>
      <w:r w:rsidRPr="005D3370">
        <w:rPr>
          <w:rFonts w:cstheme="minorHAnsi"/>
          <w:bCs/>
          <w:color w:val="0000FF"/>
        </w:rPr>
        <w:t>.</w:t>
      </w:r>
      <w:r w:rsidRPr="005D3370">
        <w:rPr>
          <w:rFonts w:cstheme="minorHAnsi"/>
          <w:bCs/>
          <w:color w:val="0000FF"/>
        </w:rPr>
        <w:tab/>
      </w:r>
      <w:r w:rsidR="00861CEF" w:rsidRPr="005D3370">
        <w:rPr>
          <w:rFonts w:cstheme="minorHAnsi"/>
          <w:bCs/>
          <w:color w:val="0000FF"/>
        </w:rPr>
        <w:t>Signal to Noise</w:t>
      </w:r>
      <w:r w:rsidRPr="005D3370">
        <w:rPr>
          <w:rFonts w:cstheme="minorHAnsi"/>
          <w:bCs/>
          <w:color w:val="0000FF"/>
        </w:rPr>
        <w:t>:</w:t>
      </w:r>
      <w:r w:rsidR="00E045DB">
        <w:rPr>
          <w:rFonts w:cstheme="minorHAnsi"/>
          <w:bCs/>
          <w:color w:val="0000FF"/>
        </w:rPr>
        <w:t xml:space="preserve"> </w:t>
      </w:r>
      <w:r w:rsidR="00E045DB" w:rsidRPr="00E045DB">
        <w:rPr>
          <w:rFonts w:cstheme="minorHAnsi"/>
          <w:bCs/>
          <w:color w:val="0000FF"/>
        </w:rPr>
        <w:t>The signal-to-noise ratio for this measure was high at 0.289 (p &lt; 0.001) indicating that 28.9% of the variance in scores for this measure in Quarter 2, 2017 was explained by facility characteristics (including the underlying quality of care in each facility). Thus, this measure is reliable in separating facility characteristics from the noise of population variance.</w:t>
      </w:r>
    </w:p>
    <w:p w14:paraId="293EAA29" w14:textId="77777777" w:rsidR="00E045DB" w:rsidRPr="005D3370" w:rsidRDefault="00E045DB" w:rsidP="00E045DB">
      <w:pPr>
        <w:autoSpaceDE w:val="0"/>
        <w:autoSpaceDN w:val="0"/>
        <w:adjustRightInd w:val="0"/>
        <w:spacing w:after="0" w:line="240" w:lineRule="auto"/>
        <w:ind w:left="720" w:hanging="720"/>
        <w:rPr>
          <w:rFonts w:cstheme="minorHAnsi"/>
          <w:bCs/>
          <w:color w:val="0000FF"/>
        </w:rPr>
      </w:pPr>
    </w:p>
    <w:p w14:paraId="0DEFC8A9" w14:textId="42234C26" w:rsidR="00F44A07" w:rsidRDefault="00F44A07" w:rsidP="00E045DB">
      <w:pPr>
        <w:autoSpaceDE w:val="0"/>
        <w:autoSpaceDN w:val="0"/>
        <w:adjustRightInd w:val="0"/>
        <w:spacing w:after="0" w:line="240" w:lineRule="auto"/>
        <w:ind w:left="720"/>
        <w:rPr>
          <w:rFonts w:cstheme="minorHAnsi"/>
          <w:bCs/>
          <w:color w:val="0000FF"/>
          <w:sz w:val="20"/>
          <w:szCs w:val="20"/>
        </w:rPr>
      </w:pPr>
      <w:r w:rsidRPr="002A23FE">
        <w:rPr>
          <w:rFonts w:cstheme="minorHAnsi"/>
          <w:bCs/>
          <w:color w:val="0000FF"/>
          <w:sz w:val="20"/>
          <w:szCs w:val="20"/>
        </w:rPr>
        <w:t>SOURCE: RTI analysis of Q2 2017 MDS 3.</w:t>
      </w:r>
      <w:r w:rsidRPr="00F65D2B">
        <w:rPr>
          <w:rFonts w:cstheme="minorHAnsi"/>
          <w:bCs/>
          <w:color w:val="0000FF"/>
          <w:sz w:val="20"/>
          <w:szCs w:val="20"/>
        </w:rPr>
        <w:t xml:space="preserve">0 data (programming reference: </w:t>
      </w:r>
      <w:r>
        <w:rPr>
          <w:rFonts w:cstheme="minorHAnsi"/>
          <w:bCs/>
          <w:color w:val="0000FF"/>
          <w:sz w:val="20"/>
          <w:szCs w:val="20"/>
        </w:rPr>
        <w:t>rn01\db363</w:t>
      </w:r>
      <w:r w:rsidRPr="002A23FE">
        <w:rPr>
          <w:rFonts w:cstheme="minorHAnsi"/>
          <w:bCs/>
          <w:color w:val="0000FF"/>
          <w:sz w:val="20"/>
          <w:szCs w:val="20"/>
        </w:rPr>
        <w:t>_request_q2627_677.log)</w:t>
      </w:r>
    </w:p>
    <w:p w14:paraId="5F2D37FA" w14:textId="57FE1B57" w:rsidR="00E10A7B" w:rsidRDefault="00E10A7B" w:rsidP="00E045DB">
      <w:pPr>
        <w:autoSpaceDE w:val="0"/>
        <w:autoSpaceDN w:val="0"/>
        <w:adjustRightInd w:val="0"/>
        <w:spacing w:after="0" w:line="240" w:lineRule="auto"/>
        <w:ind w:left="720"/>
        <w:rPr>
          <w:rFonts w:cstheme="minorHAnsi"/>
          <w:bCs/>
          <w:color w:val="0000FF"/>
          <w:sz w:val="20"/>
          <w:szCs w:val="20"/>
        </w:rPr>
      </w:pPr>
    </w:p>
    <w:p w14:paraId="4A6BBF08" w14:textId="5599E540" w:rsidR="00E10A7B" w:rsidRPr="00E10A7B" w:rsidRDefault="00E10A7B" w:rsidP="00E10A7B">
      <w:pPr>
        <w:autoSpaceDE w:val="0"/>
        <w:autoSpaceDN w:val="0"/>
        <w:adjustRightInd w:val="0"/>
        <w:spacing w:after="0" w:line="240" w:lineRule="auto"/>
        <w:ind w:left="720" w:hanging="720"/>
        <w:rPr>
          <w:rFonts w:cstheme="minorHAnsi"/>
          <w:bCs/>
          <w:color w:val="0000FF"/>
        </w:rPr>
      </w:pPr>
      <w:r w:rsidRPr="00E10A7B">
        <w:rPr>
          <w:rFonts w:cstheme="minorHAnsi"/>
          <w:bCs/>
          <w:color w:val="0000FF"/>
        </w:rPr>
        <w:t>2.</w:t>
      </w:r>
      <w:r w:rsidR="008D5783">
        <w:rPr>
          <w:rFonts w:cstheme="minorHAnsi"/>
          <w:bCs/>
          <w:color w:val="0000FF"/>
        </w:rPr>
        <w:t>b</w:t>
      </w:r>
      <w:r w:rsidRPr="00E10A7B">
        <w:rPr>
          <w:rFonts w:cstheme="minorHAnsi"/>
          <w:bCs/>
          <w:color w:val="0000FF"/>
        </w:rPr>
        <w:t xml:space="preserve">. </w:t>
      </w:r>
      <w:r w:rsidRPr="00E10A7B">
        <w:rPr>
          <w:rFonts w:cstheme="minorHAnsi"/>
          <w:bCs/>
          <w:color w:val="0000FF"/>
        </w:rPr>
        <w:tab/>
        <w:t xml:space="preserve">Split-Half Reliability Analysis: The split-half correlations were strong (r = </w:t>
      </w:r>
      <w:r w:rsidR="00F65D2B">
        <w:rPr>
          <w:rFonts w:cstheme="minorHAnsi"/>
          <w:bCs/>
          <w:color w:val="0000FF"/>
        </w:rPr>
        <w:t>0</w:t>
      </w:r>
      <w:r w:rsidRPr="00E10A7B">
        <w:rPr>
          <w:rFonts w:cstheme="minorHAnsi"/>
          <w:bCs/>
          <w:color w:val="0000FF"/>
        </w:rPr>
        <w:t xml:space="preserve">.68, ρ = </w:t>
      </w:r>
      <w:r w:rsidR="00F65D2B">
        <w:rPr>
          <w:rFonts w:cstheme="minorHAnsi"/>
          <w:bCs/>
          <w:color w:val="0000FF"/>
        </w:rPr>
        <w:t>0</w:t>
      </w:r>
      <w:r w:rsidRPr="00E10A7B">
        <w:rPr>
          <w:rFonts w:cstheme="minorHAnsi"/>
          <w:bCs/>
          <w:color w:val="0000FF"/>
        </w:rPr>
        <w:t xml:space="preserve">.66, p &lt; .001), and the ICC was </w:t>
      </w:r>
      <w:r w:rsidR="00F65D2B">
        <w:rPr>
          <w:rFonts w:cstheme="minorHAnsi"/>
          <w:bCs/>
          <w:color w:val="0000FF"/>
        </w:rPr>
        <w:t>0</w:t>
      </w:r>
      <w:r w:rsidRPr="00E10A7B">
        <w:rPr>
          <w:rFonts w:cstheme="minorHAnsi"/>
          <w:bCs/>
          <w:color w:val="0000FF"/>
        </w:rPr>
        <w:t>.68 (p &lt; .001), demonstrating strong internal reliability</w:t>
      </w:r>
      <w:r w:rsidR="0042470B">
        <w:rPr>
          <w:rFonts w:cstheme="minorHAnsi"/>
          <w:bCs/>
          <w:color w:val="0000FF"/>
        </w:rPr>
        <w:t>.</w:t>
      </w:r>
    </w:p>
    <w:p w14:paraId="38F66ED2" w14:textId="30242104" w:rsidR="00003004" w:rsidRPr="009878F2" w:rsidRDefault="00003004" w:rsidP="00DB3627">
      <w:pPr>
        <w:autoSpaceDE w:val="0"/>
        <w:autoSpaceDN w:val="0"/>
        <w:adjustRightInd w:val="0"/>
        <w:spacing w:after="0" w:line="240" w:lineRule="auto"/>
        <w:rPr>
          <w:rFonts w:cstheme="minorHAnsi"/>
          <w:bCs/>
        </w:rPr>
      </w:pPr>
    </w:p>
    <w:p w14:paraId="17190FEE" w14:textId="42F95A06" w:rsidR="00003004" w:rsidRDefault="00D83DDE" w:rsidP="00D83DDE">
      <w:pPr>
        <w:autoSpaceDE w:val="0"/>
        <w:autoSpaceDN w:val="0"/>
        <w:adjustRightInd w:val="0"/>
        <w:spacing w:after="0" w:line="240" w:lineRule="auto"/>
        <w:ind w:left="720"/>
        <w:rPr>
          <w:rFonts w:cstheme="minorHAnsi"/>
          <w:bCs/>
          <w:color w:val="0000FF"/>
          <w:sz w:val="20"/>
          <w:szCs w:val="20"/>
        </w:rPr>
      </w:pPr>
      <w:r w:rsidRPr="002A23FE">
        <w:rPr>
          <w:rFonts w:cstheme="minorHAnsi"/>
          <w:bCs/>
          <w:color w:val="0000FF"/>
          <w:sz w:val="20"/>
          <w:szCs w:val="20"/>
        </w:rPr>
        <w:t xml:space="preserve">SOURCE: RTI analysis of Q2 2017 MDS 3.0 data (programming reference: </w:t>
      </w:r>
      <w:r>
        <w:rPr>
          <w:rFonts w:cstheme="minorHAnsi"/>
          <w:bCs/>
          <w:color w:val="0000FF"/>
          <w:sz w:val="20"/>
          <w:szCs w:val="20"/>
        </w:rPr>
        <w:t>av12\av12_request_q2627_677</w:t>
      </w:r>
      <w:r w:rsidRPr="002A23FE">
        <w:rPr>
          <w:rFonts w:cstheme="minorHAnsi"/>
          <w:bCs/>
          <w:color w:val="0000FF"/>
          <w:sz w:val="20"/>
          <w:szCs w:val="20"/>
        </w:rPr>
        <w:t>.log)</w:t>
      </w:r>
    </w:p>
    <w:p w14:paraId="72FF771C" w14:textId="77777777" w:rsidR="00CD5382" w:rsidRDefault="00CD5382" w:rsidP="00D83DDE">
      <w:pPr>
        <w:autoSpaceDE w:val="0"/>
        <w:autoSpaceDN w:val="0"/>
        <w:adjustRightInd w:val="0"/>
        <w:spacing w:after="0" w:line="240" w:lineRule="auto"/>
        <w:ind w:left="720"/>
        <w:rPr>
          <w:rFonts w:cstheme="minorHAnsi"/>
          <w:b/>
          <w:bCs/>
        </w:rPr>
      </w:pPr>
    </w:p>
    <w:p w14:paraId="0CABCFD4" w14:textId="30C88167"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287D12CA" w14:textId="18DF5C48" w:rsidR="00474D69" w:rsidRPr="002A23FE" w:rsidRDefault="00474D69" w:rsidP="00366335">
      <w:pPr>
        <w:pStyle w:val="Response"/>
        <w:rPr>
          <w:b/>
          <w:noProof/>
        </w:rPr>
      </w:pPr>
      <w:r>
        <w:rPr>
          <w:b/>
          <w:noProof/>
        </w:rPr>
        <w:t>Critical Data Element</w:t>
      </w:r>
      <w:r w:rsidRPr="00551E3A">
        <w:rPr>
          <w:b/>
          <w:noProof/>
        </w:rPr>
        <w:t xml:space="preserve"> Reliability</w:t>
      </w:r>
    </w:p>
    <w:p w14:paraId="6FB23E97" w14:textId="1CF3E8D8" w:rsidR="00366335" w:rsidRDefault="00847A1A" w:rsidP="00366335">
      <w:pPr>
        <w:pStyle w:val="Response"/>
      </w:pPr>
      <w:r>
        <w:t xml:space="preserve">The </w:t>
      </w:r>
      <w:r>
        <w:rPr>
          <w:rFonts w:eastAsiaTheme="minorHAnsi"/>
        </w:rPr>
        <w:t xml:space="preserve">RAND Development and Validation of MDS 3.0 </w:t>
      </w:r>
      <w:r>
        <w:t>national</w:t>
      </w:r>
      <w:r w:rsidR="00366335" w:rsidRPr="00526D7A">
        <w:t xml:space="preserve"> pilot test </w:t>
      </w:r>
      <w:r>
        <w:t>study demonstrated</w:t>
      </w:r>
      <w:r w:rsidR="00366335" w:rsidRPr="00526D7A">
        <w:t xml:space="preserve"> good reliability </w:t>
      </w:r>
      <w:r w:rsidR="00EA539E">
        <w:t>for MDS 3.0 items used to calculate th</w:t>
      </w:r>
      <w:r w:rsidR="00380B86">
        <w:t>is</w:t>
      </w:r>
      <w:r w:rsidR="00F44A07">
        <w:t xml:space="preserve"> </w:t>
      </w:r>
      <w:r w:rsidR="00EA539E">
        <w:t>measure</w:t>
      </w:r>
      <w:r w:rsidR="00366335" w:rsidRPr="00526D7A">
        <w:t xml:space="preserve">. </w:t>
      </w:r>
    </w:p>
    <w:p w14:paraId="2DCF41F3" w14:textId="77777777" w:rsidR="00474D69" w:rsidRPr="00551E3A" w:rsidRDefault="00474D69" w:rsidP="00474D69">
      <w:pPr>
        <w:pStyle w:val="Response"/>
        <w:rPr>
          <w:b/>
          <w:noProof/>
        </w:rPr>
      </w:pPr>
      <w:r w:rsidRPr="00551E3A">
        <w:rPr>
          <w:b/>
          <w:noProof/>
        </w:rPr>
        <w:t>Performance Measure Score Reliability</w:t>
      </w:r>
    </w:p>
    <w:p w14:paraId="1B746BA4" w14:textId="36DB916F" w:rsidR="00EB2876" w:rsidRDefault="00474D69" w:rsidP="002A23FE">
      <w:pPr>
        <w:pStyle w:val="Response"/>
        <w:rPr>
          <w:noProof/>
        </w:rPr>
      </w:pPr>
      <w:r>
        <w:rPr>
          <w:noProof/>
        </w:rPr>
        <w:t>RTI’s analyses show that the measure is largely stable, is able to make meaningful dinstinctions between different facilites’ quality on this measure’s intended dimensi</w:t>
      </w:r>
      <w:r w:rsidRPr="00F44A07">
        <w:rPr>
          <w:noProof/>
        </w:rPr>
        <w:t xml:space="preserve">on, </w:t>
      </w:r>
      <w:r w:rsidR="00882D91">
        <w:rPr>
          <w:noProof/>
        </w:rPr>
        <w:t xml:space="preserve">the measure has strong internal reliability, </w:t>
      </w:r>
      <w:r w:rsidR="001F5FC8" w:rsidRPr="00F44A07">
        <w:rPr>
          <w:noProof/>
        </w:rPr>
        <w:t>and the differences in the facilities</w:t>
      </w:r>
      <w:r w:rsidR="00F44A07" w:rsidRPr="00F44A07">
        <w:rPr>
          <w:noProof/>
        </w:rPr>
        <w:t xml:space="preserve"> can exp</w:t>
      </w:r>
      <w:r w:rsidR="001F5FC8" w:rsidRPr="00F44A07">
        <w:rPr>
          <w:noProof/>
        </w:rPr>
        <w:t xml:space="preserve">lain about a quarter </w:t>
      </w:r>
      <w:r w:rsidR="009957D6" w:rsidRPr="00F44A07">
        <w:rPr>
          <w:noProof/>
        </w:rPr>
        <w:t>of the variance in this measure</w:t>
      </w:r>
      <w:r w:rsidRPr="00F44A07">
        <w:rPr>
          <w:noProof/>
        </w:rPr>
        <w:t>.</w:t>
      </w:r>
      <w:r>
        <w:rPr>
          <w:noProof/>
        </w:rPr>
        <w:t xml:space="preserve"> In</w:t>
      </w:r>
      <w:r w:rsidR="00BF021F">
        <w:rPr>
          <w:noProof/>
        </w:rPr>
        <w:t xml:space="preserve"> sum, this measure is reliable.</w:t>
      </w:r>
    </w:p>
    <w:p w14:paraId="0CABCFD5" w14:textId="57596494"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507724CE"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Content>
          <w:r w:rsidR="003663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25DDC18B" w:rsidR="00696262" w:rsidRPr="00A25024" w:rsidRDefault="007076F8"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36633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062AF220" w:rsidR="000574AB" w:rsidRPr="00A25024" w:rsidRDefault="007076F8"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36633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 xml:space="preserve">good from poor </w:t>
      </w:r>
      <w:r w:rsidR="00F07565">
        <w:rPr>
          <w:rFonts w:eastAsia="MS Gothic" w:cstheme="minorHAnsi"/>
          <w:bCs/>
          <w:i/>
        </w:rPr>
        <w:t>performance</w:t>
      </w:r>
      <w:r w:rsidR="00F07565" w:rsidRPr="00A25024">
        <w:rPr>
          <w:rFonts w:eastAsia="MS Gothic" w:cstheme="minorHAnsi"/>
          <w:bCs/>
        </w:rPr>
        <w:t>)</w:t>
      </w:r>
      <w:r w:rsidR="00F07565">
        <w:rPr>
          <w:rFonts w:eastAsia="MS Gothic" w:cstheme="minorHAnsi"/>
          <w:bCs/>
        </w:rPr>
        <w:t xml:space="preserve"> 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231442E"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1BBE664E" w14:textId="43647C80" w:rsidR="0044212B" w:rsidRPr="009A1374" w:rsidRDefault="00454805" w:rsidP="0044212B">
      <w:pPr>
        <w:pStyle w:val="Response"/>
        <w:rPr>
          <w:b/>
        </w:rPr>
      </w:pPr>
      <w:r>
        <w:rPr>
          <w:b/>
        </w:rPr>
        <w:t>Critical Data Element</w:t>
      </w:r>
      <w:r w:rsidR="0044212B" w:rsidRPr="009A1374">
        <w:rPr>
          <w:b/>
        </w:rPr>
        <w:t xml:space="preserve"> Validity</w:t>
      </w:r>
    </w:p>
    <w:p w14:paraId="7267825E" w14:textId="781AD028" w:rsidR="0044212B" w:rsidRPr="00CD5382" w:rsidRDefault="00BD518C" w:rsidP="002B676C">
      <w:pPr>
        <w:pStyle w:val="Response"/>
        <w:numPr>
          <w:ilvl w:val="0"/>
          <w:numId w:val="8"/>
        </w:numPr>
      </w:pPr>
      <w:r w:rsidRPr="00CD5382">
        <w:rPr>
          <w:rFonts w:eastAsiaTheme="minorHAnsi"/>
        </w:rPr>
        <w:t xml:space="preserve">RAND Development and Validation of MDS 3.0: </w:t>
      </w:r>
      <w:r w:rsidR="00C71672" w:rsidRPr="00CD5382">
        <w:rPr>
          <w:rFonts w:eastAsiaTheme="minorHAnsi"/>
        </w:rPr>
        <w:t xml:space="preserve">The RAND validation of MDS 3.0 tested the criterion validity of the items </w:t>
      </w:r>
      <w:r w:rsidR="00DF14C1" w:rsidRPr="00CD5382">
        <w:rPr>
          <w:rFonts w:eastAsiaTheme="minorHAnsi"/>
        </w:rPr>
        <w:t>used to calculate this measure</w:t>
      </w:r>
      <w:r w:rsidR="002F739E" w:rsidRPr="00CD5382">
        <w:rPr>
          <w:rFonts w:eastAsiaTheme="minorHAnsi"/>
        </w:rPr>
        <w:t xml:space="preserve"> and of the items used to calculate the risk adjustment covariate</w:t>
      </w:r>
      <w:r w:rsidR="00DF14C1" w:rsidRPr="00CD5382">
        <w:rPr>
          <w:rFonts w:eastAsiaTheme="minorHAnsi"/>
        </w:rPr>
        <w:t xml:space="preserve"> </w:t>
      </w:r>
      <w:r w:rsidR="00C71672" w:rsidRPr="00CD5382">
        <w:rPr>
          <w:rFonts w:eastAsiaTheme="minorHAnsi"/>
        </w:rPr>
        <w:t>by comparing how different nurses assessed the same residents using MDS 3.0. They compared gold-standard nurses to staff nurses trained by the gold-standard nurses. The Kappa statistic was calculated</w:t>
      </w:r>
      <w:r w:rsidR="00DF14C1" w:rsidRPr="00CD5382">
        <w:rPr>
          <w:rFonts w:eastAsiaTheme="minorHAnsi"/>
        </w:rPr>
        <w:t xml:space="preserve"> (</w:t>
      </w:r>
      <w:r w:rsidR="00106D1F" w:rsidRPr="00CD5382">
        <w:t>Saliba &amp; Buchanan, 2008</w:t>
      </w:r>
      <w:r w:rsidR="00DF14C1" w:rsidRPr="00CD5382">
        <w:rPr>
          <w:rFonts w:eastAsiaTheme="minorHAnsi"/>
        </w:rPr>
        <w:t>)</w:t>
      </w:r>
      <w:r w:rsidR="00C71672" w:rsidRPr="00CD5382">
        <w:rPr>
          <w:rFonts w:eastAsiaTheme="minorHAnsi"/>
        </w:rPr>
        <w:t>.</w:t>
      </w:r>
    </w:p>
    <w:p w14:paraId="2A29FF32" w14:textId="10020DE3" w:rsidR="002F739E" w:rsidRDefault="002F739E" w:rsidP="00A64389">
      <w:pPr>
        <w:pStyle w:val="Response"/>
        <w:ind w:left="720"/>
      </w:pPr>
      <w:r w:rsidRPr="00CD5382">
        <w:t xml:space="preserve">In addition, the RAND validation of the MDS 3.0 tested the correlation between the BIMS and the Modified Mental State Exam (3MS), which </w:t>
      </w:r>
      <w:r w:rsidR="001B37E5" w:rsidRPr="00CD5382">
        <w:t>was used as</w:t>
      </w:r>
      <w:r w:rsidRPr="00CD5382">
        <w:t xml:space="preserve"> the </w:t>
      </w:r>
      <w:r w:rsidR="001B37E5" w:rsidRPr="00CD5382">
        <w:t xml:space="preserve">gold-standard measure of cognitive function.  The 3MS is an expanded version of the Mini Mental State Exam (MMSE), and research demonstrates that the 3MS has greater reliability and validity than the MMSE (Saliba &amp; Buchanan, 2008; Bland &amp; Newman, 2001; Grace, Nadler, White et al, 1995; McDowell, </w:t>
      </w:r>
      <w:proofErr w:type="spellStart"/>
      <w:r w:rsidR="001B37E5" w:rsidRPr="00CD5382">
        <w:t>Kristjansson</w:t>
      </w:r>
      <w:proofErr w:type="spellEnd"/>
      <w:r w:rsidR="001B37E5" w:rsidRPr="00CD5382">
        <w:t>, Hill et al, 1997; Teng &amp; Chui, 1987)</w:t>
      </w:r>
      <w:r w:rsidRPr="00CD5382">
        <w:t>.</w:t>
      </w:r>
      <w:r w:rsidR="001B37E5">
        <w:t xml:space="preserve">  </w:t>
      </w:r>
    </w:p>
    <w:p w14:paraId="39DB7E21" w14:textId="359ED82C" w:rsidR="00CC389F" w:rsidRPr="00A64389" w:rsidRDefault="00603137" w:rsidP="00A64389">
      <w:pPr>
        <w:pStyle w:val="Response"/>
        <w:ind w:left="720"/>
      </w:pPr>
      <w:bookmarkStart w:id="16" w:name="_Hlk511401703"/>
      <w:r>
        <w:t xml:space="preserve">For additional analyses of item-level validity, please refer to Appendix </w:t>
      </w:r>
      <w:r w:rsidR="00CA1A6F">
        <w:t>C</w:t>
      </w:r>
      <w:r>
        <w:t>, which contains analyses submitted to the NQF Scientific Methods Panel on March 30, 2018.</w:t>
      </w:r>
    </w:p>
    <w:bookmarkEnd w:id="16"/>
    <w:p w14:paraId="08014DA8" w14:textId="4F70CC5A" w:rsidR="0044212B" w:rsidRPr="009A1374" w:rsidRDefault="0044212B" w:rsidP="0044212B">
      <w:pPr>
        <w:pStyle w:val="Response"/>
        <w:rPr>
          <w:b/>
        </w:rPr>
      </w:pPr>
      <w:r w:rsidRPr="009A1374">
        <w:rPr>
          <w:b/>
        </w:rPr>
        <w:t>Performance Measure Score</w:t>
      </w:r>
      <w:r w:rsidR="005832A7">
        <w:rPr>
          <w:b/>
        </w:rPr>
        <w:t xml:space="preserve"> Validity</w:t>
      </w:r>
    </w:p>
    <w:p w14:paraId="350CE319" w14:textId="555644C7" w:rsidR="0044212B" w:rsidRPr="009A1374" w:rsidRDefault="00F233D5" w:rsidP="0044212B">
      <w:pPr>
        <w:pStyle w:val="Response"/>
        <w:ind w:left="720" w:hanging="360"/>
      </w:pPr>
      <w:r>
        <w:t>2.a</w:t>
      </w:r>
      <w:r w:rsidR="0044212B" w:rsidRPr="009A1374">
        <w:t>.</w:t>
      </w:r>
      <w:r w:rsidR="0044212B" w:rsidRPr="009A1374">
        <w:tab/>
        <w:t xml:space="preserve"> </w:t>
      </w:r>
      <w:r w:rsidR="004A1A9B">
        <w:t>Correlation with related quality measure</w:t>
      </w:r>
      <w:r w:rsidR="00C708C0" w:rsidRPr="009A1374">
        <w:t xml:space="preserve">s: </w:t>
      </w:r>
      <w:r w:rsidR="003D4E5E" w:rsidRPr="009A1374">
        <w:t>To assess</w:t>
      </w:r>
      <w:r w:rsidR="00683A3D" w:rsidRPr="009A1374">
        <w:t xml:space="preserve"> convergent validity, RTI examined whether a facility’s percentile rank on one quality measure in a measure group was correlated with its percentile rank on another quality measure in the same clinically-related group. Specifically, we examined whether a facility’s percentile rank on this measure (NQF# 0677) was correlated with that facility’s performance on the related short-stay pain </w:t>
      </w:r>
      <w:r w:rsidR="004A1A9B">
        <w:t>quality measure</w:t>
      </w:r>
      <w:r w:rsidR="00683A3D" w:rsidRPr="009A1374">
        <w:t xml:space="preserve"> (NQF</w:t>
      </w:r>
      <w:r w:rsidR="00D9278E">
        <w:t xml:space="preserve"> #</w:t>
      </w:r>
      <w:r w:rsidR="00683A3D" w:rsidRPr="009A1374">
        <w:t>0676)</w:t>
      </w:r>
      <w:r w:rsidR="00683A3D" w:rsidRPr="00CD5382">
        <w:t>.</w:t>
      </w:r>
      <w:r w:rsidR="00EE174D" w:rsidRPr="00CD5382">
        <w:t xml:space="preserve">  We hypothesize that a nursing facility’s percentile rank on NQF #0677 and its percentile rank on NQF #0676 should have a strong and positive correlation.  Although the short stay and long stay populations that a nursing facility serves likely have different levels of resident acuity, a nursing facility’s ability to manage resident pain should not vary substantially across these two populations.</w:t>
      </w:r>
      <w:r w:rsidR="00683A3D" w:rsidRPr="009A1374">
        <w:t xml:space="preserve"> </w:t>
      </w:r>
    </w:p>
    <w:p w14:paraId="07820E77" w14:textId="0B915F64" w:rsidR="00475C5B" w:rsidRPr="00BF341C" w:rsidRDefault="00F233D5" w:rsidP="00475C5B">
      <w:pPr>
        <w:pStyle w:val="Response"/>
        <w:ind w:left="720" w:hanging="360"/>
      </w:pPr>
      <w:r>
        <w:t>2.b</w:t>
      </w:r>
      <w:r w:rsidR="0044212B" w:rsidRPr="009A1374">
        <w:t>.</w:t>
      </w:r>
      <w:r w:rsidR="0044212B" w:rsidRPr="009A1374">
        <w:tab/>
        <w:t xml:space="preserve">Seasonality: </w:t>
      </w:r>
      <w:r w:rsidR="0062484A" w:rsidRPr="009A1374">
        <w:t>Another potentia</w:t>
      </w:r>
      <w:r w:rsidR="004A1A9B">
        <w:t>l threat to the validity of a quality measure is seasonal variation. If a quality measure</w:t>
      </w:r>
      <w:r w:rsidR="0062484A" w:rsidRPr="009A1374">
        <w:t xml:space="preserve"> score varies substantially from quarter</w:t>
      </w:r>
      <w:r w:rsidR="0062484A" w:rsidRPr="002713E6">
        <w:t xml:space="preserve"> to quarter in a consistent pattern over time corresponding to changes in seasons, it is possible that the validity of the measure is being compromised due to influences not wi</w:t>
      </w:r>
      <w:r w:rsidR="0062484A">
        <w:t xml:space="preserve">thin a nursing home’s control. </w:t>
      </w:r>
      <w:r w:rsidR="0062484A" w:rsidRPr="002713E6">
        <w:t xml:space="preserve">To address whether seasonal variation might play a </w:t>
      </w:r>
      <w:r w:rsidR="0062484A" w:rsidRPr="005F1873">
        <w:t>role, we examined the trend in the nati</w:t>
      </w:r>
      <w:r w:rsidR="004A1A9B">
        <w:t>onal mean and median for this quality measure</w:t>
      </w:r>
      <w:r w:rsidR="0062484A" w:rsidRPr="005F1873">
        <w:t xml:space="preserve"> score between </w:t>
      </w:r>
      <w:r w:rsidR="0062484A" w:rsidRPr="00BF341C">
        <w:t>Quarter 1</w:t>
      </w:r>
      <w:r w:rsidR="00D63FD2" w:rsidRPr="00BF341C">
        <w:t>,</w:t>
      </w:r>
      <w:r w:rsidR="0062484A" w:rsidRPr="00BF341C">
        <w:t xml:space="preserve"> 2011 and Quarter </w:t>
      </w:r>
      <w:r w:rsidR="009A720E" w:rsidRPr="00BF341C">
        <w:t>2</w:t>
      </w:r>
      <w:r w:rsidR="00D63FD2" w:rsidRPr="00BF341C">
        <w:t>,</w:t>
      </w:r>
      <w:r w:rsidR="0062484A" w:rsidRPr="00BF341C">
        <w:t xml:space="preserve"> </w:t>
      </w:r>
      <w:r w:rsidR="009A720E" w:rsidRPr="00BF341C">
        <w:t>2017</w:t>
      </w:r>
      <w:r w:rsidR="0062484A" w:rsidRPr="00BF341C">
        <w:t xml:space="preserve">. </w:t>
      </w:r>
    </w:p>
    <w:p w14:paraId="3E0009DD" w14:textId="5696C6CF" w:rsidR="008D5783" w:rsidRDefault="008D5783" w:rsidP="008D5783">
      <w:pPr>
        <w:pStyle w:val="Response"/>
        <w:ind w:left="720" w:hanging="450"/>
      </w:pPr>
      <w:r>
        <w:rPr>
          <w:rFonts w:cstheme="minorBidi"/>
        </w:rPr>
        <w:t>2.c.</w:t>
      </w:r>
      <w:r>
        <w:rPr>
          <w:rFonts w:cstheme="minorBidi"/>
        </w:rPr>
        <w:tab/>
        <w:t>Stability</w:t>
      </w:r>
      <w:r>
        <w:t xml:space="preserve"> analysis: We examined the extent to which relative facility rank changed on this quality measure fr</w:t>
      </w:r>
      <w:r w:rsidRPr="005D3370">
        <w:t>om Quarter 1 to Quarter 2, 2017.</w:t>
      </w:r>
      <w:r>
        <w:t xml:space="preserve"> We did this in two ways: 1)</w:t>
      </w:r>
      <w:r w:rsidRPr="00526D7A">
        <w:t xml:space="preserve"> RTI evaluated the percentage of facilities </w:t>
      </w:r>
      <w:r>
        <w:t>that changed in terms of their standardized quality measure</w:t>
      </w:r>
      <w:r w:rsidRPr="00526D7A">
        <w:t xml:space="preserve"> s</w:t>
      </w:r>
      <w:r w:rsidR="00D309FA">
        <w:t>core by less than 1</w:t>
      </w:r>
      <w:r>
        <w:t xml:space="preserve"> standard deviation, between 1 and 2 standard deviations, between 2 and </w:t>
      </w:r>
      <w:r w:rsidR="00D309FA">
        <w:t>3 standard deviations, and 3</w:t>
      </w:r>
      <w:r>
        <w:t xml:space="preserve"> standard deviations or more from quarter to quarter; 2)</w:t>
      </w:r>
      <w:r w:rsidRPr="00895C86">
        <w:t xml:space="preserve"> </w:t>
      </w:r>
      <w:r w:rsidRPr="00526D7A">
        <w:t>RTI evaluated the percentage of facilities that changed in their percentile ranking (i.e., relative quality measure score) within 1 decile, between 1 and 2 deciles, between 2 and 3 de</w:t>
      </w:r>
      <w:r>
        <w:t>ciles, and 3 or more deciles.  Dramatic changes in the quality measure score or facility rank based on the score over time may indicate measure instability, rather than true changes in quality.</w:t>
      </w:r>
    </w:p>
    <w:p w14:paraId="22874465" w14:textId="2B2E303A" w:rsidR="008D5783" w:rsidRDefault="008D5783" w:rsidP="008D5783">
      <w:pPr>
        <w:pStyle w:val="Response"/>
        <w:ind w:left="720" w:hanging="450"/>
      </w:pPr>
      <w:r>
        <w:t>2.d.</w:t>
      </w:r>
      <w:r>
        <w:tab/>
        <w:t xml:space="preserve">Confidence interval analysis: We examined proportions of facilities with scores for this measure that are significantly different from national facility-level mean, stratified by facility denominator size. A reliable measure should have a high proportion of facilities with scores significantly different than the mean. For this analysis, statistical significance was determined using 95% confidence intervals: a facility’s quality measure score was significantly different from the national mean if the national mean was not included in the facility’s 95% confidence interval. Because this measure is focusing on an undesirable outcome, high-performing facilities should have scores that are significantly below average, and scores of low-performing facilities should be significantly above average. We stratified the analysis by facility </w:t>
      </w:r>
      <w:r w:rsidRPr="005D3370">
        <w:t>denominator size to examine whether this feature of the measure varies by size.</w:t>
      </w:r>
    </w:p>
    <w:p w14:paraId="25FCDFF0" w14:textId="025243C9" w:rsidR="00603137" w:rsidRPr="005D3370" w:rsidRDefault="00603137" w:rsidP="00603137">
      <w:pPr>
        <w:pStyle w:val="Response"/>
        <w:ind w:left="720"/>
      </w:pPr>
      <w:r>
        <w:t>For additional analyses of performance measure score validity, please refer to Appendix</w:t>
      </w:r>
      <w:r w:rsidR="00E27963">
        <w:t xml:space="preserve"> C</w:t>
      </w:r>
      <w:r>
        <w:t>, which contains analyses submitted to the NQF Scientific Methods Panel on March 30, 2018.</w:t>
      </w:r>
    </w:p>
    <w:p w14:paraId="7FA68EFF" w14:textId="716D5B97" w:rsidR="00475C5B" w:rsidRDefault="00475C5B" w:rsidP="00952D3A">
      <w:pPr>
        <w:pStyle w:val="Response"/>
        <w:ind w:left="720" w:hanging="360"/>
        <w:rPr>
          <w:sz w:val="20"/>
          <w:szCs w:val="20"/>
        </w:rPr>
      </w:pPr>
      <w:r w:rsidRPr="00106D1F">
        <w:rPr>
          <w:sz w:val="20"/>
          <w:szCs w:val="20"/>
        </w:rPr>
        <w:t>Saliba, D., &amp; Buchanan, J. (2008, April).</w:t>
      </w:r>
      <w:r w:rsidRPr="00106D1F">
        <w:rPr>
          <w:i/>
          <w:sz w:val="20"/>
          <w:szCs w:val="20"/>
        </w:rPr>
        <w:t xml:space="preserve"> Development and validation of a revised nursing home assessment tool: MDS 3.0</w:t>
      </w:r>
      <w:r w:rsidRPr="00106D1F">
        <w:rPr>
          <w:sz w:val="20"/>
          <w:szCs w:val="20"/>
        </w:rPr>
        <w:t xml:space="preserve">. Contract No. 500-00-0027/Task Order #2. Santa Monica, CA: Rand Corporation. Retrieved from </w:t>
      </w:r>
      <w:hyperlink r:id="rId19" w:history="1">
        <w:r w:rsidRPr="00106D1F">
          <w:rPr>
            <w:rStyle w:val="Hyperlink"/>
            <w:sz w:val="20"/>
            <w:szCs w:val="20"/>
          </w:rPr>
          <w:t>http://www.cms.hhs.gov/NursingHomeQualityInits/Downloads/MDS30FinalReport.pdf</w:t>
        </w:r>
      </w:hyperlink>
      <w:r w:rsidRPr="00106D1F">
        <w:rPr>
          <w:sz w:val="20"/>
          <w:szCs w:val="20"/>
        </w:rPr>
        <w:t>.</w:t>
      </w:r>
    </w:p>
    <w:p w14:paraId="0B5FB382" w14:textId="291E4F20" w:rsidR="001B37E5" w:rsidRPr="00A64389" w:rsidRDefault="001B37E5" w:rsidP="00952D3A">
      <w:pPr>
        <w:pStyle w:val="Response"/>
        <w:ind w:left="720" w:hanging="360"/>
        <w:rPr>
          <w:sz w:val="20"/>
          <w:szCs w:val="20"/>
        </w:rPr>
      </w:pPr>
      <w:r>
        <w:rPr>
          <w:sz w:val="20"/>
          <w:szCs w:val="20"/>
        </w:rPr>
        <w:t xml:space="preserve">Bland, R. &amp; Newman, S.  Mild dementia or cognitive impairment: the modified mini-mental state examination (3MS) as a screen for dementia.  </w:t>
      </w:r>
      <w:r>
        <w:rPr>
          <w:i/>
          <w:sz w:val="20"/>
          <w:szCs w:val="20"/>
        </w:rPr>
        <w:t>Can J Psychiatry 46</w:t>
      </w:r>
      <w:r w:rsidR="00B04728">
        <w:rPr>
          <w:sz w:val="20"/>
          <w:szCs w:val="20"/>
        </w:rPr>
        <w:t xml:space="preserve">, 506-510.  2001.  </w:t>
      </w:r>
    </w:p>
    <w:p w14:paraId="74912516" w14:textId="5299E9C4" w:rsidR="001B37E5" w:rsidRPr="00B04728" w:rsidRDefault="001B37E5" w:rsidP="00952D3A">
      <w:pPr>
        <w:pStyle w:val="Response"/>
        <w:ind w:left="720" w:hanging="360"/>
        <w:rPr>
          <w:sz w:val="20"/>
          <w:szCs w:val="20"/>
        </w:rPr>
      </w:pPr>
      <w:r>
        <w:rPr>
          <w:sz w:val="20"/>
          <w:szCs w:val="20"/>
        </w:rPr>
        <w:t>Grace</w:t>
      </w:r>
      <w:r w:rsidR="00B04728">
        <w:rPr>
          <w:sz w:val="20"/>
          <w:szCs w:val="20"/>
        </w:rPr>
        <w:t xml:space="preserve">, J., Nadler, J., White, D., et al.  </w:t>
      </w:r>
      <w:proofErr w:type="spellStart"/>
      <w:r w:rsidR="00B04728">
        <w:rPr>
          <w:sz w:val="20"/>
          <w:szCs w:val="20"/>
        </w:rPr>
        <w:t>Folstein</w:t>
      </w:r>
      <w:proofErr w:type="spellEnd"/>
      <w:r w:rsidR="00B04728">
        <w:rPr>
          <w:sz w:val="20"/>
          <w:szCs w:val="20"/>
        </w:rPr>
        <w:t xml:space="preserve"> vs modified mini-mental state examination in geriatric stroke, stability, validity, and screening utility.  </w:t>
      </w:r>
      <w:r w:rsidR="00B04728">
        <w:rPr>
          <w:i/>
          <w:sz w:val="20"/>
          <w:szCs w:val="20"/>
        </w:rPr>
        <w:t>Archives of Neurology 52</w:t>
      </w:r>
      <w:r w:rsidR="00B04728">
        <w:rPr>
          <w:sz w:val="20"/>
          <w:szCs w:val="20"/>
        </w:rPr>
        <w:t xml:space="preserve">, 477-484.  1995.  </w:t>
      </w:r>
    </w:p>
    <w:p w14:paraId="607EB8FA" w14:textId="63019091" w:rsidR="001B37E5" w:rsidRPr="00B04728" w:rsidRDefault="001B37E5" w:rsidP="00952D3A">
      <w:pPr>
        <w:pStyle w:val="Response"/>
        <w:ind w:left="720" w:hanging="360"/>
        <w:rPr>
          <w:sz w:val="20"/>
          <w:szCs w:val="20"/>
        </w:rPr>
      </w:pPr>
      <w:r>
        <w:rPr>
          <w:sz w:val="20"/>
          <w:szCs w:val="20"/>
        </w:rPr>
        <w:t>McDowell</w:t>
      </w:r>
      <w:r w:rsidR="00B04728">
        <w:rPr>
          <w:sz w:val="20"/>
          <w:szCs w:val="20"/>
        </w:rPr>
        <w:t xml:space="preserve">, I., </w:t>
      </w:r>
      <w:proofErr w:type="spellStart"/>
      <w:r w:rsidR="00B04728">
        <w:rPr>
          <w:sz w:val="20"/>
          <w:szCs w:val="20"/>
        </w:rPr>
        <w:t>Kristjansson</w:t>
      </w:r>
      <w:proofErr w:type="spellEnd"/>
      <w:r w:rsidR="00B04728">
        <w:rPr>
          <w:sz w:val="20"/>
          <w:szCs w:val="20"/>
        </w:rPr>
        <w:t xml:space="preserve">, B., Hill, G., et al.  Community screening for dementia: the mini mental state exam (MMSE) and modified mini-mental state exam (3MS) compared.  </w:t>
      </w:r>
      <w:r w:rsidR="00B04728">
        <w:rPr>
          <w:i/>
          <w:sz w:val="20"/>
          <w:szCs w:val="20"/>
        </w:rPr>
        <w:t xml:space="preserve">J </w:t>
      </w:r>
      <w:proofErr w:type="spellStart"/>
      <w:r w:rsidR="00B04728">
        <w:rPr>
          <w:i/>
          <w:sz w:val="20"/>
          <w:szCs w:val="20"/>
        </w:rPr>
        <w:t>Clin</w:t>
      </w:r>
      <w:proofErr w:type="spellEnd"/>
      <w:r w:rsidR="00B04728">
        <w:rPr>
          <w:i/>
          <w:sz w:val="20"/>
          <w:szCs w:val="20"/>
        </w:rPr>
        <w:t xml:space="preserve"> Epidemiol 50, </w:t>
      </w:r>
      <w:r w:rsidR="00B04728">
        <w:rPr>
          <w:sz w:val="20"/>
          <w:szCs w:val="20"/>
        </w:rPr>
        <w:t>377-383.  1997.</w:t>
      </w:r>
    </w:p>
    <w:p w14:paraId="70BE3DB6" w14:textId="39EB39B3" w:rsidR="001B37E5" w:rsidRPr="00B04728" w:rsidRDefault="001B37E5" w:rsidP="00952D3A">
      <w:pPr>
        <w:pStyle w:val="Response"/>
        <w:ind w:left="720" w:hanging="360"/>
        <w:rPr>
          <w:sz w:val="20"/>
          <w:szCs w:val="20"/>
        </w:rPr>
      </w:pPr>
      <w:r>
        <w:rPr>
          <w:sz w:val="20"/>
          <w:szCs w:val="20"/>
        </w:rPr>
        <w:t>Teng</w:t>
      </w:r>
      <w:r w:rsidR="00B04728">
        <w:rPr>
          <w:sz w:val="20"/>
          <w:szCs w:val="20"/>
        </w:rPr>
        <w:t xml:space="preserve">, E., &amp; Chui, H.  The modified mini-mental state (3MS) examination.  </w:t>
      </w:r>
      <w:r w:rsidR="00B04728">
        <w:rPr>
          <w:i/>
          <w:sz w:val="20"/>
          <w:szCs w:val="20"/>
        </w:rPr>
        <w:t xml:space="preserve">J </w:t>
      </w:r>
      <w:proofErr w:type="spellStart"/>
      <w:r w:rsidR="00B04728">
        <w:rPr>
          <w:i/>
          <w:sz w:val="20"/>
          <w:szCs w:val="20"/>
        </w:rPr>
        <w:t>Clin</w:t>
      </w:r>
      <w:proofErr w:type="spellEnd"/>
      <w:r w:rsidR="00B04728">
        <w:rPr>
          <w:i/>
          <w:sz w:val="20"/>
          <w:szCs w:val="20"/>
        </w:rPr>
        <w:t xml:space="preserve"> </w:t>
      </w:r>
      <w:r w:rsidR="00CD017B">
        <w:rPr>
          <w:i/>
          <w:sz w:val="20"/>
          <w:szCs w:val="20"/>
        </w:rPr>
        <w:t>Psychiatry</w:t>
      </w:r>
      <w:r w:rsidR="00B04728">
        <w:rPr>
          <w:i/>
          <w:sz w:val="20"/>
          <w:szCs w:val="20"/>
        </w:rPr>
        <w:t xml:space="preserve"> 48</w:t>
      </w:r>
      <w:r w:rsidR="00B04728">
        <w:rPr>
          <w:sz w:val="20"/>
          <w:szCs w:val="20"/>
        </w:rPr>
        <w:t xml:space="preserve">, 314-318.  1987.  </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0CABCFDE" w14:textId="441E4A81"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2E1A4F8C" w14:textId="78068EF0" w:rsidR="00683A3D" w:rsidRPr="00956C0E" w:rsidRDefault="00454805" w:rsidP="00683A3D">
      <w:pPr>
        <w:pStyle w:val="Response"/>
        <w:rPr>
          <w:b/>
        </w:rPr>
      </w:pPr>
      <w:r>
        <w:rPr>
          <w:b/>
        </w:rPr>
        <w:t>Critical Data Element</w:t>
      </w:r>
      <w:r w:rsidR="00683A3D" w:rsidRPr="00956C0E">
        <w:rPr>
          <w:b/>
        </w:rPr>
        <w:t xml:space="preserve"> Validity</w:t>
      </w:r>
    </w:p>
    <w:p w14:paraId="7633384E" w14:textId="76EB10D8" w:rsidR="002F739E" w:rsidRPr="00CD5382" w:rsidRDefault="00683A3D" w:rsidP="002B676C">
      <w:pPr>
        <w:pStyle w:val="Response"/>
        <w:numPr>
          <w:ilvl w:val="0"/>
          <w:numId w:val="9"/>
        </w:numPr>
      </w:pPr>
      <w:r w:rsidRPr="00CD5382">
        <w:rPr>
          <w:rFonts w:eastAsiaTheme="minorHAnsi"/>
        </w:rPr>
        <w:t>The RAND national pilot test of the MDS 3.0 items co</w:t>
      </w:r>
      <w:r w:rsidR="00011D11" w:rsidRPr="00CD5382">
        <w:rPr>
          <w:rFonts w:eastAsiaTheme="minorHAnsi"/>
        </w:rPr>
        <w:t xml:space="preserve">nducted by Saliba and Buchanan indicated that the pain items </w:t>
      </w:r>
      <w:r w:rsidR="001B37E5" w:rsidRPr="00CD5382">
        <w:rPr>
          <w:rFonts w:eastAsiaTheme="minorHAnsi"/>
        </w:rPr>
        <w:t xml:space="preserve">and the cognition items </w:t>
      </w:r>
      <w:r w:rsidR="00011D11" w:rsidRPr="00CD5382">
        <w:rPr>
          <w:rFonts w:eastAsiaTheme="minorHAnsi"/>
        </w:rPr>
        <w:t>are reliable and valid</w:t>
      </w:r>
      <w:r w:rsidR="00011D11" w:rsidRPr="00CD5382">
        <w:t xml:space="preserve">. For the pain items, the average kappa for gold-standard nurse to gold-standard nurse agreement was </w:t>
      </w:r>
      <w:r w:rsidR="001F5FC8" w:rsidRPr="00CD5382">
        <w:t>0</w:t>
      </w:r>
      <w:r w:rsidR="00011D11" w:rsidRPr="00CD5382">
        <w:t xml:space="preserve">.961, and the average kappa for gold-standard nurse to facility nurse agreement was </w:t>
      </w:r>
      <w:r w:rsidR="001F5FC8" w:rsidRPr="00CD5382">
        <w:t>0</w:t>
      </w:r>
      <w:r w:rsidR="00011D11" w:rsidRPr="00CD5382">
        <w:t>.967, both well above the value of 0.</w:t>
      </w:r>
      <w:r w:rsidR="009415E3" w:rsidRPr="00CD5382">
        <w:t>6</w:t>
      </w:r>
      <w:r w:rsidR="00011D11" w:rsidRPr="00CD5382">
        <w:t>0, which is generally considered substantial agreement.</w:t>
      </w:r>
      <w:r w:rsidR="002F739E" w:rsidRPr="00CD5382">
        <w:t xml:space="preserve">  For the cognition items, the average kappa for gold-standard nurse to gold-standard nurse agreement was 0.977, and the average kappa for gold-standard nurse to facility nurse agreement was 0.973, demonstrating very strong agreement between assessors on these items.</w:t>
      </w:r>
    </w:p>
    <w:p w14:paraId="2801BA2C" w14:textId="214D7799" w:rsidR="002F739E" w:rsidRPr="00A64389" w:rsidRDefault="001B37E5" w:rsidP="00A64389">
      <w:pPr>
        <w:pStyle w:val="Response"/>
        <w:ind w:left="720"/>
      </w:pPr>
      <w:r w:rsidRPr="00CD5382">
        <w:t>The correlation between the BIMS and the 3MS was very strong (</w:t>
      </w:r>
      <m:oMath>
        <m:r>
          <w:rPr>
            <w:rFonts w:ascii="Cambria Math" w:hAnsi="Cambria Math"/>
          </w:rPr>
          <m:t>ρ</m:t>
        </m:r>
      </m:oMath>
      <w:r w:rsidRPr="00CD5382">
        <w:t xml:space="preserve"> = 0.906) and statistically significant (p &lt; 0.001)</w:t>
      </w:r>
      <w:r w:rsidR="00B04728" w:rsidRPr="00CD5382">
        <w:t>.</w:t>
      </w:r>
      <w:r w:rsidR="00B04728">
        <w:t xml:space="preserve">  </w:t>
      </w:r>
    </w:p>
    <w:p w14:paraId="0C3DCBB2" w14:textId="046185A7" w:rsidR="00683A3D" w:rsidRPr="00956C0E" w:rsidRDefault="00683A3D" w:rsidP="00683A3D">
      <w:pPr>
        <w:pStyle w:val="Response"/>
        <w:rPr>
          <w:b/>
        </w:rPr>
      </w:pPr>
      <w:r w:rsidRPr="00956C0E">
        <w:rPr>
          <w:b/>
        </w:rPr>
        <w:t>Performance Measure Score</w:t>
      </w:r>
      <w:r w:rsidR="005832A7">
        <w:rPr>
          <w:b/>
        </w:rPr>
        <w:t xml:space="preserve"> Validity</w:t>
      </w:r>
    </w:p>
    <w:p w14:paraId="39BC1207" w14:textId="4D8972B2" w:rsidR="00683A3D" w:rsidRDefault="00F233D5" w:rsidP="00683A3D">
      <w:pPr>
        <w:pStyle w:val="Response"/>
        <w:ind w:left="720" w:hanging="360"/>
      </w:pPr>
      <w:r>
        <w:t>2.a</w:t>
      </w:r>
      <w:r w:rsidR="004A1A9B">
        <w:t>.</w:t>
      </w:r>
      <w:r w:rsidR="004A1A9B">
        <w:tab/>
        <w:t xml:space="preserve"> Correlation with related quality measure</w:t>
      </w:r>
      <w:r w:rsidR="00683A3D">
        <w:t xml:space="preserve">s: </w:t>
      </w:r>
      <w:r w:rsidR="00683A3D" w:rsidRPr="00683A3D">
        <w:t>Among facilities who could report both</w:t>
      </w:r>
      <w:r w:rsidR="00811D36">
        <w:t xml:space="preserve"> </w:t>
      </w:r>
      <w:r w:rsidR="00683A3D" w:rsidRPr="00683A3D">
        <w:t xml:space="preserve">measures, RTI calculated the correlation between the facility’s percentile rank on NQF #0676 (Percent of </w:t>
      </w:r>
      <w:r w:rsidR="00683A3D" w:rsidRPr="00E2503B">
        <w:t>Residents Who Self-Report Moderate to Severe Pain (</w:t>
      </w:r>
      <w:r w:rsidR="00811D36">
        <w:t>Short S</w:t>
      </w:r>
      <w:r w:rsidR="00683A3D" w:rsidRPr="00E2503B">
        <w:t>tay)) and the facility’s percentile rank on NQF #0677 (Percent of Residents Who Self-R</w:t>
      </w:r>
      <w:r w:rsidR="00811D36">
        <w:t>eport Moderate to Severe Pain (Long S</w:t>
      </w:r>
      <w:r w:rsidR="00683A3D" w:rsidRPr="00E2503B">
        <w:t>tay)) and found a strong (</w:t>
      </w:r>
      <m:oMath>
        <m:r>
          <w:rPr>
            <w:rFonts w:ascii="Cambria Math" w:hAnsi="Cambria Math"/>
          </w:rPr>
          <m:t>ρ</m:t>
        </m:r>
      </m:oMath>
      <w:r w:rsidR="00683A3D" w:rsidRPr="007E7668">
        <w:t xml:space="preserve"> = 0.65</w:t>
      </w:r>
      <w:r w:rsidR="00A5671D">
        <w:t>5</w:t>
      </w:r>
      <w:r w:rsidR="002D27EC">
        <w:t>)</w:t>
      </w:r>
      <w:r w:rsidR="00600E77" w:rsidRPr="00E2503B">
        <w:t xml:space="preserve"> </w:t>
      </w:r>
      <w:r w:rsidR="00683A3D" w:rsidRPr="00E2503B">
        <w:t>and statistically significant (</w:t>
      </w:r>
      <w:r w:rsidR="00BF341C" w:rsidRPr="007E7668">
        <w:t>p &lt; 0.0</w:t>
      </w:r>
      <w:r w:rsidR="00EF7257" w:rsidRPr="007E7668">
        <w:t>0</w:t>
      </w:r>
      <w:r w:rsidR="00683A3D" w:rsidRPr="007E7668">
        <w:t>1</w:t>
      </w:r>
      <w:r w:rsidR="00683A3D" w:rsidRPr="00E2503B">
        <w:t xml:space="preserve">) </w:t>
      </w:r>
      <w:r w:rsidR="00600E77" w:rsidRPr="005D7DCC">
        <w:t xml:space="preserve">direct </w:t>
      </w:r>
      <w:r w:rsidR="00683A3D" w:rsidRPr="005D7DCC">
        <w:t>correlation.</w:t>
      </w:r>
      <w:r w:rsidR="00683A3D" w:rsidRPr="00683A3D">
        <w:t xml:space="preserve">   </w:t>
      </w:r>
    </w:p>
    <w:p w14:paraId="28DB75B9" w14:textId="064009EF" w:rsidR="00A5671D" w:rsidRPr="00A146C2" w:rsidRDefault="00A5671D" w:rsidP="00683A3D">
      <w:pPr>
        <w:pStyle w:val="Response"/>
        <w:ind w:left="720" w:hanging="360"/>
      </w:pPr>
      <w:bookmarkStart w:id="17" w:name="_Hlk510866152"/>
      <w:r w:rsidRPr="002A23FE">
        <w:rPr>
          <w:bCs w:val="0"/>
          <w:sz w:val="20"/>
          <w:szCs w:val="20"/>
        </w:rPr>
        <w:t>SOURCE: RTI analysis of Q2 2017 MDS 3.</w:t>
      </w:r>
      <w:r w:rsidRPr="00F65D2B">
        <w:rPr>
          <w:bCs w:val="0"/>
          <w:sz w:val="20"/>
          <w:szCs w:val="20"/>
        </w:rPr>
        <w:t xml:space="preserve">0 data (programming reference: </w:t>
      </w:r>
      <w:r>
        <w:rPr>
          <w:bCs w:val="0"/>
          <w:sz w:val="20"/>
          <w:szCs w:val="20"/>
        </w:rPr>
        <w:t>rn06\ac359_request</w:t>
      </w:r>
      <w:r w:rsidRPr="002A23FE">
        <w:rPr>
          <w:bCs w:val="0"/>
          <w:sz w:val="20"/>
          <w:szCs w:val="20"/>
        </w:rPr>
        <w:t xml:space="preserve"> </w:t>
      </w:r>
      <w:r>
        <w:rPr>
          <w:bCs w:val="0"/>
          <w:sz w:val="20"/>
          <w:szCs w:val="20"/>
        </w:rPr>
        <w:t>q2627_</w:t>
      </w:r>
      <w:r w:rsidRPr="002A23FE">
        <w:rPr>
          <w:bCs w:val="0"/>
          <w:sz w:val="20"/>
          <w:szCs w:val="20"/>
        </w:rPr>
        <w:t>677.log)</w:t>
      </w:r>
      <w:bookmarkEnd w:id="17"/>
    </w:p>
    <w:p w14:paraId="7F0C7061" w14:textId="444C97AB" w:rsidR="00683A3D" w:rsidRDefault="00F233D5" w:rsidP="00683A3D">
      <w:pPr>
        <w:pStyle w:val="Response"/>
        <w:ind w:left="720" w:hanging="360"/>
      </w:pPr>
      <w:r>
        <w:t>2.b</w:t>
      </w:r>
      <w:r w:rsidR="00683A3D">
        <w:t>.</w:t>
      </w:r>
      <w:r w:rsidR="00683A3D">
        <w:tab/>
        <w:t xml:space="preserve">Seasonality: </w:t>
      </w:r>
      <w:r w:rsidR="00600847" w:rsidRPr="000B2255">
        <w:t>RTI examined the national-level mean and</w:t>
      </w:r>
      <w:r w:rsidR="004A1A9B">
        <w:t xml:space="preserve"> median quality measure</w:t>
      </w:r>
      <w:r w:rsidR="00600847" w:rsidRPr="000B2255">
        <w:t xml:space="preserve"> scores for each quarter from </w:t>
      </w:r>
      <w:r w:rsidR="00600847" w:rsidRPr="00BF341C">
        <w:t>Quarter 1, 2011</w:t>
      </w:r>
      <w:r w:rsidR="005E7983" w:rsidRPr="00BF341C">
        <w:t>,</w:t>
      </w:r>
      <w:r w:rsidR="00600847" w:rsidRPr="00BF341C">
        <w:t xml:space="preserve"> to </w:t>
      </w:r>
      <w:r w:rsidR="00636400">
        <w:t>Quarter 2, 2017</w:t>
      </w:r>
      <w:r w:rsidR="00600847">
        <w:t xml:space="preserve">. </w:t>
      </w:r>
      <w:r w:rsidR="00600847" w:rsidRPr="00952D3A">
        <w:t xml:space="preserve">The results are presented in </w:t>
      </w:r>
      <w:r w:rsidR="00600847" w:rsidRPr="00952D3A">
        <w:rPr>
          <w:b/>
          <w:i/>
        </w:rPr>
        <w:t xml:space="preserve">Figure </w:t>
      </w:r>
      <w:r w:rsidR="00301933">
        <w:rPr>
          <w:b/>
          <w:i/>
        </w:rPr>
        <w:t>1</w:t>
      </w:r>
      <w:r w:rsidR="00600847" w:rsidRPr="00952D3A">
        <w:t>.</w:t>
      </w:r>
      <w:r w:rsidR="00600847">
        <w:rPr>
          <w:rFonts w:ascii="TimesNewRomanPSMT" w:hAnsi="TimesNewRomanPSMT" w:cs="TimesNewRomanPSMT"/>
        </w:rPr>
        <w:t xml:space="preserve"> </w:t>
      </w:r>
      <w:r w:rsidR="00600847" w:rsidRPr="006E675F">
        <w:t>The national-level mean</w:t>
      </w:r>
      <w:r w:rsidR="00600847">
        <w:t>s</w:t>
      </w:r>
      <w:r w:rsidR="00600847" w:rsidRPr="006E675F">
        <w:t xml:space="preserve"> </w:t>
      </w:r>
      <w:r w:rsidR="00600847">
        <w:t xml:space="preserve">and medians have both decreased almost monotonically </w:t>
      </w:r>
      <w:r w:rsidR="00600847" w:rsidRPr="00E2503B">
        <w:t xml:space="preserve">since </w:t>
      </w:r>
      <w:r w:rsidR="00600847" w:rsidRPr="007E7668">
        <w:t xml:space="preserve">Quarter </w:t>
      </w:r>
      <w:r w:rsidR="00636400" w:rsidRPr="007E7668">
        <w:t>1</w:t>
      </w:r>
      <w:r w:rsidR="00600847" w:rsidRPr="007E7668">
        <w:t xml:space="preserve"> of 2011</w:t>
      </w:r>
      <w:r w:rsidR="00600847">
        <w:t xml:space="preserve">. These results show no evidence of seasonal variation. Further, this also indicates that facilities may have improved </w:t>
      </w:r>
      <w:r w:rsidR="00F07565">
        <w:t>in</w:t>
      </w:r>
      <w:r w:rsidR="00600847">
        <w:t xml:space="preserve"> pain management over this </w:t>
      </w:r>
      <w:r w:rsidR="00F07565">
        <w:t>period</w:t>
      </w:r>
      <w:r w:rsidR="00600847">
        <w:t>.</w:t>
      </w:r>
    </w:p>
    <w:p w14:paraId="591D0C21" w14:textId="77777777" w:rsidR="00683A3D" w:rsidRDefault="00683A3D" w:rsidP="00092566">
      <w:pPr>
        <w:autoSpaceDE w:val="0"/>
        <w:autoSpaceDN w:val="0"/>
        <w:adjustRightInd w:val="0"/>
        <w:spacing w:after="0" w:line="240" w:lineRule="auto"/>
        <w:rPr>
          <w:rFonts w:cstheme="minorHAnsi"/>
          <w:bCs/>
        </w:rPr>
      </w:pPr>
    </w:p>
    <w:p w14:paraId="401A0D47" w14:textId="35135751" w:rsidR="00590AC5" w:rsidRDefault="00590AC5" w:rsidP="00003004">
      <w:pPr>
        <w:pStyle w:val="FigureTitle"/>
      </w:pPr>
      <w:bookmarkStart w:id="18" w:name="_Toc335304092"/>
      <w:bookmarkStart w:id="19" w:name="_Toc338830466"/>
      <w:bookmarkStart w:id="20" w:name="_Toc306986654"/>
      <w:r w:rsidRPr="00207CD8">
        <w:t xml:space="preserve">Figure </w:t>
      </w:r>
      <w:r w:rsidR="00301933">
        <w:t>1</w:t>
      </w:r>
      <w:r w:rsidRPr="00207CD8">
        <w:br/>
      </w:r>
      <w:r w:rsidR="004650BE">
        <w:t>Seasonal (Quarterly) Variation,</w:t>
      </w:r>
      <w:r w:rsidRPr="00CB0D4F">
        <w:t xml:space="preserve"> </w:t>
      </w:r>
      <w:r w:rsidR="004A1A9B">
        <w:t>NQF</w:t>
      </w:r>
      <w:r w:rsidRPr="00CB0D4F">
        <w:t xml:space="preserve"> #0677 Percent of Reside</w:t>
      </w:r>
      <w:r w:rsidRPr="00475C5B">
        <w:t>nts Who Self-Report Moderate to Severe Pain (Long Stay)</w:t>
      </w:r>
      <w:bookmarkEnd w:id="18"/>
      <w:bookmarkEnd w:id="19"/>
    </w:p>
    <w:bookmarkEnd w:id="20"/>
    <w:p w14:paraId="427C380E" w14:textId="592B4A2E" w:rsidR="00590AC5" w:rsidRDefault="00AE6B12" w:rsidP="00CB0D4F">
      <w:pPr>
        <w:pStyle w:val="Response"/>
        <w:keepNext/>
        <w:jc w:val="center"/>
      </w:pPr>
      <w:r>
        <w:rPr>
          <w:noProof/>
        </w:rPr>
        <w:drawing>
          <wp:inline distT="0" distB="0" distL="0" distR="0" wp14:anchorId="6CC99C20" wp14:editId="522DCE20">
            <wp:extent cx="6353299" cy="3200400"/>
            <wp:effectExtent l="0" t="0" r="9525"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FF916DA" w14:textId="3B4EBCA2" w:rsidR="006D52C8" w:rsidRPr="009878F2" w:rsidRDefault="00590AC5" w:rsidP="00590AC5">
      <w:pPr>
        <w:pStyle w:val="Response"/>
        <w:rPr>
          <w:sz w:val="20"/>
          <w:szCs w:val="20"/>
        </w:rPr>
      </w:pPr>
      <w:r w:rsidRPr="009878F2">
        <w:rPr>
          <w:sz w:val="20"/>
          <w:szCs w:val="20"/>
        </w:rPr>
        <w:t xml:space="preserve">SOURCE: RTI analysis of MDS </w:t>
      </w:r>
      <w:proofErr w:type="gramStart"/>
      <w:r w:rsidRPr="009878F2">
        <w:rPr>
          <w:sz w:val="20"/>
          <w:szCs w:val="20"/>
        </w:rPr>
        <w:t>3.0 episode</w:t>
      </w:r>
      <w:proofErr w:type="gramEnd"/>
      <w:r w:rsidRPr="009878F2">
        <w:rPr>
          <w:sz w:val="20"/>
          <w:szCs w:val="20"/>
        </w:rPr>
        <w:t xml:space="preserve"> fil</w:t>
      </w:r>
      <w:r w:rsidR="00792DA9" w:rsidRPr="009878F2">
        <w:rPr>
          <w:sz w:val="20"/>
          <w:szCs w:val="20"/>
        </w:rPr>
        <w:t>es for Quarter 1, 2011–Quarter 2, 2017</w:t>
      </w:r>
      <w:r w:rsidRPr="009878F2">
        <w:rPr>
          <w:sz w:val="20"/>
          <w:szCs w:val="20"/>
        </w:rPr>
        <w:t xml:space="preserve"> </w:t>
      </w:r>
    </w:p>
    <w:p w14:paraId="07A6892E" w14:textId="2E86BE1D" w:rsidR="004C215A" w:rsidRPr="00092566" w:rsidRDefault="004C215A" w:rsidP="00092566">
      <w:pPr>
        <w:autoSpaceDE w:val="0"/>
        <w:autoSpaceDN w:val="0"/>
        <w:adjustRightInd w:val="0"/>
        <w:spacing w:after="0" w:line="240" w:lineRule="auto"/>
        <w:rPr>
          <w:rFonts w:cstheme="minorHAnsi"/>
          <w:bCs/>
        </w:rPr>
      </w:pPr>
    </w:p>
    <w:p w14:paraId="36ED80C6" w14:textId="242670A8" w:rsidR="008D5783" w:rsidRDefault="008D5783" w:rsidP="008D5783">
      <w:pPr>
        <w:pStyle w:val="Response"/>
        <w:ind w:left="720" w:hanging="720"/>
      </w:pPr>
      <w:r>
        <w:rPr>
          <w:rFonts w:cstheme="minorBidi"/>
        </w:rPr>
        <w:t>2.c.</w:t>
      </w:r>
      <w:r>
        <w:rPr>
          <w:rFonts w:cstheme="minorBidi"/>
        </w:rPr>
        <w:tab/>
        <w:t>Stability</w:t>
      </w:r>
      <w:r>
        <w:t xml:space="preserve"> analysis: </w:t>
      </w:r>
      <w:r w:rsidR="00301933">
        <w:rPr>
          <w:b/>
          <w:i/>
        </w:rPr>
        <w:t>Figure 2</w:t>
      </w:r>
      <w:r w:rsidRPr="00207CD8">
        <w:t xml:space="preserve"> illustrates </w:t>
      </w:r>
      <w:r>
        <w:t>the changes in facility</w:t>
      </w:r>
      <w:r w:rsidRPr="00207CD8">
        <w:t xml:space="preserve"> rank </w:t>
      </w:r>
      <w:r>
        <w:t xml:space="preserve">by quality measure score </w:t>
      </w:r>
      <w:r w:rsidRPr="007E7668">
        <w:t>from Quarter 1, 2017, to Quarter 2, 2017. The majority (</w:t>
      </w:r>
      <w:r w:rsidR="00A5671D">
        <w:t>60.1</w:t>
      </w:r>
      <w:r w:rsidRPr="007E7668">
        <w:t xml:space="preserve">%) of facilities ranked within </w:t>
      </w:r>
      <w:r>
        <w:t xml:space="preserve">the </w:t>
      </w:r>
      <w:r w:rsidRPr="007E7668">
        <w:t>same decile in both quarters. Shifts of more than 3</w:t>
      </w:r>
      <w:r w:rsidRPr="00393F4C">
        <w:t xml:space="preserve"> deciles were much less common, occurring for approximately </w:t>
      </w:r>
      <w:r>
        <w:t>1</w:t>
      </w:r>
      <w:r w:rsidR="00A5671D">
        <w:t>1</w:t>
      </w:r>
      <w:r>
        <w:t>%</w:t>
      </w:r>
      <w:r w:rsidRPr="00393F4C">
        <w:t xml:space="preserve"> of facilities.</w:t>
      </w:r>
      <w:r w:rsidRPr="00207CD8">
        <w:t xml:space="preserve"> </w:t>
      </w:r>
      <w:r w:rsidR="00301933">
        <w:rPr>
          <w:b/>
          <w:i/>
        </w:rPr>
        <w:t>Figure 3</w:t>
      </w:r>
      <w:r w:rsidRPr="00207CD8">
        <w:t xml:space="preserve"> illustrates change in facility-level scores relative to the overall distribution of scores. Standardized scores for this measure showed similar stability: </w:t>
      </w:r>
      <w:r>
        <w:t xml:space="preserve">77.2% </w:t>
      </w:r>
      <w:r w:rsidRPr="00207CD8">
        <w:t>of facilities saw their scores change by less than one standard deviation (</w:t>
      </w:r>
      <w:r>
        <w:t xml:space="preserve">i.e., </w:t>
      </w:r>
      <w:r w:rsidRPr="00207CD8">
        <w:t xml:space="preserve">the </w:t>
      </w:r>
      <w:r w:rsidRPr="002A23FE">
        <w:rPr>
          <w:i/>
        </w:rPr>
        <w:t>z</w:t>
      </w:r>
      <w:r w:rsidRPr="00207CD8">
        <w:t xml:space="preserve">-score changed by one or less), and </w:t>
      </w:r>
      <w:r>
        <w:t>only 1.</w:t>
      </w:r>
      <w:r w:rsidR="00A5671D">
        <w:t>6</w:t>
      </w:r>
      <w:r>
        <w:t>%</w:t>
      </w:r>
      <w:r w:rsidRPr="00207CD8">
        <w:t xml:space="preserve"> of facilities had score changes of more than three standard deviations from one quarter to the next.</w:t>
      </w:r>
      <w:r>
        <w:t xml:space="preserve"> Thus, both facility scores and relative ranks for this measure are stable from one quarter to the next.</w:t>
      </w:r>
    </w:p>
    <w:p w14:paraId="17E1D735" w14:textId="77777777" w:rsidR="00A5671D" w:rsidRPr="002A23FE" w:rsidRDefault="00A5671D" w:rsidP="00A5671D">
      <w:pPr>
        <w:pStyle w:val="FigureTitle"/>
      </w:pPr>
      <w:r>
        <w:t>Figure 2</w:t>
      </w:r>
      <w:r>
        <w:br/>
        <w:t xml:space="preserve">Decile Change in Facility Ranking </w:t>
      </w:r>
      <w:r w:rsidRPr="00AF076E">
        <w:t>from</w:t>
      </w:r>
      <w:r w:rsidRPr="007E7668">
        <w:t xml:space="preserve"> Quarter 1, 2017, to Quarter 2, 2017</w:t>
      </w:r>
      <w:r>
        <w:t>, NQF</w:t>
      </w:r>
      <w:r w:rsidRPr="00AF076E">
        <w:t xml:space="preserve"> #0677 Percent of Residents Who Self-Report Moderate to Severe Pain (Long Stay)</w:t>
      </w:r>
      <w:r>
        <w:t xml:space="preserve"> </w:t>
      </w:r>
    </w:p>
    <w:p w14:paraId="4E09D1F0" w14:textId="77777777" w:rsidR="00A5671D" w:rsidRPr="005E0AB6" w:rsidRDefault="00A5671D" w:rsidP="00A5671D">
      <w:pPr>
        <w:keepLines/>
        <w:spacing w:before="120" w:after="240"/>
        <w:jc w:val="center"/>
        <w:rPr>
          <w:sz w:val="20"/>
        </w:rPr>
      </w:pPr>
      <w:r>
        <w:rPr>
          <w:noProof/>
          <w:sz w:val="20"/>
        </w:rPr>
        <w:drawing>
          <wp:inline distT="0" distB="0" distL="0" distR="0" wp14:anchorId="66B93386" wp14:editId="69FA8208">
            <wp:extent cx="5394960" cy="2773680"/>
            <wp:effectExtent l="0" t="0" r="15240" b="762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9C7BB2D" w14:textId="6D8A8779" w:rsidR="00A5671D" w:rsidRPr="00DC455F" w:rsidRDefault="00A5671D" w:rsidP="00A5671D">
      <w:pPr>
        <w:pStyle w:val="Response"/>
        <w:rPr>
          <w:sz w:val="20"/>
          <w:szCs w:val="20"/>
        </w:rPr>
      </w:pPr>
      <w:r w:rsidRPr="00DC455F">
        <w:rPr>
          <w:sz w:val="20"/>
          <w:szCs w:val="20"/>
        </w:rPr>
        <w:t xml:space="preserve">Analysis date: </w:t>
      </w:r>
      <w:r>
        <w:rPr>
          <w:sz w:val="20"/>
          <w:szCs w:val="20"/>
        </w:rPr>
        <w:t>4</w:t>
      </w:r>
      <w:r w:rsidRPr="00DC455F">
        <w:rPr>
          <w:sz w:val="20"/>
          <w:szCs w:val="20"/>
        </w:rPr>
        <w:t>/5/201</w:t>
      </w:r>
      <w:r>
        <w:rPr>
          <w:sz w:val="20"/>
          <w:szCs w:val="20"/>
        </w:rPr>
        <w:t>8</w:t>
      </w:r>
    </w:p>
    <w:p w14:paraId="2E64A921" w14:textId="767C1C13" w:rsidR="00A5671D" w:rsidRPr="00DC455F" w:rsidRDefault="00A5671D" w:rsidP="00A5671D">
      <w:pPr>
        <w:pStyle w:val="Response"/>
        <w:rPr>
          <w:rFonts w:eastAsia="Calibri"/>
          <w:sz w:val="20"/>
          <w:szCs w:val="20"/>
        </w:rPr>
      </w:pPr>
      <w:r w:rsidRPr="00DC455F">
        <w:rPr>
          <w:rFonts w:eastAsia="Calibri"/>
          <w:sz w:val="20"/>
          <w:szCs w:val="20"/>
        </w:rPr>
        <w:t xml:space="preserve">SOURCE: RTI analysis of Q1 2017 and Q2 2017 MDS 3.0 data (programming reference: </w:t>
      </w:r>
      <w:r>
        <w:rPr>
          <w:rFonts w:eastAsia="Calibri"/>
          <w:sz w:val="20"/>
          <w:szCs w:val="20"/>
        </w:rPr>
        <w:t>rn01/ac</w:t>
      </w:r>
      <w:r w:rsidRPr="00DC455F">
        <w:rPr>
          <w:rFonts w:eastAsia="Calibri"/>
          <w:sz w:val="20"/>
          <w:szCs w:val="20"/>
        </w:rPr>
        <w:t>358_request_q2627_677.log)</w:t>
      </w:r>
    </w:p>
    <w:p w14:paraId="31F1E2BE" w14:textId="77777777" w:rsidR="006E52AC" w:rsidRPr="00DC455F" w:rsidRDefault="006E52AC" w:rsidP="006E52AC">
      <w:pPr>
        <w:pStyle w:val="FigureTitle"/>
      </w:pPr>
      <w:r>
        <w:t>Figure 3</w:t>
      </w:r>
      <w:r w:rsidRPr="00DC455F">
        <w:br/>
      </w:r>
      <w:r>
        <w:t xml:space="preserve">Standardized Score Change </w:t>
      </w:r>
      <w:r w:rsidRPr="005D3370">
        <w:t>from Quarter 1, 2017, to Quarter 2, 2017</w:t>
      </w:r>
      <w:r>
        <w:t>, NQF</w:t>
      </w:r>
      <w:r w:rsidRPr="00DC455F">
        <w:t xml:space="preserve"> #0677 Percent of Residents Who Self-Report Moderate to Severe Pain (Long Stay)</w:t>
      </w:r>
    </w:p>
    <w:p w14:paraId="27946419" w14:textId="77777777" w:rsidR="006E52AC" w:rsidRPr="003F1A89" w:rsidRDefault="006E52AC" w:rsidP="006E52AC">
      <w:pPr>
        <w:pStyle w:val="Response"/>
        <w:keepNext/>
        <w:jc w:val="center"/>
        <w:rPr>
          <w:rFonts w:eastAsia="Calibri"/>
        </w:rPr>
      </w:pPr>
      <w:r>
        <w:rPr>
          <w:rFonts w:eastAsia="Calibri"/>
          <w:noProof/>
        </w:rPr>
        <w:drawing>
          <wp:inline distT="0" distB="0" distL="0" distR="0" wp14:anchorId="25665C32" wp14:editId="62EBC2F4">
            <wp:extent cx="5486400" cy="32004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2D0DB18" w14:textId="4CFF00EE" w:rsidR="006E52AC" w:rsidRPr="002A23FE" w:rsidRDefault="006E52AC" w:rsidP="006E52AC">
      <w:pPr>
        <w:pStyle w:val="Response"/>
        <w:rPr>
          <w:sz w:val="20"/>
          <w:szCs w:val="20"/>
        </w:rPr>
      </w:pPr>
      <w:r w:rsidRPr="002A23FE">
        <w:rPr>
          <w:bCs w:val="0"/>
          <w:sz w:val="20"/>
          <w:szCs w:val="20"/>
        </w:rPr>
        <w:t xml:space="preserve">Analysis date: </w:t>
      </w:r>
      <w:r>
        <w:rPr>
          <w:bCs w:val="0"/>
          <w:sz w:val="20"/>
          <w:szCs w:val="20"/>
        </w:rPr>
        <w:t>4</w:t>
      </w:r>
      <w:r w:rsidRPr="002A23FE">
        <w:rPr>
          <w:bCs w:val="0"/>
          <w:sz w:val="20"/>
          <w:szCs w:val="20"/>
        </w:rPr>
        <w:t>/5/201</w:t>
      </w:r>
      <w:r>
        <w:rPr>
          <w:bCs w:val="0"/>
          <w:sz w:val="20"/>
          <w:szCs w:val="20"/>
        </w:rPr>
        <w:t>8</w:t>
      </w:r>
    </w:p>
    <w:p w14:paraId="2171CA30" w14:textId="6DD39621" w:rsidR="006E52AC" w:rsidRPr="002A23FE" w:rsidRDefault="006E52AC" w:rsidP="006E52AC">
      <w:pPr>
        <w:pStyle w:val="Response"/>
        <w:rPr>
          <w:rFonts w:eastAsia="Calibri"/>
          <w:sz w:val="20"/>
          <w:szCs w:val="20"/>
        </w:rPr>
      </w:pPr>
      <w:r w:rsidRPr="002A23FE">
        <w:rPr>
          <w:rFonts w:eastAsia="Calibri"/>
          <w:sz w:val="20"/>
          <w:szCs w:val="20"/>
        </w:rPr>
        <w:t>SOURCE: RTI analysis of Q1 2017 and Q2 2017 MDS 3.0 data (programming reference:</w:t>
      </w:r>
      <w:r w:rsidRPr="002A23FE">
        <w:rPr>
          <w:rFonts w:eastAsia="Calibri"/>
          <w:sz w:val="20"/>
          <w:szCs w:val="20"/>
          <w:u w:val="single"/>
        </w:rPr>
        <w:t xml:space="preserve"> </w:t>
      </w:r>
      <w:hyperlink r:id="rId23" w:history="1">
        <w:r w:rsidRPr="002A23FE">
          <w:rPr>
            <w:rStyle w:val="Hyperlink"/>
            <w:rFonts w:eastAsia="Calibri"/>
            <w:sz w:val="20"/>
            <w:szCs w:val="20"/>
            <w:u w:val="none"/>
          </w:rPr>
          <w:t>rn01\</w:t>
        </w:r>
        <w:r>
          <w:rPr>
            <w:rStyle w:val="Hyperlink"/>
            <w:rFonts w:eastAsia="Calibri"/>
            <w:sz w:val="20"/>
            <w:szCs w:val="20"/>
            <w:u w:val="none"/>
          </w:rPr>
          <w:t>ac</w:t>
        </w:r>
        <w:r w:rsidRPr="002A23FE">
          <w:rPr>
            <w:rStyle w:val="Hyperlink"/>
            <w:rFonts w:eastAsia="Calibri"/>
            <w:sz w:val="20"/>
            <w:szCs w:val="20"/>
            <w:u w:val="none"/>
          </w:rPr>
          <w:t>355_request_q2627_677.lo</w:t>
        </w:r>
        <w:r w:rsidRPr="002A23FE">
          <w:rPr>
            <w:rStyle w:val="Hyperlink"/>
            <w:rFonts w:eastAsia="Calibri"/>
            <w:sz w:val="20"/>
            <w:szCs w:val="20"/>
          </w:rPr>
          <w:t>g</w:t>
        </w:r>
      </w:hyperlink>
      <w:r w:rsidRPr="002A23FE">
        <w:rPr>
          <w:rFonts w:eastAsia="Calibri"/>
          <w:sz w:val="20"/>
          <w:szCs w:val="20"/>
        </w:rPr>
        <w:t>)</w:t>
      </w:r>
    </w:p>
    <w:p w14:paraId="11121978" w14:textId="1F453AA9" w:rsidR="008D5783" w:rsidRDefault="008D5783" w:rsidP="008D5783">
      <w:pPr>
        <w:pStyle w:val="Response"/>
        <w:ind w:left="720" w:hanging="720"/>
      </w:pPr>
      <w:r>
        <w:t>2.d.</w:t>
      </w:r>
      <w:r>
        <w:tab/>
        <w:t>Confidence interval analysis: Another measure of consistency is performance relative to the mean: high-performing facilities should have scores that are significantly below-average, and low-performing facilities should be significantly above-</w:t>
      </w:r>
      <w:r w:rsidRPr="00D02FDB">
        <w:t xml:space="preserve">average. </w:t>
      </w:r>
      <w:r w:rsidRPr="00D02FDB">
        <w:rPr>
          <w:b/>
          <w:i/>
          <w:iCs/>
        </w:rPr>
        <w:t xml:space="preserve">Table 2 </w:t>
      </w:r>
      <w:r w:rsidRPr="00D02FDB">
        <w:t>shows</w:t>
      </w:r>
      <w:r>
        <w:t xml:space="preserve"> the proportions of facilities that scored significantly higher or lower than the national facility-level mean in Quarter 2, 2017. For this analysis, statistical significance was determined using 95% confidence intervals: a facility’s quality measure score was statistically significantly different from the national mean if the national mean was not within that facility’s 95% confidence interval. This analysis was also stratified by decile of facility size. </w:t>
      </w:r>
    </w:p>
    <w:p w14:paraId="4F455873" w14:textId="6EA8FD90" w:rsidR="00953B9D" w:rsidRDefault="00953B9D" w:rsidP="00953B9D">
      <w:pPr>
        <w:pStyle w:val="Response"/>
        <w:ind w:left="720"/>
      </w:pPr>
      <w:r>
        <w:t>In general, there were fewer facilities with quality measure scores that were statistically significantly (</w:t>
      </w:r>
      <w:r w:rsidRPr="002A23FE">
        <w:rPr>
          <w:i/>
        </w:rPr>
        <w:t>p</w:t>
      </w:r>
      <w:r>
        <w:t xml:space="preserve"> ≤ .05) higher than the national mean of 7.2% (</w:t>
      </w:r>
      <w:r w:rsidR="002A277D">
        <w:t>9.7</w:t>
      </w:r>
      <w:r>
        <w:t>%), than those with scores that were statistically significantly lower than the national mean (</w:t>
      </w:r>
      <w:r w:rsidRPr="00BD628D">
        <w:t>3</w:t>
      </w:r>
      <w:r>
        <w:t>6</w:t>
      </w:r>
      <w:r w:rsidRPr="00BD628D">
        <w:t>.</w:t>
      </w:r>
      <w:r>
        <w:t>5</w:t>
      </w:r>
      <w:r w:rsidRPr="00BD628D">
        <w:t xml:space="preserve">%), indicating that more facilities perform better </w:t>
      </w:r>
      <w:r w:rsidRPr="002A23FE">
        <w:t xml:space="preserve">(lower scores are better) </w:t>
      </w:r>
      <w:r w:rsidRPr="00BD628D">
        <w:t>than the national facility-level mean.</w:t>
      </w:r>
      <w:r>
        <w:t xml:space="preserve"> </w:t>
      </w:r>
    </w:p>
    <w:p w14:paraId="6D8EFB92" w14:textId="77777777" w:rsidR="008D5783" w:rsidRDefault="008D5783" w:rsidP="008D5783">
      <w:pPr>
        <w:pStyle w:val="Response"/>
        <w:ind w:left="720"/>
      </w:pPr>
      <w:r>
        <w:t>The proportions of facilities with scores that are significantly different from the national mean vary as a function of the number of residents incl</w:t>
      </w:r>
      <w:r w:rsidRPr="009A1374">
        <w:t>uded in the denominator for this measure; the percentage of facilities which have scores that are statistically significantly different from the mean increase with the number of residents. Increases</w:t>
      </w:r>
      <w:r>
        <w:t xml:space="preserve"> in the facility-level sample size lead to reductions in the standard error of facility-level scores. Thus, it appears that changes in the reliability of this measure for the larger facilities are due to the greater statistical reliability that accompanies increased sample size. </w:t>
      </w:r>
    </w:p>
    <w:p w14:paraId="215607DA" w14:textId="7E9EFF76" w:rsidR="008D5783" w:rsidRDefault="008D5783" w:rsidP="008D5783">
      <w:pPr>
        <w:pStyle w:val="Response"/>
        <w:ind w:left="720"/>
      </w:pPr>
      <w:r>
        <w:t>Overall, almost half (4</w:t>
      </w:r>
      <w:r w:rsidR="0035614C">
        <w:t>6</w:t>
      </w:r>
      <w:r>
        <w:t>.</w:t>
      </w:r>
      <w:r w:rsidR="0035614C">
        <w:t>2</w:t>
      </w:r>
      <w:r>
        <w:t>%) of facilities were significantly different from the national mean in Quarter 2, 2017, indicating that there are meaningful differences in facility-level scores for this measure.</w:t>
      </w:r>
    </w:p>
    <w:p w14:paraId="583219CB" w14:textId="428E2E66" w:rsidR="0067481D" w:rsidRPr="00CD5382" w:rsidRDefault="008D5783" w:rsidP="00CD5382">
      <w:pPr>
        <w:pStyle w:val="TableTitle"/>
      </w:pPr>
      <w:r w:rsidRPr="003D1D04">
        <w:t>T</w:t>
      </w:r>
      <w:r>
        <w:t>able 2</w:t>
      </w:r>
      <w:r>
        <w:br/>
        <w:t>Proportion of Facilities with Scores Significantly Different from the National Facility-Level Mean, Stratified by Facility Denominator S</w:t>
      </w:r>
      <w:r w:rsidRPr="003D1D04">
        <w:t>ize</w:t>
      </w:r>
      <w:r>
        <w:t xml:space="preserve"> for NQF #0677</w:t>
      </w:r>
      <w:r w:rsidRPr="00F638D4">
        <w:t xml:space="preserve"> Percent of Residents Who Self-Report Moderate to Severe Pain (</w:t>
      </w:r>
      <w:r>
        <w:t>Long</w:t>
      </w:r>
      <w:r w:rsidRPr="00F638D4">
        <w:t xml:space="preserve"> Stay)</w:t>
      </w:r>
    </w:p>
    <w:tbl>
      <w:tblPr>
        <w:tblStyle w:val="CMSTable"/>
        <w:tblW w:w="5000" w:type="pct"/>
        <w:tblLook w:val="05E0" w:firstRow="1" w:lastRow="1" w:firstColumn="1" w:lastColumn="1" w:noHBand="0" w:noVBand="1"/>
      </w:tblPr>
      <w:tblGrid>
        <w:gridCol w:w="2358"/>
        <w:gridCol w:w="49"/>
        <w:gridCol w:w="1200"/>
        <w:gridCol w:w="221"/>
        <w:gridCol w:w="1696"/>
        <w:gridCol w:w="137"/>
        <w:gridCol w:w="1782"/>
        <w:gridCol w:w="52"/>
        <w:gridCol w:w="1865"/>
      </w:tblGrid>
      <w:tr w:rsidR="0067481D" w:rsidRPr="00CD5382" w14:paraId="63F8D3DE" w14:textId="77777777" w:rsidTr="002A277D">
        <w:trPr>
          <w:cnfStyle w:val="100000000000" w:firstRow="1" w:lastRow="0" w:firstColumn="0" w:lastColumn="0" w:oddVBand="0" w:evenVBand="0" w:oddHBand="0" w:evenHBand="0" w:firstRowFirstColumn="0" w:firstRowLastColumn="0" w:lastRowFirstColumn="0" w:lastRowLastColumn="0"/>
          <w:trHeight w:val="20"/>
          <w:tblHeader/>
        </w:trPr>
        <w:tc>
          <w:tcPr>
            <w:tcW w:w="1260" w:type="pct"/>
            <w:tcBorders>
              <w:left w:val="nil"/>
              <w:right w:val="nil"/>
            </w:tcBorders>
            <w:hideMark/>
          </w:tcPr>
          <w:p w14:paraId="43D700B4" w14:textId="77777777" w:rsidR="0067481D" w:rsidRPr="00CD5382" w:rsidRDefault="0067481D" w:rsidP="002A277D">
            <w:pPr>
              <w:pStyle w:val="TableHeaders"/>
              <w:rPr>
                <w:rFonts w:ascii="Times New Roman" w:hAnsi="Times New Roman"/>
                <w:color w:val="3333FF"/>
              </w:rPr>
            </w:pPr>
            <w:r w:rsidRPr="00CD5382">
              <w:rPr>
                <w:rFonts w:ascii="Times New Roman" w:hAnsi="Times New Roman"/>
                <w:color w:val="3333FF"/>
              </w:rPr>
              <w:t>Decile of denominator size in residents</w:t>
            </w:r>
          </w:p>
        </w:tc>
        <w:tc>
          <w:tcPr>
            <w:tcW w:w="785" w:type="pct"/>
            <w:gridSpan w:val="3"/>
            <w:tcBorders>
              <w:left w:val="nil"/>
              <w:right w:val="nil"/>
            </w:tcBorders>
            <w:hideMark/>
          </w:tcPr>
          <w:p w14:paraId="2A42CCF0" w14:textId="77777777" w:rsidR="0067481D" w:rsidRPr="00CD5382" w:rsidRDefault="0067481D" w:rsidP="002A277D">
            <w:pPr>
              <w:pStyle w:val="TableHeaders"/>
              <w:rPr>
                <w:rFonts w:ascii="Times New Roman" w:hAnsi="Times New Roman"/>
                <w:i/>
                <w:color w:val="3333FF"/>
              </w:rPr>
            </w:pPr>
            <w:r w:rsidRPr="00CD5382">
              <w:rPr>
                <w:rFonts w:ascii="Times New Roman" w:hAnsi="Times New Roman"/>
                <w:i/>
                <w:color w:val="3333FF"/>
              </w:rPr>
              <w:t>k</w:t>
            </w:r>
          </w:p>
        </w:tc>
        <w:tc>
          <w:tcPr>
            <w:tcW w:w="979" w:type="pct"/>
            <w:gridSpan w:val="2"/>
            <w:tcBorders>
              <w:left w:val="nil"/>
              <w:right w:val="nil"/>
            </w:tcBorders>
            <w:hideMark/>
          </w:tcPr>
          <w:p w14:paraId="5FBCDAF8" w14:textId="77777777" w:rsidR="0067481D" w:rsidRPr="00CD5382" w:rsidRDefault="0067481D" w:rsidP="002A277D">
            <w:pPr>
              <w:pStyle w:val="TableHeaders"/>
              <w:rPr>
                <w:rFonts w:ascii="Times New Roman" w:hAnsi="Times New Roman"/>
                <w:color w:val="3333FF"/>
              </w:rPr>
            </w:pPr>
            <w:r w:rsidRPr="00CD5382">
              <w:rPr>
                <w:rFonts w:ascii="Times New Roman" w:hAnsi="Times New Roman"/>
                <w:color w:val="3333FF"/>
              </w:rPr>
              <w:t>Number of facilities with 95% confidence interval lower than national mean (%)</w:t>
            </w:r>
          </w:p>
        </w:tc>
        <w:tc>
          <w:tcPr>
            <w:tcW w:w="980" w:type="pct"/>
            <w:gridSpan w:val="2"/>
            <w:tcBorders>
              <w:left w:val="nil"/>
              <w:right w:val="nil"/>
            </w:tcBorders>
            <w:hideMark/>
          </w:tcPr>
          <w:p w14:paraId="6B293661" w14:textId="77777777" w:rsidR="0067481D" w:rsidRPr="00CD5382" w:rsidRDefault="0067481D" w:rsidP="002A277D">
            <w:pPr>
              <w:pStyle w:val="TableHeaders"/>
              <w:rPr>
                <w:rFonts w:ascii="Times New Roman" w:hAnsi="Times New Roman"/>
                <w:color w:val="3333FF"/>
              </w:rPr>
            </w:pPr>
            <w:r w:rsidRPr="00CD5382">
              <w:rPr>
                <w:rFonts w:ascii="Times New Roman" w:hAnsi="Times New Roman"/>
                <w:color w:val="3333FF"/>
              </w:rPr>
              <w:t>Number of facilities with 95% confidence interval higher than national mean (%)</w:t>
            </w:r>
          </w:p>
        </w:tc>
        <w:tc>
          <w:tcPr>
            <w:tcW w:w="996" w:type="pct"/>
            <w:tcBorders>
              <w:left w:val="nil"/>
              <w:right w:val="nil"/>
            </w:tcBorders>
            <w:hideMark/>
          </w:tcPr>
          <w:p w14:paraId="271822B9" w14:textId="77777777" w:rsidR="0067481D" w:rsidRPr="00CD5382" w:rsidRDefault="0067481D" w:rsidP="002A277D">
            <w:pPr>
              <w:pStyle w:val="TableHeaders"/>
              <w:rPr>
                <w:rFonts w:ascii="Times New Roman" w:hAnsi="Times New Roman"/>
                <w:color w:val="3333FF"/>
              </w:rPr>
            </w:pPr>
            <w:r w:rsidRPr="00CD5382">
              <w:rPr>
                <w:rFonts w:ascii="Times New Roman" w:hAnsi="Times New Roman"/>
                <w:color w:val="3333FF"/>
              </w:rPr>
              <w:t>Total number of facilities with scores significantly different from mean (%)</w:t>
            </w:r>
          </w:p>
        </w:tc>
      </w:tr>
      <w:tr w:rsidR="0067481D" w:rsidRPr="00CD5382" w14:paraId="5BBBBAAB" w14:textId="77777777" w:rsidTr="002A277D">
        <w:trPr>
          <w:trHeight w:val="20"/>
        </w:trPr>
        <w:tc>
          <w:tcPr>
            <w:tcW w:w="1286" w:type="pct"/>
            <w:gridSpan w:val="2"/>
            <w:tcBorders>
              <w:top w:val="nil"/>
              <w:left w:val="nil"/>
              <w:bottom w:val="nil"/>
              <w:right w:val="nil"/>
            </w:tcBorders>
            <w:hideMark/>
          </w:tcPr>
          <w:p w14:paraId="5BE4E27C"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1st Decile (</w:t>
            </w:r>
            <w:r w:rsidRPr="00CD5382">
              <w:rPr>
                <w:rFonts w:ascii="Times New Roman" w:hAnsi="Times New Roman"/>
                <w:i/>
                <w:color w:val="3333FF"/>
              </w:rPr>
              <w:t>n</w:t>
            </w:r>
            <w:r w:rsidRPr="00CD5382">
              <w:rPr>
                <w:rFonts w:ascii="Times New Roman" w:hAnsi="Times New Roman"/>
                <w:color w:val="3333FF"/>
              </w:rPr>
              <w:t xml:space="preserve">= 20 to 27) </w:t>
            </w:r>
          </w:p>
        </w:tc>
        <w:tc>
          <w:tcPr>
            <w:tcW w:w="641" w:type="pct"/>
            <w:tcBorders>
              <w:top w:val="nil"/>
              <w:left w:val="nil"/>
              <w:bottom w:val="nil"/>
              <w:right w:val="nil"/>
            </w:tcBorders>
            <w:hideMark/>
          </w:tcPr>
          <w:p w14:paraId="76D18C08"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1,419</w:t>
            </w:r>
          </w:p>
        </w:tc>
        <w:tc>
          <w:tcPr>
            <w:tcW w:w="1024" w:type="pct"/>
            <w:gridSpan w:val="2"/>
            <w:tcBorders>
              <w:top w:val="nil"/>
              <w:left w:val="nil"/>
              <w:bottom w:val="nil"/>
              <w:right w:val="nil"/>
            </w:tcBorders>
            <w:hideMark/>
          </w:tcPr>
          <w:p w14:paraId="5FF5F8B4"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441 (31.1%)</w:t>
            </w:r>
          </w:p>
        </w:tc>
        <w:tc>
          <w:tcPr>
            <w:tcW w:w="1025" w:type="pct"/>
            <w:gridSpan w:val="2"/>
            <w:tcBorders>
              <w:top w:val="nil"/>
              <w:left w:val="nil"/>
              <w:bottom w:val="nil"/>
              <w:right w:val="nil"/>
            </w:tcBorders>
            <w:hideMark/>
          </w:tcPr>
          <w:p w14:paraId="7A52FD82"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100 (7.0%) </w:t>
            </w:r>
          </w:p>
        </w:tc>
        <w:tc>
          <w:tcPr>
            <w:tcW w:w="1024" w:type="pct"/>
            <w:gridSpan w:val="2"/>
            <w:tcBorders>
              <w:top w:val="nil"/>
              <w:left w:val="nil"/>
              <w:bottom w:val="nil"/>
              <w:right w:val="nil"/>
            </w:tcBorders>
            <w:hideMark/>
          </w:tcPr>
          <w:p w14:paraId="5CD4688C"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541 (38.1%)</w:t>
            </w:r>
          </w:p>
        </w:tc>
      </w:tr>
      <w:tr w:rsidR="0067481D" w:rsidRPr="00CD5382" w14:paraId="6DE20382" w14:textId="77777777" w:rsidTr="002A277D">
        <w:trPr>
          <w:trHeight w:val="20"/>
        </w:trPr>
        <w:tc>
          <w:tcPr>
            <w:tcW w:w="1286" w:type="pct"/>
            <w:gridSpan w:val="2"/>
            <w:tcBorders>
              <w:top w:val="nil"/>
              <w:left w:val="nil"/>
              <w:bottom w:val="nil"/>
              <w:right w:val="nil"/>
            </w:tcBorders>
            <w:hideMark/>
          </w:tcPr>
          <w:p w14:paraId="4BF51CF8"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2nd Decile (</w:t>
            </w:r>
            <w:r w:rsidRPr="00CD5382">
              <w:rPr>
                <w:rFonts w:ascii="Times New Roman" w:hAnsi="Times New Roman"/>
                <w:i/>
                <w:color w:val="3333FF"/>
              </w:rPr>
              <w:t>n</w:t>
            </w:r>
            <w:r w:rsidRPr="00CD5382">
              <w:rPr>
                <w:rFonts w:ascii="Times New Roman" w:hAnsi="Times New Roman"/>
                <w:color w:val="3333FF"/>
              </w:rPr>
              <w:t xml:space="preserve"> = 28 to 33)</w:t>
            </w:r>
          </w:p>
        </w:tc>
        <w:tc>
          <w:tcPr>
            <w:tcW w:w="641" w:type="pct"/>
            <w:tcBorders>
              <w:top w:val="nil"/>
              <w:left w:val="nil"/>
              <w:bottom w:val="nil"/>
              <w:right w:val="nil"/>
            </w:tcBorders>
            <w:hideMark/>
          </w:tcPr>
          <w:p w14:paraId="156530A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1,352</w:t>
            </w:r>
          </w:p>
        </w:tc>
        <w:tc>
          <w:tcPr>
            <w:tcW w:w="1024" w:type="pct"/>
            <w:gridSpan w:val="2"/>
            <w:tcBorders>
              <w:top w:val="nil"/>
              <w:left w:val="nil"/>
              <w:bottom w:val="nil"/>
              <w:right w:val="nil"/>
            </w:tcBorders>
            <w:hideMark/>
          </w:tcPr>
          <w:p w14:paraId="66097433"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378 (28.0%)</w:t>
            </w:r>
          </w:p>
        </w:tc>
        <w:tc>
          <w:tcPr>
            <w:tcW w:w="1025" w:type="pct"/>
            <w:gridSpan w:val="2"/>
            <w:tcBorders>
              <w:top w:val="nil"/>
              <w:left w:val="nil"/>
              <w:bottom w:val="nil"/>
              <w:right w:val="nil"/>
            </w:tcBorders>
            <w:hideMark/>
          </w:tcPr>
          <w:p w14:paraId="13BBC570"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107 (7.9%) </w:t>
            </w:r>
          </w:p>
        </w:tc>
        <w:tc>
          <w:tcPr>
            <w:tcW w:w="1024" w:type="pct"/>
            <w:gridSpan w:val="2"/>
            <w:tcBorders>
              <w:top w:val="nil"/>
              <w:left w:val="nil"/>
              <w:bottom w:val="nil"/>
              <w:right w:val="nil"/>
            </w:tcBorders>
            <w:hideMark/>
          </w:tcPr>
          <w:p w14:paraId="2592054C"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485 (35.9%)</w:t>
            </w:r>
          </w:p>
        </w:tc>
      </w:tr>
      <w:tr w:rsidR="0067481D" w:rsidRPr="00CD5382" w14:paraId="068D61EF" w14:textId="77777777" w:rsidTr="002A277D">
        <w:trPr>
          <w:trHeight w:val="20"/>
        </w:trPr>
        <w:tc>
          <w:tcPr>
            <w:tcW w:w="1286" w:type="pct"/>
            <w:gridSpan w:val="2"/>
            <w:tcBorders>
              <w:top w:val="nil"/>
              <w:left w:val="nil"/>
              <w:bottom w:val="nil"/>
              <w:right w:val="nil"/>
            </w:tcBorders>
            <w:hideMark/>
          </w:tcPr>
          <w:p w14:paraId="12AD7655"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3rd Decile (</w:t>
            </w:r>
            <w:r w:rsidRPr="00CD5382">
              <w:rPr>
                <w:rFonts w:ascii="Times New Roman" w:hAnsi="Times New Roman"/>
                <w:i/>
                <w:color w:val="3333FF"/>
              </w:rPr>
              <w:t>n</w:t>
            </w:r>
            <w:r w:rsidRPr="00CD5382">
              <w:rPr>
                <w:rFonts w:ascii="Times New Roman" w:hAnsi="Times New Roman"/>
                <w:color w:val="3333FF"/>
              </w:rPr>
              <w:t xml:space="preserve"> = 34 to 39)</w:t>
            </w:r>
          </w:p>
        </w:tc>
        <w:tc>
          <w:tcPr>
            <w:tcW w:w="641" w:type="pct"/>
            <w:tcBorders>
              <w:top w:val="nil"/>
              <w:left w:val="nil"/>
              <w:bottom w:val="nil"/>
              <w:right w:val="nil"/>
            </w:tcBorders>
            <w:hideMark/>
          </w:tcPr>
          <w:p w14:paraId="23A16822"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1,383</w:t>
            </w:r>
          </w:p>
        </w:tc>
        <w:tc>
          <w:tcPr>
            <w:tcW w:w="1024" w:type="pct"/>
            <w:gridSpan w:val="2"/>
            <w:tcBorders>
              <w:top w:val="nil"/>
              <w:left w:val="nil"/>
              <w:bottom w:val="nil"/>
              <w:right w:val="nil"/>
            </w:tcBorders>
            <w:hideMark/>
          </w:tcPr>
          <w:p w14:paraId="02249E3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381 (27.5%)</w:t>
            </w:r>
          </w:p>
        </w:tc>
        <w:tc>
          <w:tcPr>
            <w:tcW w:w="1025" w:type="pct"/>
            <w:gridSpan w:val="2"/>
            <w:tcBorders>
              <w:top w:val="nil"/>
              <w:left w:val="nil"/>
              <w:bottom w:val="nil"/>
              <w:right w:val="nil"/>
            </w:tcBorders>
            <w:hideMark/>
          </w:tcPr>
          <w:p w14:paraId="51D78BB6"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123 (8.9%) </w:t>
            </w:r>
          </w:p>
        </w:tc>
        <w:tc>
          <w:tcPr>
            <w:tcW w:w="1024" w:type="pct"/>
            <w:gridSpan w:val="2"/>
            <w:tcBorders>
              <w:top w:val="nil"/>
              <w:left w:val="nil"/>
              <w:bottom w:val="nil"/>
              <w:right w:val="nil"/>
            </w:tcBorders>
            <w:hideMark/>
          </w:tcPr>
          <w:p w14:paraId="5517A121"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504 (36.4%)</w:t>
            </w:r>
          </w:p>
        </w:tc>
      </w:tr>
      <w:tr w:rsidR="0067481D" w:rsidRPr="00CD5382" w14:paraId="7116D8B0" w14:textId="77777777" w:rsidTr="002A277D">
        <w:trPr>
          <w:trHeight w:val="20"/>
        </w:trPr>
        <w:tc>
          <w:tcPr>
            <w:tcW w:w="1286" w:type="pct"/>
            <w:gridSpan w:val="2"/>
            <w:tcBorders>
              <w:top w:val="nil"/>
              <w:left w:val="nil"/>
              <w:bottom w:val="nil"/>
              <w:right w:val="nil"/>
            </w:tcBorders>
            <w:hideMark/>
          </w:tcPr>
          <w:p w14:paraId="78F2B35C"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4th Decile (</w:t>
            </w:r>
            <w:r w:rsidRPr="00CD5382">
              <w:rPr>
                <w:rFonts w:ascii="Times New Roman" w:hAnsi="Times New Roman"/>
                <w:i/>
                <w:color w:val="3333FF"/>
              </w:rPr>
              <w:t>n</w:t>
            </w:r>
            <w:r w:rsidRPr="00CD5382">
              <w:rPr>
                <w:rFonts w:ascii="Times New Roman" w:hAnsi="Times New Roman"/>
                <w:color w:val="3333FF"/>
              </w:rPr>
              <w:t xml:space="preserve"> = 40 to 46)</w:t>
            </w:r>
          </w:p>
        </w:tc>
        <w:tc>
          <w:tcPr>
            <w:tcW w:w="641" w:type="pct"/>
            <w:tcBorders>
              <w:top w:val="nil"/>
              <w:left w:val="nil"/>
              <w:bottom w:val="nil"/>
              <w:right w:val="nil"/>
            </w:tcBorders>
            <w:hideMark/>
          </w:tcPr>
          <w:p w14:paraId="11D7D0B4"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1,518</w:t>
            </w:r>
          </w:p>
        </w:tc>
        <w:tc>
          <w:tcPr>
            <w:tcW w:w="1024" w:type="pct"/>
            <w:gridSpan w:val="2"/>
            <w:tcBorders>
              <w:top w:val="nil"/>
              <w:left w:val="nil"/>
              <w:bottom w:val="nil"/>
              <w:right w:val="nil"/>
            </w:tcBorders>
            <w:hideMark/>
          </w:tcPr>
          <w:p w14:paraId="1F6E3BAB"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504 (33.2%)</w:t>
            </w:r>
          </w:p>
        </w:tc>
        <w:tc>
          <w:tcPr>
            <w:tcW w:w="1025" w:type="pct"/>
            <w:gridSpan w:val="2"/>
            <w:tcBorders>
              <w:top w:val="nil"/>
              <w:left w:val="nil"/>
              <w:bottom w:val="nil"/>
              <w:right w:val="nil"/>
            </w:tcBorders>
            <w:hideMark/>
          </w:tcPr>
          <w:p w14:paraId="62F3E463"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156 (10.3%) </w:t>
            </w:r>
          </w:p>
        </w:tc>
        <w:tc>
          <w:tcPr>
            <w:tcW w:w="1024" w:type="pct"/>
            <w:gridSpan w:val="2"/>
            <w:tcBorders>
              <w:top w:val="nil"/>
              <w:left w:val="nil"/>
              <w:bottom w:val="nil"/>
              <w:right w:val="nil"/>
            </w:tcBorders>
            <w:hideMark/>
          </w:tcPr>
          <w:p w14:paraId="418D9EEE"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660 (43.5%)</w:t>
            </w:r>
          </w:p>
        </w:tc>
      </w:tr>
      <w:tr w:rsidR="0067481D" w:rsidRPr="00CD5382" w14:paraId="7603ECD5" w14:textId="77777777" w:rsidTr="002A277D">
        <w:trPr>
          <w:trHeight w:val="20"/>
        </w:trPr>
        <w:tc>
          <w:tcPr>
            <w:tcW w:w="1286" w:type="pct"/>
            <w:gridSpan w:val="2"/>
            <w:tcBorders>
              <w:top w:val="nil"/>
              <w:left w:val="nil"/>
              <w:bottom w:val="nil"/>
              <w:right w:val="nil"/>
            </w:tcBorders>
            <w:hideMark/>
          </w:tcPr>
          <w:p w14:paraId="1483DC0A"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5th Decile (</w:t>
            </w:r>
            <w:r w:rsidRPr="00CD5382">
              <w:rPr>
                <w:rFonts w:ascii="Times New Roman" w:hAnsi="Times New Roman"/>
                <w:i/>
                <w:color w:val="3333FF"/>
              </w:rPr>
              <w:t>n</w:t>
            </w:r>
            <w:r w:rsidRPr="00CD5382">
              <w:rPr>
                <w:rFonts w:ascii="Times New Roman" w:hAnsi="Times New Roman"/>
                <w:color w:val="3333FF"/>
              </w:rPr>
              <w:t xml:space="preserve"> = 47 to 52)</w:t>
            </w:r>
          </w:p>
        </w:tc>
        <w:tc>
          <w:tcPr>
            <w:tcW w:w="641" w:type="pct"/>
            <w:tcBorders>
              <w:top w:val="nil"/>
              <w:left w:val="nil"/>
              <w:bottom w:val="nil"/>
              <w:right w:val="nil"/>
            </w:tcBorders>
            <w:hideMark/>
          </w:tcPr>
          <w:p w14:paraId="219D281A"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1,289</w:t>
            </w:r>
          </w:p>
        </w:tc>
        <w:tc>
          <w:tcPr>
            <w:tcW w:w="1024" w:type="pct"/>
            <w:gridSpan w:val="2"/>
            <w:tcBorders>
              <w:top w:val="nil"/>
              <w:left w:val="nil"/>
              <w:bottom w:val="nil"/>
              <w:right w:val="nil"/>
            </w:tcBorders>
            <w:hideMark/>
          </w:tcPr>
          <w:p w14:paraId="25183754"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446 (34.6%)</w:t>
            </w:r>
          </w:p>
        </w:tc>
        <w:tc>
          <w:tcPr>
            <w:tcW w:w="1025" w:type="pct"/>
            <w:gridSpan w:val="2"/>
            <w:tcBorders>
              <w:top w:val="nil"/>
              <w:left w:val="nil"/>
              <w:bottom w:val="nil"/>
              <w:right w:val="nil"/>
            </w:tcBorders>
            <w:hideMark/>
          </w:tcPr>
          <w:p w14:paraId="2D0F48BD"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125 (9.7%) </w:t>
            </w:r>
          </w:p>
        </w:tc>
        <w:tc>
          <w:tcPr>
            <w:tcW w:w="1024" w:type="pct"/>
            <w:gridSpan w:val="2"/>
            <w:tcBorders>
              <w:top w:val="nil"/>
              <w:left w:val="nil"/>
              <w:bottom w:val="nil"/>
              <w:right w:val="nil"/>
            </w:tcBorders>
            <w:hideMark/>
          </w:tcPr>
          <w:p w14:paraId="3E664F7B"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571 (44.3%)</w:t>
            </w:r>
          </w:p>
        </w:tc>
      </w:tr>
      <w:tr w:rsidR="0067481D" w:rsidRPr="00CD5382" w14:paraId="349008CC" w14:textId="77777777" w:rsidTr="002A277D">
        <w:trPr>
          <w:trHeight w:val="20"/>
        </w:trPr>
        <w:tc>
          <w:tcPr>
            <w:tcW w:w="1286" w:type="pct"/>
            <w:gridSpan w:val="2"/>
            <w:tcBorders>
              <w:top w:val="nil"/>
              <w:left w:val="nil"/>
              <w:bottom w:val="nil"/>
              <w:right w:val="nil"/>
            </w:tcBorders>
            <w:hideMark/>
          </w:tcPr>
          <w:p w14:paraId="0FA1AEB4"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6th Decile (</w:t>
            </w:r>
            <w:r w:rsidRPr="00CD5382">
              <w:rPr>
                <w:rFonts w:ascii="Times New Roman" w:hAnsi="Times New Roman"/>
                <w:i/>
                <w:color w:val="3333FF"/>
              </w:rPr>
              <w:t>n</w:t>
            </w:r>
            <w:r w:rsidRPr="00CD5382">
              <w:rPr>
                <w:rFonts w:ascii="Times New Roman" w:hAnsi="Times New Roman"/>
                <w:color w:val="3333FF"/>
              </w:rPr>
              <w:t xml:space="preserve"> = 53 to 59)</w:t>
            </w:r>
          </w:p>
        </w:tc>
        <w:tc>
          <w:tcPr>
            <w:tcW w:w="641" w:type="pct"/>
            <w:tcBorders>
              <w:top w:val="nil"/>
              <w:left w:val="nil"/>
              <w:bottom w:val="nil"/>
              <w:right w:val="nil"/>
            </w:tcBorders>
            <w:hideMark/>
          </w:tcPr>
          <w:p w14:paraId="48B7E4AA"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1,380</w:t>
            </w:r>
          </w:p>
        </w:tc>
        <w:tc>
          <w:tcPr>
            <w:tcW w:w="1024" w:type="pct"/>
            <w:gridSpan w:val="2"/>
            <w:tcBorders>
              <w:top w:val="nil"/>
              <w:left w:val="nil"/>
              <w:bottom w:val="nil"/>
              <w:right w:val="nil"/>
            </w:tcBorders>
            <w:hideMark/>
          </w:tcPr>
          <w:p w14:paraId="51CC2D37"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489 (35.4%)</w:t>
            </w:r>
          </w:p>
        </w:tc>
        <w:tc>
          <w:tcPr>
            <w:tcW w:w="1025" w:type="pct"/>
            <w:gridSpan w:val="2"/>
            <w:tcBorders>
              <w:top w:val="nil"/>
              <w:left w:val="nil"/>
              <w:bottom w:val="nil"/>
              <w:right w:val="nil"/>
            </w:tcBorders>
            <w:hideMark/>
          </w:tcPr>
          <w:p w14:paraId="20EF808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144 (10.4%) </w:t>
            </w:r>
          </w:p>
        </w:tc>
        <w:tc>
          <w:tcPr>
            <w:tcW w:w="1024" w:type="pct"/>
            <w:gridSpan w:val="2"/>
            <w:tcBorders>
              <w:top w:val="nil"/>
              <w:left w:val="nil"/>
              <w:bottom w:val="nil"/>
              <w:right w:val="nil"/>
            </w:tcBorders>
            <w:hideMark/>
          </w:tcPr>
          <w:p w14:paraId="1F239ECE"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633 (45.9%)</w:t>
            </w:r>
          </w:p>
        </w:tc>
      </w:tr>
      <w:tr w:rsidR="0067481D" w:rsidRPr="00CD5382" w14:paraId="4F086A0A" w14:textId="77777777" w:rsidTr="002A277D">
        <w:trPr>
          <w:trHeight w:val="20"/>
        </w:trPr>
        <w:tc>
          <w:tcPr>
            <w:tcW w:w="1286" w:type="pct"/>
            <w:gridSpan w:val="2"/>
            <w:tcBorders>
              <w:top w:val="nil"/>
              <w:left w:val="nil"/>
              <w:bottom w:val="nil"/>
              <w:right w:val="nil"/>
            </w:tcBorders>
            <w:hideMark/>
          </w:tcPr>
          <w:p w14:paraId="14AE4A49"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7th Decile (</w:t>
            </w:r>
            <w:r w:rsidRPr="00CD5382">
              <w:rPr>
                <w:rFonts w:ascii="Times New Roman" w:hAnsi="Times New Roman"/>
                <w:i/>
                <w:color w:val="3333FF"/>
              </w:rPr>
              <w:t>n</w:t>
            </w:r>
            <w:r w:rsidRPr="00CD5382">
              <w:rPr>
                <w:rFonts w:ascii="Times New Roman" w:hAnsi="Times New Roman"/>
                <w:color w:val="3333FF"/>
              </w:rPr>
              <w:t xml:space="preserve"> = 60 to 67)</w:t>
            </w:r>
          </w:p>
        </w:tc>
        <w:tc>
          <w:tcPr>
            <w:tcW w:w="641" w:type="pct"/>
            <w:tcBorders>
              <w:top w:val="nil"/>
              <w:left w:val="nil"/>
              <w:bottom w:val="nil"/>
              <w:right w:val="nil"/>
            </w:tcBorders>
            <w:hideMark/>
          </w:tcPr>
          <w:p w14:paraId="7D6493A1"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1,380</w:t>
            </w:r>
          </w:p>
        </w:tc>
        <w:tc>
          <w:tcPr>
            <w:tcW w:w="1024" w:type="pct"/>
            <w:gridSpan w:val="2"/>
            <w:tcBorders>
              <w:top w:val="nil"/>
              <w:left w:val="nil"/>
              <w:bottom w:val="nil"/>
              <w:right w:val="nil"/>
            </w:tcBorders>
            <w:hideMark/>
          </w:tcPr>
          <w:p w14:paraId="168081C6"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489 (35.4%)</w:t>
            </w:r>
          </w:p>
        </w:tc>
        <w:tc>
          <w:tcPr>
            <w:tcW w:w="1025" w:type="pct"/>
            <w:gridSpan w:val="2"/>
            <w:tcBorders>
              <w:top w:val="nil"/>
              <w:left w:val="nil"/>
              <w:bottom w:val="nil"/>
              <w:right w:val="nil"/>
            </w:tcBorders>
            <w:hideMark/>
          </w:tcPr>
          <w:p w14:paraId="5AFF4D30"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159 (11.5%) </w:t>
            </w:r>
          </w:p>
        </w:tc>
        <w:tc>
          <w:tcPr>
            <w:tcW w:w="1024" w:type="pct"/>
            <w:gridSpan w:val="2"/>
            <w:tcBorders>
              <w:top w:val="nil"/>
              <w:left w:val="nil"/>
              <w:bottom w:val="nil"/>
              <w:right w:val="nil"/>
            </w:tcBorders>
            <w:hideMark/>
          </w:tcPr>
          <w:p w14:paraId="0F41167D"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648 (47.0%)</w:t>
            </w:r>
          </w:p>
        </w:tc>
      </w:tr>
      <w:tr w:rsidR="0067481D" w:rsidRPr="00CD5382" w14:paraId="6CF8948B" w14:textId="77777777" w:rsidTr="002A277D">
        <w:trPr>
          <w:trHeight w:val="20"/>
        </w:trPr>
        <w:tc>
          <w:tcPr>
            <w:tcW w:w="1286" w:type="pct"/>
            <w:gridSpan w:val="2"/>
            <w:tcBorders>
              <w:top w:val="nil"/>
              <w:left w:val="nil"/>
              <w:bottom w:val="nil"/>
              <w:right w:val="nil"/>
            </w:tcBorders>
            <w:hideMark/>
          </w:tcPr>
          <w:p w14:paraId="10D8D70E"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8th Decile (</w:t>
            </w:r>
            <w:r w:rsidRPr="00CD5382">
              <w:rPr>
                <w:rFonts w:ascii="Times New Roman" w:hAnsi="Times New Roman"/>
                <w:i/>
                <w:color w:val="3333FF"/>
              </w:rPr>
              <w:t>n</w:t>
            </w:r>
            <w:r w:rsidRPr="00CD5382">
              <w:rPr>
                <w:rFonts w:ascii="Times New Roman" w:hAnsi="Times New Roman"/>
                <w:color w:val="3333FF"/>
              </w:rPr>
              <w:t xml:space="preserve"> = 68 to 77)</w:t>
            </w:r>
          </w:p>
        </w:tc>
        <w:tc>
          <w:tcPr>
            <w:tcW w:w="641" w:type="pct"/>
            <w:tcBorders>
              <w:top w:val="nil"/>
              <w:left w:val="nil"/>
              <w:bottom w:val="nil"/>
              <w:right w:val="nil"/>
            </w:tcBorders>
            <w:hideMark/>
          </w:tcPr>
          <w:p w14:paraId="69BEEA42"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1,248</w:t>
            </w:r>
          </w:p>
        </w:tc>
        <w:tc>
          <w:tcPr>
            <w:tcW w:w="1024" w:type="pct"/>
            <w:gridSpan w:val="2"/>
            <w:tcBorders>
              <w:top w:val="nil"/>
              <w:left w:val="nil"/>
              <w:bottom w:val="nil"/>
              <w:right w:val="nil"/>
            </w:tcBorders>
            <w:hideMark/>
          </w:tcPr>
          <w:p w14:paraId="5C2DCC54"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513 (41.1%)</w:t>
            </w:r>
          </w:p>
        </w:tc>
        <w:tc>
          <w:tcPr>
            <w:tcW w:w="1025" w:type="pct"/>
            <w:gridSpan w:val="2"/>
            <w:tcBorders>
              <w:top w:val="nil"/>
              <w:left w:val="nil"/>
              <w:bottom w:val="nil"/>
              <w:right w:val="nil"/>
            </w:tcBorders>
            <w:hideMark/>
          </w:tcPr>
          <w:p w14:paraId="64049100"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117 (9.4%) </w:t>
            </w:r>
          </w:p>
        </w:tc>
        <w:tc>
          <w:tcPr>
            <w:tcW w:w="1024" w:type="pct"/>
            <w:gridSpan w:val="2"/>
            <w:tcBorders>
              <w:top w:val="nil"/>
              <w:left w:val="nil"/>
              <w:bottom w:val="nil"/>
              <w:right w:val="nil"/>
            </w:tcBorders>
            <w:hideMark/>
          </w:tcPr>
          <w:p w14:paraId="1E3B88B7"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630 (50.5%)</w:t>
            </w:r>
          </w:p>
        </w:tc>
      </w:tr>
      <w:tr w:rsidR="0067481D" w:rsidRPr="00CD5382" w14:paraId="4C44FBA4" w14:textId="77777777" w:rsidTr="002A277D">
        <w:trPr>
          <w:trHeight w:val="20"/>
        </w:trPr>
        <w:tc>
          <w:tcPr>
            <w:tcW w:w="1286" w:type="pct"/>
            <w:gridSpan w:val="2"/>
            <w:tcBorders>
              <w:top w:val="nil"/>
              <w:left w:val="nil"/>
              <w:bottom w:val="nil"/>
              <w:right w:val="nil"/>
            </w:tcBorders>
            <w:hideMark/>
          </w:tcPr>
          <w:p w14:paraId="17677DF4"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9th Decile (</w:t>
            </w:r>
            <w:r w:rsidRPr="00CD5382">
              <w:rPr>
                <w:rFonts w:ascii="Times New Roman" w:hAnsi="Times New Roman"/>
                <w:i/>
                <w:color w:val="3333FF"/>
              </w:rPr>
              <w:t>n</w:t>
            </w:r>
            <w:r w:rsidRPr="00CD5382">
              <w:rPr>
                <w:rFonts w:ascii="Times New Roman" w:hAnsi="Times New Roman"/>
                <w:color w:val="3333FF"/>
              </w:rPr>
              <w:t xml:space="preserve"> = 78 to 97)</w:t>
            </w:r>
          </w:p>
        </w:tc>
        <w:tc>
          <w:tcPr>
            <w:tcW w:w="641" w:type="pct"/>
            <w:tcBorders>
              <w:top w:val="nil"/>
              <w:left w:val="nil"/>
              <w:bottom w:val="nil"/>
              <w:right w:val="nil"/>
            </w:tcBorders>
            <w:hideMark/>
          </w:tcPr>
          <w:p w14:paraId="7857AB04"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1,367</w:t>
            </w:r>
          </w:p>
        </w:tc>
        <w:tc>
          <w:tcPr>
            <w:tcW w:w="1024" w:type="pct"/>
            <w:gridSpan w:val="2"/>
            <w:tcBorders>
              <w:top w:val="nil"/>
              <w:left w:val="nil"/>
              <w:bottom w:val="nil"/>
              <w:right w:val="nil"/>
            </w:tcBorders>
            <w:hideMark/>
          </w:tcPr>
          <w:p w14:paraId="5648AD31"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631 (46.2%)</w:t>
            </w:r>
          </w:p>
        </w:tc>
        <w:tc>
          <w:tcPr>
            <w:tcW w:w="1025" w:type="pct"/>
            <w:gridSpan w:val="2"/>
            <w:tcBorders>
              <w:top w:val="nil"/>
              <w:left w:val="nil"/>
              <w:bottom w:val="nil"/>
              <w:right w:val="nil"/>
            </w:tcBorders>
            <w:hideMark/>
          </w:tcPr>
          <w:p w14:paraId="3D290AA4"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144 (10.5%) </w:t>
            </w:r>
          </w:p>
        </w:tc>
        <w:tc>
          <w:tcPr>
            <w:tcW w:w="1024" w:type="pct"/>
            <w:gridSpan w:val="2"/>
            <w:tcBorders>
              <w:top w:val="nil"/>
              <w:left w:val="nil"/>
              <w:bottom w:val="nil"/>
              <w:right w:val="nil"/>
            </w:tcBorders>
            <w:hideMark/>
          </w:tcPr>
          <w:p w14:paraId="6A8A073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775 (56.7%)</w:t>
            </w:r>
          </w:p>
        </w:tc>
      </w:tr>
      <w:tr w:rsidR="0067481D" w:rsidRPr="00CD5382" w14:paraId="14DBB570" w14:textId="77777777" w:rsidTr="002A277D">
        <w:trPr>
          <w:trHeight w:val="20"/>
        </w:trPr>
        <w:tc>
          <w:tcPr>
            <w:tcW w:w="1286" w:type="pct"/>
            <w:gridSpan w:val="2"/>
            <w:tcBorders>
              <w:top w:val="nil"/>
              <w:left w:val="nil"/>
              <w:bottom w:val="nil"/>
              <w:right w:val="nil"/>
            </w:tcBorders>
            <w:hideMark/>
          </w:tcPr>
          <w:p w14:paraId="0D7690CF"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10th Decile (</w:t>
            </w:r>
            <w:r w:rsidRPr="00CD5382">
              <w:rPr>
                <w:rFonts w:ascii="Times New Roman" w:hAnsi="Times New Roman"/>
                <w:i/>
                <w:color w:val="3333FF"/>
              </w:rPr>
              <w:t>n</w:t>
            </w:r>
            <w:r w:rsidRPr="00CD5382">
              <w:rPr>
                <w:rFonts w:ascii="Times New Roman" w:hAnsi="Times New Roman"/>
                <w:color w:val="3333FF"/>
              </w:rPr>
              <w:t xml:space="preserve"> = 98 to 552)</w:t>
            </w:r>
          </w:p>
        </w:tc>
        <w:tc>
          <w:tcPr>
            <w:tcW w:w="641" w:type="pct"/>
            <w:tcBorders>
              <w:top w:val="nil"/>
              <w:left w:val="nil"/>
              <w:bottom w:val="nil"/>
              <w:right w:val="nil"/>
            </w:tcBorders>
            <w:hideMark/>
          </w:tcPr>
          <w:p w14:paraId="189DFA97"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1,355</w:t>
            </w:r>
          </w:p>
        </w:tc>
        <w:tc>
          <w:tcPr>
            <w:tcW w:w="1024" w:type="pct"/>
            <w:gridSpan w:val="2"/>
            <w:tcBorders>
              <w:top w:val="nil"/>
              <w:left w:val="nil"/>
              <w:bottom w:val="nil"/>
              <w:right w:val="nil"/>
            </w:tcBorders>
            <w:hideMark/>
          </w:tcPr>
          <w:p w14:paraId="7FA33ED4"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725 (53.5%)</w:t>
            </w:r>
          </w:p>
        </w:tc>
        <w:tc>
          <w:tcPr>
            <w:tcW w:w="1025" w:type="pct"/>
            <w:gridSpan w:val="2"/>
            <w:tcBorders>
              <w:top w:val="nil"/>
              <w:left w:val="nil"/>
              <w:bottom w:val="nil"/>
              <w:right w:val="nil"/>
            </w:tcBorders>
            <w:hideMark/>
          </w:tcPr>
          <w:p w14:paraId="34AE5243"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155 (11.4%) </w:t>
            </w:r>
          </w:p>
        </w:tc>
        <w:tc>
          <w:tcPr>
            <w:tcW w:w="1024" w:type="pct"/>
            <w:gridSpan w:val="2"/>
            <w:tcBorders>
              <w:top w:val="nil"/>
              <w:left w:val="nil"/>
              <w:bottom w:val="nil"/>
              <w:right w:val="nil"/>
            </w:tcBorders>
            <w:hideMark/>
          </w:tcPr>
          <w:p w14:paraId="1E96A8F0"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880 (64.9%)</w:t>
            </w:r>
          </w:p>
        </w:tc>
      </w:tr>
      <w:tr w:rsidR="0067481D" w:rsidRPr="00CD5382" w14:paraId="3909CA74" w14:textId="77777777" w:rsidTr="002A277D">
        <w:trPr>
          <w:cnfStyle w:val="010000000000" w:firstRow="0" w:lastRow="1" w:firstColumn="0" w:lastColumn="0" w:oddVBand="0" w:evenVBand="0" w:oddHBand="0" w:evenHBand="0" w:firstRowFirstColumn="0" w:firstRowLastColumn="0" w:lastRowFirstColumn="0" w:lastRowLastColumn="0"/>
          <w:trHeight w:val="20"/>
        </w:trPr>
        <w:tc>
          <w:tcPr>
            <w:tcW w:w="1286" w:type="pct"/>
            <w:gridSpan w:val="2"/>
            <w:tcBorders>
              <w:top w:val="nil"/>
              <w:left w:val="nil"/>
              <w:right w:val="nil"/>
            </w:tcBorders>
            <w:hideMark/>
          </w:tcPr>
          <w:p w14:paraId="4BCC50A5"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Total</w:t>
            </w:r>
          </w:p>
        </w:tc>
        <w:tc>
          <w:tcPr>
            <w:tcW w:w="641" w:type="pct"/>
            <w:tcBorders>
              <w:top w:val="nil"/>
              <w:left w:val="nil"/>
              <w:right w:val="nil"/>
            </w:tcBorders>
            <w:hideMark/>
          </w:tcPr>
          <w:p w14:paraId="783EA44D"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13,691</w:t>
            </w:r>
          </w:p>
        </w:tc>
        <w:tc>
          <w:tcPr>
            <w:tcW w:w="1024" w:type="pct"/>
            <w:gridSpan w:val="2"/>
            <w:tcBorders>
              <w:top w:val="nil"/>
              <w:left w:val="nil"/>
              <w:right w:val="nil"/>
            </w:tcBorders>
            <w:hideMark/>
          </w:tcPr>
          <w:p w14:paraId="1632206D"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4,997 (36.5%)</w:t>
            </w:r>
          </w:p>
        </w:tc>
        <w:tc>
          <w:tcPr>
            <w:tcW w:w="1025" w:type="pct"/>
            <w:gridSpan w:val="2"/>
            <w:tcBorders>
              <w:top w:val="nil"/>
              <w:left w:val="nil"/>
              <w:right w:val="nil"/>
            </w:tcBorders>
            <w:hideMark/>
          </w:tcPr>
          <w:p w14:paraId="1C12B238"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1,330 (9.7%) </w:t>
            </w:r>
          </w:p>
        </w:tc>
        <w:tc>
          <w:tcPr>
            <w:tcW w:w="1024" w:type="pct"/>
            <w:gridSpan w:val="2"/>
            <w:tcBorders>
              <w:top w:val="nil"/>
              <w:left w:val="nil"/>
              <w:right w:val="nil"/>
            </w:tcBorders>
            <w:hideMark/>
          </w:tcPr>
          <w:p w14:paraId="144BBFCD"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6,327 (46.2%)</w:t>
            </w:r>
          </w:p>
        </w:tc>
      </w:tr>
    </w:tbl>
    <w:p w14:paraId="40814B54" w14:textId="77777777" w:rsidR="00CD5382" w:rsidRDefault="008D5783" w:rsidP="00B4226E">
      <w:pPr>
        <w:pStyle w:val="Response"/>
        <w:rPr>
          <w:sz w:val="20"/>
          <w:szCs w:val="20"/>
        </w:rPr>
      </w:pPr>
      <w:r>
        <w:rPr>
          <w:sz w:val="20"/>
          <w:szCs w:val="20"/>
        </w:rPr>
        <w:t xml:space="preserve">NOTE: </w:t>
      </w:r>
      <w:r w:rsidRPr="00E81353">
        <w:rPr>
          <w:i/>
          <w:iCs/>
          <w:sz w:val="20"/>
          <w:szCs w:val="20"/>
        </w:rPr>
        <w:t xml:space="preserve">k </w:t>
      </w:r>
      <w:r w:rsidRPr="00E81353">
        <w:rPr>
          <w:sz w:val="20"/>
          <w:szCs w:val="20"/>
        </w:rPr>
        <w:t>= number of facilities that meet minimum requirements for public re</w:t>
      </w:r>
      <w:r w:rsidR="00CD5382">
        <w:rPr>
          <w:sz w:val="20"/>
          <w:szCs w:val="20"/>
        </w:rPr>
        <w:t xml:space="preserve">porting this quality measure. </w:t>
      </w:r>
    </w:p>
    <w:p w14:paraId="1CFE3100" w14:textId="5AE2FBCD" w:rsidR="00B4226E" w:rsidRPr="00CD5382" w:rsidRDefault="00B4226E" w:rsidP="00B4226E">
      <w:pPr>
        <w:pStyle w:val="Response"/>
        <w:rPr>
          <w:sz w:val="20"/>
          <w:szCs w:val="20"/>
        </w:rPr>
      </w:pPr>
      <w:r w:rsidRPr="002A23FE">
        <w:rPr>
          <w:sz w:val="20"/>
          <w:szCs w:val="20"/>
        </w:rPr>
        <w:t xml:space="preserve">Analysis date: </w:t>
      </w:r>
      <w:r>
        <w:rPr>
          <w:sz w:val="20"/>
          <w:szCs w:val="20"/>
        </w:rPr>
        <w:t>4</w:t>
      </w:r>
      <w:r w:rsidRPr="002A23FE">
        <w:rPr>
          <w:sz w:val="20"/>
          <w:szCs w:val="20"/>
        </w:rPr>
        <w:t>/5/201</w:t>
      </w:r>
      <w:r>
        <w:rPr>
          <w:sz w:val="20"/>
          <w:szCs w:val="20"/>
        </w:rPr>
        <w:t>8</w:t>
      </w:r>
    </w:p>
    <w:p w14:paraId="5EAA972D" w14:textId="50E2DB16" w:rsidR="00B4226E" w:rsidRDefault="00B4226E" w:rsidP="00B4226E">
      <w:pPr>
        <w:autoSpaceDE w:val="0"/>
        <w:autoSpaceDN w:val="0"/>
        <w:adjustRightInd w:val="0"/>
        <w:spacing w:after="0" w:line="240" w:lineRule="auto"/>
        <w:rPr>
          <w:rFonts w:cstheme="minorHAnsi"/>
          <w:bCs/>
          <w:color w:val="0000FF"/>
          <w:sz w:val="20"/>
          <w:szCs w:val="20"/>
        </w:rPr>
      </w:pPr>
      <w:r w:rsidRPr="002A23FE">
        <w:rPr>
          <w:rFonts w:cstheme="minorHAnsi"/>
          <w:bCs/>
          <w:color w:val="0000FF"/>
          <w:sz w:val="20"/>
          <w:szCs w:val="20"/>
        </w:rPr>
        <w:t>SOURCE: RTI analysis of Q2 2017 MDS 3.0 data (programming reference: rn01\</w:t>
      </w:r>
      <w:r>
        <w:rPr>
          <w:rFonts w:cstheme="minorHAnsi"/>
          <w:bCs/>
          <w:color w:val="0000FF"/>
          <w:sz w:val="20"/>
          <w:szCs w:val="20"/>
        </w:rPr>
        <w:t>ac</w:t>
      </w:r>
      <w:r w:rsidRPr="002A23FE">
        <w:rPr>
          <w:rFonts w:cstheme="minorHAnsi"/>
          <w:bCs/>
          <w:color w:val="0000FF"/>
          <w:sz w:val="20"/>
          <w:szCs w:val="20"/>
        </w:rPr>
        <w:t>364_request_q2627_677.log)</w:t>
      </w:r>
    </w:p>
    <w:p w14:paraId="470CA7F6" w14:textId="77777777" w:rsidR="00D83DDE" w:rsidRDefault="00D83DDE" w:rsidP="00DB3627">
      <w:pPr>
        <w:autoSpaceDE w:val="0"/>
        <w:autoSpaceDN w:val="0"/>
        <w:adjustRightInd w:val="0"/>
        <w:spacing w:after="0" w:line="240" w:lineRule="auto"/>
        <w:rPr>
          <w:rFonts w:cstheme="minorHAnsi"/>
          <w:b/>
          <w:bCs/>
        </w:rPr>
      </w:pPr>
    </w:p>
    <w:p w14:paraId="0CABCFDF" w14:textId="4E239B61"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525B8044" w14:textId="3BBCE77D" w:rsidR="00011D11" w:rsidRPr="00760055" w:rsidRDefault="00011D11" w:rsidP="00011D11">
      <w:pPr>
        <w:pStyle w:val="Response"/>
        <w:rPr>
          <w:b/>
          <w:noProof/>
        </w:rPr>
      </w:pPr>
      <w:r w:rsidRPr="00760055">
        <w:rPr>
          <w:b/>
          <w:noProof/>
        </w:rPr>
        <w:t>Critical Data Element</w:t>
      </w:r>
      <w:r>
        <w:rPr>
          <w:b/>
          <w:noProof/>
        </w:rPr>
        <w:t xml:space="preserve"> Validity</w:t>
      </w:r>
    </w:p>
    <w:p w14:paraId="39E4AF13" w14:textId="77777777" w:rsidR="00CD5382" w:rsidRDefault="00B04728" w:rsidP="00011D11">
      <w:pPr>
        <w:pStyle w:val="Response"/>
        <w:rPr>
          <w:rFonts w:cstheme="minorBidi"/>
        </w:rPr>
      </w:pPr>
      <w:r w:rsidRPr="00CD5382">
        <w:rPr>
          <w:rFonts w:cstheme="minorBidi"/>
        </w:rPr>
        <w:t>The items used to define self-reported pain and the risk adjustment covariate</w:t>
      </w:r>
      <w:r w:rsidR="00CD017B" w:rsidRPr="00CD5382">
        <w:rPr>
          <w:rFonts w:cstheme="minorBidi"/>
        </w:rPr>
        <w:t xml:space="preserve"> </w:t>
      </w:r>
      <w:r w:rsidR="00011D11" w:rsidRPr="00CD5382">
        <w:rPr>
          <w:rFonts w:cstheme="minorBidi"/>
        </w:rPr>
        <w:t xml:space="preserve">have good item level </w:t>
      </w:r>
      <w:r w:rsidR="00AA4DEC" w:rsidRPr="00CD5382">
        <w:rPr>
          <w:rFonts w:cstheme="minorBidi"/>
        </w:rPr>
        <w:t xml:space="preserve">criterion </w:t>
      </w:r>
      <w:r w:rsidR="00011D11" w:rsidRPr="00CD5382">
        <w:rPr>
          <w:rFonts w:cstheme="minorBidi"/>
        </w:rPr>
        <w:t xml:space="preserve">validity (based on the </w:t>
      </w:r>
      <w:r w:rsidRPr="00CD5382">
        <w:rPr>
          <w:rFonts w:cstheme="minorBidi"/>
        </w:rPr>
        <w:t>results of the national pilot test of the MDS 3.0</w:t>
      </w:r>
      <w:r w:rsidR="00011D11" w:rsidRPr="00CD5382">
        <w:rPr>
          <w:rFonts w:cstheme="minorBidi"/>
        </w:rPr>
        <w:t>).</w:t>
      </w:r>
      <w:r w:rsidR="00011D11">
        <w:rPr>
          <w:rFonts w:cstheme="minorBidi"/>
        </w:rPr>
        <w:t xml:space="preserve"> </w:t>
      </w:r>
    </w:p>
    <w:p w14:paraId="3247145E" w14:textId="29FBBF3F" w:rsidR="00011D11" w:rsidRPr="002A23FE" w:rsidRDefault="00583C8F" w:rsidP="00011D11">
      <w:pPr>
        <w:pStyle w:val="Response"/>
        <w:rPr>
          <w:b/>
        </w:rPr>
      </w:pPr>
      <w:r w:rsidRPr="002A23FE">
        <w:rPr>
          <w:b/>
        </w:rPr>
        <w:t xml:space="preserve">Performance </w:t>
      </w:r>
      <w:r w:rsidR="005832A7">
        <w:rPr>
          <w:b/>
        </w:rPr>
        <w:t xml:space="preserve">Measure </w:t>
      </w:r>
      <w:r w:rsidRPr="002A23FE">
        <w:rPr>
          <w:b/>
        </w:rPr>
        <w:t>Score Validity</w:t>
      </w:r>
    </w:p>
    <w:p w14:paraId="1A6F0507" w14:textId="0E2384F1" w:rsidR="00583C8F" w:rsidRPr="009A0812" w:rsidRDefault="00BD462E" w:rsidP="00011D11">
      <w:pPr>
        <w:pStyle w:val="Response"/>
      </w:pPr>
      <w:r>
        <w:t xml:space="preserve">RTI’s analyses indicated that </w:t>
      </w:r>
      <w:r w:rsidR="004650BE">
        <w:t>this measure</w:t>
      </w:r>
      <w:r w:rsidR="00583C8F" w:rsidRPr="000C66BE">
        <w:t xml:space="preserve"> is</w:t>
      </w:r>
      <w:r>
        <w:t xml:space="preserve"> a valid measurement of self-reported pain. </w:t>
      </w:r>
      <w:r w:rsidR="002D27EC">
        <w:t xml:space="preserve">Facilities’ </w:t>
      </w:r>
      <w:r>
        <w:t>scores on the long-stay pain measure (NQF</w:t>
      </w:r>
      <w:r w:rsidR="003674F4">
        <w:t xml:space="preserve"> #</w:t>
      </w:r>
      <w:r>
        <w:t xml:space="preserve">0677) </w:t>
      </w:r>
      <w:r w:rsidR="003674F4">
        <w:t>are strongly correlated</w:t>
      </w:r>
      <w:r w:rsidR="00583C8F" w:rsidRPr="000C66BE">
        <w:t xml:space="preserve"> with </w:t>
      </w:r>
      <w:r>
        <w:t xml:space="preserve">their scores on </w:t>
      </w:r>
      <w:r w:rsidR="00583C8F" w:rsidRPr="000C66BE">
        <w:t>the measure of self-reported pain among short-stay residents</w:t>
      </w:r>
      <w:r w:rsidR="000C66BE" w:rsidRPr="000C66BE">
        <w:t xml:space="preserve"> (NQF </w:t>
      </w:r>
      <w:r w:rsidR="000C66BE" w:rsidRPr="009A0812">
        <w:t>#0676)</w:t>
      </w:r>
      <w:r w:rsidR="00FD0B09" w:rsidRPr="009A0812">
        <w:t xml:space="preserve">, </w:t>
      </w:r>
      <w:r w:rsidR="003674F4">
        <w:t>demonstrating</w:t>
      </w:r>
      <w:r w:rsidR="00FD0B09" w:rsidRPr="009A0812">
        <w:t xml:space="preserve"> convergent validity</w:t>
      </w:r>
      <w:r w:rsidR="00583C8F" w:rsidRPr="009A0812">
        <w:t>.</w:t>
      </w:r>
    </w:p>
    <w:p w14:paraId="6EA4D98C" w14:textId="09C3A5AE" w:rsidR="00DD4147" w:rsidRPr="009A0812" w:rsidRDefault="00BD462E" w:rsidP="00011D11">
      <w:pPr>
        <w:pStyle w:val="Response"/>
      </w:pPr>
      <w:r w:rsidRPr="00CD5382">
        <w:t>This measure</w:t>
      </w:r>
      <w:r w:rsidR="00DD4147" w:rsidRPr="00CD5382">
        <w:t xml:space="preserve"> does not</w:t>
      </w:r>
      <w:r w:rsidR="00FD0B09" w:rsidRPr="00CD5382">
        <w:t xml:space="preserve"> </w:t>
      </w:r>
      <w:r w:rsidR="00DD4147" w:rsidRPr="00CD5382">
        <w:t>vary</w:t>
      </w:r>
      <w:r w:rsidR="00FD0B09" w:rsidRPr="00CD5382">
        <w:t xml:space="preserve"> substantially from quarter to quarter corr</w:t>
      </w:r>
      <w:r w:rsidR="00DD4147" w:rsidRPr="00CD5382">
        <w:t>esponding to changes in seasons;</w:t>
      </w:r>
      <w:r w:rsidR="00FD0B09" w:rsidRPr="00CD5382">
        <w:t xml:space="preserve"> </w:t>
      </w:r>
      <w:r w:rsidR="00DD4147" w:rsidRPr="00CD5382">
        <w:t xml:space="preserve">thus, </w:t>
      </w:r>
      <w:r w:rsidR="00011D11" w:rsidRPr="00CD5382">
        <w:t xml:space="preserve">seasonality </w:t>
      </w:r>
      <w:r w:rsidR="00DD4147" w:rsidRPr="00CD5382">
        <w:t xml:space="preserve">is not a threat to validity for this measure. </w:t>
      </w:r>
      <w:r w:rsidR="00F93E8C" w:rsidRPr="00CD5382">
        <w:t xml:space="preserve"> This measure is also stable over time and demonstrates substantial variation.</w:t>
      </w:r>
    </w:p>
    <w:p w14:paraId="61FE8CA1" w14:textId="61FF7D81" w:rsidR="00011D11" w:rsidRPr="00052368" w:rsidRDefault="00011D11" w:rsidP="00011D11">
      <w:pPr>
        <w:pStyle w:val="Response"/>
      </w:pPr>
      <w:r w:rsidRPr="009A0812">
        <w:t>Please see section 2b</w:t>
      </w:r>
      <w:r w:rsidR="00A51237" w:rsidRPr="009A0812">
        <w:t>6</w:t>
      </w:r>
      <w:r w:rsidRPr="009A0812">
        <w:t xml:space="preserve"> </w:t>
      </w:r>
      <w:r w:rsidR="00DD4147" w:rsidRPr="009A0812">
        <w:t>for</w:t>
      </w:r>
      <w:r w:rsidR="00644250" w:rsidRPr="009A0812">
        <w:t xml:space="preserve"> analysis of the impact of missing data on</w:t>
      </w:r>
      <w:r w:rsidR="00DD4147" w:rsidRPr="009A0812">
        <w:t xml:space="preserve"> this measure</w:t>
      </w:r>
      <w:r w:rsidR="002D27EC">
        <w:t>,</w:t>
      </w:r>
      <w:r w:rsidR="00DD4147" w:rsidRPr="009A0812">
        <w:t xml:space="preserve"> which also speaks to validity</w:t>
      </w:r>
      <w:r w:rsidRPr="009A0812">
        <w:t>.</w:t>
      </w:r>
      <w:r w:rsidRPr="00BB459D">
        <w:t xml:space="preserve"> </w:t>
      </w:r>
    </w:p>
    <w:p w14:paraId="4953FE96" w14:textId="77777777" w:rsidR="00590AC5" w:rsidRPr="00A25024" w:rsidRDefault="00590AC5"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42B6A4AF" w14:textId="48AB1ECA" w:rsidR="008D3207" w:rsidRDefault="0008694E" w:rsidP="00543069">
      <w:pPr>
        <w:pStyle w:val="Response"/>
      </w:pPr>
      <w:r>
        <w:t>The</w:t>
      </w:r>
      <w:r w:rsidR="000A1076">
        <w:t xml:space="preserve"> denominator</w:t>
      </w:r>
      <w:r w:rsidR="00F450FE">
        <w:t xml:space="preserve"> exclusion criteria</w:t>
      </w:r>
      <w:r w:rsidR="004A1A9B">
        <w:t xml:space="preserve"> for this quality measure</w:t>
      </w:r>
      <w:r w:rsidR="005E7983">
        <w:t xml:space="preserve"> are</w:t>
      </w:r>
      <w:r>
        <w:t xml:space="preserve"> as follows</w:t>
      </w:r>
      <w:r w:rsidR="008D3207">
        <w:t xml:space="preserve">: </w:t>
      </w:r>
      <w:r>
        <w:t xml:space="preserve">1) The </w:t>
      </w:r>
      <w:r w:rsidR="008D3207">
        <w:t>target assessment is an admission assessment, a PPS 5-day assessment or a PPS readmission/return assessment;</w:t>
      </w:r>
      <w:r w:rsidR="00F450FE">
        <w:t xml:space="preserve"> </w:t>
      </w:r>
      <w:r w:rsidR="008D3207">
        <w:t>2) The resident cannot self-report;</w:t>
      </w:r>
      <w:r w:rsidR="00F450FE">
        <w:t xml:space="preserve"> </w:t>
      </w:r>
      <w:r w:rsidR="008D3207">
        <w:t xml:space="preserve">3) </w:t>
      </w:r>
      <w:r w:rsidR="00ED706D">
        <w:t xml:space="preserve">The target </w:t>
      </w:r>
      <w:r w:rsidR="008D3207">
        <w:t>assessment indicates that the resident had pain or hurting at any time in the last 5 days, but the pain intensity item indicates no pain</w:t>
      </w:r>
      <w:r w:rsidR="002D27EC">
        <w:t>; or</w:t>
      </w:r>
      <w:r w:rsidR="00ED706D">
        <w:t xml:space="preserve"> 4) There are missing data in the responses to the relevant pain assessment items in the target assessment.</w:t>
      </w:r>
    </w:p>
    <w:p w14:paraId="7D86D4C7" w14:textId="76AA76B5" w:rsidR="00075F7F" w:rsidRDefault="00075F7F" w:rsidP="008D3207">
      <w:pPr>
        <w:pStyle w:val="Response"/>
      </w:pPr>
      <w:r>
        <w:t xml:space="preserve">RTI examined the frequency and proportion of residents excluded from this measure for each of the exclusion criteria </w:t>
      </w:r>
      <w:r w:rsidR="004A1A9B">
        <w:t>for this quality measure</w:t>
      </w:r>
      <w:r>
        <w:t>.</w:t>
      </w:r>
    </w:p>
    <w:p w14:paraId="54C39154" w14:textId="249030CB" w:rsidR="00F450FE" w:rsidRDefault="0008694E" w:rsidP="008D3207">
      <w:pPr>
        <w:pStyle w:val="Response"/>
      </w:pPr>
      <w:r>
        <w:t>Exclusion criterion</w:t>
      </w:r>
      <w:r w:rsidR="00F450FE" w:rsidRPr="007E7668">
        <w:t xml:space="preserve"> </w:t>
      </w:r>
      <w:r w:rsidR="00ED706D">
        <w:t>4</w:t>
      </w:r>
      <w:r w:rsidR="00F450FE" w:rsidRPr="007E7668">
        <w:t xml:space="preserve"> </w:t>
      </w:r>
      <w:r>
        <w:t>relating</w:t>
      </w:r>
      <w:r w:rsidR="00F450FE" w:rsidRPr="007E7668">
        <w:t xml:space="preserve"> to missing data </w:t>
      </w:r>
      <w:r>
        <w:t>is</w:t>
      </w:r>
      <w:r w:rsidR="00F450FE" w:rsidRPr="007E7668">
        <w:t xml:space="preserve"> assessed in </w:t>
      </w:r>
      <w:r w:rsidR="00075F7F" w:rsidRPr="007E7668">
        <w:t xml:space="preserve">greater detail in </w:t>
      </w:r>
      <w:r w:rsidR="00F450FE" w:rsidRPr="007E7668">
        <w:t>section 2b</w:t>
      </w:r>
      <w:r w:rsidR="00543069" w:rsidRPr="007E7668">
        <w:t>6</w:t>
      </w:r>
      <w:r w:rsidR="00F450FE" w:rsidRPr="007E7668">
        <w:t>.</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2D9FE52B"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6A278034" w14:textId="3593A484" w:rsidR="003E2676" w:rsidRDefault="003E2676" w:rsidP="00092566">
      <w:pPr>
        <w:autoSpaceDE w:val="0"/>
        <w:autoSpaceDN w:val="0"/>
        <w:adjustRightInd w:val="0"/>
        <w:spacing w:after="0" w:line="240" w:lineRule="auto"/>
        <w:rPr>
          <w:rFonts w:cstheme="minorHAnsi"/>
          <w:bCs/>
        </w:rPr>
      </w:pPr>
    </w:p>
    <w:p w14:paraId="4D8CD18B" w14:textId="370B9211" w:rsidR="0012754C" w:rsidRPr="007F24BB" w:rsidRDefault="007F24BB" w:rsidP="007F24BB">
      <w:pPr>
        <w:autoSpaceDE w:val="0"/>
        <w:autoSpaceDN w:val="0"/>
        <w:adjustRightInd w:val="0"/>
        <w:spacing w:after="0" w:line="240" w:lineRule="auto"/>
        <w:rPr>
          <w:rFonts w:ascii="Calibri" w:eastAsia="MS Mincho" w:hAnsi="Calibri" w:cs="Calibri"/>
          <w:bCs/>
          <w:color w:val="0000FF"/>
        </w:rPr>
      </w:pPr>
      <w:r w:rsidRPr="007F24BB">
        <w:rPr>
          <w:rFonts w:ascii="Calibri" w:eastAsia="MS Mincho" w:hAnsi="Calibri" w:cs="Calibri"/>
          <w:bCs/>
          <w:color w:val="0000FF"/>
        </w:rPr>
        <w:t>A total of 281,972 residents were excluded from this quality measure based on the measure denominator exclusions as described above (</w:t>
      </w:r>
      <w:r w:rsidR="004C76FB">
        <w:rPr>
          <w:rFonts w:ascii="Calibri" w:eastAsia="MS Mincho" w:hAnsi="Calibri" w:cs="Calibri"/>
          <w:bCs/>
          <w:color w:val="0000FF"/>
        </w:rPr>
        <w:t xml:space="preserve">i.e., </w:t>
      </w:r>
      <w:r w:rsidRPr="007F24BB">
        <w:rPr>
          <w:rFonts w:ascii="Calibri" w:eastAsia="MS Mincho" w:hAnsi="Calibri" w:cs="Calibri"/>
          <w:bCs/>
          <w:color w:val="0000FF"/>
        </w:rPr>
        <w:t>25.2% of long-stay residents in Quarter 2, 2017)</w:t>
      </w:r>
      <w:r w:rsidR="004C76FB">
        <w:rPr>
          <w:rFonts w:ascii="Calibri" w:eastAsia="MS Mincho" w:hAnsi="Calibri" w:cs="Calibri"/>
          <w:bCs/>
          <w:color w:val="0000FF"/>
        </w:rPr>
        <w:t>;</w:t>
      </w:r>
      <w:r w:rsidRPr="007F24BB">
        <w:rPr>
          <w:rFonts w:ascii="Calibri" w:eastAsia="MS Mincho" w:hAnsi="Calibri" w:cs="Calibri"/>
          <w:bCs/>
          <w:color w:val="0000FF"/>
        </w:rPr>
        <w:t xml:space="preserve"> please note that exclusion criteria are not mutually exclusive.</w:t>
      </w:r>
    </w:p>
    <w:p w14:paraId="0137291F" w14:textId="6A2A35D1" w:rsidR="00644832" w:rsidRDefault="00177E85" w:rsidP="007C1C25">
      <w:pPr>
        <w:pStyle w:val="ListBullet2"/>
        <w:numPr>
          <w:ilvl w:val="0"/>
          <w:numId w:val="0"/>
        </w:numPr>
        <w:ind w:left="360"/>
      </w:pPr>
      <w:r w:rsidRPr="00177E85">
        <w:t>173,982</w:t>
      </w:r>
      <w:r w:rsidR="009B2293" w:rsidRPr="00207CD8">
        <w:t xml:space="preserve"> (</w:t>
      </w:r>
      <w:r w:rsidRPr="00D06492">
        <w:t>15.5</w:t>
      </w:r>
      <w:r w:rsidR="007343CB" w:rsidRPr="00D06492">
        <w:t>%</w:t>
      </w:r>
      <w:r w:rsidR="0053595C" w:rsidRPr="00D06492">
        <w:t xml:space="preserve"> </w:t>
      </w:r>
      <w:r w:rsidR="0012754C" w:rsidRPr="00D06492">
        <w:t>of long-stay residents in Quarter 2, 2017</w:t>
      </w:r>
      <w:r w:rsidR="009B2293" w:rsidRPr="00D06492">
        <w:t xml:space="preserve">) </w:t>
      </w:r>
      <w:bookmarkStart w:id="21" w:name="_Hlk500504231"/>
      <w:r w:rsidR="009B2293" w:rsidRPr="00D06492">
        <w:t>residents</w:t>
      </w:r>
      <w:r w:rsidR="00E950C6">
        <w:t xml:space="preserve"> were excluded because </w:t>
      </w:r>
      <w:r w:rsidR="004C76FB">
        <w:t>they</w:t>
      </w:r>
      <w:r w:rsidR="004C76FB" w:rsidRPr="00207CD8">
        <w:t xml:space="preserve"> </w:t>
      </w:r>
      <w:r w:rsidR="009B2293" w:rsidRPr="00207CD8">
        <w:t xml:space="preserve">were unable to participate in the pain assessment interview (i.e., they were rarely or never understood (J0200 = [0]) or they were unable to answer when asked, “Have you had pain or hurting at any time in the last 5 days? (J0300 = [9])). </w:t>
      </w:r>
      <w:r w:rsidR="007C1C25" w:rsidRPr="00207CD8">
        <w:t>While this is a substantial proportion of the long</w:t>
      </w:r>
      <w:r w:rsidR="007C1C25">
        <w:t>-</w:t>
      </w:r>
      <w:r w:rsidR="007C1C25" w:rsidRPr="00207CD8">
        <w:t xml:space="preserve">stay resident population, there have not been major changes over time to the proportion excluded for this reason. </w:t>
      </w:r>
      <w:r w:rsidR="007C1C25">
        <w:t xml:space="preserve">This measure includes only those individuals who </w:t>
      </w:r>
      <w:r w:rsidR="00F07565">
        <w:t>can</w:t>
      </w:r>
      <w:r w:rsidR="007C1C25">
        <w:t xml:space="preserve"> self-report pain</w:t>
      </w:r>
      <w:r w:rsidR="001E78EC">
        <w:t>;</w:t>
      </w:r>
      <w:r w:rsidR="007C1C25">
        <w:t xml:space="preserve"> those unable to self-report would have their pain assessed by nursing facility staff assessment. </w:t>
      </w:r>
      <w:r w:rsidR="007C1C25" w:rsidRPr="00207CD8">
        <w:t>The decision to focus on self-report</w:t>
      </w:r>
      <w:r w:rsidR="001E78EC">
        <w:t>ed pain</w:t>
      </w:r>
      <w:r w:rsidR="007C1C25" w:rsidRPr="00207CD8">
        <w:t xml:space="preserve"> was previously well vetted with the Nursing Home Quality Measure (NHQM) project TEP and based on literature showing results from self-report and staff assessment are not comparable.</w:t>
      </w:r>
      <w:r w:rsidR="007C1C25">
        <w:t xml:space="preserve"> </w:t>
      </w:r>
    </w:p>
    <w:p w14:paraId="733E8F58" w14:textId="77777777" w:rsidR="00644832" w:rsidRDefault="00644832" w:rsidP="007C1C25">
      <w:pPr>
        <w:pStyle w:val="ListBullet2"/>
        <w:numPr>
          <w:ilvl w:val="0"/>
          <w:numId w:val="0"/>
        </w:numPr>
        <w:ind w:left="360"/>
      </w:pPr>
    </w:p>
    <w:p w14:paraId="21DC667B" w14:textId="67C908D1" w:rsidR="009A6BAC" w:rsidRDefault="00644832" w:rsidP="009878F2">
      <w:pPr>
        <w:pStyle w:val="ListBullet2"/>
        <w:numPr>
          <w:ilvl w:val="0"/>
          <w:numId w:val="0"/>
        </w:numPr>
        <w:spacing w:after="0"/>
        <w:ind w:left="360"/>
      </w:pPr>
      <w:r>
        <w:t>534 residents (&lt;0.</w:t>
      </w:r>
      <w:r w:rsidR="00F65D2B">
        <w:t>1</w:t>
      </w:r>
      <w:r>
        <w:t>% of long</w:t>
      </w:r>
      <w:r w:rsidRPr="00644832">
        <w:t>-stay residents in Quarter 2, 2017) were excluded because data on pain items were inconsistent (item J0300 indicated pain or hurting but item J0600A indicated a pain rating of [0]).</w:t>
      </w:r>
    </w:p>
    <w:p w14:paraId="7CB72187" w14:textId="77777777" w:rsidR="009A6BAC" w:rsidRDefault="009A6BAC" w:rsidP="009878F2">
      <w:pPr>
        <w:pStyle w:val="ListBullet2"/>
        <w:numPr>
          <w:ilvl w:val="0"/>
          <w:numId w:val="0"/>
        </w:numPr>
        <w:spacing w:after="0"/>
        <w:ind w:left="360"/>
      </w:pPr>
    </w:p>
    <w:p w14:paraId="6101AB26" w14:textId="101C7F7D" w:rsidR="00313113" w:rsidRDefault="0012754C" w:rsidP="00644832">
      <w:pPr>
        <w:pStyle w:val="ListBullet2"/>
        <w:numPr>
          <w:ilvl w:val="0"/>
          <w:numId w:val="0"/>
        </w:numPr>
        <w:ind w:left="360"/>
      </w:pPr>
      <w:r w:rsidRPr="00906F3D">
        <w:rPr>
          <w:bCs w:val="0"/>
        </w:rPr>
        <w:t>96,793 residents (8.6</w:t>
      </w:r>
      <w:r w:rsidR="00DB40F3" w:rsidRPr="00906F3D">
        <w:rPr>
          <w:bCs w:val="0"/>
        </w:rPr>
        <w:t>%</w:t>
      </w:r>
      <w:r w:rsidRPr="00906F3D">
        <w:rPr>
          <w:bCs w:val="0"/>
        </w:rPr>
        <w:t xml:space="preserve"> of long-stay residents</w:t>
      </w:r>
      <w:r w:rsidR="00E24089" w:rsidRPr="00906F3D">
        <w:rPr>
          <w:bCs w:val="0"/>
        </w:rPr>
        <w:t xml:space="preserve"> in Quarter 2, 2017</w:t>
      </w:r>
      <w:r w:rsidRPr="00906F3D">
        <w:rPr>
          <w:bCs w:val="0"/>
        </w:rPr>
        <w:t xml:space="preserve">) were excluded due to missing data on pain items. </w:t>
      </w:r>
      <w:r w:rsidR="007B63F5" w:rsidRPr="00906F3D">
        <w:rPr>
          <w:bCs w:val="0"/>
        </w:rPr>
        <w:t xml:space="preserve">Of </w:t>
      </w:r>
      <w:r w:rsidR="00B96313" w:rsidRPr="00906F3D">
        <w:rPr>
          <w:bCs w:val="0"/>
        </w:rPr>
        <w:t>the 96,793 residents</w:t>
      </w:r>
      <w:r w:rsidR="007B63F5" w:rsidRPr="00906F3D">
        <w:rPr>
          <w:bCs w:val="0"/>
        </w:rPr>
        <w:t xml:space="preserve"> excluded due to missing data on pain items</w:t>
      </w:r>
      <w:r w:rsidR="001E78EC">
        <w:rPr>
          <w:bCs w:val="0"/>
        </w:rPr>
        <w:t>,</w:t>
      </w:r>
      <w:r w:rsidR="007B63F5" w:rsidRPr="00906F3D">
        <w:rPr>
          <w:bCs w:val="0"/>
        </w:rPr>
        <w:t xml:space="preserve"> 62,942</w:t>
      </w:r>
      <w:r w:rsidR="006212DB" w:rsidRPr="00906F3D">
        <w:rPr>
          <w:bCs w:val="0"/>
        </w:rPr>
        <w:t xml:space="preserve"> (</w:t>
      </w:r>
      <w:r w:rsidR="00B96313" w:rsidRPr="00906F3D">
        <w:rPr>
          <w:bCs w:val="0"/>
        </w:rPr>
        <w:t>65.0%</w:t>
      </w:r>
      <w:r w:rsidR="006212DB" w:rsidRPr="00906F3D">
        <w:rPr>
          <w:bCs w:val="0"/>
        </w:rPr>
        <w:t>)</w:t>
      </w:r>
      <w:r w:rsidR="00B96313" w:rsidRPr="00906F3D">
        <w:rPr>
          <w:bCs w:val="0"/>
        </w:rPr>
        <w:t xml:space="preserve"> had </w:t>
      </w:r>
      <w:r w:rsidRPr="00906F3D">
        <w:rPr>
          <w:bCs w:val="0"/>
        </w:rPr>
        <w:t xml:space="preserve">target assessments </w:t>
      </w:r>
      <w:r w:rsidR="00B96313" w:rsidRPr="00906F3D">
        <w:rPr>
          <w:bCs w:val="0"/>
        </w:rPr>
        <w:t xml:space="preserve">that </w:t>
      </w:r>
      <w:r w:rsidRPr="00906F3D">
        <w:rPr>
          <w:bCs w:val="0"/>
        </w:rPr>
        <w:t xml:space="preserve">were </w:t>
      </w:r>
      <w:r w:rsidR="00DB40F3" w:rsidRPr="00906F3D">
        <w:rPr>
          <w:bCs w:val="0"/>
        </w:rPr>
        <w:t>unplanned discharge assessments</w:t>
      </w:r>
      <w:r w:rsidRPr="00906F3D">
        <w:rPr>
          <w:bCs w:val="0"/>
        </w:rPr>
        <w:t xml:space="preserve">. </w:t>
      </w:r>
      <w:r w:rsidR="007A38C1" w:rsidRPr="00906F3D">
        <w:rPr>
          <w:bCs w:val="0"/>
        </w:rPr>
        <w:t xml:space="preserve">If the unplanned discharge item set is used, the resident interview items are not present and </w:t>
      </w:r>
      <w:r w:rsidR="00313113" w:rsidRPr="00906F3D">
        <w:t>there is no opportunity to conduct a resident</w:t>
      </w:r>
      <w:r w:rsidR="00313113" w:rsidRPr="00906F3D">
        <w:rPr>
          <w:bCs w:val="0"/>
        </w:rPr>
        <w:t xml:space="preserve"> interview or staff assessment. In these cases, </w:t>
      </w:r>
      <w:r w:rsidR="00313113" w:rsidRPr="00906F3D">
        <w:t>the MDS 3.0 RAI manual allows for the entry of dashes in lieu of pain data. This is</w:t>
      </w:r>
      <w:r w:rsidR="001E78EC">
        <w:t>,</w:t>
      </w:r>
      <w:r w:rsidR="00313113" w:rsidRPr="00906F3D">
        <w:t xml:space="preserve"> therefore</w:t>
      </w:r>
      <w:r w:rsidR="001E78EC">
        <w:t>,</w:t>
      </w:r>
      <w:r w:rsidR="00313113" w:rsidRPr="00906F3D">
        <w:t xml:space="preserve"> a logical reason to exclude those residents for which no data are available. A </w:t>
      </w:r>
      <w:r w:rsidR="001E78EC">
        <w:t>possible</w:t>
      </w:r>
      <w:r w:rsidR="001E78EC" w:rsidRPr="00906F3D">
        <w:t xml:space="preserve"> </w:t>
      </w:r>
      <w:r w:rsidR="00313113" w:rsidRPr="00906F3D">
        <w:t xml:space="preserve">alternative was to use data from the assessment prior to the unplanned discharge assessment. However, using data from the assessment prior to the unplanned discharge would be potentially problematic, given </w:t>
      </w:r>
      <w:r w:rsidR="001E78EC">
        <w:t xml:space="preserve">that </w:t>
      </w:r>
      <w:r w:rsidR="00313113" w:rsidRPr="00906F3D">
        <w:t>the assessment before the unplanned discharge for long-stay residents might be from as much as 90 days prior to discharge.</w:t>
      </w:r>
    </w:p>
    <w:p w14:paraId="4F537289" w14:textId="56D8332F" w:rsidR="0012754C" w:rsidRDefault="0012754C" w:rsidP="00313113">
      <w:pPr>
        <w:pStyle w:val="ListBullet2"/>
        <w:numPr>
          <w:ilvl w:val="0"/>
          <w:numId w:val="0"/>
        </w:numPr>
      </w:pPr>
    </w:p>
    <w:p w14:paraId="1F523901" w14:textId="0F4C03D8" w:rsidR="003E2676" w:rsidRDefault="0012754C" w:rsidP="00F75A77">
      <w:pPr>
        <w:pStyle w:val="ListBullet2"/>
        <w:numPr>
          <w:ilvl w:val="0"/>
          <w:numId w:val="0"/>
        </w:numPr>
        <w:ind w:left="360"/>
      </w:pPr>
      <w:r w:rsidRPr="0012754C">
        <w:t xml:space="preserve">14,514 </w:t>
      </w:r>
      <w:r w:rsidRPr="00D06492">
        <w:t xml:space="preserve">residents </w:t>
      </w:r>
      <w:r w:rsidR="005D7DCC" w:rsidRPr="00D06492">
        <w:t>(1.3% of long-stay residents</w:t>
      </w:r>
      <w:r w:rsidR="00E24089" w:rsidRPr="00D06492">
        <w:t xml:space="preserve"> in Quarter 2, 2017</w:t>
      </w:r>
      <w:r w:rsidR="005D7DCC" w:rsidRPr="00D06492">
        <w:t xml:space="preserve">) </w:t>
      </w:r>
      <w:r w:rsidRPr="00D06492">
        <w:t>were</w:t>
      </w:r>
      <w:r w:rsidRPr="0012754C">
        <w:t xml:space="preserve"> excluded because their target assessments were either admission, 5-day, or readmission/return assessments.</w:t>
      </w:r>
      <w:bookmarkEnd w:id="21"/>
    </w:p>
    <w:p w14:paraId="7D6657E6" w14:textId="6637C80B" w:rsidR="00D70E77" w:rsidRPr="00106D1F" w:rsidRDefault="00D70E77" w:rsidP="009B2293">
      <w:pPr>
        <w:pStyle w:val="Response"/>
        <w:rPr>
          <w:rFonts w:ascii="Calibri" w:eastAsia="MS Mincho" w:hAnsi="Calibri" w:cs="Calibri"/>
          <w:sz w:val="20"/>
          <w:szCs w:val="20"/>
        </w:rPr>
      </w:pPr>
      <w:r w:rsidRPr="00106D1F">
        <w:rPr>
          <w:rFonts w:ascii="Calibri" w:eastAsia="MS Mincho" w:hAnsi="Calibri" w:cs="Calibri"/>
          <w:sz w:val="20"/>
          <w:szCs w:val="20"/>
        </w:rPr>
        <w:t xml:space="preserve">SOURCE: RTI analysis of Q2 2017 MDS 3.0 data (programming reference: rn01\db360_request_q2627_677.log; </w:t>
      </w:r>
      <w:r w:rsidR="00D83DDE">
        <w:rPr>
          <w:rFonts w:ascii="Calibri" w:eastAsia="MS Mincho" w:hAnsi="Calibri" w:cs="Calibri"/>
          <w:sz w:val="20"/>
          <w:szCs w:val="20"/>
        </w:rPr>
        <w:t xml:space="preserve">ljc04\ljc04_request_677; </w:t>
      </w:r>
      <w:r w:rsidRPr="00106D1F">
        <w:rPr>
          <w:rFonts w:ascii="Calibri" w:eastAsia="MS Mincho" w:hAnsi="Calibri" w:cs="Calibri"/>
          <w:sz w:val="20"/>
          <w:szCs w:val="20"/>
        </w:rPr>
        <w:t>rn16\rn16_request_q2627_677.log</w:t>
      </w:r>
      <w:bookmarkStart w:id="22" w:name="_Hlk501534934"/>
      <w:r w:rsidR="00B3373D">
        <w:rPr>
          <w:rFonts w:ascii="Calibri" w:eastAsia="MS Mincho" w:hAnsi="Calibri" w:cs="Calibri"/>
          <w:sz w:val="20"/>
          <w:szCs w:val="20"/>
        </w:rPr>
        <w:t xml:space="preserve">; </w:t>
      </w:r>
      <w:proofErr w:type="spellStart"/>
      <w:r w:rsidR="00B3373D">
        <w:rPr>
          <w:rFonts w:ascii="Calibri" w:eastAsia="MS Mincho" w:hAnsi="Calibri" w:cs="Calibri"/>
          <w:sz w:val="20"/>
          <w:szCs w:val="20"/>
        </w:rPr>
        <w:t>av</w:t>
      </w:r>
      <w:proofErr w:type="spellEnd"/>
      <w:r w:rsidR="00B3373D">
        <w:rPr>
          <w:rFonts w:ascii="Calibri" w:eastAsia="MS Mincho" w:hAnsi="Calibri" w:cs="Calibri"/>
          <w:sz w:val="20"/>
          <w:szCs w:val="20"/>
        </w:rPr>
        <w:t>\db361_rerun.log</w:t>
      </w:r>
      <w:bookmarkEnd w:id="22"/>
      <w:r w:rsidRPr="00106D1F">
        <w:rPr>
          <w:rFonts w:ascii="Calibri" w:eastAsia="MS Mincho" w:hAnsi="Calibri" w:cs="Calibri"/>
          <w:sz w:val="20"/>
          <w:szCs w:val="20"/>
        </w:rPr>
        <w:t>)</w:t>
      </w:r>
    </w:p>
    <w:p w14:paraId="06C3B16D" w14:textId="2F648AA5" w:rsidR="009B2293" w:rsidRPr="0007167C" w:rsidRDefault="00123DB4" w:rsidP="009B2293">
      <w:pPr>
        <w:pStyle w:val="Response"/>
        <w:rPr>
          <w:b/>
          <w:color w:val="auto"/>
        </w:rPr>
      </w:pPr>
      <w:r>
        <w:rPr>
          <w:b/>
          <w:color w:val="auto"/>
        </w:rPr>
        <w:t>2b2</w:t>
      </w:r>
      <w:r w:rsidR="009B2293" w:rsidRPr="0007167C">
        <w:rPr>
          <w:b/>
          <w:color w:val="auto"/>
        </w:rPr>
        <w:t xml:space="preserve">.3. What is your interpretation of the results in terms of demonstrating that exclusions are needed to prevent unfair distortion of performance results? </w:t>
      </w:r>
      <w:r w:rsidR="009B2293" w:rsidRPr="0007167C">
        <w:rPr>
          <w:color w:val="auto"/>
        </w:rPr>
        <w:t>(i.e., the value outweighs the burden of increased data collection and analysis.  Note: If patient preference is an exclusion, the measure must be specified so that the effect on the performance score is transparent, e.g., scores with and without exclusion)</w:t>
      </w:r>
    </w:p>
    <w:p w14:paraId="1C7A6523" w14:textId="210A2FCA" w:rsidR="009B2293" w:rsidRDefault="00F07565" w:rsidP="009B2293">
      <w:pPr>
        <w:pStyle w:val="Response"/>
      </w:pPr>
      <w:r>
        <w:t>Most</w:t>
      </w:r>
      <w:r w:rsidR="009B2293">
        <w:t xml:space="preserve"> </w:t>
      </w:r>
      <w:r w:rsidR="004E0FFA">
        <w:t xml:space="preserve">denominator </w:t>
      </w:r>
      <w:r w:rsidR="009B2293">
        <w:t>exclusions for this measure occur because of missing data</w:t>
      </w:r>
      <w:r w:rsidR="00F80EE6">
        <w:t>;</w:t>
      </w:r>
      <w:r w:rsidR="00075F7F">
        <w:t xml:space="preserve"> impact of missing data </w:t>
      </w:r>
      <w:r w:rsidR="004A1A9B">
        <w:t>on this quality measure</w:t>
      </w:r>
      <w:r w:rsidR="00F80EE6">
        <w:t xml:space="preserve"> </w:t>
      </w:r>
      <w:r w:rsidR="00075F7F">
        <w:t>is</w:t>
      </w:r>
      <w:r w:rsidR="00C91DDD">
        <w:t xml:space="preserve"> presented</w:t>
      </w:r>
      <w:r w:rsidR="000C66BE">
        <w:t xml:space="preserve"> in detail in section 2b6</w:t>
      </w:r>
      <w:r w:rsidR="009B2293">
        <w:t xml:space="preserve">. </w:t>
      </w:r>
    </w:p>
    <w:p w14:paraId="47455208" w14:textId="30DDFCA9" w:rsidR="00F80EE6" w:rsidRDefault="001E78EC" w:rsidP="00DB3627">
      <w:pPr>
        <w:autoSpaceDE w:val="0"/>
        <w:autoSpaceDN w:val="0"/>
        <w:adjustRightInd w:val="0"/>
        <w:spacing w:after="0" w:line="240" w:lineRule="auto"/>
        <w:rPr>
          <w:rFonts w:cstheme="minorHAnsi"/>
          <w:bCs/>
          <w:color w:val="0000FF"/>
        </w:rPr>
      </w:pPr>
      <w:r>
        <w:rPr>
          <w:rFonts w:cstheme="minorHAnsi"/>
          <w:bCs/>
          <w:color w:val="0000FF"/>
        </w:rPr>
        <w:t xml:space="preserve">15.5% </w:t>
      </w:r>
      <w:r w:rsidR="009B2293" w:rsidRPr="000C66BE">
        <w:rPr>
          <w:rFonts w:cstheme="minorHAnsi"/>
          <w:bCs/>
          <w:color w:val="0000FF"/>
        </w:rPr>
        <w:t xml:space="preserve">of long-stay residents were excluded because they were unable to participate in the pain assessment interview (i.e., they were rarely or never understood (J0200 = [0]) or they were unable to answer when asked, “Have you had pain or hurting at any time in the last 5 days? (J0300 = [9])). While this is a substantial proportion of the long-stay resident population, there have not been major changes over time to the proportion excluded for this reason. </w:t>
      </w:r>
      <w:r w:rsidR="00154D6A" w:rsidRPr="00154D6A">
        <w:rPr>
          <w:rFonts w:cstheme="minorHAnsi"/>
          <w:bCs/>
          <w:color w:val="0000FF"/>
        </w:rPr>
        <w:t xml:space="preserve">This measure includes only those individuals who </w:t>
      </w:r>
      <w:r w:rsidR="00F07565" w:rsidRPr="00154D6A">
        <w:rPr>
          <w:rFonts w:cstheme="minorHAnsi"/>
          <w:bCs/>
          <w:color w:val="0000FF"/>
        </w:rPr>
        <w:t>can</w:t>
      </w:r>
      <w:r w:rsidR="00154D6A" w:rsidRPr="00154D6A">
        <w:rPr>
          <w:rFonts w:cstheme="minorHAnsi"/>
          <w:bCs/>
          <w:color w:val="0000FF"/>
        </w:rPr>
        <w:t xml:space="preserve"> self-report pain</w:t>
      </w:r>
      <w:r>
        <w:rPr>
          <w:rFonts w:cstheme="minorHAnsi"/>
          <w:bCs/>
          <w:color w:val="0000FF"/>
        </w:rPr>
        <w:t>;</w:t>
      </w:r>
      <w:r w:rsidR="00154D6A" w:rsidRPr="00154D6A">
        <w:rPr>
          <w:rFonts w:cstheme="minorHAnsi"/>
          <w:bCs/>
          <w:color w:val="0000FF"/>
        </w:rPr>
        <w:t xml:space="preserve"> those unable to self-report would have their pain assessed by nursing facility staff assessment. </w:t>
      </w:r>
      <w:r w:rsidR="009B2293" w:rsidRPr="000C66BE">
        <w:rPr>
          <w:rFonts w:cstheme="minorHAnsi"/>
          <w:bCs/>
          <w:color w:val="0000FF"/>
        </w:rPr>
        <w:t>The decision to focus on self-report was previously well vetted with the Nursing Home Quality Measure (NHQM) project TEP and based on literature showing</w:t>
      </w:r>
      <w:r w:rsidR="00947FE1">
        <w:rPr>
          <w:rFonts w:cstheme="minorHAnsi"/>
          <w:bCs/>
          <w:color w:val="0000FF"/>
        </w:rPr>
        <w:t xml:space="preserve"> that</w:t>
      </w:r>
      <w:r w:rsidR="009B2293" w:rsidRPr="000C66BE">
        <w:rPr>
          <w:rFonts w:cstheme="minorHAnsi"/>
          <w:bCs/>
          <w:color w:val="0000FF"/>
        </w:rPr>
        <w:t xml:space="preserve"> results from self-report and staff assessment are not comparable.</w:t>
      </w:r>
    </w:p>
    <w:p w14:paraId="63D8FEE9" w14:textId="2E361C44" w:rsidR="004863C6" w:rsidRDefault="004863C6" w:rsidP="00DB3627">
      <w:pPr>
        <w:autoSpaceDE w:val="0"/>
        <w:autoSpaceDN w:val="0"/>
        <w:adjustRightInd w:val="0"/>
        <w:spacing w:after="0" w:line="240" w:lineRule="auto"/>
        <w:rPr>
          <w:rFonts w:cstheme="minorHAnsi"/>
          <w:bCs/>
          <w:color w:val="0000FF"/>
        </w:rPr>
      </w:pPr>
    </w:p>
    <w:p w14:paraId="6CE71785" w14:textId="3CACDC27" w:rsidR="00D83DDE" w:rsidRPr="00D83DDE" w:rsidRDefault="00D83DDE" w:rsidP="00DB3627">
      <w:pPr>
        <w:autoSpaceDE w:val="0"/>
        <w:autoSpaceDN w:val="0"/>
        <w:adjustRightInd w:val="0"/>
        <w:spacing w:after="0" w:line="240" w:lineRule="auto"/>
        <w:rPr>
          <w:rFonts w:ascii="Calibri" w:eastAsia="MS Mincho" w:hAnsi="Calibri" w:cs="Calibri"/>
          <w:bCs/>
          <w:color w:val="0000FF"/>
          <w:sz w:val="20"/>
          <w:szCs w:val="20"/>
        </w:rPr>
      </w:pPr>
      <w:r w:rsidRPr="009D4F8B">
        <w:rPr>
          <w:rFonts w:ascii="Calibri" w:eastAsia="MS Mincho" w:hAnsi="Calibri" w:cs="Calibri"/>
          <w:bCs/>
          <w:color w:val="0000FF"/>
          <w:sz w:val="20"/>
          <w:szCs w:val="20"/>
        </w:rPr>
        <w:t>SOURCE: RTI analysis of Q2 2017 MDS 3.0</w:t>
      </w:r>
      <w:r>
        <w:rPr>
          <w:rFonts w:ascii="Calibri" w:eastAsia="MS Mincho" w:hAnsi="Calibri" w:cs="Calibri"/>
          <w:bCs/>
          <w:color w:val="0000FF"/>
          <w:sz w:val="20"/>
          <w:szCs w:val="20"/>
        </w:rPr>
        <w:t xml:space="preserve"> data (programming reference: </w:t>
      </w:r>
      <w:r w:rsidRPr="009D4F8B">
        <w:rPr>
          <w:rFonts w:ascii="Calibri" w:eastAsia="MS Mincho" w:hAnsi="Calibri" w:cs="Calibri"/>
          <w:bCs/>
          <w:color w:val="0000FF"/>
          <w:sz w:val="20"/>
          <w:szCs w:val="20"/>
        </w:rPr>
        <w:t>rn16\rn16_request</w:t>
      </w:r>
      <w:r>
        <w:rPr>
          <w:rFonts w:ascii="Calibri" w:eastAsia="MS Mincho" w:hAnsi="Calibri" w:cs="Calibri"/>
          <w:bCs/>
          <w:color w:val="0000FF"/>
          <w:sz w:val="20"/>
          <w:szCs w:val="20"/>
        </w:rPr>
        <w:t>_q2627_677</w:t>
      </w:r>
      <w:r w:rsidRPr="009D4F8B">
        <w:rPr>
          <w:rFonts w:ascii="Calibri" w:eastAsia="MS Mincho" w:hAnsi="Calibri" w:cs="Calibri"/>
          <w:bCs/>
          <w:color w:val="0000FF"/>
          <w:sz w:val="20"/>
          <w:szCs w:val="20"/>
        </w:rPr>
        <w:t>.log</w:t>
      </w:r>
      <w:r>
        <w:rPr>
          <w:rFonts w:ascii="Calibri" w:eastAsia="MS Mincho" w:hAnsi="Calibri" w:cs="Calibri"/>
          <w:bCs/>
          <w:color w:val="0000FF"/>
          <w:sz w:val="20"/>
          <w:szCs w:val="20"/>
        </w:rPr>
        <w:t>)</w:t>
      </w:r>
    </w:p>
    <w:p w14:paraId="0BCF8316" w14:textId="77777777" w:rsidR="00F80EE6" w:rsidRDefault="00F80EE6" w:rsidP="00DB3627">
      <w:pPr>
        <w:autoSpaceDE w:val="0"/>
        <w:autoSpaceDN w:val="0"/>
        <w:adjustRightInd w:val="0"/>
        <w:spacing w:after="0" w:line="240" w:lineRule="auto"/>
        <w:rPr>
          <w:rFonts w:cstheme="minorHAnsi"/>
          <w:bCs/>
          <w:color w:val="0000FF"/>
        </w:rPr>
      </w:pPr>
    </w:p>
    <w:p w14:paraId="470F16A0" w14:textId="77777777" w:rsidR="005F014A" w:rsidRPr="0086464B" w:rsidRDefault="005F014A" w:rsidP="005F014A">
      <w:pPr>
        <w:autoSpaceDE w:val="0"/>
        <w:autoSpaceDN w:val="0"/>
        <w:adjustRightInd w:val="0"/>
        <w:spacing w:after="0" w:line="240" w:lineRule="auto"/>
        <w:rPr>
          <w:rFonts w:cstheme="minorHAnsi"/>
          <w:b/>
          <w:bCs/>
          <w:i/>
        </w:rPr>
      </w:pPr>
      <w:r w:rsidRPr="00A25024">
        <w:rPr>
          <w:rFonts w:cstheme="minorHAnsi"/>
          <w:b/>
          <w:bCs/>
        </w:rPr>
        <w:t>2b</w:t>
      </w:r>
      <w:r>
        <w:rPr>
          <w:rFonts w:cstheme="minorHAnsi"/>
          <w:b/>
          <w:bCs/>
        </w:rPr>
        <w:t>3</w:t>
      </w:r>
      <w:r w:rsidRPr="00A25024">
        <w:rPr>
          <w:rFonts w:cstheme="minorHAnsi"/>
          <w:b/>
          <w:bCs/>
        </w:rPr>
        <w:t>. RISK ADJUSTMENT/STRATIFICATION FOR OUTCOME OR RESOURCE USE MEASURES</w:t>
      </w:r>
      <w:r w:rsidRPr="00A25024">
        <w:rPr>
          <w:rFonts w:cstheme="minorHAnsi"/>
          <w:bCs/>
        </w:rPr>
        <w:br/>
      </w:r>
      <w:r w:rsidRPr="0086464B">
        <w:rPr>
          <w:rFonts w:cstheme="minorHAnsi"/>
          <w:b/>
          <w:bCs/>
          <w:i/>
          <w:highlight w:val="green"/>
        </w:rPr>
        <w:t>If not an intermediate or health outcome</w:t>
      </w:r>
      <w:r>
        <w:rPr>
          <w:rFonts w:cstheme="minorHAnsi"/>
          <w:b/>
          <w:bCs/>
          <w:i/>
          <w:highlight w:val="green"/>
        </w:rPr>
        <w:t>,</w:t>
      </w:r>
      <w:r w:rsidRPr="0086464B">
        <w:rPr>
          <w:rFonts w:cstheme="minorHAnsi"/>
          <w:b/>
          <w:bCs/>
          <w:i/>
          <w:highlight w:val="green"/>
        </w:rPr>
        <w:t xml:space="preserve"> </w:t>
      </w:r>
      <w:r>
        <w:rPr>
          <w:rFonts w:cstheme="minorHAnsi"/>
          <w:b/>
          <w:bCs/>
          <w:i/>
          <w:highlight w:val="green"/>
        </w:rPr>
        <w:t xml:space="preserve">or PRO-PM, </w:t>
      </w:r>
      <w:r w:rsidRPr="0086464B">
        <w:rPr>
          <w:rFonts w:cstheme="minorHAnsi"/>
          <w:b/>
          <w:bCs/>
          <w:i/>
          <w:highlight w:val="green"/>
        </w:rPr>
        <w:t xml:space="preserve">or resource use measure, </w:t>
      </w:r>
      <w:r w:rsidRPr="00BE592D">
        <w:rPr>
          <w:rFonts w:cstheme="minorHAnsi"/>
          <w:b/>
          <w:bCs/>
          <w:i/>
          <w:highlight w:val="green"/>
        </w:rPr>
        <w:t xml:space="preserve">skip to section </w:t>
      </w:r>
      <w:hyperlink w:anchor="section2b5" w:history="1">
        <w:r w:rsidRPr="00BE592D">
          <w:rPr>
            <w:rStyle w:val="Hyperlink"/>
            <w:rFonts w:cstheme="minorHAnsi"/>
            <w:b/>
            <w:bCs/>
            <w:i/>
            <w:highlight w:val="green"/>
          </w:rPr>
          <w:t>2b</w:t>
        </w:r>
        <w:r>
          <w:rPr>
            <w:rStyle w:val="Hyperlink"/>
            <w:rFonts w:cstheme="minorHAnsi"/>
            <w:b/>
            <w:bCs/>
            <w:i/>
            <w:highlight w:val="green"/>
          </w:rPr>
          <w:t>4</w:t>
        </w:r>
      </w:hyperlink>
      <w:r w:rsidRPr="00BE592D">
        <w:rPr>
          <w:rFonts w:cstheme="minorHAnsi"/>
          <w:b/>
          <w:bCs/>
          <w:i/>
          <w:highlight w:val="green"/>
        </w:rPr>
        <w:t>.</w:t>
      </w:r>
    </w:p>
    <w:p w14:paraId="28E3D603" w14:textId="77777777" w:rsidR="005F014A" w:rsidRDefault="005F014A" w:rsidP="005F014A">
      <w:pPr>
        <w:autoSpaceDE w:val="0"/>
        <w:autoSpaceDN w:val="0"/>
        <w:adjustRightInd w:val="0"/>
        <w:spacing w:after="0" w:line="240" w:lineRule="auto"/>
        <w:rPr>
          <w:rFonts w:cstheme="minorHAnsi"/>
          <w:b/>
          <w:bCs/>
        </w:rPr>
      </w:pPr>
    </w:p>
    <w:p w14:paraId="4795FB6B" w14:textId="77777777" w:rsidR="005F014A" w:rsidRDefault="005F014A" w:rsidP="005F014A">
      <w:pPr>
        <w:autoSpaceDE w:val="0"/>
        <w:autoSpaceDN w:val="0"/>
        <w:adjustRightInd w:val="0"/>
        <w:spacing w:after="0" w:line="240" w:lineRule="auto"/>
        <w:rPr>
          <w:rFonts w:cstheme="minorHAnsi"/>
          <w:b/>
          <w:bCs/>
        </w:rPr>
      </w:pPr>
      <w:r w:rsidRPr="005232D6">
        <w:rPr>
          <w:rFonts w:cstheme="minorHAnsi"/>
          <w:b/>
          <w:bCs/>
        </w:rPr>
        <w:t>2b</w:t>
      </w:r>
      <w:r>
        <w:rPr>
          <w:rFonts w:cstheme="minorHAnsi"/>
          <w:b/>
          <w:bCs/>
        </w:rPr>
        <w:t>3</w:t>
      </w:r>
      <w:r w:rsidRPr="005232D6">
        <w:rPr>
          <w:rFonts w:cstheme="minorHAnsi"/>
          <w:b/>
          <w:bCs/>
        </w:rPr>
        <w:t>.1. What method of controlling for differences in case mix is used?</w:t>
      </w:r>
    </w:p>
    <w:p w14:paraId="5FDB18E7" w14:textId="77777777" w:rsidR="005F014A" w:rsidRPr="005232D6" w:rsidRDefault="007076F8" w:rsidP="005F014A">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5F014A">
            <w:rPr>
              <w:rFonts w:ascii="MS Gothic" w:eastAsia="MS Gothic" w:hAnsi="MS Gothic" w:cstheme="minorHAnsi" w:hint="eastAsia"/>
              <w:bCs/>
              <w:color w:val="0000FF"/>
            </w:rPr>
            <w:t>☐</w:t>
          </w:r>
        </w:sdtContent>
      </w:sdt>
      <w:r w:rsidR="005F014A">
        <w:rPr>
          <w:rFonts w:eastAsia="MS Mincho" w:cstheme="minorHAnsi"/>
          <w:b/>
          <w:bCs/>
          <w:color w:val="0000FF"/>
        </w:rPr>
        <w:t xml:space="preserve"> </w:t>
      </w:r>
      <w:r w:rsidR="005F014A" w:rsidRPr="005232D6">
        <w:rPr>
          <w:rFonts w:cstheme="minorHAnsi"/>
          <w:b/>
          <w:bCs/>
        </w:rPr>
        <w:t>No risk adjustment or stratification</w:t>
      </w:r>
    </w:p>
    <w:p w14:paraId="7357385F" w14:textId="06D61672" w:rsidR="005F014A" w:rsidRPr="005232D6" w:rsidRDefault="007076F8" w:rsidP="005F014A">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Content>
          <w:r w:rsidR="005F014A">
            <w:rPr>
              <w:rFonts w:ascii="MS Gothic" w:eastAsia="MS Gothic" w:hAnsi="MS Gothic" w:cstheme="minorHAnsi" w:hint="eastAsia"/>
              <w:bCs/>
              <w:color w:val="0000FF"/>
            </w:rPr>
            <w:t>☒</w:t>
          </w:r>
        </w:sdtContent>
      </w:sdt>
      <w:r w:rsidR="005F014A">
        <w:rPr>
          <w:rFonts w:cstheme="minorHAnsi"/>
          <w:bCs/>
          <w:color w:val="0000FF"/>
        </w:rPr>
        <w:t xml:space="preserve"> </w:t>
      </w:r>
      <w:r w:rsidR="005F014A" w:rsidRPr="005232D6">
        <w:rPr>
          <w:rFonts w:cstheme="minorHAnsi"/>
          <w:b/>
          <w:bCs/>
        </w:rPr>
        <w:t xml:space="preserve">Statistical risk model </w:t>
      </w:r>
      <w:r w:rsidR="005F014A" w:rsidRPr="00050A3E">
        <w:rPr>
          <w:rFonts w:cstheme="minorHAnsi"/>
          <w:b/>
          <w:bCs/>
        </w:rPr>
        <w:t xml:space="preserve">with </w:t>
      </w:r>
      <w:sdt>
        <w:sdtPr>
          <w:rPr>
            <w:rStyle w:val="Style4"/>
          </w:rPr>
          <w:id w:val="309760327"/>
          <w:text/>
        </w:sdtPr>
        <w:sdtEndPr>
          <w:rPr>
            <w:rStyle w:val="DefaultParagraphFont"/>
            <w:rFonts w:asciiTheme="minorHAnsi" w:hAnsiTheme="minorHAnsi" w:cstheme="minorHAnsi"/>
            <w:b w:val="0"/>
            <w:bCs/>
            <w:color w:val="auto"/>
            <w:u w:val="none"/>
          </w:rPr>
        </w:sdtEndPr>
        <w:sdtContent>
          <w:r w:rsidR="005F014A" w:rsidDel="00423AF8">
            <w:rPr>
              <w:rStyle w:val="Style4"/>
            </w:rPr>
            <w:t>one</w:t>
          </w:r>
        </w:sdtContent>
      </w:sdt>
      <w:r w:rsidR="005F014A" w:rsidRPr="006F22A5">
        <w:rPr>
          <w:rStyle w:val="Style4"/>
        </w:rPr>
        <w:t xml:space="preserve"> </w:t>
      </w:r>
      <w:r w:rsidR="005F014A" w:rsidRPr="005232D6">
        <w:rPr>
          <w:rFonts w:cstheme="minorHAnsi"/>
          <w:b/>
          <w:bCs/>
        </w:rPr>
        <w:t>risk factor</w:t>
      </w:r>
    </w:p>
    <w:p w14:paraId="741A8846" w14:textId="77777777" w:rsidR="005F014A" w:rsidRPr="005232D6" w:rsidRDefault="007076F8" w:rsidP="005F014A">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5F014A" w:rsidRPr="006574D2">
            <w:rPr>
              <w:rFonts w:ascii="MS Gothic" w:eastAsia="MS Gothic" w:cstheme="minorHAnsi" w:hint="eastAsia"/>
              <w:bCs/>
              <w:color w:val="0000FF"/>
            </w:rPr>
            <w:t>☐</w:t>
          </w:r>
        </w:sdtContent>
      </w:sdt>
      <w:r w:rsidR="005F014A">
        <w:rPr>
          <w:rFonts w:eastAsia="MS Mincho" w:cstheme="minorHAnsi"/>
          <w:b/>
          <w:bCs/>
          <w:color w:val="0000FF"/>
        </w:rPr>
        <w:t xml:space="preserve"> </w:t>
      </w:r>
      <w:r w:rsidR="005F014A" w:rsidRPr="005232D6">
        <w:rPr>
          <w:rFonts w:cstheme="minorHAnsi"/>
          <w:b/>
          <w:bCs/>
        </w:rPr>
        <w:t xml:space="preserve">Stratification </w:t>
      </w:r>
      <w:r w:rsidR="005F014A" w:rsidRPr="00050A3E">
        <w:rPr>
          <w:rFonts w:cstheme="minorHAnsi"/>
          <w:b/>
          <w:bCs/>
        </w:rPr>
        <w:t xml:space="preserve">by </w:t>
      </w:r>
      <w:sdt>
        <w:sdtPr>
          <w:rPr>
            <w:rStyle w:val="Style4"/>
          </w:rPr>
          <w:id w:val="-52006544"/>
          <w:showingPlcHdr/>
          <w:text/>
        </w:sdtPr>
        <w:sdtEndPr>
          <w:rPr>
            <w:rStyle w:val="DefaultParagraphFont"/>
            <w:rFonts w:asciiTheme="minorHAnsi" w:hAnsiTheme="minorHAnsi" w:cstheme="minorHAnsi"/>
            <w:b w:val="0"/>
            <w:bCs/>
            <w:color w:val="auto"/>
            <w:u w:val="none"/>
          </w:rPr>
        </w:sdtEndPr>
        <w:sdtContent>
          <w:r w:rsidR="005F014A" w:rsidRPr="00050A3E">
            <w:rPr>
              <w:rStyle w:val="PlaceholderText"/>
            </w:rPr>
            <w:t>Click here to enter number of categories</w:t>
          </w:r>
        </w:sdtContent>
      </w:sdt>
      <w:r w:rsidR="005F014A" w:rsidRPr="00050A3E">
        <w:rPr>
          <w:rStyle w:val="Style4"/>
        </w:rPr>
        <w:t xml:space="preserve"> </w:t>
      </w:r>
      <w:r w:rsidR="005F014A" w:rsidRPr="00050A3E">
        <w:rPr>
          <w:rFonts w:cstheme="minorHAnsi"/>
          <w:b/>
          <w:bCs/>
        </w:rPr>
        <w:t>r</w:t>
      </w:r>
      <w:r w:rsidR="005F014A">
        <w:rPr>
          <w:rFonts w:cstheme="minorHAnsi"/>
          <w:b/>
          <w:bCs/>
        </w:rPr>
        <w:t xml:space="preserve">isk </w:t>
      </w:r>
      <w:r w:rsidR="005F014A" w:rsidRPr="005232D6">
        <w:rPr>
          <w:rFonts w:cstheme="minorHAnsi"/>
          <w:b/>
          <w:bCs/>
        </w:rPr>
        <w:t>categories</w:t>
      </w:r>
    </w:p>
    <w:p w14:paraId="38EAD7B2" w14:textId="77777777" w:rsidR="005F014A" w:rsidRPr="005232D6" w:rsidRDefault="007076F8" w:rsidP="005F014A">
      <w:pPr>
        <w:autoSpaceDE w:val="0"/>
        <w:autoSpaceDN w:val="0"/>
        <w:adjustRightInd w:val="0"/>
        <w:spacing w:after="0" w:line="240" w:lineRule="auto"/>
        <w:rPr>
          <w:rFonts w:cstheme="minorHAnsi"/>
          <w:b/>
          <w:bCs/>
        </w:rPr>
      </w:pPr>
      <w:sdt>
        <w:sdtPr>
          <w:rPr>
            <w:rFonts w:cstheme="minorHAnsi"/>
            <w:bCs/>
            <w:color w:val="0000FF"/>
          </w:rPr>
          <w:id w:val="-1804761861"/>
          <w14:checkbox>
            <w14:checked w14:val="0"/>
            <w14:checkedState w14:val="2612" w14:font="MS Gothic"/>
            <w14:uncheckedState w14:val="2610" w14:font="MS Gothic"/>
          </w14:checkbox>
        </w:sdtPr>
        <w:sdtContent>
          <w:r w:rsidR="005F014A" w:rsidRPr="006574D2">
            <w:rPr>
              <w:rFonts w:ascii="MS Gothic" w:eastAsia="MS Gothic" w:cstheme="minorHAnsi" w:hint="eastAsia"/>
              <w:bCs/>
              <w:color w:val="0000FF"/>
            </w:rPr>
            <w:t>☐</w:t>
          </w:r>
        </w:sdtContent>
      </w:sdt>
      <w:r w:rsidR="005F014A">
        <w:rPr>
          <w:rFonts w:eastAsia="MS Mincho" w:cstheme="minorHAnsi"/>
          <w:b/>
          <w:bCs/>
          <w:color w:val="0000FF"/>
        </w:rPr>
        <w:t xml:space="preserve"> </w:t>
      </w:r>
      <w:r w:rsidR="005F014A" w:rsidRPr="005232D6">
        <w:rPr>
          <w:rFonts w:cstheme="minorHAnsi"/>
          <w:b/>
          <w:bCs/>
        </w:rPr>
        <w:t xml:space="preserve">Other, </w:t>
      </w:r>
      <w:sdt>
        <w:sdtPr>
          <w:rPr>
            <w:rStyle w:val="Style1"/>
          </w:rPr>
          <w:id w:val="-248586976"/>
          <w:showingPlcHdr/>
          <w:text/>
        </w:sdtPr>
        <w:sdtEndPr>
          <w:rPr>
            <w:rStyle w:val="DefaultParagraphFont"/>
            <w:rFonts w:cstheme="minorHAnsi"/>
            <w:b/>
            <w:bCs/>
            <w:color w:val="auto"/>
          </w:rPr>
        </w:sdtEndPr>
        <w:sdtContent>
          <w:r w:rsidR="005F014A">
            <w:rPr>
              <w:rStyle w:val="PlaceholderText"/>
            </w:rPr>
            <w:t>Click here to enter description</w:t>
          </w:r>
        </w:sdtContent>
      </w:sdt>
    </w:p>
    <w:p w14:paraId="2461A1A8" w14:textId="77777777" w:rsidR="005F014A" w:rsidRDefault="005F014A" w:rsidP="005F014A">
      <w:pPr>
        <w:autoSpaceDE w:val="0"/>
        <w:autoSpaceDN w:val="0"/>
        <w:adjustRightInd w:val="0"/>
        <w:spacing w:after="0" w:line="240" w:lineRule="auto"/>
        <w:rPr>
          <w:rFonts w:cstheme="minorHAnsi"/>
          <w:b/>
          <w:bCs/>
        </w:rPr>
      </w:pPr>
    </w:p>
    <w:p w14:paraId="50836347" w14:textId="77777777" w:rsidR="005F014A" w:rsidRDefault="005F014A" w:rsidP="005F014A">
      <w:pPr>
        <w:autoSpaceDE w:val="0"/>
        <w:autoSpaceDN w:val="0"/>
        <w:adjustRightInd w:val="0"/>
        <w:spacing w:after="0" w:line="240" w:lineRule="auto"/>
        <w:rPr>
          <w:rFonts w:cstheme="minorHAnsi"/>
          <w:bCs/>
        </w:rPr>
      </w:pPr>
      <w:bookmarkStart w:id="23" w:name="_Hlk496703037"/>
      <w:r w:rsidRPr="00450C58">
        <w:rPr>
          <w:rFonts w:cstheme="minorHAnsi"/>
          <w:b/>
          <w:bCs/>
        </w:rPr>
        <w:t>2b</w:t>
      </w:r>
      <w:r>
        <w:rPr>
          <w:rFonts w:cstheme="minorHAnsi"/>
          <w:b/>
          <w:bCs/>
        </w:rPr>
        <w:t>3</w:t>
      </w:r>
      <w:r w:rsidRPr="00450C58">
        <w:rPr>
          <w:rFonts w:cstheme="minorHAnsi"/>
          <w:b/>
          <w:bCs/>
        </w:rPr>
        <w:t xml:space="preserve">.1.1 </w:t>
      </w:r>
      <w:bookmarkEnd w:id="23"/>
      <w:r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B846BF0" w14:textId="77777777" w:rsidR="005F014A" w:rsidRPr="008E0ADA" w:rsidRDefault="005F014A" w:rsidP="005F014A">
      <w:pPr>
        <w:autoSpaceDE w:val="0"/>
        <w:autoSpaceDN w:val="0"/>
        <w:adjustRightInd w:val="0"/>
        <w:spacing w:after="0" w:line="240" w:lineRule="auto"/>
        <w:rPr>
          <w:rFonts w:cstheme="minorHAnsi"/>
          <w:bCs/>
        </w:rPr>
      </w:pPr>
    </w:p>
    <w:p w14:paraId="022DCB88" w14:textId="77777777" w:rsidR="005F014A" w:rsidRPr="002A23FE" w:rsidRDefault="005F014A" w:rsidP="005F014A">
      <w:pPr>
        <w:rPr>
          <w:rFonts w:cstheme="minorHAnsi"/>
          <w:bCs/>
          <w:color w:val="0000FF"/>
        </w:rPr>
      </w:pPr>
      <w:r w:rsidRPr="002A23FE">
        <w:rPr>
          <w:rFonts w:cstheme="minorHAnsi"/>
          <w:bCs/>
          <w:color w:val="0000FF"/>
        </w:rPr>
        <w:t>This measure is risk-adjusted for cognitive independence or modified independence in daily decision-making using a logistic regression. The measure is calculated as follows:</w:t>
      </w:r>
    </w:p>
    <w:p w14:paraId="31E5BEC1" w14:textId="77777777" w:rsidR="005F014A" w:rsidRPr="009F2C46" w:rsidRDefault="005F014A" w:rsidP="005F014A">
      <w:pPr>
        <w:rPr>
          <w:rFonts w:ascii="Calibri" w:eastAsia="MS Mincho" w:hAnsi="Calibri" w:cs="Calibri"/>
          <w:bCs/>
          <w:color w:val="0000FF"/>
        </w:rPr>
      </w:pPr>
      <w:r w:rsidRPr="002A23FE">
        <w:rPr>
          <w:rFonts w:cstheme="minorHAnsi"/>
          <w:bCs/>
          <w:color w:val="0000FF"/>
        </w:rPr>
        <w:t>Step 1: Identify the total number of long-stay residents who do not meet the exclusion criteria</w:t>
      </w:r>
      <w:r>
        <w:rPr>
          <w:rFonts w:cstheme="minorHAnsi"/>
          <w:bCs/>
          <w:color w:val="0000FF"/>
        </w:rPr>
        <w:t>,</w:t>
      </w:r>
      <w:r w:rsidRPr="002A23FE">
        <w:rPr>
          <w:rFonts w:cstheme="minorHAnsi"/>
          <w:bCs/>
          <w:color w:val="0000FF"/>
        </w:rPr>
        <w:t xml:space="preserve"> with a selected target assessment (OBRA, PPS, or discharge) during the quarter.</w:t>
      </w:r>
      <w:r w:rsidRPr="002A23FE">
        <w:rPr>
          <w:rFonts w:cstheme="minorHAnsi"/>
          <w:bCs/>
          <w:color w:val="0000FF"/>
        </w:rPr>
        <w:br/>
      </w:r>
      <w:r w:rsidRPr="002A23FE">
        <w:rPr>
          <w:rFonts w:cstheme="minorHAnsi"/>
          <w:bCs/>
          <w:color w:val="0000FF"/>
        </w:rPr>
        <w:br/>
      </w:r>
      <w:r>
        <w:rPr>
          <w:rFonts w:ascii="Calibri" w:eastAsia="MS Mincho" w:hAnsi="Calibri" w:cs="Calibri"/>
          <w:bCs/>
          <w:color w:val="0000FF"/>
        </w:rPr>
        <w:t xml:space="preserve">Step 2: </w:t>
      </w:r>
      <w:r w:rsidRPr="009F2C46">
        <w:rPr>
          <w:rFonts w:ascii="Calibri" w:eastAsia="MS Mincho" w:hAnsi="Calibri" w:cs="Calibri"/>
          <w:bCs/>
          <w:color w:val="0000FF"/>
        </w:rPr>
        <w:t>Calculate the facility-level observed score (steps 2a through 2b</w:t>
      </w:r>
      <w:r>
        <w:rPr>
          <w:rFonts w:ascii="Calibri" w:eastAsia="MS Mincho" w:hAnsi="Calibri" w:cs="Calibri"/>
          <w:bCs/>
          <w:color w:val="0000FF"/>
        </w:rPr>
        <w:t xml:space="preserve"> below</w:t>
      </w:r>
      <w:r w:rsidRPr="009F2C46">
        <w:rPr>
          <w:rFonts w:ascii="Calibri" w:eastAsia="MS Mincho" w:hAnsi="Calibri" w:cs="Calibri"/>
          <w:bCs/>
          <w:color w:val="0000FF"/>
        </w:rPr>
        <w:t>)</w:t>
      </w:r>
      <w:r>
        <w:rPr>
          <w:rFonts w:ascii="Calibri" w:eastAsia="MS Mincho" w:hAnsi="Calibri" w:cs="Calibri"/>
          <w:bCs/>
          <w:color w:val="0000FF"/>
        </w:rPr>
        <w:t>.</w:t>
      </w:r>
    </w:p>
    <w:p w14:paraId="55D3BB3F" w14:textId="77777777" w:rsidR="005F014A" w:rsidRPr="009F2C46" w:rsidRDefault="005F014A" w:rsidP="005F014A">
      <w:pPr>
        <w:ind w:left="720"/>
        <w:rPr>
          <w:rFonts w:ascii="Calibri" w:eastAsia="MS Mincho" w:hAnsi="Calibri" w:cs="Calibri"/>
          <w:bCs/>
          <w:color w:val="0000FF"/>
        </w:rPr>
      </w:pPr>
      <w:r w:rsidRPr="009F2C46">
        <w:rPr>
          <w:rFonts w:ascii="Calibri" w:eastAsia="MS Mincho" w:hAnsi="Calibri" w:cs="Calibri"/>
          <w:bCs/>
          <w:color w:val="0000FF"/>
        </w:rPr>
        <w:t>Step 2a: Starting with the set of residents identified in Step 1, determine the total number of long-stay residents with a selected target assessment that meets the numerator inclusion criteria.</w:t>
      </w:r>
    </w:p>
    <w:p w14:paraId="36C33528" w14:textId="77777777" w:rsidR="005F014A" w:rsidRPr="009F2C46" w:rsidRDefault="005F014A" w:rsidP="005F014A">
      <w:pPr>
        <w:ind w:left="720"/>
        <w:rPr>
          <w:rFonts w:ascii="Calibri" w:eastAsia="MS Mincho" w:hAnsi="Calibri" w:cs="Calibri"/>
          <w:bCs/>
          <w:color w:val="0000FF"/>
        </w:rPr>
      </w:pPr>
      <w:r w:rsidRPr="009F2C46">
        <w:rPr>
          <w:rFonts w:ascii="Calibri" w:eastAsia="MS Mincho" w:hAnsi="Calibri" w:cs="Calibri"/>
          <w:bCs/>
          <w:color w:val="0000FF"/>
        </w:rPr>
        <w:t xml:space="preserve">Step 2b: Calculate the facility observed score by dividing the results of step 2a by the results of step 1. </w:t>
      </w:r>
    </w:p>
    <w:p w14:paraId="79DB0E21" w14:textId="77777777" w:rsidR="005F014A" w:rsidRDefault="005F014A" w:rsidP="005F014A">
      <w:pPr>
        <w:rPr>
          <w:rFonts w:ascii="Calibri" w:eastAsia="MS Mincho" w:hAnsi="Calibri" w:cs="Calibri"/>
          <w:bCs/>
          <w:color w:val="0000FF"/>
        </w:rPr>
      </w:pPr>
      <w:r w:rsidRPr="002A23FE">
        <w:rPr>
          <w:rFonts w:cstheme="minorHAnsi"/>
          <w:bCs/>
          <w:color w:val="0000FF"/>
        </w:rPr>
        <w:br/>
        <w:t>Step 3: Calculate the national observed score by averaging the scores derived in step 2b across all facilities. </w:t>
      </w:r>
      <w:r w:rsidRPr="002A23FE">
        <w:rPr>
          <w:rFonts w:cstheme="minorHAnsi"/>
          <w:bCs/>
          <w:color w:val="0000FF"/>
        </w:rPr>
        <w:br/>
      </w:r>
    </w:p>
    <w:p w14:paraId="63B9F695" w14:textId="77777777" w:rsidR="005F014A" w:rsidRPr="009F2C46" w:rsidRDefault="005F014A" w:rsidP="005F014A">
      <w:pPr>
        <w:rPr>
          <w:rFonts w:ascii="Calibri" w:eastAsia="MS Mincho" w:hAnsi="Calibri" w:cs="Calibri"/>
          <w:bCs/>
          <w:color w:val="0000FF"/>
        </w:rPr>
      </w:pPr>
      <w:r>
        <w:rPr>
          <w:rFonts w:ascii="Calibri" w:eastAsia="MS Mincho" w:hAnsi="Calibri" w:cs="Calibri"/>
          <w:bCs/>
          <w:color w:val="0000FF"/>
        </w:rPr>
        <w:t xml:space="preserve">Step 4: </w:t>
      </w:r>
      <w:r w:rsidRPr="009F2C46">
        <w:rPr>
          <w:rFonts w:ascii="Calibri" w:eastAsia="MS Mincho" w:hAnsi="Calibri" w:cs="Calibri"/>
          <w:bCs/>
          <w:color w:val="0000FF"/>
        </w:rPr>
        <w:t>Calculate the expected resident score for each resident (steps 4a and 4b</w:t>
      </w:r>
      <w:r>
        <w:rPr>
          <w:rFonts w:ascii="Calibri" w:eastAsia="MS Mincho" w:hAnsi="Calibri" w:cs="Calibri"/>
          <w:bCs/>
          <w:color w:val="0000FF"/>
        </w:rPr>
        <w:t xml:space="preserve"> below</w:t>
      </w:r>
      <w:r w:rsidRPr="009F2C46">
        <w:rPr>
          <w:rFonts w:ascii="Calibri" w:eastAsia="MS Mincho" w:hAnsi="Calibri" w:cs="Calibri"/>
          <w:bCs/>
          <w:color w:val="0000FF"/>
        </w:rPr>
        <w:t>)</w:t>
      </w:r>
    </w:p>
    <w:p w14:paraId="70358FDD" w14:textId="77777777" w:rsidR="005F014A" w:rsidRPr="009F2C46" w:rsidRDefault="005F014A" w:rsidP="005F014A">
      <w:pPr>
        <w:ind w:left="720"/>
        <w:rPr>
          <w:rFonts w:ascii="Calibri" w:eastAsia="MS Mincho" w:hAnsi="Calibri" w:cs="Calibri"/>
          <w:bCs/>
          <w:color w:val="0000FF"/>
        </w:rPr>
      </w:pPr>
      <w:r w:rsidRPr="009F2C46">
        <w:rPr>
          <w:rFonts w:ascii="Calibri" w:eastAsia="MS Mincho" w:hAnsi="Calibri" w:cs="Calibri"/>
          <w:bCs/>
          <w:color w:val="0000FF"/>
        </w:rPr>
        <w:t>Step 4a: As</w:t>
      </w:r>
      <w:r>
        <w:rPr>
          <w:rFonts w:ascii="Calibri" w:eastAsia="MS Mincho" w:hAnsi="Calibri" w:cs="Calibri"/>
          <w:bCs/>
          <w:color w:val="0000FF"/>
        </w:rPr>
        <w:t>sign values for the covariate, i</w:t>
      </w:r>
      <w:r w:rsidRPr="009F2C46">
        <w:rPr>
          <w:rFonts w:ascii="Calibri" w:eastAsia="MS Mincho" w:hAnsi="Calibri" w:cs="Calibri"/>
          <w:bCs/>
          <w:color w:val="0000FF"/>
        </w:rPr>
        <w:t xml:space="preserve">ndependence or modified independence in daily decision </w:t>
      </w:r>
      <w:r>
        <w:rPr>
          <w:rFonts w:ascii="Calibri" w:eastAsia="MS Mincho" w:hAnsi="Calibri" w:cs="Calibri"/>
          <w:bCs/>
          <w:color w:val="0000FF"/>
        </w:rPr>
        <w:t>making on the prior assessment.  F</w:t>
      </w:r>
      <w:r w:rsidRPr="009F2C46">
        <w:rPr>
          <w:rFonts w:ascii="Calibri" w:eastAsia="MS Mincho" w:hAnsi="Calibri" w:cs="Calibri"/>
          <w:bCs/>
          <w:color w:val="0000FF"/>
        </w:rPr>
        <w:t>or the residents included in the denominator for the covariate</w:t>
      </w:r>
      <w:r>
        <w:rPr>
          <w:rFonts w:ascii="Calibri" w:eastAsia="MS Mincho" w:hAnsi="Calibri" w:cs="Calibri"/>
          <w:bCs/>
          <w:color w:val="0000FF"/>
        </w:rPr>
        <w:t>,</w:t>
      </w:r>
      <w:r w:rsidRPr="009F2C46">
        <w:rPr>
          <w:rFonts w:ascii="Calibri" w:eastAsia="MS Mincho" w:hAnsi="Calibri" w:cs="Calibri"/>
          <w:bCs/>
          <w:color w:val="0000FF"/>
        </w:rPr>
        <w:t xml:space="preserve"> </w:t>
      </w:r>
      <w:r>
        <w:rPr>
          <w:rFonts w:ascii="Calibri" w:eastAsia="MS Mincho" w:hAnsi="Calibri" w:cs="Calibri"/>
          <w:bCs/>
          <w:color w:val="0000FF"/>
        </w:rPr>
        <w:t xml:space="preserve">assign a </w:t>
      </w:r>
      <w:r w:rsidRPr="009F2C46">
        <w:rPr>
          <w:rFonts w:ascii="Calibri" w:eastAsia="MS Mincho" w:hAnsi="Calibri" w:cs="Calibri"/>
          <w:bCs/>
          <w:color w:val="0000FF"/>
        </w:rPr>
        <w:t>‘0’ if resident interview indicates</w:t>
      </w:r>
      <w:r>
        <w:rPr>
          <w:rFonts w:ascii="Calibri" w:eastAsia="MS Mincho" w:hAnsi="Calibri" w:cs="Calibri"/>
          <w:bCs/>
          <w:color w:val="0000FF"/>
        </w:rPr>
        <w:t xml:space="preserve"> that the</w:t>
      </w:r>
      <w:r w:rsidRPr="009F2C46">
        <w:rPr>
          <w:rFonts w:ascii="Calibri" w:eastAsia="MS Mincho" w:hAnsi="Calibri" w:cs="Calibri"/>
          <w:bCs/>
          <w:color w:val="0000FF"/>
        </w:rPr>
        <w:t xml:space="preserve"> resident is cognitively impaired, or </w:t>
      </w:r>
      <w:r>
        <w:rPr>
          <w:rFonts w:ascii="Calibri" w:eastAsia="MS Mincho" w:hAnsi="Calibri" w:cs="Calibri"/>
          <w:bCs/>
          <w:color w:val="0000FF"/>
        </w:rPr>
        <w:t xml:space="preserve">if </w:t>
      </w:r>
      <w:r w:rsidRPr="009F2C46">
        <w:rPr>
          <w:rFonts w:ascii="Calibri" w:eastAsia="MS Mincho" w:hAnsi="Calibri" w:cs="Calibri"/>
          <w:bCs/>
          <w:color w:val="0000FF"/>
        </w:rPr>
        <w:t xml:space="preserve">staff assessment indicates </w:t>
      </w:r>
      <w:r>
        <w:rPr>
          <w:rFonts w:ascii="Calibri" w:eastAsia="MS Mincho" w:hAnsi="Calibri" w:cs="Calibri"/>
          <w:bCs/>
          <w:color w:val="0000FF"/>
        </w:rPr>
        <w:t xml:space="preserve">that the resident is </w:t>
      </w:r>
      <w:r w:rsidRPr="009F2C46">
        <w:rPr>
          <w:rFonts w:ascii="Calibri" w:eastAsia="MS Mincho" w:hAnsi="Calibri" w:cs="Calibri"/>
          <w:bCs/>
          <w:color w:val="0000FF"/>
        </w:rPr>
        <w:t>moderately to severely impaired in making decisions</w:t>
      </w:r>
      <w:r>
        <w:rPr>
          <w:rFonts w:ascii="Calibri" w:eastAsia="MS Mincho" w:hAnsi="Calibri" w:cs="Calibri"/>
          <w:bCs/>
          <w:color w:val="0000FF"/>
        </w:rPr>
        <w:t xml:space="preserve">; and assign a </w:t>
      </w:r>
      <w:r w:rsidRPr="009F2C46">
        <w:rPr>
          <w:rFonts w:ascii="Calibri" w:eastAsia="MS Mincho" w:hAnsi="Calibri" w:cs="Calibri"/>
          <w:bCs/>
          <w:color w:val="0000FF"/>
        </w:rPr>
        <w:t>‘1’ if the resident had no impairment in cognitive status or cognitive s</w:t>
      </w:r>
      <w:r>
        <w:rPr>
          <w:rFonts w:ascii="Calibri" w:eastAsia="MS Mincho" w:hAnsi="Calibri" w:cs="Calibri"/>
          <w:bCs/>
          <w:color w:val="0000FF"/>
        </w:rPr>
        <w:t>kills for daily decision making.</w:t>
      </w:r>
      <w:r w:rsidRPr="009F2C46">
        <w:rPr>
          <w:rFonts w:ascii="Calibri" w:eastAsia="MS Mincho" w:hAnsi="Calibri" w:cs="Calibri"/>
          <w:bCs/>
          <w:color w:val="0000FF"/>
        </w:rPr>
        <w:t xml:space="preserve"> </w:t>
      </w:r>
      <w:r>
        <w:rPr>
          <w:rFonts w:ascii="Calibri" w:eastAsia="MS Mincho" w:hAnsi="Calibri" w:cs="Calibri"/>
          <w:bCs/>
          <w:color w:val="0000FF"/>
        </w:rPr>
        <w:t>R</w:t>
      </w:r>
      <w:r w:rsidRPr="009F2C46">
        <w:rPr>
          <w:rFonts w:ascii="Calibri" w:eastAsia="MS Mincho" w:hAnsi="Calibri" w:cs="Calibri"/>
          <w:bCs/>
          <w:color w:val="0000FF"/>
        </w:rPr>
        <w:t>un the logistic regression model.</w:t>
      </w:r>
    </w:p>
    <w:p w14:paraId="51DCF40A"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Specifically, the covariate is calculated as follows:</w:t>
      </w:r>
    </w:p>
    <w:p w14:paraId="248B0D0F" w14:textId="77777777" w:rsidR="005F014A" w:rsidRPr="009F2C46" w:rsidRDefault="005F014A" w:rsidP="005F014A">
      <w:pPr>
        <w:ind w:left="720"/>
        <w:rPr>
          <w:rFonts w:ascii="Calibri" w:eastAsia="MS Mincho" w:hAnsi="Calibri" w:cs="Calibri"/>
          <w:bCs/>
          <w:color w:val="0000FF"/>
        </w:rPr>
      </w:pPr>
      <w:r w:rsidRPr="009F2C46">
        <w:rPr>
          <w:rFonts w:ascii="Calibri" w:eastAsia="MS Mincho" w:hAnsi="Calibri" w:cs="Calibri"/>
          <w:bCs/>
          <w:color w:val="0000FF"/>
        </w:rPr>
        <w:t>Covariate =</w:t>
      </w:r>
      <w:r>
        <w:rPr>
          <w:rFonts w:ascii="Calibri" w:eastAsia="MS Mincho" w:hAnsi="Calibri" w:cs="Calibri"/>
          <w:bCs/>
          <w:color w:val="0000FF"/>
        </w:rPr>
        <w:t xml:space="preserve"> </w:t>
      </w:r>
      <w:r w:rsidRPr="009F2C46">
        <w:rPr>
          <w:rFonts w:ascii="Calibri" w:eastAsia="MS Mincho" w:hAnsi="Calibri" w:cs="Calibri"/>
          <w:bCs/>
          <w:color w:val="0000FF"/>
        </w:rPr>
        <w:t>1 (yes), if the resident had no impairment in cognitive status or cognitive skills for daily decision making as described in 1 and 2 below:</w:t>
      </w:r>
    </w:p>
    <w:p w14:paraId="0580C1BC" w14:textId="77777777" w:rsidR="005F014A" w:rsidRPr="009F2C46" w:rsidRDefault="005F014A" w:rsidP="005F014A">
      <w:pPr>
        <w:ind w:left="2160" w:hanging="720"/>
        <w:rPr>
          <w:rFonts w:ascii="Calibri" w:eastAsia="MS Mincho" w:hAnsi="Calibri" w:cs="Calibri"/>
          <w:bCs/>
          <w:color w:val="0000FF"/>
        </w:rPr>
      </w:pPr>
      <w:r w:rsidRPr="009F2C46">
        <w:rPr>
          <w:rFonts w:ascii="Calibri" w:eastAsia="MS Mincho" w:hAnsi="Calibri" w:cs="Calibri"/>
          <w:bCs/>
          <w:color w:val="0000FF"/>
        </w:rPr>
        <w:t xml:space="preserve">1) </w:t>
      </w:r>
      <w:r w:rsidRPr="009F2C46">
        <w:rPr>
          <w:rFonts w:ascii="Calibri" w:eastAsia="MS Mincho" w:hAnsi="Calibri" w:cs="Calibri"/>
          <w:bCs/>
          <w:color w:val="0000FF"/>
        </w:rPr>
        <w:tab/>
        <w:t>Item C1000: Cognitive Skills for Daily Decision Making indicates that the resident made decisions regarding tasks of daily life that were categorized as independent—decisions consistent/reasonable (C1000 = [0])</w:t>
      </w:r>
      <w:r>
        <w:rPr>
          <w:rFonts w:ascii="Calibri" w:eastAsia="MS Mincho" w:hAnsi="Calibri" w:cs="Calibri"/>
          <w:bCs/>
          <w:color w:val="0000FF"/>
        </w:rPr>
        <w:t>,</w:t>
      </w:r>
      <w:r w:rsidRPr="009F2C46">
        <w:rPr>
          <w:rFonts w:ascii="Calibri" w:eastAsia="MS Mincho" w:hAnsi="Calibri" w:cs="Calibri"/>
          <w:bCs/>
          <w:color w:val="0000FF"/>
        </w:rPr>
        <w:t xml:space="preserve"> or modified independence—some difficulty in new situations only (C1000 = [1]) </w:t>
      </w:r>
    </w:p>
    <w:p w14:paraId="3794EF23" w14:textId="77777777" w:rsidR="005F014A" w:rsidRPr="009F2C46" w:rsidRDefault="005F014A" w:rsidP="005F014A">
      <w:pPr>
        <w:ind w:left="720" w:firstLine="720"/>
        <w:rPr>
          <w:rFonts w:ascii="Calibri" w:eastAsia="MS Mincho" w:hAnsi="Calibri" w:cs="Calibri"/>
          <w:bCs/>
          <w:color w:val="0000FF"/>
        </w:rPr>
      </w:pPr>
      <w:r w:rsidRPr="009F2C46">
        <w:rPr>
          <w:rFonts w:ascii="Calibri" w:eastAsia="MS Mincho" w:hAnsi="Calibri" w:cs="Calibri"/>
          <w:bCs/>
          <w:color w:val="0000FF"/>
        </w:rPr>
        <w:t xml:space="preserve">OR </w:t>
      </w:r>
    </w:p>
    <w:p w14:paraId="67A6E123" w14:textId="77777777" w:rsidR="005F014A" w:rsidRPr="009F2C46" w:rsidRDefault="005F014A" w:rsidP="005F014A">
      <w:pPr>
        <w:ind w:left="2160" w:hanging="720"/>
        <w:rPr>
          <w:rFonts w:ascii="Calibri" w:eastAsia="MS Mincho" w:hAnsi="Calibri" w:cs="Calibri"/>
          <w:bCs/>
          <w:color w:val="0000FF"/>
        </w:rPr>
      </w:pPr>
      <w:r w:rsidRPr="009F2C46">
        <w:rPr>
          <w:rFonts w:ascii="Calibri" w:eastAsia="MS Mincho" w:hAnsi="Calibri" w:cs="Calibri"/>
          <w:bCs/>
          <w:color w:val="0000FF"/>
        </w:rPr>
        <w:t xml:space="preserve">2) </w:t>
      </w:r>
      <w:r w:rsidRPr="009F2C46">
        <w:rPr>
          <w:rFonts w:ascii="Calibri" w:eastAsia="MS Mincho" w:hAnsi="Calibri" w:cs="Calibri"/>
          <w:bCs/>
          <w:color w:val="0000FF"/>
        </w:rPr>
        <w:tab/>
        <w:t>Summary Score for Brief Interview for Mental Status indicates intact or borderline cognitive status (</w:t>
      </w:r>
      <w:r>
        <w:rPr>
          <w:rFonts w:ascii="Calibri" w:eastAsia="MS Mincho" w:hAnsi="Calibri" w:cs="Calibri"/>
          <w:bCs/>
          <w:color w:val="0000FF"/>
        </w:rPr>
        <w:t xml:space="preserve">[13] ≤ </w:t>
      </w:r>
      <w:r w:rsidRPr="009F2C46">
        <w:rPr>
          <w:rFonts w:ascii="Calibri" w:eastAsia="MS Mincho" w:hAnsi="Calibri" w:cs="Calibri"/>
          <w:bCs/>
          <w:color w:val="0000FF"/>
        </w:rPr>
        <w:t xml:space="preserve">C0500 </w:t>
      </w:r>
      <w:r>
        <w:rPr>
          <w:rFonts w:ascii="Calibri" w:eastAsia="MS Mincho" w:hAnsi="Calibri" w:cs="Calibri"/>
          <w:bCs/>
          <w:color w:val="0000FF"/>
        </w:rPr>
        <w:t>≤ [15]</w:t>
      </w:r>
      <w:r w:rsidRPr="009F2C46">
        <w:rPr>
          <w:rFonts w:ascii="Calibri" w:eastAsia="MS Mincho" w:hAnsi="Calibri" w:cs="Calibri"/>
          <w:bCs/>
          <w:color w:val="0000FF"/>
        </w:rPr>
        <w:t>)</w:t>
      </w:r>
    </w:p>
    <w:p w14:paraId="0817EA3D" w14:textId="77777777" w:rsidR="005F014A" w:rsidRPr="009F2C46" w:rsidRDefault="005F014A" w:rsidP="005F014A">
      <w:pPr>
        <w:ind w:left="720"/>
        <w:rPr>
          <w:rFonts w:ascii="Calibri" w:eastAsia="MS Mincho" w:hAnsi="Calibri" w:cs="Calibri"/>
          <w:bCs/>
          <w:color w:val="0000FF"/>
        </w:rPr>
      </w:pPr>
      <w:r w:rsidRPr="009F2C46">
        <w:rPr>
          <w:rFonts w:ascii="Calibri" w:eastAsia="MS Mincho" w:hAnsi="Calibri" w:cs="Calibri"/>
          <w:bCs/>
          <w:color w:val="0000FF"/>
        </w:rPr>
        <w:t xml:space="preserve">Covariate = 0 (no), if resident interview indicates </w:t>
      </w:r>
      <w:r>
        <w:rPr>
          <w:rFonts w:ascii="Calibri" w:eastAsia="MS Mincho" w:hAnsi="Calibri" w:cs="Calibri"/>
          <w:bCs/>
          <w:color w:val="0000FF"/>
        </w:rPr>
        <w:t xml:space="preserve">that the </w:t>
      </w:r>
      <w:r w:rsidRPr="009F2C46">
        <w:rPr>
          <w:rFonts w:ascii="Calibri" w:eastAsia="MS Mincho" w:hAnsi="Calibri" w:cs="Calibri"/>
          <w:bCs/>
          <w:color w:val="0000FF"/>
        </w:rPr>
        <w:t xml:space="preserve">resident is cognitively impaired, or staff assessment indicates </w:t>
      </w:r>
      <w:r>
        <w:rPr>
          <w:rFonts w:ascii="Calibri" w:eastAsia="MS Mincho" w:hAnsi="Calibri" w:cs="Calibri"/>
          <w:bCs/>
          <w:color w:val="0000FF"/>
        </w:rPr>
        <w:t xml:space="preserve">that the resident is </w:t>
      </w:r>
      <w:r w:rsidRPr="009F2C46">
        <w:rPr>
          <w:rFonts w:ascii="Calibri" w:eastAsia="MS Mincho" w:hAnsi="Calibri" w:cs="Calibri"/>
          <w:bCs/>
          <w:color w:val="0000FF"/>
        </w:rPr>
        <w:t>moderately to severely impaired in making decisions or the values for C1000 and C0500 are missing, as described in 1, 2 and 3 below:</w:t>
      </w:r>
    </w:p>
    <w:p w14:paraId="1881D691" w14:textId="77777777" w:rsidR="005F014A" w:rsidRPr="009F2C46" w:rsidRDefault="005F014A" w:rsidP="005F014A">
      <w:pPr>
        <w:ind w:left="2160" w:hanging="720"/>
        <w:rPr>
          <w:rFonts w:ascii="Calibri" w:eastAsia="MS Mincho" w:hAnsi="Calibri" w:cs="Calibri"/>
          <w:bCs/>
          <w:color w:val="0000FF"/>
        </w:rPr>
      </w:pPr>
      <w:r w:rsidRPr="009F2C46">
        <w:rPr>
          <w:rFonts w:ascii="Calibri" w:eastAsia="MS Mincho" w:hAnsi="Calibri" w:cs="Calibri"/>
          <w:bCs/>
          <w:color w:val="0000FF"/>
        </w:rPr>
        <w:t xml:space="preserve">1) </w:t>
      </w:r>
      <w:r w:rsidRPr="009F2C46">
        <w:rPr>
          <w:rFonts w:ascii="Calibri" w:eastAsia="MS Mincho" w:hAnsi="Calibri" w:cs="Calibri"/>
          <w:bCs/>
          <w:color w:val="0000FF"/>
        </w:rPr>
        <w:tab/>
        <w:t>Item C1000: Cognitive Skills for Daily Decision Making indicates that the resident made decisions regarding tasks of daily life that were categorized as: moderately impaired—decisions poor; cues/supervision required (C1000 = [2])</w:t>
      </w:r>
      <w:r>
        <w:rPr>
          <w:rFonts w:ascii="Calibri" w:eastAsia="MS Mincho" w:hAnsi="Calibri" w:cs="Calibri"/>
          <w:bCs/>
          <w:color w:val="0000FF"/>
        </w:rPr>
        <w:t>,</w:t>
      </w:r>
      <w:r w:rsidRPr="009F2C46">
        <w:rPr>
          <w:rFonts w:ascii="Calibri" w:eastAsia="MS Mincho" w:hAnsi="Calibri" w:cs="Calibri"/>
          <w:bCs/>
          <w:color w:val="0000FF"/>
        </w:rPr>
        <w:t xml:space="preserve"> or severely impaired—never/rarely made decisions (C1000 = [3])</w:t>
      </w:r>
    </w:p>
    <w:p w14:paraId="48113930" w14:textId="77777777" w:rsidR="005F014A" w:rsidRPr="009F2C46" w:rsidRDefault="005F014A" w:rsidP="005F014A">
      <w:pPr>
        <w:rPr>
          <w:rFonts w:ascii="Calibri" w:eastAsia="MS Mincho" w:hAnsi="Calibri" w:cs="Calibri"/>
          <w:bCs/>
          <w:color w:val="0000FF"/>
        </w:rPr>
      </w:pPr>
      <w:r w:rsidRPr="009F2C46">
        <w:rPr>
          <w:rFonts w:ascii="Calibri" w:eastAsia="MS Mincho" w:hAnsi="Calibri" w:cs="Calibri"/>
          <w:bCs/>
          <w:color w:val="0000FF"/>
        </w:rPr>
        <w:t xml:space="preserve"> </w:t>
      </w:r>
      <w:r>
        <w:rPr>
          <w:rFonts w:ascii="Calibri" w:eastAsia="MS Mincho" w:hAnsi="Calibri" w:cs="Calibri"/>
          <w:bCs/>
          <w:color w:val="0000FF"/>
        </w:rPr>
        <w:tab/>
      </w:r>
      <w:r>
        <w:rPr>
          <w:rFonts w:ascii="Calibri" w:eastAsia="MS Mincho" w:hAnsi="Calibri" w:cs="Calibri"/>
          <w:bCs/>
          <w:color w:val="0000FF"/>
        </w:rPr>
        <w:tab/>
      </w:r>
      <w:r w:rsidRPr="009F2C46">
        <w:rPr>
          <w:rFonts w:ascii="Calibri" w:eastAsia="MS Mincho" w:hAnsi="Calibri" w:cs="Calibri"/>
          <w:bCs/>
          <w:color w:val="0000FF"/>
        </w:rPr>
        <w:t>OR</w:t>
      </w:r>
    </w:p>
    <w:p w14:paraId="57CBCF56" w14:textId="77777777" w:rsidR="005F014A" w:rsidRPr="009F2C46" w:rsidRDefault="005F014A" w:rsidP="005F014A">
      <w:pPr>
        <w:ind w:left="2160" w:hanging="720"/>
        <w:rPr>
          <w:rFonts w:ascii="Calibri" w:eastAsia="MS Mincho" w:hAnsi="Calibri" w:cs="Calibri"/>
          <w:bCs/>
          <w:color w:val="0000FF"/>
        </w:rPr>
      </w:pPr>
      <w:r w:rsidRPr="009F2C46">
        <w:rPr>
          <w:rFonts w:ascii="Calibri" w:eastAsia="MS Mincho" w:hAnsi="Calibri" w:cs="Calibri"/>
          <w:bCs/>
          <w:color w:val="0000FF"/>
        </w:rPr>
        <w:t xml:space="preserve">2) </w:t>
      </w:r>
      <w:r w:rsidRPr="009F2C46">
        <w:rPr>
          <w:rFonts w:ascii="Calibri" w:eastAsia="MS Mincho" w:hAnsi="Calibri" w:cs="Calibri"/>
          <w:bCs/>
          <w:color w:val="0000FF"/>
        </w:rPr>
        <w:tab/>
        <w:t>Summary Score for Brief Interview for Mental Status indicates moderate or severe impair</w:t>
      </w:r>
      <w:r>
        <w:rPr>
          <w:rFonts w:ascii="Calibri" w:eastAsia="MS Mincho" w:hAnsi="Calibri" w:cs="Calibri"/>
          <w:bCs/>
          <w:color w:val="0000FF"/>
        </w:rPr>
        <w:t xml:space="preserve">ment of cognitive status (C0500 ≤ </w:t>
      </w:r>
      <w:r w:rsidRPr="009F2C46">
        <w:rPr>
          <w:rFonts w:ascii="Calibri" w:eastAsia="MS Mincho" w:hAnsi="Calibri" w:cs="Calibri"/>
          <w:bCs/>
          <w:color w:val="0000FF"/>
        </w:rPr>
        <w:t>12)</w:t>
      </w:r>
    </w:p>
    <w:p w14:paraId="40DDFB78" w14:textId="77777777" w:rsidR="005F014A" w:rsidRPr="009F2C46" w:rsidRDefault="005F014A" w:rsidP="005F014A">
      <w:pPr>
        <w:ind w:left="720" w:firstLine="720"/>
        <w:rPr>
          <w:rFonts w:ascii="Calibri" w:eastAsia="MS Mincho" w:hAnsi="Calibri" w:cs="Calibri"/>
          <w:bCs/>
          <w:color w:val="0000FF"/>
        </w:rPr>
      </w:pPr>
      <w:r w:rsidRPr="009F2C46">
        <w:rPr>
          <w:rFonts w:ascii="Calibri" w:eastAsia="MS Mincho" w:hAnsi="Calibri" w:cs="Calibri"/>
          <w:bCs/>
          <w:color w:val="0000FF"/>
        </w:rPr>
        <w:t>OR</w:t>
      </w:r>
    </w:p>
    <w:p w14:paraId="1F0513A5" w14:textId="77777777" w:rsidR="005F014A" w:rsidRPr="009F2C46" w:rsidRDefault="005F014A" w:rsidP="005F014A">
      <w:pPr>
        <w:ind w:left="1440"/>
        <w:rPr>
          <w:rFonts w:ascii="Calibri" w:eastAsia="MS Mincho" w:hAnsi="Calibri" w:cs="Calibri"/>
          <w:bCs/>
          <w:color w:val="0000FF"/>
        </w:rPr>
      </w:pPr>
      <w:r w:rsidRPr="009F2C46">
        <w:rPr>
          <w:rFonts w:ascii="Calibri" w:eastAsia="MS Mincho" w:hAnsi="Calibri" w:cs="Calibri"/>
          <w:bCs/>
          <w:color w:val="0000FF"/>
        </w:rPr>
        <w:t>3) If there is missing data for the Summary Score for Brief Interview for Mental Status (C0500 = [99, -, ^]) and Cognitive Skills for Daily Decision Making (C1000 = [-, ^]).</w:t>
      </w:r>
    </w:p>
    <w:p w14:paraId="20CF6DBF"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Covariate = missing if the following is true: </w:t>
      </w:r>
    </w:p>
    <w:p w14:paraId="50B1F2D5" w14:textId="77777777" w:rsidR="005F014A" w:rsidRPr="009F2C46" w:rsidRDefault="005F014A" w:rsidP="005F014A">
      <w:pPr>
        <w:ind w:left="2160" w:hanging="720"/>
        <w:rPr>
          <w:rFonts w:ascii="Calibri" w:eastAsia="MS Mincho" w:hAnsi="Calibri" w:cs="Calibri"/>
          <w:bCs/>
          <w:color w:val="0000FF"/>
        </w:rPr>
      </w:pPr>
      <w:r>
        <w:rPr>
          <w:rFonts w:ascii="Calibri" w:eastAsia="MS Mincho" w:hAnsi="Calibri" w:cs="Calibri"/>
          <w:bCs/>
          <w:color w:val="0000FF"/>
        </w:rPr>
        <w:t xml:space="preserve">1) </w:t>
      </w:r>
      <w:r>
        <w:rPr>
          <w:rFonts w:ascii="Calibri" w:eastAsia="MS Mincho" w:hAnsi="Calibri" w:cs="Calibri"/>
          <w:bCs/>
          <w:color w:val="0000FF"/>
        </w:rPr>
        <w:tab/>
      </w:r>
      <w:r w:rsidRPr="009F2C46">
        <w:rPr>
          <w:rFonts w:ascii="Calibri" w:eastAsia="MS Mincho" w:hAnsi="Calibri" w:cs="Calibri"/>
          <w:bCs/>
          <w:color w:val="0000FF"/>
        </w:rPr>
        <w:t>No prior assessment is available</w:t>
      </w:r>
      <w:r>
        <w:rPr>
          <w:rFonts w:ascii="Calibri" w:eastAsia="MS Mincho" w:hAnsi="Calibri" w:cs="Calibri"/>
          <w:bCs/>
          <w:color w:val="0000FF"/>
        </w:rPr>
        <w:t>.</w:t>
      </w:r>
    </w:p>
    <w:p w14:paraId="55BDA2EE"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The logistic regression equation is of the form:</w:t>
      </w:r>
    </w:p>
    <w:p w14:paraId="67205E39"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w:t>
      </w:r>
      <w:r>
        <w:rPr>
          <w:rFonts w:ascii="Calibri" w:eastAsia="MS Mincho" w:hAnsi="Calibri" w:cs="Calibri"/>
          <w:bCs/>
          <w:color w:val="0000FF"/>
        </w:rPr>
        <w:t xml:space="preserve">Equation </w:t>
      </w:r>
      <w:r w:rsidRPr="009F2C46">
        <w:rPr>
          <w:rFonts w:ascii="Calibri" w:eastAsia="MS Mincho" w:hAnsi="Calibri" w:cs="Calibri"/>
          <w:bCs/>
          <w:color w:val="0000FF"/>
        </w:rPr>
        <w:t>1] QM triggered (yes=1, no=0) = B0 + B1*COV</w:t>
      </w:r>
    </w:p>
    <w:p w14:paraId="5FCBA1C6"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Where:</w:t>
      </w:r>
    </w:p>
    <w:p w14:paraId="220A0671" w14:textId="77777777" w:rsidR="005F014A" w:rsidRPr="001C1EFF"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B0 is the logistic regression </w:t>
      </w:r>
      <w:r w:rsidRPr="001C1EFF">
        <w:rPr>
          <w:rFonts w:ascii="Calibri" w:eastAsia="MS Mincho" w:hAnsi="Calibri" w:cs="Calibri"/>
          <w:bCs/>
          <w:color w:val="0000FF"/>
        </w:rPr>
        <w:t xml:space="preserve">constant (B0 = -3.252334), </w:t>
      </w:r>
    </w:p>
    <w:p w14:paraId="75A5EAE6" w14:textId="77777777" w:rsidR="005F014A" w:rsidRPr="009F2C46" w:rsidRDefault="005F014A" w:rsidP="005F014A">
      <w:pPr>
        <w:ind w:firstLine="720"/>
        <w:rPr>
          <w:rFonts w:ascii="Calibri" w:eastAsia="MS Mincho" w:hAnsi="Calibri" w:cs="Calibri"/>
          <w:bCs/>
          <w:color w:val="0000FF"/>
        </w:rPr>
      </w:pPr>
      <w:r w:rsidRPr="001C1EFF">
        <w:rPr>
          <w:rFonts w:ascii="Calibri" w:eastAsia="MS Mincho" w:hAnsi="Calibri" w:cs="Calibri"/>
          <w:bCs/>
          <w:color w:val="0000FF"/>
        </w:rPr>
        <w:t>B1 is the logistic regression coefficient for the covariate (B1 = 1.218125), and</w:t>
      </w:r>
      <w:r w:rsidRPr="009F2C46">
        <w:rPr>
          <w:rFonts w:ascii="Calibri" w:eastAsia="MS Mincho" w:hAnsi="Calibri" w:cs="Calibri"/>
          <w:bCs/>
          <w:color w:val="0000FF"/>
        </w:rPr>
        <w:t xml:space="preserve"> </w:t>
      </w:r>
    </w:p>
    <w:p w14:paraId="79316F30"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COV is the resident-level score for the covariate (0 or 1)</w:t>
      </w:r>
    </w:p>
    <w:p w14:paraId="78838B88"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Step 4b: Calculate the expected resident score for each resident with the following formula: </w:t>
      </w:r>
    </w:p>
    <w:p w14:paraId="698CCD6D"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w:t>
      </w:r>
      <w:r>
        <w:rPr>
          <w:rFonts w:ascii="Calibri" w:eastAsia="MS Mincho" w:hAnsi="Calibri" w:cs="Calibri"/>
          <w:bCs/>
          <w:color w:val="0000FF"/>
        </w:rPr>
        <w:t xml:space="preserve">Equation </w:t>
      </w:r>
      <w:r w:rsidRPr="009F2C46">
        <w:rPr>
          <w:rFonts w:ascii="Calibri" w:eastAsia="MS Mincho" w:hAnsi="Calibri" w:cs="Calibri"/>
          <w:bCs/>
          <w:color w:val="0000FF"/>
        </w:rPr>
        <w:t>2] Resident-level expected QM score = 1/ [1+e^-x]</w:t>
      </w:r>
    </w:p>
    <w:p w14:paraId="59B1B386" w14:textId="77777777" w:rsidR="005F014A" w:rsidRDefault="005F014A" w:rsidP="005F014A">
      <w:pPr>
        <w:ind w:left="405"/>
        <w:rPr>
          <w:rFonts w:cstheme="minorHAnsi"/>
          <w:bCs/>
          <w:color w:val="0000FF"/>
        </w:rPr>
      </w:pPr>
      <w:r w:rsidRPr="009F2C46">
        <w:rPr>
          <w:rFonts w:ascii="Calibri" w:eastAsia="MS Mincho" w:hAnsi="Calibri" w:cs="Calibri"/>
          <w:bCs/>
          <w:color w:val="0000FF"/>
        </w:rPr>
        <w:t xml:space="preserve">Where e is the base of natural logarithms and x is a linear combination of the constant and the </w:t>
      </w:r>
      <w:r>
        <w:rPr>
          <w:rFonts w:ascii="Calibri" w:eastAsia="MS Mincho" w:hAnsi="Calibri" w:cs="Calibri"/>
          <w:bCs/>
          <w:color w:val="0000FF"/>
        </w:rPr>
        <w:t>logistic regression coefficient</w:t>
      </w:r>
      <w:r w:rsidRPr="009F2C46">
        <w:rPr>
          <w:rFonts w:ascii="Calibri" w:eastAsia="MS Mincho" w:hAnsi="Calibri" w:cs="Calibri"/>
          <w:bCs/>
          <w:color w:val="0000FF"/>
        </w:rPr>
        <w:t xml:space="preserve"> times the covariate scores (from Formula [1]). A covariate score will be 1 if the covariate is triggered </w:t>
      </w:r>
      <w:r>
        <w:rPr>
          <w:rFonts w:ascii="Calibri" w:eastAsia="MS Mincho" w:hAnsi="Calibri" w:cs="Calibri"/>
          <w:bCs/>
          <w:color w:val="0000FF"/>
        </w:rPr>
        <w:t>for that resident, and 0 if the covariate is not triggered.</w:t>
      </w:r>
      <w:r w:rsidRPr="002A23FE">
        <w:rPr>
          <w:rFonts w:cstheme="minorHAnsi"/>
          <w:bCs/>
          <w:color w:val="0000FF"/>
        </w:rPr>
        <w:br/>
      </w:r>
    </w:p>
    <w:p w14:paraId="11410F39" w14:textId="77777777" w:rsidR="005F014A" w:rsidRPr="009F2C46" w:rsidRDefault="005F014A" w:rsidP="005F014A">
      <w:pPr>
        <w:rPr>
          <w:rFonts w:ascii="Calibri" w:eastAsia="MS Mincho" w:hAnsi="Calibri" w:cs="Calibri"/>
          <w:bCs/>
          <w:color w:val="0000FF"/>
        </w:rPr>
      </w:pPr>
      <w:r w:rsidRPr="002A23FE">
        <w:rPr>
          <w:rFonts w:cstheme="minorHAnsi"/>
          <w:bCs/>
          <w:color w:val="0000FF"/>
        </w:rPr>
        <w:t>Step 5: Calculate the facility-level expected QM score by averaging all resident-level expected scores derived in step 4b.</w:t>
      </w:r>
      <w:r w:rsidRPr="002A23FE">
        <w:rPr>
          <w:rFonts w:cstheme="minorHAnsi"/>
          <w:bCs/>
          <w:color w:val="0000FF"/>
        </w:rPr>
        <w:br/>
      </w:r>
      <w:r w:rsidRPr="002A23FE">
        <w:rPr>
          <w:rFonts w:cstheme="minorHAnsi"/>
          <w:bCs/>
          <w:color w:val="0000FF"/>
        </w:rPr>
        <w:br/>
        <w:t>Step 6. Calculate the facility-level adjusted score based on the:</w:t>
      </w:r>
    </w:p>
    <w:p w14:paraId="07F1B4A2" w14:textId="77777777" w:rsidR="005F014A" w:rsidRPr="009F2C46" w:rsidRDefault="005F014A" w:rsidP="005F014A">
      <w:pPr>
        <w:pStyle w:val="ListParagraph"/>
      </w:pPr>
      <w:r w:rsidRPr="009F2C46">
        <w:t xml:space="preserve">facility-level observed QM score (step 2b), </w:t>
      </w:r>
    </w:p>
    <w:p w14:paraId="5EAB63CC" w14:textId="77777777" w:rsidR="005F014A" w:rsidRPr="009F2C46" w:rsidRDefault="005F014A" w:rsidP="005F014A">
      <w:pPr>
        <w:pStyle w:val="ListParagraph"/>
      </w:pPr>
      <w:r w:rsidRPr="009F2C46">
        <w:t xml:space="preserve">facility-level expected QM score (step 5), and </w:t>
      </w:r>
    </w:p>
    <w:p w14:paraId="702064BE" w14:textId="77777777" w:rsidR="005F014A" w:rsidRPr="009F2C46" w:rsidRDefault="005F014A" w:rsidP="005F014A">
      <w:pPr>
        <w:pStyle w:val="ListParagraph"/>
      </w:pPr>
      <w:r w:rsidRPr="009F2C46">
        <w:t xml:space="preserve">national average observed QM score (step 3). </w:t>
      </w:r>
    </w:p>
    <w:p w14:paraId="25C5D2D9"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The calculation of the adjusted score uses the following equation: </w:t>
      </w:r>
    </w:p>
    <w:p w14:paraId="31369232"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w:t>
      </w:r>
      <w:r>
        <w:rPr>
          <w:rFonts w:ascii="Calibri" w:eastAsia="MS Mincho" w:hAnsi="Calibri" w:cs="Calibri"/>
          <w:bCs/>
          <w:color w:val="0000FF"/>
        </w:rPr>
        <w:t xml:space="preserve">Equation </w:t>
      </w:r>
      <w:r w:rsidRPr="009F2C46">
        <w:rPr>
          <w:rFonts w:ascii="Calibri" w:eastAsia="MS Mincho" w:hAnsi="Calibri" w:cs="Calibri"/>
          <w:bCs/>
          <w:color w:val="0000FF"/>
        </w:rPr>
        <w:t>3] Adj = 1/ [1 + e^ -y]</w:t>
      </w:r>
    </w:p>
    <w:p w14:paraId="159346F5"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where </w:t>
      </w:r>
    </w:p>
    <w:p w14:paraId="4E15E0B9"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Adj is the facility-level adjusted QM score, and </w:t>
      </w:r>
    </w:p>
    <w:p w14:paraId="385AEA21"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y = (Ln(</w:t>
      </w:r>
      <w:proofErr w:type="spellStart"/>
      <w:r w:rsidRPr="009F2C46">
        <w:rPr>
          <w:rFonts w:ascii="Calibri" w:eastAsia="MS Mincho" w:hAnsi="Calibri" w:cs="Calibri"/>
          <w:bCs/>
          <w:color w:val="0000FF"/>
        </w:rPr>
        <w:t>Obs</w:t>
      </w:r>
      <w:proofErr w:type="spellEnd"/>
      <w:r w:rsidRPr="009F2C46">
        <w:rPr>
          <w:rFonts w:ascii="Calibri" w:eastAsia="MS Mincho" w:hAnsi="Calibri" w:cs="Calibri"/>
          <w:bCs/>
          <w:color w:val="0000FF"/>
        </w:rPr>
        <w:t>/(1–</w:t>
      </w:r>
      <w:proofErr w:type="spellStart"/>
      <w:r w:rsidRPr="009F2C46">
        <w:rPr>
          <w:rFonts w:ascii="Calibri" w:eastAsia="MS Mincho" w:hAnsi="Calibri" w:cs="Calibri"/>
          <w:bCs/>
          <w:color w:val="0000FF"/>
        </w:rPr>
        <w:t>Obs</w:t>
      </w:r>
      <w:proofErr w:type="spellEnd"/>
      <w:r w:rsidRPr="009F2C46">
        <w:rPr>
          <w:rFonts w:ascii="Calibri" w:eastAsia="MS Mincho" w:hAnsi="Calibri" w:cs="Calibri"/>
          <w:bCs/>
          <w:color w:val="0000FF"/>
        </w:rPr>
        <w:t>)) - Ln(</w:t>
      </w:r>
      <w:proofErr w:type="spellStart"/>
      <w:r w:rsidRPr="009F2C46">
        <w:rPr>
          <w:rFonts w:ascii="Calibri" w:eastAsia="MS Mincho" w:hAnsi="Calibri" w:cs="Calibri"/>
          <w:bCs/>
          <w:color w:val="0000FF"/>
        </w:rPr>
        <w:t>Exp</w:t>
      </w:r>
      <w:proofErr w:type="spellEnd"/>
      <w:r w:rsidRPr="009F2C46">
        <w:rPr>
          <w:rFonts w:ascii="Calibri" w:eastAsia="MS Mincho" w:hAnsi="Calibri" w:cs="Calibri"/>
          <w:bCs/>
          <w:color w:val="0000FF"/>
        </w:rPr>
        <w:t>/(1–</w:t>
      </w:r>
      <w:proofErr w:type="spellStart"/>
      <w:r w:rsidRPr="009F2C46">
        <w:rPr>
          <w:rFonts w:ascii="Calibri" w:eastAsia="MS Mincho" w:hAnsi="Calibri" w:cs="Calibri"/>
          <w:bCs/>
          <w:color w:val="0000FF"/>
        </w:rPr>
        <w:t>Exp</w:t>
      </w:r>
      <w:proofErr w:type="spellEnd"/>
      <w:r w:rsidRPr="009F2C46">
        <w:rPr>
          <w:rFonts w:ascii="Calibri" w:eastAsia="MS Mincho" w:hAnsi="Calibri" w:cs="Calibri"/>
          <w:bCs/>
          <w:color w:val="0000FF"/>
        </w:rPr>
        <w:t xml:space="preserve">)) + Ln(Nat/(1–Nat))) </w:t>
      </w:r>
    </w:p>
    <w:p w14:paraId="12D4D46D"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Obs is the facility-level observed QM rate, </w:t>
      </w:r>
    </w:p>
    <w:p w14:paraId="09E6044F" w14:textId="77777777" w:rsidR="005F014A" w:rsidRPr="009F2C46" w:rsidRDefault="005F014A" w:rsidP="005F014A">
      <w:pPr>
        <w:ind w:firstLine="720"/>
        <w:rPr>
          <w:rFonts w:ascii="Calibri" w:eastAsia="MS Mincho" w:hAnsi="Calibri" w:cs="Calibri"/>
          <w:bCs/>
          <w:color w:val="0000FF"/>
        </w:rPr>
      </w:pPr>
      <w:proofErr w:type="spellStart"/>
      <w:r w:rsidRPr="009F2C46">
        <w:rPr>
          <w:rFonts w:ascii="Calibri" w:eastAsia="MS Mincho" w:hAnsi="Calibri" w:cs="Calibri"/>
          <w:bCs/>
          <w:color w:val="0000FF"/>
        </w:rPr>
        <w:t>Exp</w:t>
      </w:r>
      <w:proofErr w:type="spellEnd"/>
      <w:r w:rsidRPr="009F2C46">
        <w:rPr>
          <w:rFonts w:ascii="Calibri" w:eastAsia="MS Mincho" w:hAnsi="Calibri" w:cs="Calibri"/>
          <w:bCs/>
          <w:color w:val="0000FF"/>
        </w:rPr>
        <w:t xml:space="preserve"> is the facility-level expected QM rate, </w:t>
      </w:r>
    </w:p>
    <w:p w14:paraId="584012B4"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Nat is the national observed QM rate (Nat= </w:t>
      </w:r>
      <w:r w:rsidRPr="0053520A">
        <w:rPr>
          <w:rFonts w:ascii="Calibri" w:eastAsia="MS Mincho" w:hAnsi="Calibri" w:cs="Calibri"/>
          <w:bCs/>
          <w:color w:val="0000FF"/>
        </w:rPr>
        <w:t>0.0679302</w:t>
      </w:r>
      <w:r w:rsidRPr="009F2C46">
        <w:rPr>
          <w:rFonts w:ascii="Calibri" w:eastAsia="MS Mincho" w:hAnsi="Calibri" w:cs="Calibri"/>
          <w:bCs/>
          <w:color w:val="0000FF"/>
        </w:rPr>
        <w:t xml:space="preserve">), and </w:t>
      </w:r>
    </w:p>
    <w:p w14:paraId="2D1A7296"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 xml:space="preserve">Ln indicates a natural logarithm. </w:t>
      </w:r>
    </w:p>
    <w:p w14:paraId="6AAAAD3F" w14:textId="77777777" w:rsidR="005F014A" w:rsidRPr="009F2C46" w:rsidRDefault="005F014A" w:rsidP="005F014A">
      <w:pPr>
        <w:ind w:firstLine="720"/>
        <w:rPr>
          <w:rFonts w:ascii="Calibri" w:eastAsia="MS Mincho" w:hAnsi="Calibri" w:cs="Calibri"/>
          <w:bCs/>
          <w:color w:val="0000FF"/>
        </w:rPr>
      </w:pPr>
      <w:r w:rsidRPr="009F2C46">
        <w:rPr>
          <w:rFonts w:ascii="Calibri" w:eastAsia="MS Mincho" w:hAnsi="Calibri" w:cs="Calibri"/>
          <w:bCs/>
          <w:color w:val="0000FF"/>
        </w:rPr>
        <w:t>e is the base of natural logarithms</w:t>
      </w:r>
    </w:p>
    <w:p w14:paraId="30C5320A" w14:textId="302CD433" w:rsidR="005F014A" w:rsidRPr="00363FAE" w:rsidRDefault="005F014A" w:rsidP="005F014A">
      <w:pPr>
        <w:pStyle w:val="Response"/>
        <w:rPr>
          <w:sz w:val="20"/>
          <w:szCs w:val="20"/>
        </w:rPr>
      </w:pPr>
      <w:r w:rsidRPr="00363FAE">
        <w:rPr>
          <w:bCs w:val="0"/>
          <w:sz w:val="20"/>
          <w:szCs w:val="20"/>
        </w:rPr>
        <w:t>SOURCE:</w:t>
      </w:r>
      <w:r w:rsidRPr="00363FAE">
        <w:rPr>
          <w:sz w:val="20"/>
          <w:szCs w:val="20"/>
        </w:rPr>
        <w:t xml:space="preserve"> RTI analysis of Q2 2017 MDS 3.0 data (programming refe</w:t>
      </w:r>
      <w:r w:rsidR="00D83DDE">
        <w:rPr>
          <w:sz w:val="20"/>
          <w:szCs w:val="20"/>
        </w:rPr>
        <w:t>rence: LJC03\LJC03_request</w:t>
      </w:r>
      <w:r w:rsidRPr="00363FAE">
        <w:rPr>
          <w:sz w:val="20"/>
          <w:szCs w:val="20"/>
        </w:rPr>
        <w:t>_677.log)</w:t>
      </w:r>
    </w:p>
    <w:p w14:paraId="181D6F8B" w14:textId="77777777" w:rsidR="005F014A" w:rsidRPr="00363FAE" w:rsidRDefault="005F014A" w:rsidP="005F014A">
      <w:pPr>
        <w:rPr>
          <w:rFonts w:cstheme="minorHAnsi"/>
          <w:bCs/>
          <w:color w:val="0000FF"/>
          <w:sz w:val="20"/>
          <w:szCs w:val="20"/>
        </w:rPr>
      </w:pPr>
      <w:r w:rsidRPr="00363FAE">
        <w:rPr>
          <w:rFonts w:cstheme="minorHAnsi"/>
          <w:bCs/>
          <w:color w:val="0000FF"/>
          <w:sz w:val="20"/>
          <w:szCs w:val="20"/>
        </w:rPr>
        <w:t>Reference: RTI International MDS 3.0 Quality Measures User’s Manual v11.0. Waltham, MA: RTI International, 2017. Available at: https://www.cms.gov/Medicare/Quality-Initiatives-Patient-Assessment-Instruments/NursingHomeQualityInits/Downloads/MDS-30-QM-Users-Manual-V11-Final.pdf</w:t>
      </w:r>
    </w:p>
    <w:p w14:paraId="3C4CED08" w14:textId="77777777" w:rsidR="005F014A" w:rsidRDefault="005F014A" w:rsidP="005F014A">
      <w:pPr>
        <w:rPr>
          <w:rFonts w:cstheme="minorHAnsi"/>
          <w:b/>
          <w:bCs/>
          <w:sz w:val="14"/>
        </w:rPr>
      </w:pPr>
      <w:r>
        <w:rPr>
          <w:rFonts w:cs="Calibri"/>
          <w:b/>
          <w:bCs/>
        </w:rPr>
        <w:t xml:space="preserve">2b3.2. If an outcome or resource use component measure is </w:t>
      </w:r>
      <w:r>
        <w:rPr>
          <w:rFonts w:cs="Calibri"/>
          <w:b/>
          <w:bCs/>
          <w:u w:val="single"/>
        </w:rPr>
        <w:t>not risk adjusted or stratified</w:t>
      </w:r>
      <w:r>
        <w:rPr>
          <w:rFonts w:cs="Calibri"/>
          <w:b/>
          <w:bCs/>
        </w:rPr>
        <w:t xml:space="preserve">, provide </w:t>
      </w:r>
      <w:r>
        <w:rPr>
          <w:rFonts w:cs="Calibri"/>
          <w:b/>
          <w:bCs/>
          <w:u w:val="single"/>
        </w:rPr>
        <w:t>rationale and analyses</w:t>
      </w:r>
      <w:r>
        <w:rPr>
          <w:rFonts w:cs="Calibri"/>
          <w:b/>
          <w:bCs/>
        </w:rPr>
        <w:t xml:space="preserve"> to demonstrate that controlling for differences in patient characteristics (case mix) is not needed to achieve fair comparisons across measured entities</w:t>
      </w:r>
      <w:r>
        <w:rPr>
          <w:rFonts w:cs="Calibri"/>
          <w:bCs/>
        </w:rPr>
        <w:t xml:space="preserve">. </w:t>
      </w:r>
    </w:p>
    <w:p w14:paraId="6E2E14F5" w14:textId="77777777" w:rsidR="005F014A" w:rsidRPr="009B2293" w:rsidRDefault="005F014A" w:rsidP="005F014A">
      <w:pPr>
        <w:pStyle w:val="Response"/>
      </w:pPr>
      <w:r>
        <w:rPr>
          <w:rFonts w:ascii="Calibri" w:eastAsia="MS Mincho" w:hAnsi="Calibri" w:cs="Calibri"/>
        </w:rPr>
        <w:t>This is not applicable. This measure is risk-adjusted.</w:t>
      </w:r>
    </w:p>
    <w:p w14:paraId="78E6FF06" w14:textId="77777777" w:rsidR="005F014A" w:rsidRDefault="005F014A" w:rsidP="005F014A">
      <w:pPr>
        <w:rPr>
          <w:rFonts w:cstheme="minorHAnsi"/>
          <w:bCs/>
        </w:rPr>
      </w:pPr>
      <w:r>
        <w:rPr>
          <w:rFonts w:cstheme="minorHAnsi"/>
          <w:b/>
          <w:bCs/>
        </w:rPr>
        <w:t>2b3.3a. 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Pr>
          <w:rFonts w:cstheme="minorHAnsi"/>
          <w:b/>
          <w:bCs/>
        </w:rPr>
        <w:t xml:space="preserve">patient </w:t>
      </w:r>
      <w:r w:rsidRPr="00A25024">
        <w:rPr>
          <w:rFonts w:cstheme="minorHAnsi"/>
          <w:b/>
          <w:bCs/>
        </w:rPr>
        <w:t xml:space="preserve">factors </w:t>
      </w:r>
      <w:r>
        <w:rPr>
          <w:rFonts w:cstheme="minorHAnsi"/>
          <w:b/>
          <w:bCs/>
        </w:rPr>
        <w:t xml:space="preserve">(clinical factors or social risk factors) </w:t>
      </w:r>
      <w:r w:rsidRPr="00A25024">
        <w:rPr>
          <w:rFonts w:cstheme="minorHAnsi"/>
          <w:b/>
          <w:bCs/>
        </w:rPr>
        <w:t>used in the statistical risk model or for stratification by risk</w:t>
      </w:r>
      <w:r>
        <w:rPr>
          <w:rFonts w:cstheme="minorHAnsi"/>
          <w:b/>
          <w:bCs/>
        </w:rPr>
        <w:t xml:space="preserve"> </w:t>
      </w:r>
      <w:r w:rsidRPr="00A25024">
        <w:rPr>
          <w:rFonts w:cstheme="minorHAnsi"/>
          <w:bCs/>
        </w:rPr>
        <w:t>(</w:t>
      </w:r>
      <w:r w:rsidRPr="00A25024">
        <w:rPr>
          <w:rFonts w:cstheme="minorHAnsi"/>
          <w:bCs/>
          <w:i/>
        </w:rPr>
        <w:t xml:space="preserve">e.g., potential factors identified in </w:t>
      </w:r>
      <w:r>
        <w:rPr>
          <w:rFonts w:cstheme="minorHAnsi"/>
          <w:bCs/>
          <w:i/>
        </w:rPr>
        <w:t xml:space="preserve">the </w:t>
      </w:r>
      <w:r w:rsidRPr="00A25024">
        <w:rPr>
          <w:rFonts w:cstheme="minorHAnsi"/>
          <w:bCs/>
          <w:i/>
        </w:rPr>
        <w:t>literature and/or expert panel; regression analysis; statistical significance of p&lt;0.10; correlation of x or higher</w:t>
      </w:r>
      <w:r>
        <w:rPr>
          <w:rFonts w:cstheme="minorHAnsi"/>
          <w:bCs/>
          <w:i/>
        </w:rPr>
        <w:t>; patient factors should be present at the start of care</w:t>
      </w:r>
      <w:r w:rsidRPr="00A25024">
        <w:rPr>
          <w:rFonts w:cstheme="minorHAnsi"/>
          <w:bCs/>
        </w:rPr>
        <w:t>)</w:t>
      </w:r>
      <w:r>
        <w:rPr>
          <w:rFonts w:cstheme="minorHAnsi"/>
          <w:bCs/>
        </w:rPr>
        <w:t xml:space="preserve">  </w:t>
      </w:r>
      <w:r w:rsidRPr="00AF2D68">
        <w:rPr>
          <w:rFonts w:cstheme="minorHAnsi"/>
          <w:b/>
          <w:bCs/>
        </w:rPr>
        <w:t>Also discuss any “ordering” of risk factor inclusion</w:t>
      </w:r>
      <w:r>
        <w:rPr>
          <w:rFonts w:cstheme="minorHAnsi"/>
          <w:bCs/>
        </w:rPr>
        <w:t>; for example, are social risk factors added after all clinical factors?</w:t>
      </w:r>
    </w:p>
    <w:p w14:paraId="50D28B7B" w14:textId="77777777" w:rsidR="005F014A" w:rsidRPr="00D90213" w:rsidRDefault="005F014A" w:rsidP="005F014A">
      <w:pPr>
        <w:pStyle w:val="BodyText"/>
        <w:rPr>
          <w:rFonts w:asciiTheme="minorHAnsi" w:eastAsiaTheme="minorEastAsia" w:hAnsiTheme="minorHAnsi" w:cstheme="minorBidi"/>
          <w:iCs/>
          <w:color w:val="0000FF"/>
          <w:sz w:val="22"/>
        </w:rPr>
      </w:pPr>
      <w:r w:rsidRPr="0071037F">
        <w:rPr>
          <w:rFonts w:asciiTheme="minorHAnsi" w:eastAsiaTheme="minorEastAsia" w:hAnsiTheme="minorHAnsi" w:cstheme="minorBidi"/>
          <w:iCs/>
          <w:color w:val="0000FF"/>
          <w:sz w:val="22"/>
        </w:rPr>
        <w:t xml:space="preserve">This quality measure </w:t>
      </w:r>
      <w:r>
        <w:rPr>
          <w:rFonts w:asciiTheme="minorHAnsi" w:eastAsiaTheme="minorEastAsia" w:hAnsiTheme="minorHAnsi" w:cstheme="minorBidi"/>
          <w:iCs/>
          <w:color w:val="0000FF"/>
          <w:sz w:val="22"/>
        </w:rPr>
        <w:t>reports</w:t>
      </w:r>
      <w:r w:rsidRPr="0071037F">
        <w:rPr>
          <w:rFonts w:asciiTheme="minorHAnsi" w:eastAsiaTheme="minorEastAsia" w:hAnsiTheme="minorHAnsi" w:cstheme="minorBidi"/>
          <w:iCs/>
          <w:color w:val="0000FF"/>
          <w:sz w:val="22"/>
        </w:rPr>
        <w:t xml:space="preserve"> the </w:t>
      </w:r>
      <w:r>
        <w:rPr>
          <w:rFonts w:asciiTheme="minorHAnsi" w:eastAsiaTheme="minorEastAsia" w:hAnsiTheme="minorHAnsi" w:cstheme="minorBidi"/>
          <w:iCs/>
          <w:color w:val="0000FF"/>
          <w:sz w:val="22"/>
        </w:rPr>
        <w:t>risk adjust</w:t>
      </w:r>
      <w:r w:rsidRPr="0071037F">
        <w:rPr>
          <w:rFonts w:asciiTheme="minorHAnsi" w:eastAsiaTheme="minorEastAsia" w:hAnsiTheme="minorHAnsi" w:cstheme="minorBidi"/>
          <w:iCs/>
          <w:color w:val="0000FF"/>
          <w:sz w:val="22"/>
        </w:rPr>
        <w:t xml:space="preserve">ed </w:t>
      </w:r>
      <w:r>
        <w:rPr>
          <w:rFonts w:asciiTheme="minorHAnsi" w:eastAsiaTheme="minorEastAsia" w:hAnsiTheme="minorHAnsi" w:cstheme="minorBidi"/>
          <w:iCs/>
          <w:color w:val="0000FF"/>
          <w:sz w:val="22"/>
        </w:rPr>
        <w:t>percentage of residents self-reporting moderate to severe pain among long-stay nursing facility residents</w:t>
      </w:r>
      <w:r w:rsidRPr="0071037F">
        <w:rPr>
          <w:rFonts w:asciiTheme="minorHAnsi" w:eastAsiaTheme="minorEastAsia" w:hAnsiTheme="minorHAnsi" w:cstheme="minorBidi"/>
          <w:iCs/>
          <w:color w:val="0000FF"/>
          <w:sz w:val="22"/>
        </w:rPr>
        <w:t xml:space="preserve">. </w:t>
      </w:r>
      <w:r w:rsidRPr="0071037F">
        <w:rPr>
          <w:color w:val="0000FF"/>
          <w:sz w:val="22"/>
        </w:rPr>
        <w:t>The goal of risk adjustment is to control for differences across facilities in pati</w:t>
      </w:r>
      <w:r>
        <w:rPr>
          <w:color w:val="0000FF"/>
          <w:sz w:val="22"/>
        </w:rPr>
        <w:t>ent characteristics</w:t>
      </w:r>
      <w:r w:rsidRPr="0071037F">
        <w:rPr>
          <w:color w:val="0000FF"/>
          <w:sz w:val="22"/>
        </w:rPr>
        <w:t xml:space="preserve"> that might be related to the outcome of interest. This allows outcomes to be compared across facilities after differences in patient complexity (i.e., patient characteristics) have been accounted for in the analysis. The risk adjustment model for this </w:t>
      </w:r>
      <w:r w:rsidRPr="000503FC">
        <w:rPr>
          <w:color w:val="0000FF"/>
          <w:sz w:val="22"/>
        </w:rPr>
        <w:t>measure controls for variation across facilities in the percentage of patients who are categorized as cognitively independent. The literature</w:t>
      </w:r>
      <w:r>
        <w:rPr>
          <w:color w:val="0000FF"/>
          <w:sz w:val="22"/>
        </w:rPr>
        <w:t>,</w:t>
      </w:r>
      <w:r w:rsidRPr="000503FC">
        <w:rPr>
          <w:color w:val="0000FF"/>
          <w:sz w:val="22"/>
        </w:rPr>
        <w:t xml:space="preserve"> as well as data analysis conducted on this measure, suggests </w:t>
      </w:r>
      <w:r>
        <w:rPr>
          <w:color w:val="0000FF"/>
          <w:sz w:val="22"/>
        </w:rPr>
        <w:t>differences</w:t>
      </w:r>
      <w:r w:rsidRPr="000503FC">
        <w:rPr>
          <w:color w:val="0000FF"/>
          <w:sz w:val="22"/>
        </w:rPr>
        <w:t xml:space="preserve"> in </w:t>
      </w:r>
      <w:r>
        <w:rPr>
          <w:color w:val="0000FF"/>
          <w:sz w:val="22"/>
        </w:rPr>
        <w:t xml:space="preserve">self-reported pain symptoms and </w:t>
      </w:r>
      <w:r w:rsidRPr="000503FC">
        <w:rPr>
          <w:color w:val="0000FF"/>
          <w:sz w:val="22"/>
        </w:rPr>
        <w:t xml:space="preserve">pain management between cognitively intact residents and those with a cognitive impairment. While cognitive impairment was found to be negatively associated with self-reported </w:t>
      </w:r>
      <w:r w:rsidRPr="00D90213">
        <w:rPr>
          <w:color w:val="0000FF"/>
          <w:sz w:val="22"/>
        </w:rPr>
        <w:t>pain (</w:t>
      </w:r>
      <w:r w:rsidRPr="00D90213">
        <w:rPr>
          <w:rFonts w:eastAsia="MS Mincho" w:cs="Calibri"/>
          <w:bCs/>
          <w:color w:val="0000FF"/>
          <w:sz w:val="22"/>
        </w:rPr>
        <w:t xml:space="preserve">Lukas, Mayer, </w:t>
      </w:r>
      <w:proofErr w:type="spellStart"/>
      <w:r w:rsidRPr="00D90213">
        <w:rPr>
          <w:rFonts w:eastAsia="MS Mincho" w:cs="Calibri"/>
          <w:bCs/>
          <w:color w:val="0000FF"/>
          <w:sz w:val="22"/>
        </w:rPr>
        <w:t>Fiavola</w:t>
      </w:r>
      <w:proofErr w:type="spellEnd"/>
      <w:r w:rsidRPr="00D90213">
        <w:rPr>
          <w:rFonts w:eastAsia="MS Mincho" w:cs="Calibri"/>
          <w:bCs/>
          <w:color w:val="0000FF"/>
          <w:sz w:val="22"/>
        </w:rPr>
        <w:t xml:space="preserve">, </w:t>
      </w:r>
      <w:proofErr w:type="spellStart"/>
      <w:r w:rsidRPr="00D90213">
        <w:rPr>
          <w:rFonts w:eastAsia="MS Mincho" w:cs="Calibri"/>
          <w:bCs/>
          <w:color w:val="0000FF"/>
          <w:sz w:val="22"/>
        </w:rPr>
        <w:t>Topinkova</w:t>
      </w:r>
      <w:proofErr w:type="spellEnd"/>
      <w:r w:rsidRPr="00D90213">
        <w:rPr>
          <w:rFonts w:eastAsia="MS Mincho" w:cs="Calibri"/>
          <w:bCs/>
          <w:color w:val="0000FF"/>
          <w:sz w:val="22"/>
        </w:rPr>
        <w:t xml:space="preserve">, </w:t>
      </w:r>
      <w:proofErr w:type="spellStart"/>
      <w:r w:rsidRPr="00D90213">
        <w:rPr>
          <w:rFonts w:eastAsia="MS Mincho" w:cs="Calibri"/>
          <w:bCs/>
          <w:color w:val="0000FF"/>
          <w:sz w:val="22"/>
        </w:rPr>
        <w:t>Gindin</w:t>
      </w:r>
      <w:proofErr w:type="spellEnd"/>
      <w:r w:rsidRPr="00D90213">
        <w:rPr>
          <w:rFonts w:eastAsia="MS Mincho" w:cs="Calibri"/>
          <w:bCs/>
          <w:color w:val="0000FF"/>
          <w:sz w:val="22"/>
        </w:rPr>
        <w:t xml:space="preserve">, </w:t>
      </w:r>
      <w:proofErr w:type="spellStart"/>
      <w:r w:rsidRPr="00D90213">
        <w:rPr>
          <w:rFonts w:eastAsia="MS Mincho" w:cs="Calibri"/>
          <w:bCs/>
          <w:color w:val="0000FF"/>
          <w:sz w:val="22"/>
        </w:rPr>
        <w:t>Onder</w:t>
      </w:r>
      <w:proofErr w:type="spellEnd"/>
      <w:r w:rsidRPr="00D90213">
        <w:rPr>
          <w:rFonts w:eastAsia="MS Mincho" w:cs="Calibri"/>
          <w:bCs/>
          <w:color w:val="0000FF"/>
          <w:sz w:val="22"/>
        </w:rPr>
        <w:t xml:space="preserve">, </w:t>
      </w:r>
      <w:proofErr w:type="spellStart"/>
      <w:r w:rsidRPr="00D90213">
        <w:rPr>
          <w:rFonts w:eastAsia="MS Mincho" w:cs="Calibri"/>
          <w:bCs/>
          <w:color w:val="0000FF"/>
          <w:sz w:val="22"/>
        </w:rPr>
        <w:t>Bernabei</w:t>
      </w:r>
      <w:proofErr w:type="spellEnd"/>
      <w:r w:rsidRPr="00D90213">
        <w:rPr>
          <w:rFonts w:eastAsia="MS Mincho" w:cs="Calibri"/>
          <w:bCs/>
          <w:color w:val="0000FF"/>
          <w:sz w:val="22"/>
        </w:rPr>
        <w:t xml:space="preserve">, Nikolaus, &amp; </w:t>
      </w:r>
      <w:proofErr w:type="spellStart"/>
      <w:r w:rsidRPr="00D90213">
        <w:rPr>
          <w:rFonts w:eastAsia="MS Mincho" w:cs="Calibri"/>
          <w:bCs/>
          <w:color w:val="0000FF"/>
          <w:sz w:val="22"/>
        </w:rPr>
        <w:t>Denkinger</w:t>
      </w:r>
      <w:proofErr w:type="spellEnd"/>
      <w:r w:rsidRPr="00D90213">
        <w:rPr>
          <w:rFonts w:eastAsia="MS Mincho" w:cs="Calibri"/>
          <w:bCs/>
          <w:color w:val="0000FF"/>
          <w:sz w:val="22"/>
        </w:rPr>
        <w:t>, 2013</w:t>
      </w:r>
      <w:r w:rsidRPr="00D90213">
        <w:rPr>
          <w:color w:val="0000FF"/>
          <w:sz w:val="22"/>
        </w:rPr>
        <w:t>) and receipt of appropriate pain management (</w:t>
      </w:r>
      <w:proofErr w:type="spellStart"/>
      <w:r w:rsidRPr="00D90213">
        <w:rPr>
          <w:color w:val="0000FF"/>
          <w:sz w:val="22"/>
        </w:rPr>
        <w:t>Achterberg</w:t>
      </w:r>
      <w:proofErr w:type="spellEnd"/>
      <w:r w:rsidRPr="00D90213">
        <w:rPr>
          <w:color w:val="0000FF"/>
          <w:sz w:val="22"/>
        </w:rPr>
        <w:t>, Pieper, van Dalen-</w:t>
      </w:r>
      <w:proofErr w:type="spellStart"/>
      <w:r w:rsidRPr="00D90213">
        <w:rPr>
          <w:color w:val="0000FF"/>
          <w:sz w:val="22"/>
        </w:rPr>
        <w:t>Kok</w:t>
      </w:r>
      <w:proofErr w:type="spellEnd"/>
      <w:r w:rsidRPr="00D90213">
        <w:rPr>
          <w:color w:val="0000FF"/>
          <w:sz w:val="22"/>
        </w:rPr>
        <w:t xml:space="preserve">, WM de Waal, </w:t>
      </w:r>
      <w:proofErr w:type="spellStart"/>
      <w:r w:rsidRPr="00D90213">
        <w:rPr>
          <w:color w:val="0000FF"/>
          <w:sz w:val="22"/>
        </w:rPr>
        <w:t>Husebo</w:t>
      </w:r>
      <w:proofErr w:type="spellEnd"/>
      <w:r w:rsidRPr="00D90213">
        <w:rPr>
          <w:color w:val="0000FF"/>
          <w:sz w:val="22"/>
        </w:rPr>
        <w:t xml:space="preserve">, </w:t>
      </w:r>
      <w:proofErr w:type="spellStart"/>
      <w:r w:rsidRPr="00D90213">
        <w:rPr>
          <w:color w:val="0000FF"/>
          <w:sz w:val="22"/>
        </w:rPr>
        <w:t>Lautenbacher</w:t>
      </w:r>
      <w:proofErr w:type="spellEnd"/>
      <w:r w:rsidRPr="00D90213">
        <w:rPr>
          <w:color w:val="0000FF"/>
          <w:sz w:val="22"/>
        </w:rPr>
        <w:t xml:space="preserve">, Kunz, </w:t>
      </w:r>
      <w:proofErr w:type="spellStart"/>
      <w:r w:rsidRPr="00D90213">
        <w:rPr>
          <w:color w:val="0000FF"/>
          <w:sz w:val="22"/>
        </w:rPr>
        <w:t>Scherder</w:t>
      </w:r>
      <w:proofErr w:type="spellEnd"/>
      <w:r w:rsidRPr="00D90213">
        <w:rPr>
          <w:color w:val="0000FF"/>
          <w:sz w:val="22"/>
        </w:rPr>
        <w:t xml:space="preserve">, &amp; Corbett, 2013; Corbet, </w:t>
      </w:r>
      <w:proofErr w:type="spellStart"/>
      <w:r w:rsidRPr="00D90213">
        <w:rPr>
          <w:color w:val="0000FF"/>
          <w:sz w:val="22"/>
        </w:rPr>
        <w:t>Husebo</w:t>
      </w:r>
      <w:proofErr w:type="spellEnd"/>
      <w:r w:rsidRPr="00D90213">
        <w:rPr>
          <w:color w:val="0000FF"/>
          <w:sz w:val="22"/>
        </w:rPr>
        <w:t xml:space="preserve">, </w:t>
      </w:r>
      <w:proofErr w:type="spellStart"/>
      <w:r w:rsidRPr="00D90213">
        <w:rPr>
          <w:color w:val="0000FF"/>
          <w:sz w:val="22"/>
        </w:rPr>
        <w:t>Malcangio</w:t>
      </w:r>
      <w:proofErr w:type="spellEnd"/>
      <w:r w:rsidRPr="00D90213">
        <w:rPr>
          <w:color w:val="0000FF"/>
          <w:sz w:val="22"/>
        </w:rPr>
        <w:t xml:space="preserve">, </w:t>
      </w:r>
      <w:proofErr w:type="spellStart"/>
      <w:r w:rsidRPr="00D90213">
        <w:rPr>
          <w:color w:val="0000FF"/>
          <w:sz w:val="22"/>
        </w:rPr>
        <w:t>Staniland</w:t>
      </w:r>
      <w:proofErr w:type="spellEnd"/>
      <w:r w:rsidRPr="00D90213">
        <w:rPr>
          <w:color w:val="0000FF"/>
          <w:sz w:val="22"/>
        </w:rPr>
        <w:t xml:space="preserve">, Cohen-Mansfield, </w:t>
      </w:r>
      <w:proofErr w:type="spellStart"/>
      <w:r w:rsidRPr="00D90213">
        <w:rPr>
          <w:color w:val="0000FF"/>
          <w:sz w:val="22"/>
        </w:rPr>
        <w:t>Aarsland</w:t>
      </w:r>
      <w:proofErr w:type="spellEnd"/>
      <w:r w:rsidRPr="00D90213">
        <w:rPr>
          <w:color w:val="0000FF"/>
          <w:sz w:val="22"/>
        </w:rPr>
        <w:t>, &amp; Ballard,</w:t>
      </w:r>
      <w:r>
        <w:rPr>
          <w:color w:val="0000FF"/>
          <w:sz w:val="22"/>
        </w:rPr>
        <w:t xml:space="preserve"> 2012</w:t>
      </w:r>
      <w:r w:rsidRPr="00D90213">
        <w:rPr>
          <w:color w:val="0000FF"/>
          <w:sz w:val="22"/>
        </w:rPr>
        <w:t xml:space="preserve">; </w:t>
      </w:r>
      <w:proofErr w:type="spellStart"/>
      <w:r w:rsidRPr="00D90213">
        <w:rPr>
          <w:color w:val="0000FF"/>
          <w:sz w:val="22"/>
        </w:rPr>
        <w:t>Zwackhalen</w:t>
      </w:r>
      <w:proofErr w:type="spellEnd"/>
      <w:r w:rsidRPr="00D90213">
        <w:rPr>
          <w:color w:val="0000FF"/>
          <w:sz w:val="22"/>
        </w:rPr>
        <w:t xml:space="preserve">, </w:t>
      </w:r>
      <w:proofErr w:type="spellStart"/>
      <w:r w:rsidRPr="00D90213">
        <w:rPr>
          <w:color w:val="0000FF"/>
          <w:sz w:val="22"/>
        </w:rPr>
        <w:t>van’t</w:t>
      </w:r>
      <w:proofErr w:type="spellEnd"/>
      <w:r w:rsidRPr="00D90213">
        <w:rPr>
          <w:color w:val="0000FF"/>
          <w:sz w:val="22"/>
        </w:rPr>
        <w:t xml:space="preserve"> Hof, &amp; </w:t>
      </w:r>
      <w:proofErr w:type="spellStart"/>
      <w:r w:rsidRPr="00D90213">
        <w:rPr>
          <w:color w:val="0000FF"/>
          <w:sz w:val="22"/>
        </w:rPr>
        <w:t>Hamers</w:t>
      </w:r>
      <w:proofErr w:type="spellEnd"/>
      <w:r w:rsidRPr="00D90213">
        <w:rPr>
          <w:color w:val="0000FF"/>
          <w:sz w:val="22"/>
        </w:rPr>
        <w:t>,</w:t>
      </w:r>
      <w:r>
        <w:rPr>
          <w:color w:val="0000FF"/>
          <w:sz w:val="22"/>
        </w:rPr>
        <w:t xml:space="preserve"> 2012</w:t>
      </w:r>
      <w:r w:rsidRPr="00D90213">
        <w:rPr>
          <w:color w:val="0000FF"/>
          <w:sz w:val="22"/>
        </w:rPr>
        <w:t>), there is evidence to suggest this is partially due to the residents’ inability to report pain, (</w:t>
      </w:r>
      <w:proofErr w:type="spellStart"/>
      <w:r w:rsidRPr="00D90213">
        <w:rPr>
          <w:color w:val="0000FF"/>
          <w:sz w:val="22"/>
        </w:rPr>
        <w:t>Achterberg</w:t>
      </w:r>
      <w:proofErr w:type="spellEnd"/>
      <w:r w:rsidRPr="00D90213">
        <w:rPr>
          <w:color w:val="0000FF"/>
          <w:sz w:val="22"/>
        </w:rPr>
        <w:t xml:space="preserve">, et al., 2013; </w:t>
      </w:r>
      <w:r>
        <w:rPr>
          <w:color w:val="0000FF"/>
          <w:sz w:val="22"/>
        </w:rPr>
        <w:t>Herr, 2011</w:t>
      </w:r>
      <w:r w:rsidRPr="00D90213">
        <w:rPr>
          <w:color w:val="0000FF"/>
          <w:sz w:val="22"/>
        </w:rPr>
        <w:t>) rather than due to a decline in pain. Thus, this measure is risk-adjusted to allow percentage of residents self-reporting pain to be compared across nursing facilities, which may have differing proportions of residents with cognitive independence</w:t>
      </w:r>
      <w:r w:rsidRPr="00D90213">
        <w:rPr>
          <w:rFonts w:asciiTheme="minorHAnsi" w:eastAsiaTheme="minorEastAsia" w:hAnsiTheme="minorHAnsi" w:cstheme="minorBidi"/>
          <w:iCs/>
          <w:color w:val="0000FF"/>
          <w:sz w:val="22"/>
        </w:rPr>
        <w:t xml:space="preserve">. </w:t>
      </w:r>
    </w:p>
    <w:p w14:paraId="383DC2BA" w14:textId="77777777" w:rsidR="005F014A" w:rsidRPr="0071037F" w:rsidRDefault="005F014A" w:rsidP="005F014A">
      <w:pPr>
        <w:pStyle w:val="BodyText"/>
        <w:rPr>
          <w:rFonts w:asciiTheme="minorHAnsi" w:eastAsiaTheme="minorEastAsia" w:hAnsiTheme="minorHAnsi" w:cstheme="minorBidi"/>
          <w:b/>
          <w:i/>
          <w:iCs/>
          <w:color w:val="0000FF"/>
          <w:sz w:val="22"/>
        </w:rPr>
      </w:pPr>
      <w:r w:rsidRPr="0071037F">
        <w:rPr>
          <w:rFonts w:asciiTheme="minorHAnsi" w:eastAsiaTheme="minorEastAsia" w:hAnsiTheme="minorHAnsi" w:cstheme="minorBidi"/>
          <w:b/>
          <w:i/>
          <w:iCs/>
          <w:color w:val="0000FF"/>
          <w:sz w:val="22"/>
        </w:rPr>
        <w:t>Risk Adjustor Selection – Conceptual Rationale and Statistical Testing</w:t>
      </w:r>
    </w:p>
    <w:p w14:paraId="346439A1" w14:textId="77777777" w:rsidR="005F014A" w:rsidRPr="00074558" w:rsidRDefault="005F014A" w:rsidP="005F014A">
      <w:pPr>
        <w:pStyle w:val="BodyText"/>
        <w:rPr>
          <w:rFonts w:asciiTheme="minorHAnsi" w:eastAsiaTheme="minorEastAsia" w:hAnsiTheme="minorHAnsi" w:cstheme="minorBidi"/>
          <w:b/>
          <w:iCs/>
          <w:color w:val="0000FF"/>
          <w:sz w:val="22"/>
        </w:rPr>
      </w:pPr>
      <w:r w:rsidRPr="00074558">
        <w:rPr>
          <w:rFonts w:asciiTheme="minorHAnsi" w:eastAsiaTheme="minorEastAsia" w:hAnsiTheme="minorHAnsi" w:cstheme="minorBidi"/>
          <w:b/>
          <w:iCs/>
          <w:color w:val="0000FF"/>
          <w:sz w:val="22"/>
        </w:rPr>
        <w:t>Clinical Factors</w:t>
      </w:r>
    </w:p>
    <w:p w14:paraId="0403AA16" w14:textId="7837D6BE" w:rsidR="005F014A" w:rsidRDefault="005F014A" w:rsidP="005F014A">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 xml:space="preserve">Past RTI analysis (previously submitted to NQF) identified potential clinical </w:t>
      </w:r>
      <w:r w:rsidRPr="0071037F">
        <w:rPr>
          <w:rFonts w:asciiTheme="minorHAnsi" w:eastAsiaTheme="minorEastAsia" w:hAnsiTheme="minorHAnsi" w:cstheme="minorBidi"/>
          <w:iCs/>
          <w:color w:val="0000FF"/>
          <w:sz w:val="22"/>
        </w:rPr>
        <w:t>risk adjustors</w:t>
      </w:r>
      <w:r>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selec</w:t>
      </w:r>
      <w:r>
        <w:rPr>
          <w:rFonts w:asciiTheme="minorHAnsi" w:eastAsiaTheme="minorEastAsia" w:hAnsiTheme="minorHAnsi" w:cstheme="minorBidi"/>
          <w:iCs/>
          <w:color w:val="0000FF"/>
          <w:sz w:val="22"/>
        </w:rPr>
        <w:t xml:space="preserve">ted based on literature review and clinical relevance, including oldest old (age </w:t>
      </w:r>
      <w:r>
        <w:rPr>
          <w:rFonts w:asciiTheme="minorHAnsi" w:eastAsiaTheme="minorEastAsia" w:hAnsiTheme="minorHAnsi" w:cstheme="minorHAnsi"/>
          <w:iCs/>
          <w:color w:val="0000FF"/>
          <w:sz w:val="22"/>
        </w:rPr>
        <w:t>≥</w:t>
      </w:r>
      <w:r>
        <w:rPr>
          <w:rFonts w:asciiTheme="minorHAnsi" w:eastAsiaTheme="minorEastAsia" w:hAnsiTheme="minorHAnsi" w:cstheme="minorBidi"/>
          <w:iCs/>
          <w:color w:val="0000FF"/>
          <w:sz w:val="22"/>
        </w:rPr>
        <w:t xml:space="preserve"> 85 years), make self understood, stroke, arthritis, and asthma/COPD</w:t>
      </w:r>
      <w:r w:rsidRPr="0071037F">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B</w:t>
      </w:r>
      <w:r w:rsidRPr="0019247D">
        <w:rPr>
          <w:rFonts w:asciiTheme="minorHAnsi" w:eastAsiaTheme="minorEastAsia" w:hAnsiTheme="minorHAnsi" w:cstheme="minorBidi"/>
          <w:iCs/>
          <w:color w:val="0000FF"/>
          <w:sz w:val="22"/>
        </w:rPr>
        <w:t xml:space="preserve">ivariate analyses </w:t>
      </w:r>
      <w:r>
        <w:rPr>
          <w:rFonts w:asciiTheme="minorHAnsi" w:eastAsiaTheme="minorEastAsia" w:hAnsiTheme="minorHAnsi" w:cstheme="minorBidi"/>
          <w:iCs/>
          <w:color w:val="0000FF"/>
          <w:sz w:val="22"/>
        </w:rPr>
        <w:t xml:space="preserve">were conducted to examine these identified potential </w:t>
      </w:r>
      <w:r w:rsidRPr="0019247D">
        <w:rPr>
          <w:rFonts w:asciiTheme="minorHAnsi" w:eastAsiaTheme="minorEastAsia" w:hAnsiTheme="minorHAnsi" w:cstheme="minorBidi"/>
          <w:iCs/>
          <w:color w:val="0000FF"/>
          <w:sz w:val="22"/>
        </w:rPr>
        <w:t xml:space="preserve">risk factors. </w:t>
      </w:r>
      <w:r>
        <w:rPr>
          <w:rFonts w:asciiTheme="minorHAnsi" w:eastAsiaTheme="minorEastAsia" w:hAnsiTheme="minorHAnsi" w:cstheme="minorBidi"/>
          <w:iCs/>
          <w:color w:val="0000FF"/>
          <w:sz w:val="22"/>
        </w:rPr>
        <w:t xml:space="preserve"> C</w:t>
      </w:r>
      <w:r w:rsidRPr="0019247D">
        <w:rPr>
          <w:rFonts w:asciiTheme="minorHAnsi" w:eastAsiaTheme="minorEastAsia" w:hAnsiTheme="minorHAnsi" w:cstheme="minorBidi"/>
          <w:iCs/>
          <w:color w:val="0000FF"/>
          <w:sz w:val="22"/>
        </w:rPr>
        <w:t>linical review of results from the bivariate analyses</w:t>
      </w:r>
      <w:r>
        <w:rPr>
          <w:rFonts w:asciiTheme="minorHAnsi" w:eastAsiaTheme="minorEastAsia" w:hAnsiTheme="minorHAnsi" w:cstheme="minorBidi"/>
          <w:iCs/>
          <w:color w:val="0000FF"/>
          <w:sz w:val="22"/>
        </w:rPr>
        <w:t xml:space="preserve"> was then conducted to determine if there was a clinical rationale to risk adjust for these factors.</w:t>
      </w:r>
      <w:r w:rsidRPr="0019247D">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Two criteria were then applied in the selecti</w:t>
      </w:r>
      <w:r w:rsidR="00872B90">
        <w:rPr>
          <w:rFonts w:asciiTheme="minorHAnsi" w:eastAsiaTheme="minorEastAsia" w:hAnsiTheme="minorHAnsi" w:cstheme="minorBidi"/>
          <w:iCs/>
          <w:color w:val="0000FF"/>
          <w:sz w:val="22"/>
        </w:rPr>
        <w:t>on of</w:t>
      </w:r>
      <w:r>
        <w:rPr>
          <w:rFonts w:asciiTheme="minorHAnsi" w:eastAsiaTheme="minorEastAsia" w:hAnsiTheme="minorHAnsi" w:cstheme="minorBidi"/>
          <w:iCs/>
          <w:color w:val="0000FF"/>
          <w:sz w:val="22"/>
        </w:rPr>
        <w:t xml:space="preserve"> risk factors: 1) at least 5% of residents have the described characteristic; </w:t>
      </w:r>
      <w:r w:rsidR="00872B90">
        <w:rPr>
          <w:rFonts w:asciiTheme="minorHAnsi" w:eastAsiaTheme="minorEastAsia" w:hAnsiTheme="minorHAnsi" w:cstheme="minorBidi"/>
          <w:iCs/>
          <w:color w:val="0000FF"/>
          <w:sz w:val="22"/>
        </w:rPr>
        <w:t xml:space="preserve">and </w:t>
      </w:r>
      <w:r>
        <w:rPr>
          <w:rFonts w:asciiTheme="minorHAnsi" w:eastAsiaTheme="minorEastAsia" w:hAnsiTheme="minorHAnsi" w:cstheme="minorBidi"/>
          <w:iCs/>
          <w:color w:val="0000FF"/>
          <w:sz w:val="22"/>
        </w:rPr>
        <w:t>2) bivariate analyses showed that that the examined resident characteristics were significantly associated with the measured outcome. S</w:t>
      </w:r>
      <w:r w:rsidRPr="0019247D">
        <w:rPr>
          <w:rFonts w:asciiTheme="minorHAnsi" w:eastAsiaTheme="minorEastAsia" w:hAnsiTheme="minorHAnsi" w:cstheme="minorBidi"/>
          <w:iCs/>
          <w:color w:val="0000FF"/>
          <w:sz w:val="22"/>
        </w:rPr>
        <w:t>elected characteristics were then</w:t>
      </w:r>
      <w:r>
        <w:rPr>
          <w:rFonts w:asciiTheme="minorHAnsi" w:eastAsiaTheme="minorEastAsia" w:hAnsiTheme="minorHAnsi" w:cstheme="minorBidi"/>
          <w:iCs/>
          <w:color w:val="0000FF"/>
          <w:sz w:val="22"/>
        </w:rPr>
        <w:t xml:space="preserve"> systematically</w:t>
      </w:r>
      <w:r w:rsidRPr="0019247D">
        <w:rPr>
          <w:rFonts w:asciiTheme="minorHAnsi" w:eastAsiaTheme="minorEastAsia" w:hAnsiTheme="minorHAnsi" w:cstheme="minorBidi"/>
          <w:iCs/>
          <w:color w:val="0000FF"/>
          <w:sz w:val="22"/>
        </w:rPr>
        <w:t xml:space="preserve"> included in a </w:t>
      </w:r>
      <w:r>
        <w:rPr>
          <w:rFonts w:asciiTheme="minorHAnsi" w:eastAsiaTheme="minorEastAsia" w:hAnsiTheme="minorHAnsi" w:cstheme="minorBidi"/>
          <w:iCs/>
          <w:color w:val="0000FF"/>
          <w:sz w:val="22"/>
        </w:rPr>
        <w:t xml:space="preserve">series of </w:t>
      </w:r>
      <w:r w:rsidRPr="0019247D">
        <w:rPr>
          <w:rFonts w:asciiTheme="minorHAnsi" w:eastAsiaTheme="minorEastAsia" w:hAnsiTheme="minorHAnsi" w:cstheme="minorBidi"/>
          <w:iCs/>
          <w:color w:val="0000FF"/>
          <w:sz w:val="22"/>
        </w:rPr>
        <w:t>multivariate logistic regression model</w:t>
      </w:r>
      <w:r>
        <w:rPr>
          <w:rFonts w:asciiTheme="minorHAnsi" w:eastAsiaTheme="minorEastAsia" w:hAnsiTheme="minorHAnsi" w:cstheme="minorBidi"/>
          <w:iCs/>
          <w:color w:val="0000FF"/>
          <w:sz w:val="22"/>
        </w:rPr>
        <w:t>s</w:t>
      </w:r>
      <w:r w:rsidRPr="0019247D">
        <w:rPr>
          <w:rFonts w:asciiTheme="minorHAnsi" w:eastAsiaTheme="minorEastAsia" w:hAnsiTheme="minorHAnsi" w:cstheme="minorBidi"/>
          <w:iCs/>
          <w:color w:val="0000FF"/>
          <w:sz w:val="22"/>
        </w:rPr>
        <w:t xml:space="preserve"> to test their independent importance in predicting the pain outcome and in improving the predictive power</w:t>
      </w:r>
      <w:r>
        <w:rPr>
          <w:rFonts w:asciiTheme="minorHAnsi" w:eastAsiaTheme="minorEastAsia" w:hAnsiTheme="minorHAnsi" w:cstheme="minorBidi"/>
          <w:iCs/>
          <w:color w:val="0000FF"/>
          <w:sz w:val="22"/>
        </w:rPr>
        <w:t xml:space="preserve"> of the model.</w:t>
      </w:r>
      <w:r w:rsidRPr="0019247D">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 xml:space="preserve">We made </w:t>
      </w:r>
      <w:r>
        <w:rPr>
          <w:rFonts w:asciiTheme="minorHAnsi" w:eastAsiaTheme="minorEastAsia" w:hAnsiTheme="minorHAnsi" w:cstheme="minorBidi"/>
          <w:iCs/>
          <w:color w:val="0000FF"/>
          <w:sz w:val="22"/>
        </w:rPr>
        <w:t>decisions to retain or drop</w:t>
      </w:r>
      <w:r w:rsidRPr="0071037F">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risk adjustors based on </w:t>
      </w:r>
      <w:r w:rsidRPr="0071037F">
        <w:rPr>
          <w:rFonts w:asciiTheme="minorHAnsi" w:eastAsiaTheme="minorEastAsia" w:hAnsiTheme="minorHAnsi" w:cstheme="minorBidi"/>
          <w:iCs/>
          <w:color w:val="0000FF"/>
          <w:sz w:val="22"/>
        </w:rPr>
        <w:t>sample size, regression coefficient, significance level, and clinical relevance</w:t>
      </w:r>
      <w:r>
        <w:rPr>
          <w:rFonts w:asciiTheme="minorHAnsi" w:eastAsiaTheme="minorEastAsia" w:hAnsiTheme="minorHAnsi" w:cstheme="minorBidi"/>
          <w:iCs/>
          <w:color w:val="0000FF"/>
          <w:sz w:val="22"/>
        </w:rPr>
        <w:t>, and predictive power of the model</w:t>
      </w:r>
      <w:r w:rsidRPr="0071037F">
        <w:rPr>
          <w:rFonts w:asciiTheme="minorHAnsi" w:eastAsiaTheme="minorEastAsia" w:hAnsiTheme="minorHAnsi" w:cstheme="minorBidi"/>
          <w:iCs/>
          <w:color w:val="0000FF"/>
          <w:sz w:val="22"/>
        </w:rPr>
        <w:t xml:space="preserve">. </w:t>
      </w:r>
    </w:p>
    <w:p w14:paraId="1BA0C43E" w14:textId="397449DB" w:rsidR="005F014A" w:rsidRDefault="009878F2" w:rsidP="005F014A">
      <w:pPr>
        <w:pStyle w:val="Response"/>
      </w:pPr>
      <w:r>
        <w:t xml:space="preserve">The first model tested included ‘independence’ or ‘modified independence’ in daily decision </w:t>
      </w:r>
      <w:r w:rsidR="00E10A7B">
        <w:t>making</w:t>
      </w:r>
      <w:r>
        <w:t xml:space="preserve"> on the prior assessment as the predictor variable and numerator </w:t>
      </w:r>
      <w:r w:rsidR="00E10A7B">
        <w:t>inclusion</w:t>
      </w:r>
      <w:r>
        <w:t xml:space="preserve"> in this as measure as the predicted variable.  The </w:t>
      </w:r>
      <w:r w:rsidR="00E10A7B">
        <w:t>odds ratio for cognitive independence is 2.91 (</w:t>
      </w:r>
      <w:r w:rsidR="00E10A7B">
        <w:rPr>
          <w:i/>
        </w:rPr>
        <w:t>p</w:t>
      </w:r>
      <w:r w:rsidR="00E10A7B">
        <w:t xml:space="preserve"> &lt; .001), and the c-statistic is 0.629 (p</w:t>
      </w:r>
      <w:r w:rsidR="00E10A7B" w:rsidRPr="00207CD8">
        <w:t xml:space="preserve">seudo </w:t>
      </w:r>
      <w:r w:rsidR="00E10A7B">
        <w:rPr>
          <w:bCs w:val="0"/>
          <w:i/>
        </w:rPr>
        <w:t>R</w:t>
      </w:r>
      <w:r w:rsidR="00E10A7B">
        <w:rPr>
          <w:bCs w:val="0"/>
          <w:vertAlign w:val="superscript"/>
        </w:rPr>
        <w:t>2</w:t>
      </w:r>
      <w:r w:rsidR="00E10A7B">
        <w:t xml:space="preserve"> = 0.04</w:t>
      </w:r>
      <w:r w:rsidR="00E10A7B" w:rsidRPr="00207CD8">
        <w:t>0).</w:t>
      </w:r>
      <w:r w:rsidR="00E10A7B">
        <w:t xml:space="preserve"> </w:t>
      </w:r>
      <w:r w:rsidR="005F014A" w:rsidRPr="00207CD8">
        <w:t xml:space="preserve">Adding oldest old and make </w:t>
      </w:r>
      <w:r w:rsidR="005F014A">
        <w:t>self understood</w:t>
      </w:r>
      <w:r w:rsidR="005F014A" w:rsidRPr="00207CD8">
        <w:t xml:space="preserve"> into the model moderately increased the </w:t>
      </w:r>
      <w:r w:rsidR="005A2E03">
        <w:t>c</w:t>
      </w:r>
      <w:r w:rsidR="005F014A" w:rsidRPr="00207CD8">
        <w:t>-statistic to 0.665 (</w:t>
      </w:r>
      <w:r w:rsidR="00E35BFC">
        <w:t>p</w:t>
      </w:r>
      <w:r w:rsidR="005F014A" w:rsidRPr="00207CD8">
        <w:t xml:space="preserve">seudo </w:t>
      </w:r>
      <w:r w:rsidR="00E35BFC">
        <w:rPr>
          <w:bCs w:val="0"/>
          <w:i/>
        </w:rPr>
        <w:t>R</w:t>
      </w:r>
      <w:r w:rsidR="00E35BFC">
        <w:rPr>
          <w:bCs w:val="0"/>
          <w:vertAlign w:val="superscript"/>
        </w:rPr>
        <w:t>2</w:t>
      </w:r>
      <w:r w:rsidR="005F014A" w:rsidRPr="00207CD8">
        <w:t xml:space="preserve"> = 0.050). Among the three covariates, independence or modified independence in daily decision making on the prior assessment was the strongest predictor, sugge</w:t>
      </w:r>
      <w:r w:rsidR="005F014A">
        <w:t>sted by an adjusted odds ratio (OR) of 2.3 (</w:t>
      </w:r>
      <w:r w:rsidR="00E35BFC">
        <w:rPr>
          <w:i/>
        </w:rPr>
        <w:t xml:space="preserve">p </w:t>
      </w:r>
      <w:r w:rsidR="005F014A" w:rsidRPr="00207CD8">
        <w:t>&lt;</w:t>
      </w:r>
      <w:r w:rsidR="00E35BFC">
        <w:t xml:space="preserve"> </w:t>
      </w:r>
      <w:r w:rsidR="005F014A" w:rsidRPr="00207CD8">
        <w:t xml:space="preserve">.001). The adjusted ORs for oldest old and make </w:t>
      </w:r>
      <w:r w:rsidR="005F014A">
        <w:t>self understood were 0.7 (</w:t>
      </w:r>
      <w:r w:rsidR="00E35BFC">
        <w:rPr>
          <w:i/>
        </w:rPr>
        <w:t xml:space="preserve">p </w:t>
      </w:r>
      <w:r w:rsidR="005F014A" w:rsidRPr="00207CD8">
        <w:t>&lt;</w:t>
      </w:r>
      <w:r w:rsidR="00E35BFC">
        <w:t xml:space="preserve"> </w:t>
      </w:r>
      <w:r w:rsidR="005F014A" w:rsidRPr="00207CD8">
        <w:t>.001) and 1.7 (</w:t>
      </w:r>
      <w:r w:rsidR="00E35BFC">
        <w:rPr>
          <w:i/>
        </w:rPr>
        <w:t xml:space="preserve">p </w:t>
      </w:r>
      <w:r w:rsidR="005F014A" w:rsidRPr="00207CD8">
        <w:t>&lt;</w:t>
      </w:r>
      <w:r w:rsidR="00E35BFC">
        <w:t xml:space="preserve"> </w:t>
      </w:r>
      <w:r w:rsidR="005F014A" w:rsidRPr="00207CD8">
        <w:t>.001), respectively</w:t>
      </w:r>
      <w:r w:rsidR="005F014A">
        <w:t>. Introducing disease diagnoses</w:t>
      </w:r>
      <w:r w:rsidR="005F014A" w:rsidRPr="00207CD8">
        <w:t xml:space="preserve"> </w:t>
      </w:r>
      <w:r w:rsidR="005F014A">
        <w:t>(</w:t>
      </w:r>
      <w:r w:rsidR="005F014A" w:rsidRPr="00207CD8">
        <w:t>i.e.</w:t>
      </w:r>
      <w:r w:rsidR="005F014A">
        <w:t>,</w:t>
      </w:r>
      <w:r w:rsidR="005F014A" w:rsidRPr="00207CD8">
        <w:t xml:space="preserve"> stroke, arthritis</w:t>
      </w:r>
      <w:r w:rsidR="005F014A">
        <w:t>, and asthma/COPD)</w:t>
      </w:r>
      <w:r w:rsidR="005F014A" w:rsidRPr="00207CD8">
        <w:t xml:space="preserve"> as covariates to the model slightly increased the </w:t>
      </w:r>
      <w:r w:rsidR="005A2E03">
        <w:t>c</w:t>
      </w:r>
      <w:r w:rsidR="005F014A" w:rsidRPr="00207CD8">
        <w:t xml:space="preserve">-statistic </w:t>
      </w:r>
      <w:r w:rsidR="00E35BFC">
        <w:t>to</w:t>
      </w:r>
      <w:r w:rsidR="005F014A" w:rsidRPr="00207CD8">
        <w:t xml:space="preserve"> 0.676 </w:t>
      </w:r>
      <w:r w:rsidR="00E35BFC">
        <w:t>(p</w:t>
      </w:r>
      <w:r w:rsidR="005F014A" w:rsidRPr="00207CD8">
        <w:t>seudo</w:t>
      </w:r>
      <w:r w:rsidR="00E35BFC">
        <w:t xml:space="preserve"> </w:t>
      </w:r>
      <w:r w:rsidR="00E35BFC">
        <w:rPr>
          <w:bCs w:val="0"/>
          <w:i/>
        </w:rPr>
        <w:t>R</w:t>
      </w:r>
      <w:r w:rsidR="00E35BFC">
        <w:rPr>
          <w:bCs w:val="0"/>
          <w:vertAlign w:val="superscript"/>
        </w:rPr>
        <w:t>2</w:t>
      </w:r>
      <w:r w:rsidR="005F014A" w:rsidRPr="00207CD8">
        <w:t xml:space="preserve"> = 0.050). Despite being statistically significant, the presence of stroke influenced the risk of pain to a very small extent, indicated by an adjusted OR of 0.95</w:t>
      </w:r>
      <w:r w:rsidR="00E35BFC">
        <w:t xml:space="preserve"> (</w:t>
      </w:r>
      <w:r w:rsidR="00E35BFC">
        <w:rPr>
          <w:i/>
        </w:rPr>
        <w:t>p</w:t>
      </w:r>
      <w:r w:rsidR="00E10A7B">
        <w:t xml:space="preserve"> &lt; .001</w:t>
      </w:r>
      <w:r w:rsidR="00E35BFC">
        <w:t>)</w:t>
      </w:r>
      <w:r w:rsidR="005F014A" w:rsidRPr="00207CD8">
        <w:t xml:space="preserve">. Arthritis and asthma/COPD both had </w:t>
      </w:r>
      <w:r w:rsidR="005F014A">
        <w:t xml:space="preserve">a </w:t>
      </w:r>
      <w:r w:rsidR="005F014A" w:rsidRPr="00207CD8">
        <w:t xml:space="preserve">moderate impact on risk of pain (adjusted OR = </w:t>
      </w:r>
      <w:r w:rsidR="005F014A">
        <w:t>1.6 and 1.4, respectively</w:t>
      </w:r>
      <w:r w:rsidR="00E35BFC">
        <w:t xml:space="preserve">; </w:t>
      </w:r>
      <w:r w:rsidR="00E35BFC">
        <w:rPr>
          <w:i/>
        </w:rPr>
        <w:t>p</w:t>
      </w:r>
      <w:r w:rsidR="00E10A7B">
        <w:t xml:space="preserve"> &lt; .001</w:t>
      </w:r>
      <w:r w:rsidR="005F014A">
        <w:t xml:space="preserve">). </w:t>
      </w:r>
      <w:r w:rsidR="005F014A" w:rsidRPr="00207CD8">
        <w:t>In summary, the risk adjustment currently used for this QM showed acceptable predictive power for resident episodes in Quarter 3</w:t>
      </w:r>
      <w:r w:rsidR="00E35BFC">
        <w:t>,</w:t>
      </w:r>
      <w:r w:rsidR="005F014A" w:rsidRPr="00207CD8">
        <w:t xml:space="preserve"> 2011. The current covariate independence or modified independence in daily decision making on the prior assessment appeared to be the strongest predictor among other potential candidate risk </w:t>
      </w:r>
      <w:r w:rsidR="005F014A">
        <w:t>adjustor</w:t>
      </w:r>
      <w:r w:rsidR="005F014A" w:rsidRPr="00207CD8">
        <w:t>s</w:t>
      </w:r>
      <w:r w:rsidR="00E35BFC">
        <w:t>,</w:t>
      </w:r>
      <w:r w:rsidR="005F014A" w:rsidRPr="00207CD8">
        <w:t xml:space="preserve"> which only moderately improved the risk adjustment model’s predictive power.</w:t>
      </w:r>
    </w:p>
    <w:p w14:paraId="0195457C" w14:textId="1F6F6F38" w:rsidR="005F014A" w:rsidRDefault="005F014A" w:rsidP="005F014A">
      <w:pPr>
        <w:pStyle w:val="Response"/>
        <w:rPr>
          <w:rFonts w:cstheme="minorBidi"/>
          <w:iCs/>
        </w:rPr>
      </w:pPr>
      <w:r w:rsidRPr="00207CD8">
        <w:t xml:space="preserve">Results of </w:t>
      </w:r>
      <w:r>
        <w:t>these analyses</w:t>
      </w:r>
      <w:r w:rsidRPr="00207CD8">
        <w:t xml:space="preserve"> support</w:t>
      </w:r>
      <w:r>
        <w:t>ed</w:t>
      </w:r>
      <w:r w:rsidRPr="00207CD8">
        <w:t xml:space="preserve"> the inclusion of </w:t>
      </w:r>
      <w:r>
        <w:t>the</w:t>
      </w:r>
      <w:r w:rsidRPr="00207CD8">
        <w:t xml:space="preserve"> covariate, independence or modified indepe</w:t>
      </w:r>
      <w:r>
        <w:t xml:space="preserve">ndence in daily decision making, </w:t>
      </w:r>
      <w:r w:rsidRPr="00207CD8">
        <w:t>as individuals with no impairments appear to systematically report pain more frequently than those who</w:t>
      </w:r>
      <w:r>
        <w:t xml:space="preserve"> do have cognitive impairments.  </w:t>
      </w:r>
      <w:r>
        <w:rPr>
          <w:rFonts w:cstheme="minorBidi"/>
          <w:iCs/>
        </w:rPr>
        <w:t>This testing form contains updated information on the currently specified risk adjustment model for this measure, which risk adjusts for cognitive independence only.  For the current specification, we also provide the results of regression diagnostics assessing model performance, including model fit and calibration statistics.</w:t>
      </w:r>
      <w:r w:rsidR="002B3DD5">
        <w:rPr>
          <w:rFonts w:cstheme="minorBidi"/>
          <w:iCs/>
        </w:rPr>
        <w:t xml:space="preserve">  In addition, we note that, by including cognitive independence in the risk adjustment model, we restrict the measure </w:t>
      </w:r>
      <w:bookmarkStart w:id="24" w:name="_Hlk502867651"/>
      <w:r w:rsidR="002B3DD5">
        <w:rPr>
          <w:rFonts w:cstheme="minorBidi"/>
          <w:iCs/>
        </w:rPr>
        <w:t xml:space="preserve">to only those residents with both a target and a prior assessment, which reduces the number of residents included in the denominator of this measure by </w:t>
      </w:r>
      <w:r w:rsidR="001C6C41">
        <w:rPr>
          <w:rFonts w:cstheme="minorBidi"/>
          <w:iCs/>
        </w:rPr>
        <w:t xml:space="preserve">less </w:t>
      </w:r>
      <w:r w:rsidR="005A2E03">
        <w:rPr>
          <w:rFonts w:cstheme="minorBidi"/>
          <w:iCs/>
        </w:rPr>
        <w:t>than 1%</w:t>
      </w:r>
      <w:bookmarkEnd w:id="24"/>
      <w:r w:rsidR="001C6C41">
        <w:rPr>
          <w:rFonts w:cstheme="minorBidi"/>
          <w:iCs/>
        </w:rPr>
        <w:t>, attenuating concerns regarding the reportability of this measure.  Furthermore, based on logistic regression model results and model fit and calibration statistics, we conclude that the risk adjustment model that includes cognitive independence only is parsimoni</w:t>
      </w:r>
      <w:r w:rsidR="00E35BFC">
        <w:rPr>
          <w:rFonts w:cstheme="minorBidi"/>
          <w:iCs/>
        </w:rPr>
        <w:t>ous, and</w:t>
      </w:r>
      <w:r w:rsidR="001C6C41">
        <w:rPr>
          <w:rFonts w:cstheme="minorBidi"/>
          <w:iCs/>
        </w:rPr>
        <w:t xml:space="preserve"> additional risk adjustment for social risk factors offers very little improvement in predictive ability of the model.     </w:t>
      </w:r>
    </w:p>
    <w:p w14:paraId="7E7B7172" w14:textId="30716243" w:rsidR="00E10A7B" w:rsidRDefault="00E10A7B" w:rsidP="00E10A7B">
      <w:pPr>
        <w:pStyle w:val="Response"/>
        <w:spacing w:after="0"/>
        <w:contextualSpacing/>
        <w:rPr>
          <w:sz w:val="20"/>
          <w:szCs w:val="20"/>
        </w:rPr>
      </w:pPr>
      <w:r w:rsidRPr="00824AB1">
        <w:rPr>
          <w:sz w:val="20"/>
          <w:szCs w:val="20"/>
        </w:rPr>
        <w:t>RTI analysis of Q3, 2011 MDS 3.0 Data (programming reference: quarter_</w:t>
      </w:r>
      <w:r>
        <w:rPr>
          <w:sz w:val="20"/>
          <w:szCs w:val="20"/>
        </w:rPr>
        <w:t>3_4_complete\ntz12_request_011</w:t>
      </w:r>
      <w:r w:rsidRPr="00824AB1">
        <w:rPr>
          <w:sz w:val="20"/>
          <w:szCs w:val="20"/>
        </w:rPr>
        <w:t>.log)</w:t>
      </w:r>
    </w:p>
    <w:p w14:paraId="110A8D5E" w14:textId="056F5DCA" w:rsidR="00E10A7B" w:rsidRPr="00E10A7B" w:rsidRDefault="00E10A7B" w:rsidP="00E10A7B">
      <w:pPr>
        <w:autoSpaceDE w:val="0"/>
        <w:autoSpaceDN w:val="0"/>
        <w:adjustRightInd w:val="0"/>
        <w:spacing w:after="0" w:line="240" w:lineRule="auto"/>
        <w:rPr>
          <w:rFonts w:eastAsia="Times New Roman" w:cs="Times New Roman"/>
          <w:color w:val="0000FF"/>
          <w:sz w:val="20"/>
          <w:szCs w:val="20"/>
        </w:rPr>
      </w:pPr>
      <w:r w:rsidRPr="000554AB">
        <w:rPr>
          <w:rFonts w:eastAsia="Times New Roman" w:cs="Times New Roman"/>
          <w:color w:val="0000FF"/>
          <w:sz w:val="20"/>
          <w:szCs w:val="20"/>
        </w:rPr>
        <w:t xml:space="preserve">RTI analysis of </w:t>
      </w:r>
      <w:r>
        <w:rPr>
          <w:rFonts w:eastAsia="Times New Roman" w:cs="Times New Roman"/>
          <w:color w:val="0000FF"/>
          <w:sz w:val="20"/>
          <w:szCs w:val="20"/>
        </w:rPr>
        <w:t>Q2, 2017 MDS 3.0 Data</w:t>
      </w:r>
      <w:r w:rsidRPr="000554AB">
        <w:rPr>
          <w:rFonts w:eastAsia="Times New Roman" w:cs="Times New Roman"/>
          <w:color w:val="0000FF"/>
          <w:sz w:val="20"/>
          <w:szCs w:val="20"/>
        </w:rPr>
        <w:t xml:space="preserve"> (programming reference: LJC</w:t>
      </w:r>
      <w:r w:rsidR="00D83DDE">
        <w:rPr>
          <w:rFonts w:eastAsia="Times New Roman" w:cs="Times New Roman"/>
          <w:color w:val="0000FF"/>
          <w:sz w:val="20"/>
          <w:szCs w:val="20"/>
        </w:rPr>
        <w:t>04/LJC04_request</w:t>
      </w:r>
      <w:r>
        <w:rPr>
          <w:rFonts w:eastAsia="Times New Roman" w:cs="Times New Roman"/>
          <w:color w:val="0000FF"/>
          <w:sz w:val="20"/>
          <w:szCs w:val="20"/>
        </w:rPr>
        <w:t>_677.log)</w:t>
      </w:r>
    </w:p>
    <w:p w14:paraId="56975A0C" w14:textId="77777777" w:rsidR="005F014A" w:rsidRPr="00074558" w:rsidRDefault="005F014A" w:rsidP="005F014A">
      <w:pPr>
        <w:pStyle w:val="BodyText"/>
        <w:rPr>
          <w:rFonts w:asciiTheme="minorHAnsi" w:eastAsiaTheme="minorEastAsia" w:hAnsiTheme="minorHAnsi" w:cstheme="minorBidi"/>
          <w:b/>
          <w:iCs/>
          <w:color w:val="0000FF"/>
          <w:sz w:val="22"/>
        </w:rPr>
      </w:pPr>
      <w:r w:rsidRPr="00074558">
        <w:rPr>
          <w:rFonts w:asciiTheme="minorHAnsi" w:eastAsiaTheme="minorEastAsia" w:hAnsiTheme="minorHAnsi" w:cstheme="minorBidi"/>
          <w:b/>
          <w:iCs/>
          <w:color w:val="0000FF"/>
          <w:sz w:val="22"/>
        </w:rPr>
        <w:t>Social Risk Factors</w:t>
      </w:r>
    </w:p>
    <w:p w14:paraId="07665A74" w14:textId="77777777" w:rsidR="005F014A" w:rsidRDefault="005F014A" w:rsidP="005F014A">
      <w:pPr>
        <w:pStyle w:val="BodyText"/>
        <w:rPr>
          <w:rFonts w:asciiTheme="minorHAnsi" w:eastAsiaTheme="minorEastAsia" w:hAnsiTheme="minorHAnsi" w:cstheme="minorBidi"/>
          <w:iCs/>
          <w:color w:val="0000FF"/>
          <w:sz w:val="22"/>
        </w:rPr>
      </w:pPr>
      <w:r w:rsidRPr="004B028B">
        <w:rPr>
          <w:rFonts w:asciiTheme="minorHAnsi" w:eastAsiaTheme="minorEastAsia" w:hAnsiTheme="minorHAnsi" w:cstheme="minorBidi"/>
          <w:iCs/>
          <w:color w:val="0000FF"/>
          <w:sz w:val="22"/>
        </w:rPr>
        <w:t xml:space="preserve">In addition, </w:t>
      </w:r>
      <w:r>
        <w:rPr>
          <w:rFonts w:asciiTheme="minorHAnsi" w:eastAsiaTheme="minorEastAsia" w:hAnsiTheme="minorHAnsi" w:cstheme="minorBidi"/>
          <w:iCs/>
          <w:color w:val="0000FF"/>
          <w:sz w:val="22"/>
        </w:rPr>
        <w:t xml:space="preserve">since this measure was last endorsed, </w:t>
      </w:r>
      <w:r w:rsidRPr="004B028B">
        <w:rPr>
          <w:rFonts w:asciiTheme="minorHAnsi" w:eastAsiaTheme="minorEastAsia" w:hAnsiTheme="minorHAnsi" w:cstheme="minorBidi"/>
          <w:iCs/>
          <w:color w:val="0000FF"/>
          <w:sz w:val="22"/>
        </w:rPr>
        <w:t>NQF</w:t>
      </w:r>
      <w:r>
        <w:rPr>
          <w:rFonts w:asciiTheme="minorHAnsi" w:eastAsiaTheme="minorEastAsia" w:hAnsiTheme="minorHAnsi" w:cstheme="minorBidi"/>
          <w:iCs/>
          <w:color w:val="0000FF"/>
          <w:sz w:val="22"/>
        </w:rPr>
        <w:t xml:space="preserve"> has</w:t>
      </w:r>
      <w:r w:rsidRPr="004B028B">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lifted</w:t>
      </w:r>
      <w:r w:rsidRPr="004B028B">
        <w:rPr>
          <w:rFonts w:asciiTheme="minorHAnsi" w:eastAsiaTheme="minorEastAsia" w:hAnsiTheme="minorHAnsi" w:cstheme="minorBidi"/>
          <w:iCs/>
          <w:color w:val="0000FF"/>
          <w:sz w:val="22"/>
        </w:rPr>
        <w:t xml:space="preserve"> the previous restriction on risk-adjusting for social risk factors</w:t>
      </w:r>
      <w:r>
        <w:rPr>
          <w:rFonts w:asciiTheme="minorHAnsi" w:eastAsiaTheme="minorEastAsia" w:hAnsiTheme="minorHAnsi" w:cstheme="minorBidi"/>
          <w:iCs/>
          <w:color w:val="0000FF"/>
          <w:sz w:val="22"/>
        </w:rPr>
        <w:t xml:space="preserve"> on a trial basis. Therefore, </w:t>
      </w:r>
      <w:r w:rsidRPr="004B028B">
        <w:rPr>
          <w:rFonts w:asciiTheme="minorHAnsi" w:eastAsiaTheme="minorEastAsia" w:hAnsiTheme="minorHAnsi" w:cstheme="minorBidi"/>
          <w:iCs/>
          <w:color w:val="0000FF"/>
          <w:sz w:val="22"/>
        </w:rPr>
        <w:t xml:space="preserve">we conducted analyses on the feasibility of </w:t>
      </w:r>
      <w:r>
        <w:rPr>
          <w:rFonts w:asciiTheme="minorHAnsi" w:eastAsiaTheme="minorEastAsia" w:hAnsiTheme="minorHAnsi" w:cstheme="minorBidi"/>
          <w:iCs/>
          <w:color w:val="0000FF"/>
          <w:sz w:val="22"/>
        </w:rPr>
        <w:t xml:space="preserve">including </w:t>
      </w:r>
      <w:r w:rsidRPr="004B028B">
        <w:rPr>
          <w:rFonts w:asciiTheme="minorHAnsi" w:eastAsiaTheme="minorEastAsia" w:hAnsiTheme="minorHAnsi" w:cstheme="minorBidi"/>
          <w:iCs/>
          <w:color w:val="0000FF"/>
          <w:sz w:val="22"/>
        </w:rPr>
        <w:t xml:space="preserve">several social risk factors </w:t>
      </w:r>
      <w:r>
        <w:rPr>
          <w:rFonts w:asciiTheme="minorHAnsi" w:eastAsiaTheme="minorEastAsia" w:hAnsiTheme="minorHAnsi" w:cstheme="minorBidi"/>
          <w:iCs/>
          <w:color w:val="0000FF"/>
          <w:sz w:val="22"/>
        </w:rPr>
        <w:t xml:space="preserve">in the previously specified risk-adjustment model included in this testing form. We identified potential social risk factors </w:t>
      </w:r>
      <w:r w:rsidRPr="00024C2F">
        <w:rPr>
          <w:rFonts w:asciiTheme="minorHAnsi" w:eastAsiaTheme="minorEastAsia" w:hAnsiTheme="minorHAnsi" w:cstheme="minorBidi"/>
          <w:iCs/>
          <w:color w:val="0000FF"/>
          <w:sz w:val="22"/>
        </w:rPr>
        <w:t>that may be related to self-reported pain</w:t>
      </w:r>
      <w:r>
        <w:rPr>
          <w:rFonts w:asciiTheme="minorHAnsi" w:eastAsiaTheme="minorEastAsia" w:hAnsiTheme="minorHAnsi" w:cstheme="minorBidi"/>
          <w:iCs/>
          <w:color w:val="0000FF"/>
          <w:sz w:val="22"/>
        </w:rPr>
        <w:t xml:space="preserve"> bas</w:t>
      </w:r>
      <w:r w:rsidRPr="00024C2F">
        <w:rPr>
          <w:rFonts w:asciiTheme="minorHAnsi" w:eastAsiaTheme="minorEastAsia" w:hAnsiTheme="minorHAnsi" w:cstheme="minorBidi"/>
          <w:iCs/>
          <w:color w:val="0000FF"/>
          <w:sz w:val="22"/>
        </w:rPr>
        <w:t xml:space="preserve">ed on a review of the current literature.  </w:t>
      </w:r>
    </w:p>
    <w:p w14:paraId="7CA8B5C8" w14:textId="77777777" w:rsidR="005F014A" w:rsidRPr="005D5BAF" w:rsidRDefault="005F014A" w:rsidP="005F014A">
      <w:pPr>
        <w:autoSpaceDE w:val="0"/>
        <w:autoSpaceDN w:val="0"/>
        <w:adjustRightInd w:val="0"/>
        <w:spacing w:after="0" w:line="240" w:lineRule="auto"/>
        <w:rPr>
          <w:rFonts w:ascii="Calibri" w:eastAsia="MS Mincho" w:hAnsi="Calibri" w:cs="Calibri"/>
          <w:bCs/>
          <w:color w:val="0000FF"/>
        </w:rPr>
      </w:pPr>
      <w:r w:rsidRPr="001C5018">
        <w:rPr>
          <w:rFonts w:ascii="Calibri" w:eastAsia="MS Mincho" w:hAnsi="Calibri" w:cs="Calibri"/>
          <w:bCs/>
          <w:color w:val="0000FF"/>
        </w:rPr>
        <w:t xml:space="preserve">We conducted a series of analyses to </w:t>
      </w:r>
      <w:r w:rsidRPr="005D5BAF">
        <w:rPr>
          <w:rFonts w:ascii="Calibri" w:eastAsia="MS Mincho" w:hAnsi="Calibri" w:cs="Calibri"/>
          <w:bCs/>
          <w:color w:val="0000FF"/>
        </w:rPr>
        <w:t xml:space="preserve">assess whether these patient-level social risk factors would be appropriate risk </w:t>
      </w:r>
      <w:r>
        <w:rPr>
          <w:rFonts w:ascii="Calibri" w:eastAsia="MS Mincho" w:hAnsi="Calibri" w:cs="Calibri"/>
          <w:bCs/>
          <w:color w:val="0000FF"/>
        </w:rPr>
        <w:t>adjustor</w:t>
      </w:r>
      <w:r w:rsidRPr="005D5BAF">
        <w:rPr>
          <w:rFonts w:ascii="Calibri" w:eastAsia="MS Mincho" w:hAnsi="Calibri" w:cs="Calibri"/>
          <w:bCs/>
          <w:color w:val="0000FF"/>
        </w:rPr>
        <w:t xml:space="preserve">s in multivariate models.  </w:t>
      </w:r>
      <w:r>
        <w:rPr>
          <w:rFonts w:ascii="Calibri" w:eastAsia="MS Mincho" w:hAnsi="Calibri" w:cs="Calibri"/>
          <w:bCs/>
          <w:color w:val="0000FF"/>
        </w:rPr>
        <w:t xml:space="preserve">We </w:t>
      </w:r>
      <w:r w:rsidRPr="005D5BAF">
        <w:rPr>
          <w:rFonts w:ascii="Calibri" w:eastAsia="MS Mincho" w:hAnsi="Calibri" w:cs="Calibri"/>
          <w:bCs/>
          <w:color w:val="0000FF"/>
        </w:rPr>
        <w:t>examined the distribution of each social risk factor across facilities. If a social risk factor was evenly</w:t>
      </w:r>
      <w:r>
        <w:rPr>
          <w:rFonts w:ascii="Calibri" w:eastAsia="MS Mincho" w:hAnsi="Calibri" w:cs="Calibri"/>
          <w:bCs/>
          <w:color w:val="0000FF"/>
        </w:rPr>
        <w:t xml:space="preserve"> distributed across facilities (i.e., </w:t>
      </w:r>
      <w:r w:rsidRPr="005D5BAF">
        <w:rPr>
          <w:rFonts w:ascii="Calibri" w:eastAsia="MS Mincho" w:hAnsi="Calibri" w:cs="Calibri"/>
          <w:bCs/>
          <w:color w:val="0000FF"/>
        </w:rPr>
        <w:t>it did not tend to cluster in some facilities</w:t>
      </w:r>
      <w:r>
        <w:rPr>
          <w:rFonts w:ascii="Calibri" w:eastAsia="MS Mincho" w:hAnsi="Calibri" w:cs="Calibri"/>
          <w:bCs/>
          <w:color w:val="0000FF"/>
        </w:rPr>
        <w:t>),</w:t>
      </w:r>
      <w:r w:rsidRPr="005D5BAF">
        <w:rPr>
          <w:rFonts w:ascii="Calibri" w:eastAsia="MS Mincho" w:hAnsi="Calibri" w:cs="Calibri"/>
          <w:bCs/>
          <w:color w:val="0000FF"/>
        </w:rPr>
        <w:t xml:space="preserve"> it would not be necessary to risk adjust for this social risk factor. We also conducted bivariate analyses of this quality measure for the social risk factors identified in the literature to assess whether each social risk factor appeared to have a relationship with self-reported pain. These selected characteristics were then included in separate multivariate logistic regression models to examine the impact of adjusting for each social risk factor, in addition to cognitive independence. </w:t>
      </w:r>
    </w:p>
    <w:p w14:paraId="6F52A8D9" w14:textId="77777777" w:rsidR="005F014A" w:rsidRPr="00EB71B4" w:rsidRDefault="005F014A" w:rsidP="005F014A">
      <w:pPr>
        <w:pStyle w:val="BodyText"/>
        <w:rPr>
          <w:rFonts w:eastAsia="MS Mincho" w:cs="Calibri"/>
          <w:bCs/>
          <w:color w:val="0000FF"/>
          <w:sz w:val="22"/>
        </w:rPr>
      </w:pPr>
      <w:r w:rsidRPr="00EB71B4">
        <w:rPr>
          <w:rFonts w:asciiTheme="minorHAnsi" w:eastAsiaTheme="minorEastAsia" w:hAnsiTheme="minorHAnsi" w:cstheme="minorBidi"/>
          <w:iCs/>
          <w:color w:val="0000FF"/>
          <w:sz w:val="22"/>
        </w:rPr>
        <w:t xml:space="preserve">The results of analyses to assess the appropriateness and feasibility of risk-adjusting for these social risk factors are </w:t>
      </w:r>
      <w:r w:rsidRPr="00EB71B4">
        <w:rPr>
          <w:rFonts w:eastAsia="MS Mincho" w:cs="Calibri"/>
          <w:bCs/>
          <w:color w:val="0000FF"/>
          <w:sz w:val="22"/>
        </w:rPr>
        <w:t xml:space="preserve">described below in 2b3.3a. </w:t>
      </w:r>
      <w:r>
        <w:rPr>
          <w:rFonts w:eastAsia="MS Mincho" w:cs="Calibri"/>
          <w:bCs/>
          <w:color w:val="0000FF"/>
          <w:sz w:val="22"/>
        </w:rPr>
        <w:t>Based on the results of our analyse</w:t>
      </w:r>
      <w:r w:rsidRPr="00EB71B4">
        <w:rPr>
          <w:rFonts w:eastAsia="MS Mincho" w:cs="Calibri"/>
          <w:bCs/>
          <w:color w:val="0000FF"/>
          <w:sz w:val="22"/>
        </w:rPr>
        <w:t>s</w:t>
      </w:r>
      <w:r>
        <w:rPr>
          <w:rFonts w:eastAsia="MS Mincho" w:cs="Calibri"/>
          <w:bCs/>
          <w:color w:val="0000FF"/>
          <w:sz w:val="22"/>
        </w:rPr>
        <w:t>,</w:t>
      </w:r>
      <w:r w:rsidRPr="00EB71B4">
        <w:rPr>
          <w:rFonts w:eastAsia="MS Mincho" w:cs="Calibri"/>
          <w:bCs/>
          <w:color w:val="0000FF"/>
          <w:sz w:val="22"/>
        </w:rPr>
        <w:t xml:space="preserve"> </w:t>
      </w:r>
      <w:r>
        <w:rPr>
          <w:rFonts w:eastAsia="MS Mincho" w:cs="Calibri"/>
          <w:bCs/>
          <w:color w:val="0000FF"/>
          <w:sz w:val="22"/>
        </w:rPr>
        <w:t xml:space="preserve">which are </w:t>
      </w:r>
      <w:r w:rsidRPr="00EB71B4">
        <w:rPr>
          <w:rFonts w:eastAsia="MS Mincho" w:cs="Calibri"/>
          <w:bCs/>
          <w:color w:val="0000FF"/>
          <w:sz w:val="22"/>
        </w:rPr>
        <w:t>described below</w:t>
      </w:r>
      <w:r>
        <w:rPr>
          <w:rFonts w:eastAsia="MS Mincho" w:cs="Calibri"/>
          <w:bCs/>
          <w:color w:val="0000FF"/>
          <w:sz w:val="22"/>
        </w:rPr>
        <w:t>,</w:t>
      </w:r>
      <w:r w:rsidRPr="00EB71B4">
        <w:rPr>
          <w:rFonts w:eastAsia="MS Mincho" w:cs="Calibri"/>
          <w:bCs/>
          <w:color w:val="0000FF"/>
          <w:sz w:val="22"/>
        </w:rPr>
        <w:t xml:space="preserve"> we do not recommend risk adjusting this measure for social risk factors.</w:t>
      </w:r>
    </w:p>
    <w:p w14:paraId="51247BF3" w14:textId="77777777" w:rsidR="005F014A" w:rsidRPr="00074558" w:rsidRDefault="005F014A" w:rsidP="005F014A">
      <w:pPr>
        <w:pStyle w:val="BodyText"/>
        <w:rPr>
          <w:rFonts w:asciiTheme="minorHAnsi" w:eastAsiaTheme="minorEastAsia" w:hAnsiTheme="minorHAnsi" w:cstheme="minorBidi"/>
          <w:b/>
          <w:i/>
          <w:iCs/>
          <w:color w:val="0000FF"/>
          <w:sz w:val="22"/>
        </w:rPr>
      </w:pPr>
      <w:r>
        <w:rPr>
          <w:rFonts w:asciiTheme="minorHAnsi" w:eastAsiaTheme="minorEastAsia" w:hAnsiTheme="minorHAnsi" w:cstheme="minorBidi"/>
          <w:b/>
          <w:i/>
          <w:iCs/>
          <w:color w:val="0000FF"/>
          <w:sz w:val="22"/>
        </w:rPr>
        <w:t>Risk Adjustor Included in the Final Model</w:t>
      </w:r>
    </w:p>
    <w:p w14:paraId="7FB40180" w14:textId="77777777" w:rsidR="005F014A" w:rsidRDefault="005F014A" w:rsidP="005F014A">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The risk adjustor selected for inclusion in the final model, cognitive independence, is described in detail in 2b3.1.1.</w:t>
      </w:r>
    </w:p>
    <w:p w14:paraId="37AA7EBE" w14:textId="77777777" w:rsidR="005F014A" w:rsidRPr="00FD2D38" w:rsidRDefault="005F014A" w:rsidP="005F014A">
      <w:pPr>
        <w:ind w:left="720" w:hanging="720"/>
        <w:rPr>
          <w:rFonts w:ascii="Calibri" w:eastAsia="MS Mincho" w:hAnsi="Calibri" w:cs="Calibri"/>
          <w:bCs/>
          <w:color w:val="0000FF"/>
          <w:sz w:val="20"/>
          <w:szCs w:val="20"/>
        </w:rPr>
      </w:pPr>
      <w:proofErr w:type="spellStart"/>
      <w:r w:rsidRPr="00FD2D38">
        <w:rPr>
          <w:rFonts w:ascii="Calibri" w:eastAsia="MS Mincho" w:hAnsi="Calibri" w:cs="Calibri"/>
          <w:bCs/>
          <w:color w:val="0000FF"/>
          <w:sz w:val="20"/>
          <w:szCs w:val="20"/>
        </w:rPr>
        <w:t>Achterberg</w:t>
      </w:r>
      <w:proofErr w:type="spellEnd"/>
      <w:r w:rsidRPr="00FD2D38">
        <w:rPr>
          <w:rFonts w:ascii="Calibri" w:eastAsia="MS Mincho" w:hAnsi="Calibri" w:cs="Calibri"/>
          <w:bCs/>
          <w:color w:val="0000FF"/>
          <w:sz w:val="20"/>
          <w:szCs w:val="20"/>
        </w:rPr>
        <w:t>, W., Pieper, M., van Dalen-</w:t>
      </w:r>
      <w:proofErr w:type="spellStart"/>
      <w:r w:rsidRPr="00FD2D38">
        <w:rPr>
          <w:rFonts w:ascii="Calibri" w:eastAsia="MS Mincho" w:hAnsi="Calibri" w:cs="Calibri"/>
          <w:bCs/>
          <w:color w:val="0000FF"/>
          <w:sz w:val="20"/>
          <w:szCs w:val="20"/>
        </w:rPr>
        <w:t>Kok</w:t>
      </w:r>
      <w:proofErr w:type="spellEnd"/>
      <w:r w:rsidRPr="00FD2D38">
        <w:rPr>
          <w:rFonts w:ascii="Calibri" w:eastAsia="MS Mincho" w:hAnsi="Calibri" w:cs="Calibri"/>
          <w:bCs/>
          <w:color w:val="0000FF"/>
          <w:sz w:val="20"/>
          <w:szCs w:val="20"/>
        </w:rPr>
        <w:t xml:space="preserve">, A., WM de Waal, M., Husebo, B., </w:t>
      </w:r>
      <w:proofErr w:type="spellStart"/>
      <w:r w:rsidRPr="00FD2D38">
        <w:rPr>
          <w:rFonts w:ascii="Calibri" w:eastAsia="MS Mincho" w:hAnsi="Calibri" w:cs="Calibri"/>
          <w:bCs/>
          <w:color w:val="0000FF"/>
          <w:sz w:val="20"/>
          <w:szCs w:val="20"/>
        </w:rPr>
        <w:t>Lautenbacher</w:t>
      </w:r>
      <w:proofErr w:type="spellEnd"/>
      <w:r w:rsidRPr="00FD2D38">
        <w:rPr>
          <w:rFonts w:ascii="Calibri" w:eastAsia="MS Mincho" w:hAnsi="Calibri" w:cs="Calibri"/>
          <w:bCs/>
          <w:color w:val="0000FF"/>
          <w:sz w:val="20"/>
          <w:szCs w:val="20"/>
        </w:rPr>
        <w:t xml:space="preserve">, S., Kunz, M., </w:t>
      </w:r>
      <w:proofErr w:type="spellStart"/>
      <w:r w:rsidRPr="00FD2D38">
        <w:rPr>
          <w:rFonts w:ascii="Calibri" w:eastAsia="MS Mincho" w:hAnsi="Calibri" w:cs="Calibri"/>
          <w:bCs/>
          <w:color w:val="0000FF"/>
          <w:sz w:val="20"/>
          <w:szCs w:val="20"/>
        </w:rPr>
        <w:t>Scherder</w:t>
      </w:r>
      <w:proofErr w:type="spellEnd"/>
      <w:r w:rsidRPr="00FD2D38">
        <w:rPr>
          <w:rFonts w:ascii="Calibri" w:eastAsia="MS Mincho" w:hAnsi="Calibri" w:cs="Calibri"/>
          <w:bCs/>
          <w:color w:val="0000FF"/>
          <w:sz w:val="20"/>
          <w:szCs w:val="20"/>
        </w:rPr>
        <w:t xml:space="preserve">, E., &amp; Corbett, A. (2013) Pain management in patients with dementia. </w:t>
      </w:r>
      <w:r w:rsidRPr="00FD2D38">
        <w:rPr>
          <w:rFonts w:ascii="Calibri" w:eastAsia="MS Mincho" w:hAnsi="Calibri" w:cs="Calibri"/>
          <w:bCs/>
          <w:i/>
          <w:color w:val="0000FF"/>
          <w:sz w:val="20"/>
          <w:szCs w:val="20"/>
        </w:rPr>
        <w:t>Clinical Interventions in Aging, 8</w:t>
      </w:r>
      <w:r w:rsidRPr="00FD2D38">
        <w:rPr>
          <w:rFonts w:ascii="Calibri" w:eastAsia="MS Mincho" w:hAnsi="Calibri" w:cs="Calibri"/>
          <w:bCs/>
          <w:color w:val="0000FF"/>
          <w:sz w:val="20"/>
          <w:szCs w:val="20"/>
        </w:rPr>
        <w:t xml:space="preserve">, 1471-1482. </w:t>
      </w:r>
    </w:p>
    <w:p w14:paraId="22CD0096"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Corbett, A., Husebo, B., </w:t>
      </w:r>
      <w:proofErr w:type="spellStart"/>
      <w:r w:rsidRPr="00FD2D38">
        <w:rPr>
          <w:rFonts w:ascii="Calibri" w:eastAsia="MS Mincho" w:hAnsi="Calibri" w:cs="Calibri"/>
          <w:bCs/>
          <w:color w:val="0000FF"/>
          <w:sz w:val="20"/>
          <w:szCs w:val="20"/>
        </w:rPr>
        <w:t>Malcangio</w:t>
      </w:r>
      <w:proofErr w:type="spellEnd"/>
      <w:r w:rsidRPr="00FD2D38">
        <w:rPr>
          <w:rFonts w:ascii="Calibri" w:eastAsia="MS Mincho" w:hAnsi="Calibri" w:cs="Calibri"/>
          <w:bCs/>
          <w:color w:val="0000FF"/>
          <w:sz w:val="20"/>
          <w:szCs w:val="20"/>
        </w:rPr>
        <w:t xml:space="preserve">, M., </w:t>
      </w:r>
      <w:proofErr w:type="spellStart"/>
      <w:r w:rsidRPr="00FD2D38">
        <w:rPr>
          <w:rFonts w:ascii="Calibri" w:eastAsia="MS Mincho" w:hAnsi="Calibri" w:cs="Calibri"/>
          <w:bCs/>
          <w:color w:val="0000FF"/>
          <w:sz w:val="20"/>
          <w:szCs w:val="20"/>
        </w:rPr>
        <w:t>Staniland</w:t>
      </w:r>
      <w:proofErr w:type="spellEnd"/>
      <w:r w:rsidRPr="00FD2D38">
        <w:rPr>
          <w:rFonts w:ascii="Calibri" w:eastAsia="MS Mincho" w:hAnsi="Calibri" w:cs="Calibri"/>
          <w:bCs/>
          <w:color w:val="0000FF"/>
          <w:sz w:val="20"/>
          <w:szCs w:val="20"/>
        </w:rPr>
        <w:t xml:space="preserve">, A., Cohen-Mansfield, J., Aarsland, D., Ballard, C. (2013). Assessment and treatment of pain in people with dementia. Nature Reviews Neurology, 8, 264-274. </w:t>
      </w:r>
    </w:p>
    <w:p w14:paraId="2D9C51DC" w14:textId="03AE6131"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Lukas, A., Mayer, B., </w:t>
      </w:r>
      <w:proofErr w:type="spellStart"/>
      <w:r w:rsidRPr="00FD2D38">
        <w:rPr>
          <w:rFonts w:ascii="Calibri" w:eastAsia="MS Mincho" w:hAnsi="Calibri" w:cs="Calibri"/>
          <w:bCs/>
          <w:color w:val="0000FF"/>
          <w:sz w:val="20"/>
          <w:szCs w:val="20"/>
        </w:rPr>
        <w:t>Fiavola</w:t>
      </w:r>
      <w:proofErr w:type="spellEnd"/>
      <w:r w:rsidRPr="00FD2D38">
        <w:rPr>
          <w:rFonts w:ascii="Calibri" w:eastAsia="MS Mincho" w:hAnsi="Calibri" w:cs="Calibri"/>
          <w:bCs/>
          <w:color w:val="0000FF"/>
          <w:sz w:val="20"/>
          <w:szCs w:val="20"/>
        </w:rPr>
        <w:t xml:space="preserve">, D., </w:t>
      </w:r>
      <w:proofErr w:type="spellStart"/>
      <w:r w:rsidRPr="00FD2D38">
        <w:rPr>
          <w:rFonts w:ascii="Calibri" w:eastAsia="MS Mincho" w:hAnsi="Calibri" w:cs="Calibri"/>
          <w:bCs/>
          <w:color w:val="0000FF"/>
          <w:sz w:val="20"/>
          <w:szCs w:val="20"/>
        </w:rPr>
        <w:t>Top</w:t>
      </w:r>
      <w:r w:rsidR="00CD017B">
        <w:rPr>
          <w:rFonts w:ascii="Calibri" w:eastAsia="MS Mincho" w:hAnsi="Calibri" w:cs="Calibri"/>
          <w:bCs/>
          <w:color w:val="0000FF"/>
          <w:sz w:val="20"/>
          <w:szCs w:val="20"/>
        </w:rPr>
        <w:t>i</w:t>
      </w:r>
      <w:r w:rsidRPr="00FD2D38">
        <w:rPr>
          <w:rFonts w:ascii="Calibri" w:eastAsia="MS Mincho" w:hAnsi="Calibri" w:cs="Calibri"/>
          <w:bCs/>
          <w:color w:val="0000FF"/>
          <w:sz w:val="20"/>
          <w:szCs w:val="20"/>
        </w:rPr>
        <w:t>nkova</w:t>
      </w:r>
      <w:proofErr w:type="spellEnd"/>
      <w:r w:rsidRPr="00FD2D38">
        <w:rPr>
          <w:rFonts w:ascii="Calibri" w:eastAsia="MS Mincho" w:hAnsi="Calibri" w:cs="Calibri"/>
          <w:bCs/>
          <w:color w:val="0000FF"/>
          <w:sz w:val="20"/>
          <w:szCs w:val="20"/>
        </w:rPr>
        <w:t xml:space="preserve">, E., </w:t>
      </w:r>
      <w:proofErr w:type="spellStart"/>
      <w:r w:rsidRPr="00FD2D38">
        <w:rPr>
          <w:rFonts w:ascii="Calibri" w:eastAsia="MS Mincho" w:hAnsi="Calibri" w:cs="Calibri"/>
          <w:bCs/>
          <w:color w:val="0000FF"/>
          <w:sz w:val="20"/>
          <w:szCs w:val="20"/>
        </w:rPr>
        <w:t>Gindin</w:t>
      </w:r>
      <w:proofErr w:type="spellEnd"/>
      <w:r w:rsidRPr="00FD2D38">
        <w:rPr>
          <w:rFonts w:ascii="Calibri" w:eastAsia="MS Mincho" w:hAnsi="Calibri" w:cs="Calibri"/>
          <w:bCs/>
          <w:color w:val="0000FF"/>
          <w:sz w:val="20"/>
          <w:szCs w:val="20"/>
        </w:rPr>
        <w:t xml:space="preserve">, J., </w:t>
      </w:r>
      <w:proofErr w:type="spellStart"/>
      <w:r w:rsidRPr="00FD2D38">
        <w:rPr>
          <w:rFonts w:ascii="Calibri" w:eastAsia="MS Mincho" w:hAnsi="Calibri" w:cs="Calibri"/>
          <w:bCs/>
          <w:color w:val="0000FF"/>
          <w:sz w:val="20"/>
          <w:szCs w:val="20"/>
        </w:rPr>
        <w:t>Onder</w:t>
      </w:r>
      <w:proofErr w:type="spellEnd"/>
      <w:r w:rsidRPr="00FD2D38">
        <w:rPr>
          <w:rFonts w:ascii="Calibri" w:eastAsia="MS Mincho" w:hAnsi="Calibri" w:cs="Calibri"/>
          <w:bCs/>
          <w:color w:val="0000FF"/>
          <w:sz w:val="20"/>
          <w:szCs w:val="20"/>
        </w:rPr>
        <w:t xml:space="preserve">, G., Bernabei, R., Nikolaus, T., &amp; </w:t>
      </w:r>
      <w:proofErr w:type="spellStart"/>
      <w:r w:rsidRPr="00FD2D38">
        <w:rPr>
          <w:rFonts w:ascii="Calibri" w:eastAsia="MS Mincho" w:hAnsi="Calibri" w:cs="Calibri"/>
          <w:bCs/>
          <w:color w:val="0000FF"/>
          <w:sz w:val="20"/>
          <w:szCs w:val="20"/>
        </w:rPr>
        <w:t>Denkinger</w:t>
      </w:r>
      <w:proofErr w:type="spellEnd"/>
      <w:r w:rsidRPr="00FD2D38">
        <w:rPr>
          <w:rFonts w:ascii="Calibri" w:eastAsia="MS Mincho" w:hAnsi="Calibri" w:cs="Calibri"/>
          <w:bCs/>
          <w:color w:val="0000FF"/>
          <w:sz w:val="20"/>
          <w:szCs w:val="20"/>
        </w:rPr>
        <w:t xml:space="preserve">, M. (2013) Pain characteristics and pain control in European nursing homes: Cross-sectional and longitudinal results from the services and health for elderly in long Term care (SHELTER) study. </w:t>
      </w:r>
      <w:r w:rsidRPr="00FD2D38">
        <w:rPr>
          <w:rFonts w:ascii="Calibri" w:eastAsia="MS Mincho" w:hAnsi="Calibri" w:cs="Calibri"/>
          <w:bCs/>
          <w:i/>
          <w:color w:val="0000FF"/>
          <w:sz w:val="20"/>
          <w:szCs w:val="20"/>
        </w:rPr>
        <w:t>Journal of the American Medical Directors Association, 14</w:t>
      </w:r>
      <w:r w:rsidRPr="00FD2D38">
        <w:rPr>
          <w:rFonts w:ascii="Calibri" w:eastAsia="MS Mincho" w:hAnsi="Calibri" w:cs="Calibri"/>
          <w:bCs/>
          <w:color w:val="0000FF"/>
          <w:sz w:val="20"/>
          <w:szCs w:val="20"/>
        </w:rPr>
        <w:t xml:space="preserve">(6), 421-428. </w:t>
      </w:r>
    </w:p>
    <w:p w14:paraId="60FD36D1" w14:textId="77777777" w:rsidR="005F014A" w:rsidRPr="00FD2D38" w:rsidRDefault="005F014A" w:rsidP="005F014A">
      <w:pPr>
        <w:pStyle w:val="BodyText"/>
        <w:ind w:left="720" w:hanging="720"/>
        <w:rPr>
          <w:rFonts w:asciiTheme="minorHAnsi" w:eastAsiaTheme="minorEastAsia" w:hAnsiTheme="minorHAnsi" w:cstheme="minorBidi"/>
          <w:iCs/>
          <w:color w:val="0000FF"/>
          <w:sz w:val="20"/>
          <w:szCs w:val="20"/>
        </w:rPr>
      </w:pPr>
      <w:r w:rsidRPr="00FD2D38">
        <w:rPr>
          <w:rFonts w:asciiTheme="minorHAnsi" w:eastAsiaTheme="minorEastAsia" w:hAnsiTheme="minorHAnsi" w:cstheme="minorBidi"/>
          <w:iCs/>
          <w:color w:val="0000FF"/>
          <w:sz w:val="20"/>
          <w:szCs w:val="20"/>
        </w:rPr>
        <w:t xml:space="preserve">Herr, K. (2011) Pain assessment strategies in older patients. </w:t>
      </w:r>
      <w:r w:rsidRPr="00FD2D38">
        <w:rPr>
          <w:rFonts w:asciiTheme="minorHAnsi" w:eastAsiaTheme="minorEastAsia" w:hAnsiTheme="minorHAnsi" w:cstheme="minorBidi"/>
          <w:i/>
          <w:iCs/>
          <w:color w:val="0000FF"/>
          <w:sz w:val="20"/>
          <w:szCs w:val="20"/>
        </w:rPr>
        <w:t>The Journal of Pain, 12</w:t>
      </w:r>
      <w:r w:rsidRPr="00FD2D38">
        <w:rPr>
          <w:rFonts w:asciiTheme="minorHAnsi" w:eastAsiaTheme="minorEastAsia" w:hAnsiTheme="minorHAnsi" w:cstheme="minorBidi"/>
          <w:iCs/>
          <w:color w:val="0000FF"/>
          <w:sz w:val="20"/>
          <w:szCs w:val="20"/>
        </w:rPr>
        <w:t xml:space="preserve">(3), S3-S13. </w:t>
      </w:r>
    </w:p>
    <w:p w14:paraId="6D2CDE38" w14:textId="77777777" w:rsidR="005F014A" w:rsidRPr="00FD2D38" w:rsidRDefault="005F014A" w:rsidP="005F014A">
      <w:pPr>
        <w:pStyle w:val="BodyText"/>
        <w:ind w:left="720" w:hanging="720"/>
        <w:rPr>
          <w:rFonts w:asciiTheme="minorHAnsi" w:eastAsiaTheme="minorEastAsia" w:hAnsiTheme="minorHAnsi" w:cstheme="minorBidi"/>
          <w:iCs/>
          <w:color w:val="0000FF"/>
          <w:sz w:val="20"/>
          <w:szCs w:val="20"/>
        </w:rPr>
      </w:pPr>
      <w:r w:rsidRPr="00FD2D38">
        <w:rPr>
          <w:rFonts w:asciiTheme="minorHAnsi" w:eastAsiaTheme="minorEastAsia" w:hAnsiTheme="minorHAnsi" w:cstheme="minorBidi"/>
          <w:iCs/>
          <w:color w:val="0000FF"/>
          <w:sz w:val="20"/>
          <w:szCs w:val="20"/>
        </w:rPr>
        <w:t xml:space="preserve">Zwakhalen, S., </w:t>
      </w:r>
      <w:proofErr w:type="spellStart"/>
      <w:r w:rsidRPr="00FD2D38">
        <w:rPr>
          <w:rFonts w:asciiTheme="minorHAnsi" w:eastAsiaTheme="minorEastAsia" w:hAnsiTheme="minorHAnsi" w:cstheme="minorBidi"/>
          <w:iCs/>
          <w:color w:val="0000FF"/>
          <w:sz w:val="20"/>
          <w:szCs w:val="20"/>
        </w:rPr>
        <w:t>van’t</w:t>
      </w:r>
      <w:proofErr w:type="spellEnd"/>
      <w:r w:rsidRPr="00FD2D38">
        <w:rPr>
          <w:rFonts w:asciiTheme="minorHAnsi" w:eastAsiaTheme="minorEastAsia" w:hAnsiTheme="minorHAnsi" w:cstheme="minorBidi"/>
          <w:iCs/>
          <w:color w:val="0000FF"/>
          <w:sz w:val="20"/>
          <w:szCs w:val="20"/>
        </w:rPr>
        <w:t xml:space="preserve"> Hof, C., &amp; </w:t>
      </w:r>
      <w:proofErr w:type="spellStart"/>
      <w:r w:rsidRPr="00FD2D38">
        <w:rPr>
          <w:rFonts w:asciiTheme="minorHAnsi" w:eastAsiaTheme="minorEastAsia" w:hAnsiTheme="minorHAnsi" w:cstheme="minorBidi"/>
          <w:iCs/>
          <w:color w:val="0000FF"/>
          <w:sz w:val="20"/>
          <w:szCs w:val="20"/>
        </w:rPr>
        <w:t>Hamers</w:t>
      </w:r>
      <w:proofErr w:type="spellEnd"/>
      <w:r w:rsidRPr="00FD2D38">
        <w:rPr>
          <w:rFonts w:asciiTheme="minorHAnsi" w:eastAsiaTheme="minorEastAsia" w:hAnsiTheme="minorHAnsi" w:cstheme="minorBidi"/>
          <w:iCs/>
          <w:color w:val="0000FF"/>
          <w:sz w:val="20"/>
          <w:szCs w:val="20"/>
        </w:rPr>
        <w:t xml:space="preserve">, J. (2012) Systematic pain assessment using an observational scale in nursing home residents with dementia: Exploring feasibility and applied interventions. </w:t>
      </w:r>
      <w:r w:rsidRPr="00FD2D38">
        <w:rPr>
          <w:rFonts w:asciiTheme="minorHAnsi" w:eastAsiaTheme="minorEastAsia" w:hAnsiTheme="minorHAnsi" w:cstheme="minorBidi"/>
          <w:i/>
          <w:iCs/>
          <w:color w:val="0000FF"/>
          <w:sz w:val="20"/>
          <w:szCs w:val="20"/>
        </w:rPr>
        <w:t>Journal of Clinical Nursing, 21</w:t>
      </w:r>
      <w:r w:rsidRPr="00FD2D38">
        <w:rPr>
          <w:rFonts w:asciiTheme="minorHAnsi" w:eastAsiaTheme="minorEastAsia" w:hAnsiTheme="minorHAnsi" w:cstheme="minorBidi"/>
          <w:iCs/>
          <w:color w:val="0000FF"/>
          <w:sz w:val="20"/>
          <w:szCs w:val="20"/>
        </w:rPr>
        <w:t xml:space="preserve">(21), 3009-3017. </w:t>
      </w:r>
    </w:p>
    <w:p w14:paraId="6D55F291" w14:textId="77777777" w:rsidR="005F014A" w:rsidRDefault="005F014A" w:rsidP="005F014A">
      <w:pPr>
        <w:autoSpaceDE w:val="0"/>
        <w:autoSpaceDN w:val="0"/>
        <w:adjustRightInd w:val="0"/>
        <w:spacing w:after="0" w:line="240" w:lineRule="auto"/>
        <w:rPr>
          <w:rFonts w:cstheme="minorHAnsi"/>
          <w:b/>
          <w:bCs/>
        </w:rPr>
      </w:pPr>
      <w:bookmarkStart w:id="25" w:name="_Hlk496703057"/>
      <w:r w:rsidRPr="001D4323">
        <w:rPr>
          <w:rFonts w:cstheme="minorHAnsi"/>
          <w:b/>
          <w:bCs/>
        </w:rPr>
        <w:t>2b3.3b</w:t>
      </w:r>
      <w:bookmarkEnd w:id="25"/>
      <w:r w:rsidRPr="001D4323">
        <w:rPr>
          <w:rFonts w:cstheme="minorHAnsi"/>
          <w:b/>
          <w:bCs/>
        </w:rPr>
        <w:t>. How was the conceptual model of how social risk impacts this outcome developed?  Please check all that apply:</w:t>
      </w:r>
    </w:p>
    <w:p w14:paraId="154797FE" w14:textId="77777777" w:rsidR="005F014A" w:rsidRPr="005232D6" w:rsidRDefault="007076F8" w:rsidP="005F014A">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Content>
          <w:r w:rsidR="005F014A">
            <w:rPr>
              <w:rFonts w:ascii="MS Gothic" w:eastAsia="MS Gothic" w:hAnsi="MS Gothic" w:cstheme="minorHAnsi" w:hint="eastAsia"/>
              <w:bCs/>
              <w:color w:val="0000FF"/>
            </w:rPr>
            <w:t>☒</w:t>
          </w:r>
        </w:sdtContent>
      </w:sdt>
      <w:r w:rsidR="005F014A">
        <w:rPr>
          <w:rFonts w:eastAsia="MS Mincho" w:cstheme="minorHAnsi"/>
          <w:b/>
          <w:bCs/>
          <w:color w:val="0000FF"/>
        </w:rPr>
        <w:t xml:space="preserve"> </w:t>
      </w:r>
      <w:r w:rsidR="005F014A">
        <w:rPr>
          <w:rFonts w:cstheme="minorHAnsi"/>
          <w:b/>
          <w:bCs/>
        </w:rPr>
        <w:t>Published literature</w:t>
      </w:r>
    </w:p>
    <w:p w14:paraId="769EB3BA" w14:textId="77777777" w:rsidR="005F014A" w:rsidRPr="005232D6" w:rsidRDefault="007076F8" w:rsidP="005F014A">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Content>
          <w:r w:rsidR="005F014A">
            <w:rPr>
              <w:rFonts w:ascii="MS Gothic" w:eastAsia="MS Gothic" w:hAnsi="MS Gothic" w:cstheme="minorHAnsi" w:hint="eastAsia"/>
              <w:bCs/>
              <w:color w:val="0000FF"/>
            </w:rPr>
            <w:t>☒</w:t>
          </w:r>
        </w:sdtContent>
      </w:sdt>
      <w:r w:rsidR="005F014A">
        <w:rPr>
          <w:rFonts w:cstheme="minorHAnsi"/>
          <w:bCs/>
          <w:color w:val="0000FF"/>
        </w:rPr>
        <w:t xml:space="preserve"> </w:t>
      </w:r>
      <w:r w:rsidR="005F014A">
        <w:rPr>
          <w:rFonts w:cstheme="minorHAnsi"/>
          <w:b/>
          <w:bCs/>
        </w:rPr>
        <w:t>Internal data analysis</w:t>
      </w:r>
    </w:p>
    <w:p w14:paraId="4161D936" w14:textId="77777777" w:rsidR="005F014A" w:rsidRPr="005232D6" w:rsidRDefault="007076F8" w:rsidP="005F014A">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Content>
          <w:r w:rsidR="005F014A" w:rsidRPr="006574D2">
            <w:rPr>
              <w:rFonts w:ascii="MS Gothic" w:eastAsia="MS Gothic" w:cstheme="minorHAnsi" w:hint="eastAsia"/>
              <w:bCs/>
              <w:color w:val="0000FF"/>
            </w:rPr>
            <w:t>☐</w:t>
          </w:r>
        </w:sdtContent>
      </w:sdt>
      <w:r w:rsidR="005F014A">
        <w:rPr>
          <w:rFonts w:eastAsia="MS Mincho" w:cstheme="minorHAnsi"/>
          <w:b/>
          <w:bCs/>
          <w:color w:val="0000FF"/>
        </w:rPr>
        <w:t xml:space="preserve"> </w:t>
      </w:r>
      <w:r w:rsidR="005F014A">
        <w:rPr>
          <w:rFonts w:cstheme="minorHAnsi"/>
          <w:b/>
          <w:bCs/>
        </w:rPr>
        <w:t>Other (please describe)</w:t>
      </w:r>
    </w:p>
    <w:p w14:paraId="61D6C328" w14:textId="77777777" w:rsidR="005F014A" w:rsidRPr="00AF2D68" w:rsidRDefault="005F014A" w:rsidP="005F014A">
      <w:pPr>
        <w:rPr>
          <w:rFonts w:cstheme="minorHAnsi"/>
          <w:bCs/>
          <w:sz w:val="4"/>
        </w:rPr>
      </w:pPr>
    </w:p>
    <w:p w14:paraId="0709CDDF" w14:textId="7B5B61C3" w:rsidR="005F014A" w:rsidRDefault="005F014A" w:rsidP="005F014A">
      <w:pPr>
        <w:autoSpaceDE w:val="0"/>
        <w:autoSpaceDN w:val="0"/>
        <w:adjustRightInd w:val="0"/>
        <w:spacing w:before="240" w:after="240" w:line="240" w:lineRule="auto"/>
        <w:rPr>
          <w:rFonts w:ascii="Calibri" w:eastAsia="MS Mincho" w:hAnsi="Calibri" w:cs="Calibri"/>
          <w:bCs/>
          <w:color w:val="0000FF"/>
        </w:rPr>
      </w:pPr>
      <w:r>
        <w:rPr>
          <w:rFonts w:ascii="Calibri" w:eastAsia="MS Mincho" w:hAnsi="Calibri" w:cs="Calibri"/>
          <w:bCs/>
          <w:color w:val="0000FF"/>
        </w:rPr>
        <w:t>Based on a review of the current literature, we identified several social risk factors that may be related to self-reported pain and could be measured by items available in the MDS 3.0.  While the literature reported mixed results on the relationship between socio-economic status (SES) and self-reported pain</w:t>
      </w:r>
      <w:r w:rsidR="00AD62DD">
        <w:rPr>
          <w:rFonts w:ascii="Calibri" w:eastAsia="MS Mincho" w:hAnsi="Calibri" w:cs="Calibri"/>
          <w:bCs/>
          <w:color w:val="0000FF"/>
        </w:rPr>
        <w:t>,</w:t>
      </w:r>
      <w:r>
        <w:rPr>
          <w:rFonts w:ascii="Calibri" w:eastAsia="MS Mincho" w:hAnsi="Calibri" w:cs="Calibri"/>
          <w:bCs/>
          <w:color w:val="0000FF"/>
        </w:rPr>
        <w:t xml:space="preserve"> as well as between marital status and self-reported pain, overall, evidence suggests that self-reported pain is more likely to be associated with lower socio-economic status (</w:t>
      </w:r>
      <w:r w:rsidRPr="004B382A">
        <w:rPr>
          <w:rFonts w:ascii="Calibri" w:eastAsia="MS Mincho" w:hAnsi="Calibri" w:cs="Calibri"/>
          <w:bCs/>
          <w:color w:val="0000FF"/>
        </w:rPr>
        <w:t>Kuntz, et al., 2017; Johannes, Le, Zhou, Johnston, &amp; Dworkin, 2010</w:t>
      </w:r>
      <w:r>
        <w:rPr>
          <w:rFonts w:ascii="Calibri" w:eastAsia="MS Mincho" w:hAnsi="Calibri" w:cs="Calibri"/>
          <w:bCs/>
          <w:color w:val="0000FF"/>
        </w:rPr>
        <w:t>) and not being married [i.e., widowed, divorced, separated, and never married (</w:t>
      </w:r>
      <w:r w:rsidRPr="004B382A">
        <w:rPr>
          <w:rFonts w:ascii="Calibri" w:eastAsia="MS Mincho" w:hAnsi="Calibri" w:cs="Calibri"/>
          <w:bCs/>
          <w:color w:val="0000FF"/>
        </w:rPr>
        <w:t>Johannes, et al., 2010</w:t>
      </w:r>
      <w:r>
        <w:rPr>
          <w:rFonts w:ascii="Calibri" w:eastAsia="MS Mincho" w:hAnsi="Calibri" w:cs="Calibri"/>
          <w:bCs/>
          <w:color w:val="0000FF"/>
        </w:rPr>
        <w:t xml:space="preserve">; </w:t>
      </w:r>
      <w:r w:rsidRPr="004B382A">
        <w:rPr>
          <w:rFonts w:ascii="Calibri" w:eastAsia="MS Mincho" w:hAnsi="Calibri" w:cs="Calibri"/>
          <w:bCs/>
          <w:color w:val="0000FF"/>
        </w:rPr>
        <w:t xml:space="preserve">Sjogren, </w:t>
      </w:r>
      <w:proofErr w:type="spellStart"/>
      <w:r w:rsidRPr="004B382A">
        <w:rPr>
          <w:rFonts w:ascii="Calibri" w:eastAsia="MS Mincho" w:hAnsi="Calibri" w:cs="Calibri"/>
          <w:bCs/>
          <w:color w:val="0000FF"/>
        </w:rPr>
        <w:t>Ekholm</w:t>
      </w:r>
      <w:proofErr w:type="spellEnd"/>
      <w:r w:rsidRPr="004B382A">
        <w:rPr>
          <w:rFonts w:ascii="Calibri" w:eastAsia="MS Mincho" w:hAnsi="Calibri" w:cs="Calibri"/>
          <w:bCs/>
          <w:color w:val="0000FF"/>
        </w:rPr>
        <w:t xml:space="preserve">, </w:t>
      </w:r>
      <w:proofErr w:type="spellStart"/>
      <w:r w:rsidRPr="004B382A">
        <w:rPr>
          <w:rFonts w:ascii="Calibri" w:eastAsia="MS Mincho" w:hAnsi="Calibri" w:cs="Calibri"/>
          <w:bCs/>
          <w:color w:val="0000FF"/>
        </w:rPr>
        <w:t>Peuckmann</w:t>
      </w:r>
      <w:proofErr w:type="spellEnd"/>
      <w:r w:rsidRPr="004B382A">
        <w:rPr>
          <w:rFonts w:ascii="Calibri" w:eastAsia="MS Mincho" w:hAnsi="Calibri" w:cs="Calibri"/>
          <w:bCs/>
          <w:color w:val="0000FF"/>
        </w:rPr>
        <w:t xml:space="preserve">, &amp; </w:t>
      </w:r>
      <w:proofErr w:type="spellStart"/>
      <w:r w:rsidRPr="004B382A">
        <w:rPr>
          <w:rFonts w:ascii="Calibri" w:eastAsia="MS Mincho" w:hAnsi="Calibri" w:cs="Calibri"/>
          <w:bCs/>
          <w:color w:val="0000FF"/>
        </w:rPr>
        <w:t>Gronbaek</w:t>
      </w:r>
      <w:proofErr w:type="spellEnd"/>
      <w:r w:rsidRPr="004B382A">
        <w:rPr>
          <w:rFonts w:ascii="Calibri" w:eastAsia="MS Mincho" w:hAnsi="Calibri" w:cs="Calibri"/>
          <w:bCs/>
          <w:color w:val="0000FF"/>
        </w:rPr>
        <w:t>, 2</w:t>
      </w:r>
      <w:r>
        <w:rPr>
          <w:rFonts w:ascii="Calibri" w:eastAsia="MS Mincho" w:hAnsi="Calibri" w:cs="Calibri"/>
          <w:bCs/>
          <w:color w:val="0000FF"/>
        </w:rPr>
        <w:t xml:space="preserve">009)]. The evidence suggests that this may be </w:t>
      </w:r>
      <w:r>
        <w:rPr>
          <w:color w:val="0000FF"/>
        </w:rPr>
        <w:t>due to</w:t>
      </w:r>
      <w:r w:rsidRPr="0050594A">
        <w:rPr>
          <w:color w:val="0000FF"/>
        </w:rPr>
        <w:t xml:space="preserve"> </w:t>
      </w:r>
      <w:r>
        <w:rPr>
          <w:color w:val="0000FF"/>
        </w:rPr>
        <w:t xml:space="preserve">low levels of self-involvement in healthcare and living in a less affluent area with access to fewer supports for those with lower SES </w:t>
      </w:r>
      <w:r w:rsidRPr="004B382A">
        <w:rPr>
          <w:color w:val="0000FF"/>
        </w:rPr>
        <w:t>(Brekke,</w:t>
      </w:r>
      <w:r w:rsidRPr="004B382A">
        <w:t xml:space="preserve"> </w:t>
      </w:r>
      <w:proofErr w:type="spellStart"/>
      <w:r w:rsidRPr="004B382A">
        <w:rPr>
          <w:color w:val="0000FF"/>
        </w:rPr>
        <w:t>Hjortdahl</w:t>
      </w:r>
      <w:proofErr w:type="spellEnd"/>
      <w:r w:rsidRPr="004B382A">
        <w:rPr>
          <w:color w:val="0000FF"/>
        </w:rPr>
        <w:t xml:space="preserve">, &amp; </w:t>
      </w:r>
      <w:proofErr w:type="spellStart"/>
      <w:r w:rsidRPr="004B382A">
        <w:rPr>
          <w:color w:val="0000FF"/>
        </w:rPr>
        <w:t>Kvien</w:t>
      </w:r>
      <w:proofErr w:type="spellEnd"/>
      <w:r w:rsidRPr="004B382A">
        <w:rPr>
          <w:color w:val="0000FF"/>
        </w:rPr>
        <w:t>, 2002).</w:t>
      </w:r>
      <w:r>
        <w:rPr>
          <w:rFonts w:ascii="Calibri" w:eastAsia="MS Mincho" w:hAnsi="Calibri" w:cs="Calibri"/>
          <w:bCs/>
          <w:color w:val="0000FF"/>
        </w:rPr>
        <w:t xml:space="preserve"> </w:t>
      </w:r>
      <w:r>
        <w:rPr>
          <w:color w:val="0000FF"/>
        </w:rPr>
        <w:t xml:space="preserve">Marriage has been shown to be associated with better health and longer life expectancy due to the social and societal connections </w:t>
      </w:r>
      <w:r w:rsidR="00AD62DD">
        <w:rPr>
          <w:color w:val="0000FF"/>
        </w:rPr>
        <w:t xml:space="preserve">from which </w:t>
      </w:r>
      <w:r>
        <w:rPr>
          <w:color w:val="0000FF"/>
        </w:rPr>
        <w:t xml:space="preserve">married individuals benefit, possibly explaining the lower rates of self-reported pain among married individuals than among non-married </w:t>
      </w:r>
      <w:r w:rsidRPr="004B382A">
        <w:rPr>
          <w:color w:val="0000FF"/>
        </w:rPr>
        <w:t>individuals (Wade, Hart, Wade, Bajaj, &amp; Price, 2013).</w:t>
      </w:r>
      <w:r w:rsidRPr="004B382A">
        <w:rPr>
          <w:rFonts w:ascii="Calibri" w:eastAsia="MS Mincho" w:hAnsi="Calibri" w:cs="Calibri"/>
          <w:bCs/>
          <w:color w:val="0000FF"/>
        </w:rPr>
        <w:t xml:space="preserve"> However, one study to note by Sawyer and colleagues (2007) found that self-reported</w:t>
      </w:r>
      <w:r>
        <w:rPr>
          <w:rFonts w:ascii="Calibri" w:eastAsia="MS Mincho" w:hAnsi="Calibri" w:cs="Calibri"/>
          <w:bCs/>
          <w:color w:val="0000FF"/>
        </w:rPr>
        <w:t xml:space="preserve"> pain was higher among married nursing home residents than non-married residents. Due to the mixed results in the literature, SES and marital status were examined.  Given the available MDS data, we examined the effect of eligibility for Medicaid as an indicator of socio-economic status.  </w:t>
      </w:r>
    </w:p>
    <w:p w14:paraId="07BBBAF8" w14:textId="39D844EA" w:rsidR="005F014A" w:rsidRDefault="005F014A" w:rsidP="005F014A">
      <w:pPr>
        <w:autoSpaceDE w:val="0"/>
        <w:autoSpaceDN w:val="0"/>
        <w:adjustRightInd w:val="0"/>
        <w:spacing w:before="240" w:after="240" w:line="240" w:lineRule="auto"/>
        <w:rPr>
          <w:rFonts w:ascii="Calibri" w:eastAsia="MS Mincho" w:hAnsi="Calibri" w:cs="Calibri"/>
          <w:bCs/>
          <w:color w:val="0000FF"/>
        </w:rPr>
      </w:pPr>
      <w:r>
        <w:rPr>
          <w:rFonts w:ascii="Calibri" w:eastAsia="MS Mincho" w:hAnsi="Calibri" w:cs="Calibri"/>
          <w:bCs/>
          <w:color w:val="0000FF"/>
        </w:rPr>
        <w:t>Likewise, the literature points to lower prevalence of self-reported pain among the oldest nursing home residents (</w:t>
      </w:r>
      <w:r w:rsidRPr="00150D41">
        <w:rPr>
          <w:rFonts w:ascii="Calibri" w:eastAsia="MS Mincho" w:hAnsi="Calibri" w:cs="Calibri"/>
          <w:bCs/>
          <w:color w:val="0000FF"/>
        </w:rPr>
        <w:t>Clement, Bradley, &amp; Lin, 2009;</w:t>
      </w:r>
      <w:r>
        <w:rPr>
          <w:rFonts w:ascii="Calibri" w:eastAsia="MS Mincho" w:hAnsi="Calibri" w:cs="Calibri"/>
          <w:bCs/>
          <w:color w:val="0000FF"/>
        </w:rPr>
        <w:t xml:space="preserve"> </w:t>
      </w:r>
      <w:r w:rsidRPr="004B382A">
        <w:rPr>
          <w:rFonts w:ascii="Calibri" w:eastAsia="MS Mincho" w:hAnsi="Calibri" w:cs="Calibri"/>
          <w:bCs/>
          <w:color w:val="0000FF"/>
        </w:rPr>
        <w:t>Takai, Yamamoto-Mitani, Okamoto, Koyama, &amp; Honda, 2010)</w:t>
      </w:r>
      <w:r>
        <w:rPr>
          <w:rFonts w:ascii="Calibri" w:eastAsia="MS Mincho" w:hAnsi="Calibri" w:cs="Calibri"/>
          <w:bCs/>
          <w:color w:val="0000FF"/>
        </w:rPr>
        <w:t xml:space="preserve"> and among </w:t>
      </w:r>
      <w:r w:rsidRPr="00B24EE5">
        <w:rPr>
          <w:rFonts w:ascii="Calibri" w:eastAsia="MS Mincho" w:hAnsi="Calibri" w:cs="Calibri"/>
          <w:bCs/>
          <w:color w:val="0000FF"/>
        </w:rPr>
        <w:t xml:space="preserve">male residents </w:t>
      </w:r>
      <w:r w:rsidRPr="004B382A">
        <w:rPr>
          <w:rFonts w:ascii="Calibri" w:eastAsia="MS Mincho" w:hAnsi="Calibri" w:cs="Calibri"/>
          <w:bCs/>
          <w:color w:val="0000FF"/>
        </w:rPr>
        <w:t xml:space="preserve">(Lukas, </w:t>
      </w:r>
      <w:r>
        <w:rPr>
          <w:rFonts w:ascii="Calibri" w:eastAsia="MS Mincho" w:hAnsi="Calibri" w:cs="Calibri"/>
          <w:bCs/>
          <w:color w:val="0000FF"/>
        </w:rPr>
        <w:t xml:space="preserve">Mayer, </w:t>
      </w:r>
      <w:proofErr w:type="spellStart"/>
      <w:r>
        <w:rPr>
          <w:rFonts w:ascii="Calibri" w:eastAsia="MS Mincho" w:hAnsi="Calibri" w:cs="Calibri"/>
          <w:bCs/>
          <w:color w:val="0000FF"/>
        </w:rPr>
        <w:t>Fiavola</w:t>
      </w:r>
      <w:proofErr w:type="spellEnd"/>
      <w:r>
        <w:rPr>
          <w:rFonts w:ascii="Calibri" w:eastAsia="MS Mincho" w:hAnsi="Calibri" w:cs="Calibri"/>
          <w:bCs/>
          <w:color w:val="0000FF"/>
        </w:rPr>
        <w:t xml:space="preserve">, </w:t>
      </w:r>
      <w:proofErr w:type="spellStart"/>
      <w:r>
        <w:rPr>
          <w:rFonts w:ascii="Calibri" w:eastAsia="MS Mincho" w:hAnsi="Calibri" w:cs="Calibri"/>
          <w:bCs/>
          <w:color w:val="0000FF"/>
        </w:rPr>
        <w:t>Topinkova</w:t>
      </w:r>
      <w:proofErr w:type="spellEnd"/>
      <w:r>
        <w:rPr>
          <w:rFonts w:ascii="Calibri" w:eastAsia="MS Mincho" w:hAnsi="Calibri" w:cs="Calibri"/>
          <w:bCs/>
          <w:color w:val="0000FF"/>
        </w:rPr>
        <w:t xml:space="preserve">, </w:t>
      </w:r>
      <w:proofErr w:type="spellStart"/>
      <w:r>
        <w:rPr>
          <w:rFonts w:ascii="Calibri" w:eastAsia="MS Mincho" w:hAnsi="Calibri" w:cs="Calibri"/>
          <w:bCs/>
          <w:color w:val="0000FF"/>
        </w:rPr>
        <w:t>Gindin</w:t>
      </w:r>
      <w:proofErr w:type="spellEnd"/>
      <w:r>
        <w:rPr>
          <w:rFonts w:ascii="Calibri" w:eastAsia="MS Mincho" w:hAnsi="Calibri" w:cs="Calibri"/>
          <w:bCs/>
          <w:color w:val="0000FF"/>
        </w:rPr>
        <w:t xml:space="preserve">, </w:t>
      </w:r>
      <w:proofErr w:type="spellStart"/>
      <w:r>
        <w:rPr>
          <w:rFonts w:ascii="Calibri" w:eastAsia="MS Mincho" w:hAnsi="Calibri" w:cs="Calibri"/>
          <w:bCs/>
          <w:color w:val="0000FF"/>
        </w:rPr>
        <w:t>Onder</w:t>
      </w:r>
      <w:proofErr w:type="spellEnd"/>
      <w:r>
        <w:rPr>
          <w:rFonts w:ascii="Calibri" w:eastAsia="MS Mincho" w:hAnsi="Calibri" w:cs="Calibri"/>
          <w:bCs/>
          <w:color w:val="0000FF"/>
        </w:rPr>
        <w:t xml:space="preserve">, </w:t>
      </w:r>
      <w:proofErr w:type="spellStart"/>
      <w:r>
        <w:rPr>
          <w:rFonts w:ascii="Calibri" w:eastAsia="MS Mincho" w:hAnsi="Calibri" w:cs="Calibri"/>
          <w:bCs/>
          <w:color w:val="0000FF"/>
        </w:rPr>
        <w:t>Bernabei</w:t>
      </w:r>
      <w:proofErr w:type="spellEnd"/>
      <w:r>
        <w:rPr>
          <w:rFonts w:ascii="Calibri" w:eastAsia="MS Mincho" w:hAnsi="Calibri" w:cs="Calibri"/>
          <w:bCs/>
          <w:color w:val="0000FF"/>
        </w:rPr>
        <w:t xml:space="preserve">, Nikolaus, &amp; </w:t>
      </w:r>
      <w:proofErr w:type="spellStart"/>
      <w:r>
        <w:rPr>
          <w:rFonts w:ascii="Calibri" w:eastAsia="MS Mincho" w:hAnsi="Calibri" w:cs="Calibri"/>
          <w:bCs/>
          <w:color w:val="0000FF"/>
        </w:rPr>
        <w:t>Denkinger</w:t>
      </w:r>
      <w:proofErr w:type="spellEnd"/>
      <w:r>
        <w:rPr>
          <w:rFonts w:ascii="Calibri" w:eastAsia="MS Mincho" w:hAnsi="Calibri" w:cs="Calibri"/>
          <w:bCs/>
          <w:color w:val="0000FF"/>
        </w:rPr>
        <w:t>,</w:t>
      </w:r>
      <w:r w:rsidRPr="004B382A">
        <w:rPr>
          <w:rFonts w:ascii="Calibri" w:eastAsia="MS Mincho" w:hAnsi="Calibri" w:cs="Calibri"/>
          <w:bCs/>
          <w:color w:val="0000FF"/>
        </w:rPr>
        <w:t xml:space="preserve"> 2013; Sawyer, et al., 2007; Takai, et al., 2010);</w:t>
      </w:r>
      <w:r>
        <w:rPr>
          <w:rFonts w:ascii="Calibri" w:eastAsia="MS Mincho" w:hAnsi="Calibri" w:cs="Calibri"/>
          <w:bCs/>
          <w:color w:val="0000FF"/>
        </w:rPr>
        <w:t xml:space="preserve"> thus, we also explored the impact of being 85 years or older (‘oldest old’) and gender on this measure. </w:t>
      </w:r>
      <w:r>
        <w:rPr>
          <w:color w:val="0000FF"/>
        </w:rPr>
        <w:t xml:space="preserve">The literature attributes much of the differences in self-reported pain between groups to psychosocial factors. The decline in self-reported pain among the oldest old may be related to cohort differences or an acceptance of pain as part of the aging process </w:t>
      </w:r>
      <w:r w:rsidRPr="004B382A">
        <w:rPr>
          <w:color w:val="0000FF"/>
        </w:rPr>
        <w:t>(</w:t>
      </w:r>
      <w:proofErr w:type="spellStart"/>
      <w:r w:rsidRPr="004B382A">
        <w:rPr>
          <w:color w:val="0000FF"/>
        </w:rPr>
        <w:t>Zarit</w:t>
      </w:r>
      <w:proofErr w:type="spellEnd"/>
      <w:r w:rsidRPr="004B382A">
        <w:rPr>
          <w:color w:val="0000FF"/>
        </w:rPr>
        <w:t>, Griffiths, &amp; Berg, 2004).</w:t>
      </w:r>
      <w:r>
        <w:rPr>
          <w:color w:val="0000FF"/>
        </w:rPr>
        <w:t xml:space="preserve">  Differences in self-reported pain between men and women </w:t>
      </w:r>
      <w:r w:rsidR="00AD62DD">
        <w:rPr>
          <w:color w:val="0000FF"/>
        </w:rPr>
        <w:t>are</w:t>
      </w:r>
      <w:r>
        <w:rPr>
          <w:color w:val="0000FF"/>
        </w:rPr>
        <w:t xml:space="preserve"> thought to be associated with socially learned reactions </w:t>
      </w:r>
      <w:r w:rsidRPr="004B382A">
        <w:rPr>
          <w:color w:val="0000FF"/>
        </w:rPr>
        <w:t xml:space="preserve">(Bartley &amp; Fillingim, 2013; Robinson, Riley, Myers, Papa, Wise, </w:t>
      </w:r>
      <w:proofErr w:type="spellStart"/>
      <w:r w:rsidRPr="004B382A">
        <w:rPr>
          <w:color w:val="0000FF"/>
        </w:rPr>
        <w:t>Waxenberg</w:t>
      </w:r>
      <w:proofErr w:type="spellEnd"/>
      <w:r w:rsidRPr="004B382A">
        <w:rPr>
          <w:color w:val="0000FF"/>
        </w:rPr>
        <w:t xml:space="preserve">, &amp; </w:t>
      </w:r>
      <w:proofErr w:type="spellStart"/>
      <w:r w:rsidRPr="004B382A">
        <w:rPr>
          <w:color w:val="0000FF"/>
        </w:rPr>
        <w:t>Fillingim</w:t>
      </w:r>
      <w:proofErr w:type="spellEnd"/>
      <w:r w:rsidRPr="004B382A">
        <w:rPr>
          <w:color w:val="0000FF"/>
        </w:rPr>
        <w:t>, 2001</w:t>
      </w:r>
      <w:r>
        <w:rPr>
          <w:color w:val="0000FF"/>
        </w:rPr>
        <w:t xml:space="preserve">), such as pain-related expectations, sex role beliefs, and pain coping </w:t>
      </w:r>
      <w:r w:rsidRPr="004B382A">
        <w:rPr>
          <w:color w:val="0000FF"/>
        </w:rPr>
        <w:t>strategies (Fillingim, 2000).</w:t>
      </w:r>
      <w:r>
        <w:rPr>
          <w:color w:val="0000FF"/>
        </w:rPr>
        <w:t xml:space="preserve"> </w:t>
      </w:r>
      <w:r w:rsidRPr="00B24EE5">
        <w:rPr>
          <w:rFonts w:ascii="Calibri" w:eastAsia="MS Mincho" w:hAnsi="Calibri" w:cs="Calibri"/>
          <w:bCs/>
          <w:color w:val="0000FF"/>
        </w:rPr>
        <w:t xml:space="preserve"> </w:t>
      </w:r>
    </w:p>
    <w:p w14:paraId="480062FB" w14:textId="77777777" w:rsidR="005F014A" w:rsidRDefault="005F014A" w:rsidP="005F014A">
      <w:pPr>
        <w:autoSpaceDE w:val="0"/>
        <w:autoSpaceDN w:val="0"/>
        <w:adjustRightInd w:val="0"/>
        <w:spacing w:before="240" w:after="240" w:line="240" w:lineRule="auto"/>
        <w:rPr>
          <w:rFonts w:ascii="Calibri" w:eastAsia="MS Mincho" w:hAnsi="Calibri" w:cs="Calibri"/>
          <w:bCs/>
          <w:color w:val="0000FF"/>
        </w:rPr>
      </w:pPr>
      <w:r>
        <w:rPr>
          <w:rFonts w:ascii="Calibri" w:eastAsia="MS Mincho" w:hAnsi="Calibri" w:cs="Calibri"/>
          <w:bCs/>
          <w:color w:val="0000FF"/>
        </w:rPr>
        <w:t>We created binary variables for each social risk factor described above as follows:</w:t>
      </w:r>
    </w:p>
    <w:p w14:paraId="51E21B70" w14:textId="77777777" w:rsidR="005F014A" w:rsidRDefault="005F014A" w:rsidP="005F014A">
      <w:pPr>
        <w:pStyle w:val="ListParagraph"/>
      </w:pPr>
      <w:r>
        <w:t xml:space="preserve">Medicaid eligibility: </w:t>
      </w:r>
      <w:r w:rsidRPr="00003004">
        <w:t>defined</w:t>
      </w:r>
      <w:r>
        <w:t xml:space="preserve"> from Item A0700 (Medicaid Number) in the MDS.  Medicaid </w:t>
      </w:r>
      <w:r w:rsidRPr="00003004">
        <w:t xml:space="preserve">eligibility </w:t>
      </w:r>
      <w:r w:rsidRPr="005366F3">
        <w:t xml:space="preserve">is defined as 1 if the resident has a Medicaid number or if a Medicaid number is pending, </w:t>
      </w:r>
      <w:r w:rsidRPr="00003004">
        <w:t>0 if Medicaid number = “N”, and missing if Medicaid number is missing</w:t>
      </w:r>
      <w:r w:rsidRPr="005366F3">
        <w:t xml:space="preserve">.  </w:t>
      </w:r>
    </w:p>
    <w:p w14:paraId="6A4372DF" w14:textId="77777777" w:rsidR="005F014A" w:rsidRDefault="005F014A" w:rsidP="005F014A">
      <w:pPr>
        <w:pStyle w:val="ListParagraph"/>
      </w:pPr>
      <w:r>
        <w:t>Oldest old: defined from Item A0900 (Birth Date) in the MDS.  Oldest old is defined as 1 if the resident is age 85 or older and 0 if otherwise.  Birth Date is not missing on any assessment in the sample.</w:t>
      </w:r>
    </w:p>
    <w:p w14:paraId="389AD763" w14:textId="77777777" w:rsidR="005F014A" w:rsidRDefault="005F014A" w:rsidP="005F014A">
      <w:pPr>
        <w:pStyle w:val="ListParagraph"/>
      </w:pPr>
      <w:r>
        <w:t>Not married: defined from Item A1200 (Marital Status) in the MDS.  Not married is defined as 1 if the resident is never married, widowed, separated, or divorced; 0 if the resident is married; and missing if marital status is missing on the target assessment.</w:t>
      </w:r>
    </w:p>
    <w:p w14:paraId="2745CCE7" w14:textId="77777777" w:rsidR="005F014A" w:rsidRDefault="005F014A" w:rsidP="005F014A">
      <w:pPr>
        <w:pStyle w:val="ListParagraph"/>
      </w:pPr>
      <w:r>
        <w:t xml:space="preserve">Gender: defined from item A0800 (Gender) in the MDS. </w:t>
      </w:r>
      <w:r w:rsidRPr="00A82B9C">
        <w:t>Male is defined as 1</w:t>
      </w:r>
      <w:r>
        <w:t xml:space="preserve"> and Female as 0</w:t>
      </w:r>
      <w:r w:rsidRPr="00A82B9C">
        <w:t>.</w:t>
      </w:r>
      <w:r>
        <w:t xml:space="preserve"> </w:t>
      </w:r>
      <w:r w:rsidRPr="00D7112A">
        <w:t>Gender is not missing on any assessment in the sample.</w:t>
      </w:r>
    </w:p>
    <w:p w14:paraId="3BD28EE3" w14:textId="1A44AAF4" w:rsidR="005F014A" w:rsidRDefault="005F014A" w:rsidP="005F014A">
      <w:pPr>
        <w:rPr>
          <w:rFonts w:ascii="Calibri" w:eastAsia="MS Mincho" w:hAnsi="Calibri" w:cs="Calibri"/>
          <w:bCs/>
          <w:color w:val="0000FF"/>
        </w:rPr>
      </w:pPr>
      <w:r w:rsidRPr="007107E6">
        <w:rPr>
          <w:rFonts w:ascii="Calibri" w:eastAsia="MS Mincho" w:hAnsi="Calibri" w:cs="Calibri"/>
          <w:bCs/>
          <w:color w:val="0000FF"/>
        </w:rPr>
        <w:t>We would also like to note that while there are observed differences in self-reported pain by race/ethnicity</w:t>
      </w:r>
      <w:r>
        <w:rPr>
          <w:rFonts w:ascii="Calibri" w:eastAsia="MS Mincho" w:hAnsi="Calibri" w:cs="Calibri"/>
          <w:bCs/>
          <w:color w:val="0000FF"/>
        </w:rPr>
        <w:t>,</w:t>
      </w:r>
      <w:r w:rsidRPr="007107E6">
        <w:rPr>
          <w:rFonts w:ascii="Calibri" w:eastAsia="MS Mincho" w:hAnsi="Calibri" w:cs="Calibri"/>
          <w:bCs/>
          <w:color w:val="0000FF"/>
        </w:rPr>
        <w:t xml:space="preserve"> we did not consider race as a potential social risk factor per NQF guidance on the use of race as an indicator of </w:t>
      </w:r>
      <w:r w:rsidR="00D74713">
        <w:rPr>
          <w:rFonts w:ascii="Calibri" w:eastAsia="MS Mincho" w:hAnsi="Calibri" w:cs="Calibri"/>
          <w:bCs/>
          <w:color w:val="0000FF"/>
        </w:rPr>
        <w:t>socioeconomic</w:t>
      </w:r>
      <w:r w:rsidRPr="007107E6">
        <w:rPr>
          <w:rFonts w:ascii="Calibri" w:eastAsia="MS Mincho" w:hAnsi="Calibri" w:cs="Calibri"/>
          <w:bCs/>
          <w:color w:val="0000FF"/>
        </w:rPr>
        <w:t xml:space="preserve"> status. Detailed analyses on the impact of race on the percentage of residents who self-report moderate to severe pain can be found in the Measure Submission Form.</w:t>
      </w:r>
    </w:p>
    <w:p w14:paraId="17C0738F"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Bartley, E. &amp; Fillingim, R. (2013) Sex differences in pain: a brief review of clinical and experimental findings. British Journal of Anesthesia, 111(1), 52-58. </w:t>
      </w:r>
    </w:p>
    <w:p w14:paraId="4D1DE74D"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Brekke, M., </w:t>
      </w:r>
      <w:proofErr w:type="spellStart"/>
      <w:r w:rsidRPr="00FD2D38">
        <w:rPr>
          <w:rFonts w:ascii="Calibri" w:eastAsia="MS Mincho" w:hAnsi="Calibri" w:cs="Calibri"/>
          <w:bCs/>
          <w:color w:val="0000FF"/>
          <w:sz w:val="20"/>
          <w:szCs w:val="20"/>
        </w:rPr>
        <w:t>Hjortdahl</w:t>
      </w:r>
      <w:proofErr w:type="spellEnd"/>
      <w:r w:rsidRPr="00FD2D38">
        <w:rPr>
          <w:rFonts w:ascii="Calibri" w:eastAsia="MS Mincho" w:hAnsi="Calibri" w:cs="Calibri"/>
          <w:bCs/>
          <w:color w:val="0000FF"/>
          <w:sz w:val="20"/>
          <w:szCs w:val="20"/>
        </w:rPr>
        <w:t xml:space="preserve">, P., &amp; </w:t>
      </w:r>
      <w:proofErr w:type="spellStart"/>
      <w:r w:rsidRPr="00FD2D38">
        <w:rPr>
          <w:rFonts w:ascii="Calibri" w:eastAsia="MS Mincho" w:hAnsi="Calibri" w:cs="Calibri"/>
          <w:bCs/>
          <w:color w:val="0000FF"/>
          <w:sz w:val="20"/>
          <w:szCs w:val="20"/>
        </w:rPr>
        <w:t>Kvien</w:t>
      </w:r>
      <w:proofErr w:type="spellEnd"/>
      <w:r w:rsidRPr="00FD2D38">
        <w:rPr>
          <w:rFonts w:ascii="Calibri" w:eastAsia="MS Mincho" w:hAnsi="Calibri" w:cs="Calibri"/>
          <w:bCs/>
          <w:color w:val="0000FF"/>
          <w:sz w:val="20"/>
          <w:szCs w:val="20"/>
        </w:rPr>
        <w:t xml:space="preserve">, T. (2002) Severity of musculoskeletal pain: relations to socioeconomic inequality. Social Science &amp; Medicine, 54(2), 221-228. </w:t>
      </w:r>
    </w:p>
    <w:p w14:paraId="0F3F5136"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Clement, J., Bradley, C., &amp; Lin, C. (2009) Organizational characteristics and cancer care for nursing home residents. </w:t>
      </w:r>
      <w:r w:rsidRPr="00FD2D38">
        <w:rPr>
          <w:rFonts w:ascii="Calibri" w:eastAsia="MS Mincho" w:hAnsi="Calibri" w:cs="Calibri"/>
          <w:bCs/>
          <w:i/>
          <w:color w:val="0000FF"/>
          <w:sz w:val="20"/>
          <w:szCs w:val="20"/>
        </w:rPr>
        <w:t>Health Services Research, 44</w:t>
      </w:r>
      <w:r w:rsidRPr="00FD2D38">
        <w:rPr>
          <w:rFonts w:ascii="Calibri" w:eastAsia="MS Mincho" w:hAnsi="Calibri" w:cs="Calibri"/>
          <w:bCs/>
          <w:color w:val="0000FF"/>
          <w:sz w:val="20"/>
          <w:szCs w:val="20"/>
        </w:rPr>
        <w:t xml:space="preserve">(6), 1983-2003. </w:t>
      </w:r>
    </w:p>
    <w:p w14:paraId="0B1B4F19"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Fillingim, R. (2000) Sex, gender, and pain: Women and men really are different. Current Review of Pain, 4(1), 24-30. </w:t>
      </w:r>
    </w:p>
    <w:p w14:paraId="31B63AB0"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Johannes, C., Le, K., Zhou, X., Johnston, J., &amp; Dworkin, R. (2010). The prevalence of chronic pain in united states adults: Result of an internet-based survey. </w:t>
      </w:r>
      <w:r w:rsidRPr="00FD2D38">
        <w:rPr>
          <w:rFonts w:ascii="Calibri" w:eastAsia="MS Mincho" w:hAnsi="Calibri" w:cs="Calibri"/>
          <w:bCs/>
          <w:i/>
          <w:color w:val="0000FF"/>
          <w:sz w:val="20"/>
          <w:szCs w:val="20"/>
        </w:rPr>
        <w:t>The Journal of Pain, 11</w:t>
      </w:r>
      <w:r w:rsidRPr="00FD2D38">
        <w:rPr>
          <w:rFonts w:ascii="Calibri" w:eastAsia="MS Mincho" w:hAnsi="Calibri" w:cs="Calibri"/>
          <w:bCs/>
          <w:color w:val="0000FF"/>
          <w:sz w:val="20"/>
          <w:szCs w:val="20"/>
        </w:rPr>
        <w:t xml:space="preserve">(11), 1230-1239. </w:t>
      </w:r>
    </w:p>
    <w:p w14:paraId="36F64C27"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Kunz, B., </w:t>
      </w:r>
      <w:proofErr w:type="spellStart"/>
      <w:r w:rsidRPr="00FD2D38">
        <w:rPr>
          <w:rFonts w:ascii="Calibri" w:eastAsia="MS Mincho" w:hAnsi="Calibri" w:cs="Calibri"/>
          <w:bCs/>
          <w:color w:val="0000FF"/>
          <w:sz w:val="20"/>
          <w:szCs w:val="20"/>
        </w:rPr>
        <w:t>Hoebel</w:t>
      </w:r>
      <w:proofErr w:type="spellEnd"/>
      <w:r w:rsidRPr="00FD2D38">
        <w:rPr>
          <w:rFonts w:ascii="Calibri" w:eastAsia="MS Mincho" w:hAnsi="Calibri" w:cs="Calibri"/>
          <w:bCs/>
          <w:color w:val="0000FF"/>
          <w:sz w:val="20"/>
          <w:szCs w:val="20"/>
        </w:rPr>
        <w:t xml:space="preserve">, J., Fuchs, J., </w:t>
      </w:r>
      <w:proofErr w:type="spellStart"/>
      <w:r w:rsidRPr="00FD2D38">
        <w:rPr>
          <w:rFonts w:ascii="Calibri" w:eastAsia="MS Mincho" w:hAnsi="Calibri" w:cs="Calibri"/>
          <w:bCs/>
          <w:color w:val="0000FF"/>
          <w:sz w:val="20"/>
          <w:szCs w:val="20"/>
        </w:rPr>
        <w:t>Neuhauser</w:t>
      </w:r>
      <w:proofErr w:type="spellEnd"/>
      <w:r w:rsidRPr="00FD2D38">
        <w:rPr>
          <w:rFonts w:ascii="Calibri" w:eastAsia="MS Mincho" w:hAnsi="Calibri" w:cs="Calibri"/>
          <w:bCs/>
          <w:color w:val="0000FF"/>
          <w:sz w:val="20"/>
          <w:szCs w:val="20"/>
        </w:rPr>
        <w:t xml:space="preserve">, H., Lampert, T. (2017). Social inequalities in the prevalence of chronic back pain among adults in Germany. </w:t>
      </w:r>
      <w:proofErr w:type="spellStart"/>
      <w:r w:rsidRPr="00FD2D38">
        <w:rPr>
          <w:rFonts w:ascii="Calibri" w:eastAsia="MS Mincho" w:hAnsi="Calibri" w:cs="Calibri"/>
          <w:bCs/>
          <w:i/>
          <w:color w:val="0000FF"/>
          <w:sz w:val="20"/>
          <w:szCs w:val="20"/>
        </w:rPr>
        <w:t>Bundesgesundheitsblatt</w:t>
      </w:r>
      <w:proofErr w:type="spellEnd"/>
      <w:r w:rsidRPr="00FD2D38">
        <w:rPr>
          <w:rFonts w:ascii="Calibri" w:eastAsia="MS Mincho" w:hAnsi="Calibri" w:cs="Calibri"/>
          <w:bCs/>
          <w:i/>
          <w:color w:val="0000FF"/>
          <w:sz w:val="20"/>
          <w:szCs w:val="20"/>
        </w:rPr>
        <w:t>, 60</w:t>
      </w:r>
      <w:r w:rsidRPr="00FD2D38">
        <w:rPr>
          <w:rFonts w:ascii="Calibri" w:eastAsia="MS Mincho" w:hAnsi="Calibri" w:cs="Calibri"/>
          <w:bCs/>
          <w:color w:val="0000FF"/>
          <w:sz w:val="20"/>
          <w:szCs w:val="20"/>
        </w:rPr>
        <w:t xml:space="preserve">(7), 783-791. </w:t>
      </w:r>
    </w:p>
    <w:p w14:paraId="21D44252"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Lukas, A., Mayer, B., </w:t>
      </w:r>
      <w:proofErr w:type="spellStart"/>
      <w:r w:rsidRPr="00FD2D38">
        <w:rPr>
          <w:rFonts w:ascii="Calibri" w:eastAsia="MS Mincho" w:hAnsi="Calibri" w:cs="Calibri"/>
          <w:bCs/>
          <w:color w:val="0000FF"/>
          <w:sz w:val="20"/>
          <w:szCs w:val="20"/>
        </w:rPr>
        <w:t>Fiavola</w:t>
      </w:r>
      <w:proofErr w:type="spellEnd"/>
      <w:r w:rsidRPr="00FD2D38">
        <w:rPr>
          <w:rFonts w:ascii="Calibri" w:eastAsia="MS Mincho" w:hAnsi="Calibri" w:cs="Calibri"/>
          <w:bCs/>
          <w:color w:val="0000FF"/>
          <w:sz w:val="20"/>
          <w:szCs w:val="20"/>
        </w:rPr>
        <w:t xml:space="preserve">, D., </w:t>
      </w:r>
      <w:proofErr w:type="spellStart"/>
      <w:r w:rsidRPr="00FD2D38">
        <w:rPr>
          <w:rFonts w:ascii="Calibri" w:eastAsia="MS Mincho" w:hAnsi="Calibri" w:cs="Calibri"/>
          <w:bCs/>
          <w:color w:val="0000FF"/>
          <w:sz w:val="20"/>
          <w:szCs w:val="20"/>
        </w:rPr>
        <w:t>Topnkova</w:t>
      </w:r>
      <w:proofErr w:type="spellEnd"/>
      <w:r w:rsidRPr="00FD2D38">
        <w:rPr>
          <w:rFonts w:ascii="Calibri" w:eastAsia="MS Mincho" w:hAnsi="Calibri" w:cs="Calibri"/>
          <w:bCs/>
          <w:color w:val="0000FF"/>
          <w:sz w:val="20"/>
          <w:szCs w:val="20"/>
        </w:rPr>
        <w:t xml:space="preserve">, E., </w:t>
      </w:r>
      <w:proofErr w:type="spellStart"/>
      <w:r w:rsidRPr="00FD2D38">
        <w:rPr>
          <w:rFonts w:ascii="Calibri" w:eastAsia="MS Mincho" w:hAnsi="Calibri" w:cs="Calibri"/>
          <w:bCs/>
          <w:color w:val="0000FF"/>
          <w:sz w:val="20"/>
          <w:szCs w:val="20"/>
        </w:rPr>
        <w:t>Gindin</w:t>
      </w:r>
      <w:proofErr w:type="spellEnd"/>
      <w:r w:rsidRPr="00FD2D38">
        <w:rPr>
          <w:rFonts w:ascii="Calibri" w:eastAsia="MS Mincho" w:hAnsi="Calibri" w:cs="Calibri"/>
          <w:bCs/>
          <w:color w:val="0000FF"/>
          <w:sz w:val="20"/>
          <w:szCs w:val="20"/>
        </w:rPr>
        <w:t xml:space="preserve">, J., </w:t>
      </w:r>
      <w:proofErr w:type="spellStart"/>
      <w:r w:rsidRPr="00FD2D38">
        <w:rPr>
          <w:rFonts w:ascii="Calibri" w:eastAsia="MS Mincho" w:hAnsi="Calibri" w:cs="Calibri"/>
          <w:bCs/>
          <w:color w:val="0000FF"/>
          <w:sz w:val="20"/>
          <w:szCs w:val="20"/>
        </w:rPr>
        <w:t>Onder</w:t>
      </w:r>
      <w:proofErr w:type="spellEnd"/>
      <w:r w:rsidRPr="00FD2D38">
        <w:rPr>
          <w:rFonts w:ascii="Calibri" w:eastAsia="MS Mincho" w:hAnsi="Calibri" w:cs="Calibri"/>
          <w:bCs/>
          <w:color w:val="0000FF"/>
          <w:sz w:val="20"/>
          <w:szCs w:val="20"/>
        </w:rPr>
        <w:t xml:space="preserve">, G., Bernabei, R., Nikolaus, T., &amp; </w:t>
      </w:r>
      <w:proofErr w:type="spellStart"/>
      <w:r w:rsidRPr="00FD2D38">
        <w:rPr>
          <w:rFonts w:ascii="Calibri" w:eastAsia="MS Mincho" w:hAnsi="Calibri" w:cs="Calibri"/>
          <w:bCs/>
          <w:color w:val="0000FF"/>
          <w:sz w:val="20"/>
          <w:szCs w:val="20"/>
        </w:rPr>
        <w:t>Denkinger</w:t>
      </w:r>
      <w:proofErr w:type="spellEnd"/>
      <w:r w:rsidRPr="00FD2D38">
        <w:rPr>
          <w:rFonts w:ascii="Calibri" w:eastAsia="MS Mincho" w:hAnsi="Calibri" w:cs="Calibri"/>
          <w:bCs/>
          <w:color w:val="0000FF"/>
          <w:sz w:val="20"/>
          <w:szCs w:val="20"/>
        </w:rPr>
        <w:t xml:space="preserve">, M. (2013) Pain characteristics and pain control in European nursing homes: Cross-sectional and longitudinal results from the services and health for elderly in long term care (SHELTER) study. </w:t>
      </w:r>
      <w:r w:rsidRPr="00FD2D38">
        <w:rPr>
          <w:rFonts w:ascii="Calibri" w:eastAsia="MS Mincho" w:hAnsi="Calibri" w:cs="Calibri"/>
          <w:bCs/>
          <w:i/>
          <w:color w:val="0000FF"/>
          <w:sz w:val="20"/>
          <w:szCs w:val="20"/>
        </w:rPr>
        <w:t>Journal of the American Medical Directors Association, 14</w:t>
      </w:r>
      <w:r w:rsidRPr="00FD2D38">
        <w:rPr>
          <w:rFonts w:ascii="Calibri" w:eastAsia="MS Mincho" w:hAnsi="Calibri" w:cs="Calibri"/>
          <w:bCs/>
          <w:color w:val="0000FF"/>
          <w:sz w:val="20"/>
          <w:szCs w:val="20"/>
        </w:rPr>
        <w:t xml:space="preserve">(6), 421-428. </w:t>
      </w:r>
    </w:p>
    <w:p w14:paraId="67010892"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Robinson, M., Rile, J., Myers, C., Papa, R., R., Wise, E., </w:t>
      </w:r>
      <w:proofErr w:type="spellStart"/>
      <w:r w:rsidRPr="00FD2D38">
        <w:rPr>
          <w:rFonts w:ascii="Calibri" w:eastAsia="MS Mincho" w:hAnsi="Calibri" w:cs="Calibri"/>
          <w:bCs/>
          <w:color w:val="0000FF"/>
          <w:sz w:val="20"/>
          <w:szCs w:val="20"/>
        </w:rPr>
        <w:t>Waxenberg</w:t>
      </w:r>
      <w:proofErr w:type="spellEnd"/>
      <w:r w:rsidRPr="00FD2D38">
        <w:rPr>
          <w:rFonts w:ascii="Calibri" w:eastAsia="MS Mincho" w:hAnsi="Calibri" w:cs="Calibri"/>
          <w:bCs/>
          <w:color w:val="0000FF"/>
          <w:sz w:val="20"/>
          <w:szCs w:val="20"/>
        </w:rPr>
        <w:t xml:space="preserve">, L., &amp; Fillingim, R. (2001) Gender role expectations of pain: Relationship to sex differences in pain. The Journal of Pain, 2(5), 251-257. </w:t>
      </w:r>
    </w:p>
    <w:p w14:paraId="2DB2BF81"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Sawyer, P., Lillis, J. P., Bodner, E., &amp; Allman, R. (2007) Substantial daily pain among nursing home residents. </w:t>
      </w:r>
      <w:r w:rsidRPr="00FD2D38">
        <w:rPr>
          <w:rFonts w:ascii="Calibri" w:eastAsia="MS Mincho" w:hAnsi="Calibri" w:cs="Calibri"/>
          <w:bCs/>
          <w:i/>
          <w:color w:val="0000FF"/>
          <w:sz w:val="20"/>
          <w:szCs w:val="20"/>
        </w:rPr>
        <w:t>Journal of the American Medical Directors Association, 8</w:t>
      </w:r>
      <w:r w:rsidRPr="00FD2D38">
        <w:rPr>
          <w:rFonts w:ascii="Calibri" w:eastAsia="MS Mincho" w:hAnsi="Calibri" w:cs="Calibri"/>
          <w:bCs/>
          <w:color w:val="0000FF"/>
          <w:sz w:val="20"/>
          <w:szCs w:val="20"/>
        </w:rPr>
        <w:t xml:space="preserve">(3), 158-165. </w:t>
      </w:r>
    </w:p>
    <w:p w14:paraId="3D697202"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Sjogren, P., </w:t>
      </w:r>
      <w:proofErr w:type="spellStart"/>
      <w:r w:rsidRPr="00FD2D38">
        <w:rPr>
          <w:rFonts w:ascii="Calibri" w:eastAsia="MS Mincho" w:hAnsi="Calibri" w:cs="Calibri"/>
          <w:bCs/>
          <w:color w:val="0000FF"/>
          <w:sz w:val="20"/>
          <w:szCs w:val="20"/>
        </w:rPr>
        <w:t>Ekholm</w:t>
      </w:r>
      <w:proofErr w:type="spellEnd"/>
      <w:r w:rsidRPr="00FD2D38">
        <w:rPr>
          <w:rFonts w:ascii="Calibri" w:eastAsia="MS Mincho" w:hAnsi="Calibri" w:cs="Calibri"/>
          <w:bCs/>
          <w:color w:val="0000FF"/>
          <w:sz w:val="20"/>
          <w:szCs w:val="20"/>
        </w:rPr>
        <w:t xml:space="preserve">, O., </w:t>
      </w:r>
      <w:proofErr w:type="spellStart"/>
      <w:r w:rsidRPr="00FD2D38">
        <w:rPr>
          <w:rFonts w:ascii="Calibri" w:eastAsia="MS Mincho" w:hAnsi="Calibri" w:cs="Calibri"/>
          <w:bCs/>
          <w:color w:val="0000FF"/>
          <w:sz w:val="20"/>
          <w:szCs w:val="20"/>
        </w:rPr>
        <w:t>Peuckmann</w:t>
      </w:r>
      <w:proofErr w:type="spellEnd"/>
      <w:r w:rsidRPr="00FD2D38">
        <w:rPr>
          <w:rFonts w:ascii="Calibri" w:eastAsia="MS Mincho" w:hAnsi="Calibri" w:cs="Calibri"/>
          <w:bCs/>
          <w:color w:val="0000FF"/>
          <w:sz w:val="20"/>
          <w:szCs w:val="20"/>
        </w:rPr>
        <w:t xml:space="preserve">, V., &amp; </w:t>
      </w:r>
      <w:proofErr w:type="spellStart"/>
      <w:r w:rsidRPr="00FD2D38">
        <w:rPr>
          <w:rFonts w:ascii="Calibri" w:eastAsia="MS Mincho" w:hAnsi="Calibri" w:cs="Calibri"/>
          <w:bCs/>
          <w:color w:val="0000FF"/>
          <w:sz w:val="20"/>
          <w:szCs w:val="20"/>
        </w:rPr>
        <w:t>Gronbaek</w:t>
      </w:r>
      <w:proofErr w:type="spellEnd"/>
      <w:r w:rsidRPr="00FD2D38">
        <w:rPr>
          <w:rFonts w:ascii="Calibri" w:eastAsia="MS Mincho" w:hAnsi="Calibri" w:cs="Calibri"/>
          <w:bCs/>
          <w:color w:val="0000FF"/>
          <w:sz w:val="20"/>
          <w:szCs w:val="20"/>
        </w:rPr>
        <w:t xml:space="preserve">, M. (2009) Epidemiology of chronic pain in Denmark: An update. European Journal of Pain, 13(3), 287-292.  </w:t>
      </w:r>
    </w:p>
    <w:p w14:paraId="11478EC5"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 xml:space="preserve">Takai, Y., Yamamoto-Mitani, N., Okamoto, Y., Koyama, K., Honda, A. (2010). Literature review of pain prevalence among older residents of nursing homes. </w:t>
      </w:r>
      <w:r w:rsidRPr="00FD2D38">
        <w:rPr>
          <w:rFonts w:ascii="Calibri" w:eastAsia="MS Mincho" w:hAnsi="Calibri" w:cs="Calibri"/>
          <w:bCs/>
          <w:i/>
          <w:color w:val="0000FF"/>
          <w:sz w:val="20"/>
          <w:szCs w:val="20"/>
        </w:rPr>
        <w:t>Pain Management Nursing, 1</w:t>
      </w:r>
      <w:r w:rsidRPr="00FD2D38">
        <w:rPr>
          <w:rFonts w:ascii="Calibri" w:eastAsia="MS Mincho" w:hAnsi="Calibri" w:cs="Calibri"/>
          <w:bCs/>
          <w:color w:val="0000FF"/>
          <w:sz w:val="20"/>
          <w:szCs w:val="20"/>
        </w:rPr>
        <w:t xml:space="preserve">(4), 209-223. </w:t>
      </w:r>
    </w:p>
    <w:p w14:paraId="013CDF75" w14:textId="77777777" w:rsidR="005F014A" w:rsidRPr="00FD2D38" w:rsidRDefault="005F014A" w:rsidP="005F014A">
      <w:pPr>
        <w:ind w:left="720" w:hanging="720"/>
        <w:rPr>
          <w:rFonts w:ascii="Calibri" w:eastAsia="MS Mincho" w:hAnsi="Calibri" w:cs="Calibri"/>
          <w:bCs/>
          <w:color w:val="0000FF"/>
          <w:sz w:val="20"/>
          <w:szCs w:val="20"/>
        </w:rPr>
      </w:pPr>
      <w:r w:rsidRPr="00FD2D38">
        <w:rPr>
          <w:rFonts w:ascii="Calibri" w:eastAsia="MS Mincho" w:hAnsi="Calibri" w:cs="Calibri"/>
          <w:bCs/>
          <w:color w:val="0000FF"/>
          <w:sz w:val="20"/>
          <w:szCs w:val="20"/>
        </w:rPr>
        <w:t>Wade, J. B., Hart, R., Wade, J. H., Bajaj, J., &amp; Price, D. (2013) The relationship between marital status and psychological resilience in chronic pain. Pain Research and Treatment, 2013, 928473.</w:t>
      </w:r>
    </w:p>
    <w:p w14:paraId="17552E59" w14:textId="77777777" w:rsidR="005F014A" w:rsidRPr="00FD2D38" w:rsidRDefault="005F014A" w:rsidP="005F014A">
      <w:pPr>
        <w:ind w:left="720" w:hanging="720"/>
        <w:rPr>
          <w:rFonts w:ascii="Calibri" w:eastAsia="MS Mincho" w:hAnsi="Calibri" w:cs="Calibri"/>
          <w:bCs/>
          <w:color w:val="0000FF"/>
          <w:sz w:val="20"/>
          <w:szCs w:val="20"/>
        </w:rPr>
      </w:pPr>
      <w:proofErr w:type="spellStart"/>
      <w:r w:rsidRPr="00FD2D38">
        <w:rPr>
          <w:rFonts w:ascii="Calibri" w:eastAsia="MS Mincho" w:hAnsi="Calibri" w:cs="Calibri"/>
          <w:bCs/>
          <w:color w:val="0000FF"/>
          <w:sz w:val="20"/>
          <w:szCs w:val="20"/>
        </w:rPr>
        <w:t>Zarit</w:t>
      </w:r>
      <w:proofErr w:type="spellEnd"/>
      <w:r w:rsidRPr="00FD2D38">
        <w:rPr>
          <w:rFonts w:ascii="Calibri" w:eastAsia="MS Mincho" w:hAnsi="Calibri" w:cs="Calibri"/>
          <w:bCs/>
          <w:color w:val="0000FF"/>
          <w:sz w:val="20"/>
          <w:szCs w:val="20"/>
        </w:rPr>
        <w:t>, S., Griffiths, P., &amp; Berg, S. (2004) Pain perceptions of the oldest old: A longitudinal study. The Gerontologist, 44(4), 459-468.</w:t>
      </w:r>
    </w:p>
    <w:p w14:paraId="39DFD191" w14:textId="77777777" w:rsidR="005F014A" w:rsidRDefault="005F014A" w:rsidP="005F014A">
      <w:pPr>
        <w:pStyle w:val="Response"/>
      </w:pPr>
      <w:r>
        <w:rPr>
          <w:b/>
        </w:rPr>
        <w:t xml:space="preserve">2b3.4a. </w:t>
      </w:r>
      <w:r w:rsidRPr="00A25024">
        <w:rPr>
          <w:b/>
        </w:rPr>
        <w:t>What were the statistical results of the analyses used to select risk factors?</w:t>
      </w:r>
      <w:r>
        <w:rPr>
          <w:b/>
        </w:rPr>
        <w:br/>
      </w:r>
      <w:r>
        <w:rPr>
          <w:iCs/>
        </w:rPr>
        <w:t>The current risk adjustment model includes one covariate, cognitive independence, which is</w:t>
      </w:r>
      <w:r w:rsidRPr="000F216F">
        <w:rPr>
          <w:iCs/>
        </w:rPr>
        <w:t xml:space="preserve"> a significant predictor of </w:t>
      </w:r>
      <w:r>
        <w:rPr>
          <w:iCs/>
        </w:rPr>
        <w:t>self-reported pain</w:t>
      </w:r>
      <w:r w:rsidRPr="000F216F">
        <w:rPr>
          <w:iCs/>
        </w:rPr>
        <w:t xml:space="preserve">. </w:t>
      </w:r>
      <w:r w:rsidRPr="00FE267A">
        <w:t>For the covariate risk adjustment (indirect standardization), the measure is adjusted for independence or modified independence in daily decision making (C1000=0 or 1) for residents evaluated with the staff assessment, or no cognitive impairments (C0500&gt;12) coded on the pr</w:t>
      </w:r>
      <w:r>
        <w:t>ior MDS assessment (referred to hereafter as cognitive independence).</w:t>
      </w:r>
    </w:p>
    <w:p w14:paraId="0AD546FC" w14:textId="3D650F92" w:rsidR="007413C8" w:rsidRPr="00D83DDE" w:rsidRDefault="005F014A" w:rsidP="00D83DDE">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 xml:space="preserve">First, using data from Quarter 2, 2017, we examined the percentage of long-stay residents who were cognitively independent who self-reported moderate to severe pain, compared to those who were cognitively impaired, and used Chi-Squared tests to determine whether these differences were statistically significant, as shown in </w:t>
      </w:r>
      <w:r w:rsidRPr="0061110E">
        <w:rPr>
          <w:rFonts w:ascii="Calibri" w:eastAsia="MS Mincho" w:hAnsi="Calibri" w:cs="Calibri"/>
          <w:b/>
          <w:bCs/>
          <w:i/>
          <w:color w:val="0000FF"/>
        </w:rPr>
        <w:t>Table 3</w:t>
      </w:r>
      <w:r>
        <w:rPr>
          <w:rFonts w:ascii="Calibri" w:eastAsia="MS Mincho" w:hAnsi="Calibri" w:cs="Calibri"/>
          <w:bCs/>
          <w:color w:val="0000FF"/>
        </w:rPr>
        <w:t xml:space="preserve">.  </w:t>
      </w:r>
      <w:r w:rsidR="007413C8" w:rsidRPr="007413C8">
        <w:rPr>
          <w:rFonts w:ascii="Calibri" w:eastAsia="MS Mincho" w:hAnsi="Calibri" w:cs="Calibri"/>
          <w:bCs/>
          <w:color w:val="0000FF"/>
        </w:rPr>
        <w:t xml:space="preserve">There is a large, significant difference in the proportion of residents who self-report </w:t>
      </w:r>
      <w:proofErr w:type="gramStart"/>
      <w:r w:rsidR="007413C8" w:rsidRPr="007413C8">
        <w:rPr>
          <w:rFonts w:ascii="Calibri" w:eastAsia="MS Mincho" w:hAnsi="Calibri" w:cs="Calibri"/>
          <w:bCs/>
          <w:color w:val="0000FF"/>
        </w:rPr>
        <w:t>moderate</w:t>
      </w:r>
      <w:proofErr w:type="gramEnd"/>
      <w:r w:rsidR="007413C8" w:rsidRPr="007413C8">
        <w:rPr>
          <w:rFonts w:ascii="Calibri" w:eastAsia="MS Mincho" w:hAnsi="Calibri" w:cs="Calibri"/>
          <w:bCs/>
          <w:color w:val="0000FF"/>
        </w:rPr>
        <w:t xml:space="preserve"> to severe pain by cognitive independence: among residents who</w:t>
      </w:r>
      <w:r w:rsidR="007413C8">
        <w:rPr>
          <w:rFonts w:ascii="Calibri" w:eastAsia="MS Mincho" w:hAnsi="Calibri" w:cs="Calibri"/>
          <w:bCs/>
          <w:color w:val="0000FF"/>
        </w:rPr>
        <w:t xml:space="preserve"> are cognitively independent, 11.6</w:t>
      </w:r>
      <w:r w:rsidR="007413C8" w:rsidRPr="007413C8">
        <w:rPr>
          <w:rFonts w:ascii="Calibri" w:eastAsia="MS Mincho" w:hAnsi="Calibri" w:cs="Calibri"/>
          <w:bCs/>
          <w:color w:val="0000FF"/>
        </w:rPr>
        <w:t>% self-report moderate to severe pain, and among residents</w:t>
      </w:r>
      <w:r w:rsidR="007413C8">
        <w:rPr>
          <w:rFonts w:ascii="Calibri" w:eastAsia="MS Mincho" w:hAnsi="Calibri" w:cs="Calibri"/>
          <w:bCs/>
          <w:color w:val="0000FF"/>
        </w:rPr>
        <w:t xml:space="preserve"> who are cognitively impaired, 3.7</w:t>
      </w:r>
      <w:r w:rsidR="007413C8" w:rsidRPr="007413C8">
        <w:rPr>
          <w:rFonts w:ascii="Calibri" w:eastAsia="MS Mincho" w:hAnsi="Calibri" w:cs="Calibri"/>
          <w:bCs/>
          <w:color w:val="0000FF"/>
        </w:rPr>
        <w:t>% self-report m</w:t>
      </w:r>
      <w:r w:rsidR="007413C8">
        <w:rPr>
          <w:rFonts w:ascii="Calibri" w:eastAsia="MS Mincho" w:hAnsi="Calibri" w:cs="Calibri"/>
          <w:bCs/>
          <w:color w:val="0000FF"/>
        </w:rPr>
        <w:t>oderate to severe pain (χ2(1) &gt;19</w:t>
      </w:r>
      <w:r w:rsidR="007413C8" w:rsidRPr="007413C8">
        <w:rPr>
          <w:rFonts w:ascii="Calibri" w:eastAsia="MS Mincho" w:hAnsi="Calibri" w:cs="Calibri"/>
          <w:bCs/>
          <w:color w:val="0000FF"/>
        </w:rPr>
        <w:t>,000, p &lt;.001).</w:t>
      </w:r>
    </w:p>
    <w:p w14:paraId="3DE2E0DA" w14:textId="1CB3CCB7" w:rsidR="005F014A" w:rsidRDefault="005F014A" w:rsidP="005F014A">
      <w:pPr>
        <w:pStyle w:val="ListParagraph"/>
        <w:numPr>
          <w:ilvl w:val="0"/>
          <w:numId w:val="0"/>
        </w:numPr>
        <w:ind w:left="765"/>
      </w:pPr>
      <w:r>
        <w:rPr>
          <w:rFonts w:eastAsia="Times New Roman" w:cs="Times New Roman"/>
          <w:b/>
        </w:rPr>
        <w:t xml:space="preserve">Table 3. Percent of Residents </w:t>
      </w:r>
      <w:r w:rsidR="00B6438B">
        <w:rPr>
          <w:rFonts w:eastAsia="Times New Roman" w:cs="Times New Roman"/>
          <w:b/>
        </w:rPr>
        <w:t>Who</w:t>
      </w:r>
      <w:r>
        <w:rPr>
          <w:rFonts w:eastAsia="Times New Roman" w:cs="Times New Roman"/>
          <w:b/>
        </w:rPr>
        <w:t xml:space="preserve"> Self-Report Moderate to Severe P</w:t>
      </w:r>
      <w:r w:rsidRPr="00A44B28">
        <w:rPr>
          <w:rFonts w:eastAsia="Times New Roman" w:cs="Times New Roman"/>
          <w:b/>
        </w:rPr>
        <w:t>ain</w:t>
      </w:r>
      <w:r>
        <w:rPr>
          <w:rFonts w:eastAsia="Times New Roman" w:cs="Times New Roman"/>
          <w:b/>
        </w:rPr>
        <w:t xml:space="preserve"> by Cognitive Independence</w:t>
      </w:r>
    </w:p>
    <w:tbl>
      <w:tblPr>
        <w:tblW w:w="5000" w:type="pct"/>
        <w:tblLook w:val="04A0" w:firstRow="1" w:lastRow="0" w:firstColumn="1" w:lastColumn="0" w:noHBand="0" w:noVBand="1"/>
      </w:tblPr>
      <w:tblGrid>
        <w:gridCol w:w="2270"/>
        <w:gridCol w:w="3002"/>
        <w:gridCol w:w="3044"/>
        <w:gridCol w:w="1044"/>
      </w:tblGrid>
      <w:tr w:rsidR="005F014A" w:rsidRPr="006B0AAA" w14:paraId="6B071B35" w14:textId="77777777" w:rsidTr="00532906">
        <w:trPr>
          <w:tblHeader/>
        </w:trPr>
        <w:tc>
          <w:tcPr>
            <w:tcW w:w="1213" w:type="pct"/>
            <w:tcBorders>
              <w:top w:val="single" w:sz="12" w:space="0" w:color="auto"/>
              <w:bottom w:val="single" w:sz="4" w:space="0" w:color="auto"/>
            </w:tcBorders>
            <w:shd w:val="clear" w:color="auto" w:fill="auto"/>
            <w:vAlign w:val="center"/>
            <w:hideMark/>
          </w:tcPr>
          <w:p w14:paraId="43D8DE37" w14:textId="77777777" w:rsidR="005F014A" w:rsidRPr="006B0AAA" w:rsidRDefault="005F014A" w:rsidP="00532906">
            <w:pPr>
              <w:spacing w:after="0" w:line="240" w:lineRule="auto"/>
              <w:contextualSpacing/>
              <w:rPr>
                <w:rFonts w:eastAsia="Times New Roman" w:cs="Times New Roman"/>
                <w:color w:val="0000FF"/>
                <w:sz w:val="18"/>
                <w:szCs w:val="18"/>
              </w:rPr>
            </w:pPr>
            <w:r>
              <w:rPr>
                <w:rFonts w:eastAsia="Times New Roman" w:cs="Times New Roman"/>
                <w:color w:val="0000FF"/>
                <w:sz w:val="18"/>
                <w:szCs w:val="18"/>
              </w:rPr>
              <w:t>Resident characteristic (% of all long stay residents)</w:t>
            </w:r>
          </w:p>
        </w:tc>
        <w:tc>
          <w:tcPr>
            <w:tcW w:w="1604" w:type="pct"/>
            <w:tcBorders>
              <w:top w:val="single" w:sz="12" w:space="0" w:color="auto"/>
              <w:bottom w:val="single" w:sz="4" w:space="0" w:color="auto"/>
            </w:tcBorders>
            <w:vAlign w:val="center"/>
          </w:tcPr>
          <w:p w14:paraId="71D1C7B5" w14:textId="77777777" w:rsidR="005F014A" w:rsidRPr="006B0AAA" w:rsidRDefault="005F014A" w:rsidP="00532906">
            <w:pPr>
              <w:spacing w:after="0" w:line="240" w:lineRule="auto"/>
              <w:contextualSpacing/>
              <w:jc w:val="center"/>
              <w:rPr>
                <w:rFonts w:eastAsia="Times New Roman" w:cs="Times New Roman"/>
                <w:color w:val="0000FF"/>
                <w:sz w:val="18"/>
                <w:szCs w:val="18"/>
              </w:rPr>
            </w:pPr>
            <w:r w:rsidRPr="006B0AAA">
              <w:rPr>
                <w:rFonts w:eastAsia="Times New Roman" w:cs="Times New Roman"/>
                <w:color w:val="0000FF"/>
                <w:sz w:val="18"/>
                <w:szCs w:val="18"/>
              </w:rPr>
              <w:t xml:space="preserve">Frequency </w:t>
            </w:r>
            <w:r>
              <w:rPr>
                <w:rFonts w:eastAsia="Times New Roman" w:cs="Times New Roman"/>
                <w:color w:val="0000FF"/>
                <w:sz w:val="18"/>
                <w:szCs w:val="18"/>
              </w:rPr>
              <w:t xml:space="preserve">of residents who self-report moderate to severe pain (n) </w:t>
            </w:r>
          </w:p>
        </w:tc>
        <w:tc>
          <w:tcPr>
            <w:tcW w:w="1626" w:type="pct"/>
            <w:tcBorders>
              <w:top w:val="single" w:sz="12" w:space="0" w:color="auto"/>
              <w:bottom w:val="single" w:sz="4" w:space="0" w:color="auto"/>
            </w:tcBorders>
            <w:vAlign w:val="center"/>
          </w:tcPr>
          <w:p w14:paraId="17E761E5" w14:textId="77777777" w:rsidR="005F014A" w:rsidRPr="006B0AAA" w:rsidRDefault="005F014A" w:rsidP="00532906">
            <w:pPr>
              <w:spacing w:after="0" w:line="240" w:lineRule="auto"/>
              <w:contextualSpacing/>
              <w:jc w:val="center"/>
              <w:rPr>
                <w:rFonts w:eastAsia="Times New Roman" w:cs="Times New Roman"/>
                <w:color w:val="0000FF"/>
                <w:sz w:val="18"/>
                <w:szCs w:val="18"/>
              </w:rPr>
            </w:pPr>
            <w:r w:rsidRPr="006B0AAA">
              <w:rPr>
                <w:rFonts w:eastAsia="Times New Roman" w:cs="Times New Roman"/>
                <w:color w:val="0000FF"/>
                <w:sz w:val="18"/>
                <w:szCs w:val="18"/>
              </w:rPr>
              <w:t>Percentage</w:t>
            </w:r>
            <w:r>
              <w:rPr>
                <w:rFonts w:eastAsia="Times New Roman" w:cs="Times New Roman"/>
                <w:color w:val="0000FF"/>
                <w:sz w:val="18"/>
                <w:szCs w:val="18"/>
              </w:rPr>
              <w:t xml:space="preserve"> of residents who self-report moderate to severe pain, %</w:t>
            </w:r>
          </w:p>
        </w:tc>
        <w:tc>
          <w:tcPr>
            <w:tcW w:w="558" w:type="pct"/>
            <w:tcBorders>
              <w:top w:val="single" w:sz="12" w:space="0" w:color="auto"/>
              <w:bottom w:val="single" w:sz="4" w:space="0" w:color="auto"/>
            </w:tcBorders>
          </w:tcPr>
          <w:p w14:paraId="22A33A7A" w14:textId="77777777" w:rsidR="005F014A" w:rsidRPr="006B0AAA" w:rsidRDefault="005F014A" w:rsidP="00532906">
            <w:pPr>
              <w:spacing w:after="0" w:line="240" w:lineRule="auto"/>
              <w:contextualSpacing/>
              <w:jc w:val="center"/>
              <w:rPr>
                <w:rFonts w:eastAsia="Times New Roman" w:cs="Times New Roman"/>
                <w:color w:val="0000FF"/>
                <w:sz w:val="18"/>
                <w:szCs w:val="18"/>
              </w:rPr>
            </w:pPr>
            <w:r>
              <w:rPr>
                <w:rFonts w:eastAsia="Times New Roman" w:cs="Times New Roman"/>
                <w:color w:val="0000FF"/>
                <w:sz w:val="18"/>
                <w:szCs w:val="18"/>
              </w:rPr>
              <w:t>Pearson chi</w:t>
            </w:r>
            <w:r>
              <w:rPr>
                <w:rFonts w:eastAsia="Times New Roman" w:cs="Times New Roman"/>
                <w:color w:val="0000FF"/>
                <w:sz w:val="18"/>
                <w:szCs w:val="18"/>
                <w:vertAlign w:val="superscript"/>
              </w:rPr>
              <w:t>2</w:t>
            </w:r>
            <w:r w:rsidRPr="003633C8">
              <w:rPr>
                <w:rFonts w:eastAsia="Times New Roman" w:cs="Times New Roman"/>
                <w:color w:val="0000FF"/>
                <w:sz w:val="18"/>
                <w:szCs w:val="18"/>
              </w:rPr>
              <w:t xml:space="preserve"> P-value</w:t>
            </w:r>
          </w:p>
        </w:tc>
      </w:tr>
      <w:tr w:rsidR="005F014A" w:rsidRPr="006B0AAA" w14:paraId="707AA351" w14:textId="77777777" w:rsidTr="00532906">
        <w:tc>
          <w:tcPr>
            <w:tcW w:w="1213" w:type="pct"/>
            <w:shd w:val="clear" w:color="auto" w:fill="auto"/>
            <w:hideMark/>
          </w:tcPr>
          <w:p w14:paraId="0AABA5A3" w14:textId="77777777" w:rsidR="005F014A" w:rsidRPr="006B0AAA" w:rsidRDefault="005F014A" w:rsidP="00532906">
            <w:pPr>
              <w:spacing w:after="0" w:line="240" w:lineRule="auto"/>
              <w:rPr>
                <w:rFonts w:eastAsia="Times New Roman" w:cs="Times New Roman"/>
                <w:color w:val="0000FF"/>
                <w:sz w:val="18"/>
                <w:szCs w:val="18"/>
              </w:rPr>
            </w:pPr>
            <w:r>
              <w:rPr>
                <w:rFonts w:eastAsia="Times New Roman" w:cs="Times New Roman"/>
                <w:color w:val="0000FF"/>
                <w:sz w:val="18"/>
                <w:szCs w:val="18"/>
              </w:rPr>
              <w:t>Cognitively independent (39.13%)</w:t>
            </w:r>
          </w:p>
        </w:tc>
        <w:tc>
          <w:tcPr>
            <w:tcW w:w="1604" w:type="pct"/>
          </w:tcPr>
          <w:p w14:paraId="75FE088C" w14:textId="77777777" w:rsidR="005F014A" w:rsidRPr="006B0AA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37,652</w:t>
            </w:r>
          </w:p>
        </w:tc>
        <w:tc>
          <w:tcPr>
            <w:tcW w:w="1626" w:type="pct"/>
          </w:tcPr>
          <w:p w14:paraId="2D9AD4C0" w14:textId="77777777" w:rsidR="005F014A" w:rsidRPr="006B0AA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11.6%</w:t>
            </w:r>
          </w:p>
        </w:tc>
        <w:tc>
          <w:tcPr>
            <w:tcW w:w="558" w:type="pct"/>
          </w:tcPr>
          <w:p w14:paraId="27E0A730" w14:textId="77777777" w:rsidR="005F014A" w:rsidRPr="006B0AA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&lt;0.001</w:t>
            </w:r>
          </w:p>
        </w:tc>
      </w:tr>
      <w:tr w:rsidR="005F014A" w:rsidRPr="006B0AAA" w14:paraId="7E51099B" w14:textId="77777777" w:rsidTr="00532906">
        <w:tc>
          <w:tcPr>
            <w:tcW w:w="1213" w:type="pct"/>
            <w:tcBorders>
              <w:bottom w:val="single" w:sz="12" w:space="0" w:color="auto"/>
            </w:tcBorders>
            <w:shd w:val="clear" w:color="auto" w:fill="auto"/>
          </w:tcPr>
          <w:p w14:paraId="2BD85430" w14:textId="77777777" w:rsidR="005F014A" w:rsidRDefault="005F014A" w:rsidP="00532906">
            <w:pPr>
              <w:spacing w:after="0" w:line="240" w:lineRule="auto"/>
              <w:rPr>
                <w:rFonts w:eastAsia="Times New Roman" w:cs="Times New Roman"/>
                <w:color w:val="0000FF"/>
                <w:sz w:val="18"/>
                <w:szCs w:val="18"/>
              </w:rPr>
            </w:pPr>
            <w:r>
              <w:rPr>
                <w:color w:val="0000FF"/>
                <w:sz w:val="18"/>
                <w:szCs w:val="18"/>
              </w:rPr>
              <w:t>Cognitively impaired (60.87%)</w:t>
            </w:r>
          </w:p>
        </w:tc>
        <w:tc>
          <w:tcPr>
            <w:tcW w:w="1604" w:type="pct"/>
            <w:tcBorders>
              <w:bottom w:val="single" w:sz="12" w:space="0" w:color="auto"/>
            </w:tcBorders>
          </w:tcPr>
          <w:p w14:paraId="25226F5C"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18,857</w:t>
            </w:r>
          </w:p>
        </w:tc>
        <w:tc>
          <w:tcPr>
            <w:tcW w:w="1626" w:type="pct"/>
            <w:tcBorders>
              <w:bottom w:val="single" w:sz="12" w:space="0" w:color="auto"/>
            </w:tcBorders>
          </w:tcPr>
          <w:p w14:paraId="3516DF8F"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3.7%</w:t>
            </w:r>
          </w:p>
        </w:tc>
        <w:tc>
          <w:tcPr>
            <w:tcW w:w="558" w:type="pct"/>
            <w:tcBorders>
              <w:bottom w:val="single" w:sz="12" w:space="0" w:color="auto"/>
            </w:tcBorders>
          </w:tcPr>
          <w:p w14:paraId="498B4132" w14:textId="77777777" w:rsidR="005F014A" w:rsidRDefault="005F014A" w:rsidP="00532906">
            <w:pPr>
              <w:spacing w:after="0" w:line="240" w:lineRule="auto"/>
              <w:ind w:right="327"/>
              <w:jc w:val="right"/>
              <w:rPr>
                <w:rFonts w:eastAsia="Times New Roman" w:cs="Times New Roman"/>
                <w:color w:val="0000FF"/>
                <w:sz w:val="18"/>
                <w:szCs w:val="18"/>
              </w:rPr>
            </w:pPr>
          </w:p>
        </w:tc>
      </w:tr>
    </w:tbl>
    <w:p w14:paraId="05EA7579" w14:textId="10E72727" w:rsidR="005F014A" w:rsidRPr="003C1CA2" w:rsidRDefault="005F014A" w:rsidP="005F014A">
      <w:pPr>
        <w:autoSpaceDE w:val="0"/>
        <w:autoSpaceDN w:val="0"/>
        <w:adjustRightInd w:val="0"/>
        <w:spacing w:after="0" w:line="240" w:lineRule="auto"/>
        <w:rPr>
          <w:rFonts w:eastAsia="Times New Roman" w:cs="Times New Roman"/>
          <w:color w:val="0000FF"/>
          <w:sz w:val="20"/>
          <w:szCs w:val="20"/>
        </w:rPr>
      </w:pPr>
      <w:r w:rsidRPr="003C1CA2">
        <w:rPr>
          <w:rFonts w:eastAsia="Times New Roman" w:cs="Times New Roman"/>
          <w:color w:val="0000FF"/>
          <w:sz w:val="20"/>
          <w:szCs w:val="20"/>
        </w:rPr>
        <w:t>Source: RTI analysis of MDS 3.0 Data, Q2 2017 (programming reference: LJC03/LJ</w:t>
      </w:r>
      <w:r w:rsidR="00D83DDE">
        <w:rPr>
          <w:rFonts w:eastAsia="Times New Roman" w:cs="Times New Roman"/>
          <w:color w:val="0000FF"/>
          <w:sz w:val="20"/>
          <w:szCs w:val="20"/>
        </w:rPr>
        <w:t>C03_request</w:t>
      </w:r>
      <w:r w:rsidRPr="003C1CA2">
        <w:rPr>
          <w:rFonts w:eastAsia="Times New Roman" w:cs="Times New Roman"/>
          <w:color w:val="0000FF"/>
          <w:sz w:val="20"/>
          <w:szCs w:val="20"/>
        </w:rPr>
        <w:t>_677.log)</w:t>
      </w:r>
    </w:p>
    <w:p w14:paraId="0EA967AB"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18AD7FE2" w14:textId="3B30C28F"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 xml:space="preserve">Next, we examined the facility-level distribution of the percentage of residents who are cognitively independent </w:t>
      </w:r>
      <w:r w:rsidRPr="00C22073">
        <w:rPr>
          <w:rFonts w:ascii="Calibri" w:eastAsia="MS Mincho" w:hAnsi="Calibri" w:cs="Calibri"/>
          <w:bCs/>
          <w:color w:val="0000FF"/>
        </w:rPr>
        <w:t xml:space="preserve">(presented </w:t>
      </w:r>
      <w:r>
        <w:rPr>
          <w:rFonts w:ascii="Calibri" w:eastAsia="MS Mincho" w:hAnsi="Calibri" w:cs="Calibri"/>
          <w:bCs/>
          <w:color w:val="0000FF"/>
        </w:rPr>
        <w:t xml:space="preserve">in </w:t>
      </w:r>
      <w:r w:rsidRPr="00112942">
        <w:rPr>
          <w:rFonts w:ascii="Calibri" w:eastAsia="MS Mincho" w:hAnsi="Calibri" w:cs="Calibri"/>
          <w:b/>
          <w:bCs/>
          <w:i/>
          <w:color w:val="0000FF"/>
        </w:rPr>
        <w:t>Table 4</w:t>
      </w:r>
      <w:r w:rsidRPr="00C22073">
        <w:rPr>
          <w:rFonts w:ascii="Calibri" w:eastAsia="MS Mincho" w:hAnsi="Calibri" w:cs="Calibri"/>
          <w:bCs/>
          <w:color w:val="0000FF"/>
        </w:rPr>
        <w:t>).</w:t>
      </w:r>
      <w:r>
        <w:rPr>
          <w:rFonts w:ascii="Calibri" w:eastAsia="MS Mincho" w:hAnsi="Calibri" w:cs="Calibri"/>
          <w:bCs/>
          <w:color w:val="0000FF"/>
        </w:rPr>
        <w:t xml:space="preserve">  The facility-level mean was 39.3%, </w:t>
      </w:r>
      <w:r w:rsidR="00F65D2B">
        <w:rPr>
          <w:rFonts w:ascii="Calibri" w:eastAsia="MS Mincho" w:hAnsi="Calibri" w:cs="Calibri"/>
          <w:bCs/>
          <w:color w:val="0000FF"/>
        </w:rPr>
        <w:t xml:space="preserve">with a standard deviation of 13.9%. </w:t>
      </w:r>
    </w:p>
    <w:p w14:paraId="530FB267" w14:textId="77777777" w:rsidR="005F014A" w:rsidRPr="00A44B28" w:rsidRDefault="005F014A" w:rsidP="005F014A">
      <w:pPr>
        <w:pStyle w:val="ListParagraph"/>
        <w:numPr>
          <w:ilvl w:val="0"/>
          <w:numId w:val="0"/>
        </w:numPr>
        <w:ind w:left="765"/>
        <w:rPr>
          <w:b/>
        </w:rPr>
      </w:pPr>
      <w:r>
        <w:rPr>
          <w:rFonts w:eastAsia="Times New Roman" w:cs="Times New Roman"/>
          <w:b/>
        </w:rPr>
        <w:t>Table 4</w:t>
      </w:r>
      <w:r w:rsidRPr="00C22073">
        <w:rPr>
          <w:rFonts w:eastAsia="Times New Roman" w:cs="Times New Roman"/>
          <w:b/>
        </w:rPr>
        <w:t>.</w:t>
      </w:r>
      <w:r>
        <w:rPr>
          <w:rFonts w:eastAsia="Times New Roman" w:cs="Times New Roman"/>
          <w:b/>
        </w:rPr>
        <w:t xml:space="preserve"> Distribution of Percentage of R</w:t>
      </w:r>
      <w:r w:rsidRPr="00A44B28">
        <w:rPr>
          <w:rFonts w:eastAsia="Times New Roman" w:cs="Times New Roman"/>
          <w:b/>
        </w:rPr>
        <w:t xml:space="preserve">esidents </w:t>
      </w:r>
      <w:r>
        <w:rPr>
          <w:rFonts w:eastAsia="Times New Roman" w:cs="Times New Roman"/>
          <w:b/>
        </w:rPr>
        <w:t>who are Cognitively Independent A</w:t>
      </w:r>
      <w:r w:rsidRPr="00A44B28">
        <w:rPr>
          <w:rFonts w:eastAsia="Times New Roman" w:cs="Times New Roman"/>
          <w:b/>
        </w:rPr>
        <w:t>cross facilities</w:t>
      </w:r>
      <w:r w:rsidRPr="00A44B28">
        <w:rPr>
          <w:b/>
        </w:rPr>
        <w:t xml:space="preserve"> </w:t>
      </w:r>
    </w:p>
    <w:tbl>
      <w:tblPr>
        <w:tblStyle w:val="CMSTable"/>
        <w:tblW w:w="4970" w:type="pct"/>
        <w:tblLook w:val="05E0" w:firstRow="1" w:lastRow="1" w:firstColumn="1" w:lastColumn="1" w:noHBand="0" w:noVBand="1"/>
      </w:tblPr>
      <w:tblGrid>
        <w:gridCol w:w="1745"/>
        <w:gridCol w:w="793"/>
        <w:gridCol w:w="826"/>
        <w:gridCol w:w="649"/>
        <w:gridCol w:w="1059"/>
        <w:gridCol w:w="1059"/>
        <w:gridCol w:w="1059"/>
        <w:gridCol w:w="1059"/>
        <w:gridCol w:w="1055"/>
      </w:tblGrid>
      <w:tr w:rsidR="005F014A" w:rsidRPr="009B5870" w14:paraId="698BD0BF" w14:textId="77777777" w:rsidTr="00532906">
        <w:trPr>
          <w:cnfStyle w:val="100000000000" w:firstRow="1" w:lastRow="0" w:firstColumn="0" w:lastColumn="0" w:oddVBand="0" w:evenVBand="0" w:oddHBand="0" w:evenHBand="0" w:firstRowFirstColumn="0" w:firstRowLastColumn="0" w:lastRowFirstColumn="0" w:lastRowLastColumn="0"/>
          <w:trHeight w:val="648"/>
        </w:trPr>
        <w:tc>
          <w:tcPr>
            <w:tcW w:w="938" w:type="pct"/>
          </w:tcPr>
          <w:p w14:paraId="1C3C0731" w14:textId="77777777" w:rsidR="005F014A" w:rsidRPr="005247F0" w:rsidRDefault="005F014A" w:rsidP="00532906">
            <w:pPr>
              <w:keepNext/>
              <w:spacing w:before="40" w:after="40"/>
              <w:rPr>
                <w:iCs/>
                <w:snapToGrid w:val="0"/>
                <w:color w:val="0000FF"/>
                <w:sz w:val="18"/>
                <w:szCs w:val="18"/>
              </w:rPr>
            </w:pPr>
            <w:r>
              <w:rPr>
                <w:iCs/>
                <w:snapToGrid w:val="0"/>
                <w:color w:val="0000FF"/>
                <w:sz w:val="18"/>
                <w:szCs w:val="18"/>
              </w:rPr>
              <w:t>Resident characteristics</w:t>
            </w:r>
          </w:p>
        </w:tc>
        <w:tc>
          <w:tcPr>
            <w:tcW w:w="426" w:type="pct"/>
          </w:tcPr>
          <w:p w14:paraId="45EC9A3F" w14:textId="77777777" w:rsidR="005F014A" w:rsidRPr="009B5870" w:rsidRDefault="005F014A" w:rsidP="00532906">
            <w:pPr>
              <w:keepNext/>
              <w:spacing w:before="40" w:after="40"/>
              <w:rPr>
                <w:i/>
                <w:iCs/>
                <w:snapToGrid w:val="0"/>
                <w:color w:val="0000FF"/>
                <w:sz w:val="18"/>
                <w:szCs w:val="18"/>
              </w:rPr>
            </w:pPr>
            <w:r>
              <w:rPr>
                <w:iCs/>
                <w:snapToGrid w:val="0"/>
                <w:color w:val="0000FF"/>
                <w:sz w:val="18"/>
                <w:szCs w:val="18"/>
              </w:rPr>
              <w:t>Facilities (</w:t>
            </w:r>
            <w:r>
              <w:rPr>
                <w:i/>
                <w:iCs/>
                <w:snapToGrid w:val="0"/>
                <w:color w:val="0000FF"/>
                <w:sz w:val="18"/>
                <w:szCs w:val="18"/>
              </w:rPr>
              <w:t>k)</w:t>
            </w:r>
          </w:p>
        </w:tc>
        <w:tc>
          <w:tcPr>
            <w:tcW w:w="444" w:type="pct"/>
          </w:tcPr>
          <w:p w14:paraId="20E64C9D" w14:textId="77777777" w:rsidR="005F014A" w:rsidRPr="009B5870" w:rsidRDefault="005F014A" w:rsidP="00532906">
            <w:pPr>
              <w:keepNext/>
              <w:spacing w:before="40" w:after="40"/>
              <w:rPr>
                <w:snapToGrid w:val="0"/>
                <w:color w:val="0000FF"/>
                <w:sz w:val="18"/>
                <w:szCs w:val="18"/>
              </w:rPr>
            </w:pPr>
            <w:r>
              <w:rPr>
                <w:snapToGrid w:val="0"/>
                <w:color w:val="0000FF"/>
                <w:sz w:val="18"/>
                <w:szCs w:val="18"/>
              </w:rPr>
              <w:t>Mean % of residents</w:t>
            </w:r>
          </w:p>
        </w:tc>
        <w:tc>
          <w:tcPr>
            <w:tcW w:w="349" w:type="pct"/>
          </w:tcPr>
          <w:p w14:paraId="3E15E1D3" w14:textId="77777777" w:rsidR="005F014A" w:rsidRPr="009B5870" w:rsidRDefault="005F014A" w:rsidP="00532906">
            <w:pPr>
              <w:keepNext/>
              <w:spacing w:before="40" w:after="40"/>
              <w:rPr>
                <w:snapToGrid w:val="0"/>
                <w:color w:val="0000FF"/>
                <w:sz w:val="18"/>
                <w:szCs w:val="18"/>
              </w:rPr>
            </w:pPr>
            <w:proofErr w:type="spellStart"/>
            <w:r w:rsidRPr="009B5870">
              <w:rPr>
                <w:snapToGrid w:val="0"/>
                <w:color w:val="0000FF"/>
                <w:sz w:val="18"/>
                <w:szCs w:val="18"/>
              </w:rPr>
              <w:t>Std</w:t>
            </w:r>
            <w:proofErr w:type="spellEnd"/>
            <w:r w:rsidRPr="009B5870">
              <w:rPr>
                <w:snapToGrid w:val="0"/>
                <w:color w:val="0000FF"/>
                <w:sz w:val="18"/>
                <w:szCs w:val="18"/>
              </w:rPr>
              <w:t xml:space="preserve"> dev.</w:t>
            </w:r>
          </w:p>
        </w:tc>
        <w:tc>
          <w:tcPr>
            <w:tcW w:w="569" w:type="pct"/>
          </w:tcPr>
          <w:p w14:paraId="68853DBB"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10th </w:t>
            </w:r>
            <w:r w:rsidRPr="009B5870">
              <w:rPr>
                <w:snapToGrid w:val="0"/>
                <w:color w:val="0000FF"/>
                <w:sz w:val="18"/>
                <w:szCs w:val="18"/>
              </w:rPr>
              <w:br/>
              <w:t>percentile</w:t>
            </w:r>
          </w:p>
        </w:tc>
        <w:tc>
          <w:tcPr>
            <w:tcW w:w="569" w:type="pct"/>
          </w:tcPr>
          <w:p w14:paraId="5A9E2638"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25th </w:t>
            </w:r>
            <w:r w:rsidRPr="009B5870">
              <w:rPr>
                <w:snapToGrid w:val="0"/>
                <w:color w:val="0000FF"/>
                <w:sz w:val="18"/>
                <w:szCs w:val="18"/>
              </w:rPr>
              <w:br/>
              <w:t>percentile</w:t>
            </w:r>
          </w:p>
        </w:tc>
        <w:tc>
          <w:tcPr>
            <w:tcW w:w="569" w:type="pct"/>
          </w:tcPr>
          <w:p w14:paraId="002D12C8"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50th </w:t>
            </w:r>
            <w:r w:rsidRPr="009B5870">
              <w:rPr>
                <w:snapToGrid w:val="0"/>
                <w:color w:val="0000FF"/>
                <w:sz w:val="18"/>
                <w:szCs w:val="18"/>
              </w:rPr>
              <w:br/>
              <w:t>percentile</w:t>
            </w:r>
          </w:p>
        </w:tc>
        <w:tc>
          <w:tcPr>
            <w:tcW w:w="569" w:type="pct"/>
          </w:tcPr>
          <w:p w14:paraId="5C362D5D"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75th </w:t>
            </w:r>
            <w:r w:rsidRPr="009B5870">
              <w:rPr>
                <w:snapToGrid w:val="0"/>
                <w:color w:val="0000FF"/>
                <w:sz w:val="18"/>
                <w:szCs w:val="18"/>
              </w:rPr>
              <w:br/>
              <w:t>percentile</w:t>
            </w:r>
          </w:p>
        </w:tc>
        <w:tc>
          <w:tcPr>
            <w:tcW w:w="567" w:type="pct"/>
          </w:tcPr>
          <w:p w14:paraId="25773728"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90th </w:t>
            </w:r>
            <w:r w:rsidRPr="009B5870">
              <w:rPr>
                <w:snapToGrid w:val="0"/>
                <w:color w:val="0000FF"/>
                <w:sz w:val="18"/>
                <w:szCs w:val="18"/>
              </w:rPr>
              <w:br/>
              <w:t>percentile</w:t>
            </w:r>
          </w:p>
        </w:tc>
      </w:tr>
      <w:tr w:rsidR="005F014A" w:rsidRPr="009B5870" w14:paraId="6917BEBD" w14:textId="77777777" w:rsidTr="00532906">
        <w:trPr>
          <w:cnfStyle w:val="010000000000" w:firstRow="0" w:lastRow="1" w:firstColumn="0" w:lastColumn="0" w:oddVBand="0" w:evenVBand="0" w:oddHBand="0" w:evenHBand="0" w:firstRowFirstColumn="0" w:firstRowLastColumn="0" w:lastRowFirstColumn="0" w:lastRowLastColumn="0"/>
          <w:trHeight w:val="242"/>
        </w:trPr>
        <w:tc>
          <w:tcPr>
            <w:tcW w:w="938" w:type="pct"/>
          </w:tcPr>
          <w:p w14:paraId="33D419B6" w14:textId="77777777" w:rsidR="005F014A" w:rsidRPr="005247F0" w:rsidRDefault="005F014A" w:rsidP="00532906">
            <w:pPr>
              <w:pStyle w:val="TableText-cent"/>
              <w:jc w:val="left"/>
              <w:rPr>
                <w:color w:val="0000FF"/>
                <w:sz w:val="18"/>
                <w:szCs w:val="18"/>
              </w:rPr>
            </w:pPr>
            <w:r>
              <w:rPr>
                <w:color w:val="0000FF"/>
                <w:sz w:val="18"/>
                <w:szCs w:val="18"/>
              </w:rPr>
              <w:t>Cognitively independent</w:t>
            </w:r>
          </w:p>
        </w:tc>
        <w:tc>
          <w:tcPr>
            <w:tcW w:w="426" w:type="pct"/>
          </w:tcPr>
          <w:p w14:paraId="6AEB2B4A" w14:textId="77777777" w:rsidR="005F014A" w:rsidRDefault="005F014A" w:rsidP="00532906">
            <w:pPr>
              <w:pStyle w:val="TableText-cent"/>
              <w:rPr>
                <w:color w:val="0000FF"/>
                <w:sz w:val="18"/>
                <w:szCs w:val="18"/>
              </w:rPr>
            </w:pPr>
            <w:r>
              <w:rPr>
                <w:color w:val="0000FF"/>
                <w:sz w:val="18"/>
                <w:szCs w:val="18"/>
              </w:rPr>
              <w:t>13,691</w:t>
            </w:r>
          </w:p>
        </w:tc>
        <w:tc>
          <w:tcPr>
            <w:tcW w:w="444" w:type="pct"/>
          </w:tcPr>
          <w:p w14:paraId="5AE89D5C" w14:textId="77777777" w:rsidR="005F014A" w:rsidRDefault="005F014A" w:rsidP="00532906">
            <w:pPr>
              <w:pStyle w:val="TableText-cent"/>
              <w:rPr>
                <w:color w:val="0000FF"/>
                <w:sz w:val="18"/>
                <w:szCs w:val="18"/>
              </w:rPr>
            </w:pPr>
            <w:r>
              <w:rPr>
                <w:color w:val="0000FF"/>
                <w:sz w:val="18"/>
                <w:szCs w:val="18"/>
              </w:rPr>
              <w:t>39.3%</w:t>
            </w:r>
          </w:p>
        </w:tc>
        <w:tc>
          <w:tcPr>
            <w:tcW w:w="349" w:type="pct"/>
          </w:tcPr>
          <w:p w14:paraId="28E9A66B" w14:textId="77777777" w:rsidR="005F014A" w:rsidRDefault="005F014A" w:rsidP="00532906">
            <w:pPr>
              <w:pStyle w:val="TableText-cent"/>
              <w:rPr>
                <w:color w:val="0000FF"/>
                <w:sz w:val="18"/>
                <w:szCs w:val="18"/>
              </w:rPr>
            </w:pPr>
            <w:r>
              <w:rPr>
                <w:color w:val="0000FF"/>
                <w:sz w:val="18"/>
                <w:szCs w:val="18"/>
              </w:rPr>
              <w:t>13.9%</w:t>
            </w:r>
          </w:p>
        </w:tc>
        <w:tc>
          <w:tcPr>
            <w:tcW w:w="569" w:type="pct"/>
          </w:tcPr>
          <w:p w14:paraId="26A2221A" w14:textId="77777777" w:rsidR="005F014A" w:rsidRDefault="005F014A" w:rsidP="00532906">
            <w:pPr>
              <w:pStyle w:val="TableText-cent"/>
              <w:rPr>
                <w:color w:val="0000FF"/>
                <w:sz w:val="18"/>
                <w:szCs w:val="18"/>
              </w:rPr>
            </w:pPr>
            <w:r>
              <w:rPr>
                <w:color w:val="0000FF"/>
                <w:sz w:val="18"/>
                <w:szCs w:val="18"/>
              </w:rPr>
              <w:t>22.0%</w:t>
            </w:r>
          </w:p>
        </w:tc>
        <w:tc>
          <w:tcPr>
            <w:tcW w:w="569" w:type="pct"/>
          </w:tcPr>
          <w:p w14:paraId="35030102" w14:textId="77777777" w:rsidR="005F014A" w:rsidRDefault="005F014A" w:rsidP="00532906">
            <w:pPr>
              <w:pStyle w:val="TableText-cent"/>
              <w:rPr>
                <w:color w:val="0000FF"/>
                <w:sz w:val="18"/>
                <w:szCs w:val="18"/>
              </w:rPr>
            </w:pPr>
            <w:r>
              <w:rPr>
                <w:color w:val="0000FF"/>
                <w:sz w:val="18"/>
                <w:szCs w:val="18"/>
              </w:rPr>
              <w:t>30.3%</w:t>
            </w:r>
          </w:p>
        </w:tc>
        <w:tc>
          <w:tcPr>
            <w:tcW w:w="569" w:type="pct"/>
          </w:tcPr>
          <w:p w14:paraId="4F4A8118" w14:textId="77777777" w:rsidR="005F014A" w:rsidRDefault="005F014A" w:rsidP="00532906">
            <w:pPr>
              <w:pStyle w:val="TableText-cent"/>
              <w:rPr>
                <w:color w:val="0000FF"/>
                <w:sz w:val="18"/>
                <w:szCs w:val="18"/>
              </w:rPr>
            </w:pPr>
            <w:r>
              <w:rPr>
                <w:color w:val="0000FF"/>
                <w:sz w:val="18"/>
                <w:szCs w:val="18"/>
              </w:rPr>
              <w:t>39.1%</w:t>
            </w:r>
          </w:p>
        </w:tc>
        <w:tc>
          <w:tcPr>
            <w:tcW w:w="569" w:type="pct"/>
          </w:tcPr>
          <w:p w14:paraId="7847479D" w14:textId="77777777" w:rsidR="005F014A" w:rsidRDefault="005F014A" w:rsidP="00532906">
            <w:pPr>
              <w:pStyle w:val="TableText-cent"/>
              <w:rPr>
                <w:color w:val="0000FF"/>
                <w:sz w:val="18"/>
                <w:szCs w:val="18"/>
              </w:rPr>
            </w:pPr>
            <w:r>
              <w:rPr>
                <w:color w:val="0000FF"/>
                <w:sz w:val="18"/>
                <w:szCs w:val="18"/>
              </w:rPr>
              <w:t>48.1%</w:t>
            </w:r>
          </w:p>
        </w:tc>
        <w:tc>
          <w:tcPr>
            <w:tcW w:w="567" w:type="pct"/>
          </w:tcPr>
          <w:p w14:paraId="61934054" w14:textId="77777777" w:rsidR="005F014A" w:rsidRDefault="005F014A" w:rsidP="00532906">
            <w:pPr>
              <w:pStyle w:val="TableText-cent"/>
              <w:rPr>
                <w:color w:val="0000FF"/>
                <w:sz w:val="18"/>
                <w:szCs w:val="18"/>
              </w:rPr>
            </w:pPr>
            <w:r>
              <w:rPr>
                <w:color w:val="0000FF"/>
                <w:sz w:val="18"/>
                <w:szCs w:val="18"/>
              </w:rPr>
              <w:t>56.8%</w:t>
            </w:r>
          </w:p>
        </w:tc>
      </w:tr>
    </w:tbl>
    <w:p w14:paraId="4EFD4BE6" w14:textId="4C84D102" w:rsidR="005F014A" w:rsidRPr="00FD2D38" w:rsidRDefault="005F014A" w:rsidP="005F014A">
      <w:pPr>
        <w:autoSpaceDE w:val="0"/>
        <w:autoSpaceDN w:val="0"/>
        <w:adjustRightInd w:val="0"/>
        <w:spacing w:before="240" w:after="240" w:line="240" w:lineRule="auto"/>
        <w:rPr>
          <w:rFonts w:ascii="Calibri" w:eastAsia="MS Mincho" w:hAnsi="Calibri" w:cs="Calibri"/>
          <w:bCs/>
          <w:color w:val="0000FF"/>
          <w:sz w:val="20"/>
          <w:szCs w:val="20"/>
        </w:rPr>
      </w:pPr>
      <w:r w:rsidRPr="00FD2D38">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LJC03/LJC03_request</w:t>
      </w:r>
      <w:r w:rsidRPr="00FD2D38">
        <w:rPr>
          <w:rFonts w:eastAsia="Times New Roman" w:cs="Times New Roman"/>
          <w:color w:val="0000FF"/>
          <w:sz w:val="20"/>
          <w:szCs w:val="20"/>
        </w:rPr>
        <w:t>_677.log)</w:t>
      </w:r>
      <w:r w:rsidRPr="00FD2D38">
        <w:rPr>
          <w:rFonts w:ascii="Calibri" w:eastAsia="MS Mincho" w:hAnsi="Calibri" w:cs="Calibri"/>
          <w:bCs/>
          <w:color w:val="0000FF"/>
          <w:sz w:val="20"/>
          <w:szCs w:val="20"/>
        </w:rPr>
        <w:t xml:space="preserve"> </w:t>
      </w:r>
      <w:bookmarkStart w:id="26" w:name="_Hlk501369312"/>
    </w:p>
    <w:p w14:paraId="66559E54" w14:textId="4A84EE06" w:rsidR="005F014A" w:rsidRPr="00AD6AED" w:rsidRDefault="005F014A" w:rsidP="005F014A">
      <w:pPr>
        <w:autoSpaceDE w:val="0"/>
        <w:autoSpaceDN w:val="0"/>
        <w:adjustRightInd w:val="0"/>
        <w:spacing w:before="240" w:after="240" w:line="240" w:lineRule="auto"/>
        <w:rPr>
          <w:rFonts w:ascii="Calibri" w:eastAsia="MS Mincho" w:hAnsi="Calibri" w:cs="Calibri"/>
          <w:bCs/>
          <w:color w:val="0000FF"/>
        </w:rPr>
      </w:pPr>
      <w:r>
        <w:rPr>
          <w:iCs/>
          <w:color w:val="0000FF"/>
        </w:rPr>
        <w:t>The odds ratio for cognitive independence is 3.38 and is statistically signif</w:t>
      </w:r>
      <w:r w:rsidR="00532906">
        <w:rPr>
          <w:iCs/>
          <w:color w:val="0000FF"/>
        </w:rPr>
        <w:t>icant at the</w:t>
      </w:r>
      <w:r>
        <w:rPr>
          <w:iCs/>
          <w:color w:val="0000FF"/>
        </w:rPr>
        <w:t xml:space="preserve"> 0.05</w:t>
      </w:r>
      <w:r w:rsidR="00532906">
        <w:rPr>
          <w:iCs/>
          <w:color w:val="0000FF"/>
        </w:rPr>
        <w:t xml:space="preserve"> level</w:t>
      </w:r>
      <w:r>
        <w:rPr>
          <w:iCs/>
          <w:color w:val="0000FF"/>
        </w:rPr>
        <w:t xml:space="preserve"> [95% CI</w:t>
      </w:r>
      <w:r w:rsidR="00532906">
        <w:rPr>
          <w:iCs/>
          <w:color w:val="0000FF"/>
        </w:rPr>
        <w:t xml:space="preserve"> </w:t>
      </w:r>
      <w:r w:rsidR="00655351">
        <w:rPr>
          <w:iCs/>
          <w:color w:val="0000FF"/>
        </w:rPr>
        <w:t xml:space="preserve">= [3.32, </w:t>
      </w:r>
      <w:r>
        <w:rPr>
          <w:iCs/>
          <w:color w:val="0000FF"/>
        </w:rPr>
        <w:t xml:space="preserve">3.44]. The odds of </w:t>
      </w:r>
      <w:r>
        <w:rPr>
          <w:rFonts w:ascii="Calibri" w:eastAsia="MS Mincho" w:hAnsi="Calibri" w:cs="Calibri"/>
          <w:bCs/>
          <w:color w:val="0000FF"/>
        </w:rPr>
        <w:t xml:space="preserve">self-reporting moderate to severe pain are </w:t>
      </w:r>
      <w:r>
        <w:rPr>
          <w:iCs/>
          <w:color w:val="0000FF"/>
        </w:rPr>
        <w:t xml:space="preserve">2.38 times higher among those with </w:t>
      </w:r>
      <w:r>
        <w:rPr>
          <w:rFonts w:ascii="Calibri" w:eastAsia="MS Mincho" w:hAnsi="Calibri" w:cs="Calibri"/>
          <w:bCs/>
          <w:color w:val="0000FF"/>
        </w:rPr>
        <w:t>no i</w:t>
      </w:r>
      <w:r w:rsidRPr="009F2C46">
        <w:rPr>
          <w:rFonts w:ascii="Calibri" w:eastAsia="MS Mincho" w:hAnsi="Calibri" w:cs="Calibri"/>
          <w:bCs/>
          <w:color w:val="0000FF"/>
        </w:rPr>
        <w:t>mpairment in cognitive status</w:t>
      </w:r>
      <w:r>
        <w:rPr>
          <w:rFonts w:ascii="Calibri" w:eastAsia="MS Mincho" w:hAnsi="Calibri" w:cs="Calibri"/>
          <w:bCs/>
          <w:color w:val="0000FF"/>
        </w:rPr>
        <w:t>,</w:t>
      </w:r>
      <w:r w:rsidRPr="009F2C46">
        <w:rPr>
          <w:rFonts w:ascii="Calibri" w:eastAsia="MS Mincho" w:hAnsi="Calibri" w:cs="Calibri"/>
          <w:bCs/>
          <w:color w:val="0000FF"/>
        </w:rPr>
        <w:t xml:space="preserve"> </w:t>
      </w:r>
      <w:r>
        <w:rPr>
          <w:rFonts w:ascii="Calibri" w:eastAsia="MS Mincho" w:hAnsi="Calibri" w:cs="Calibri"/>
          <w:bCs/>
          <w:color w:val="0000FF"/>
        </w:rPr>
        <w:t>compared to those with cognitive impairments.</w:t>
      </w:r>
      <w:r>
        <w:rPr>
          <w:iCs/>
          <w:color w:val="0000FF"/>
        </w:rPr>
        <w:t xml:space="preserve">  </w:t>
      </w:r>
    </w:p>
    <w:bookmarkEnd w:id="26"/>
    <w:p w14:paraId="7DA7EC4E" w14:textId="42F7C8F8" w:rsidR="005F014A" w:rsidRPr="005721DD" w:rsidRDefault="005F014A" w:rsidP="005F014A">
      <w:pPr>
        <w:spacing w:after="240" w:line="240" w:lineRule="auto"/>
        <w:rPr>
          <w:iCs/>
          <w:color w:val="0000FF"/>
        </w:rPr>
      </w:pPr>
      <w:r w:rsidRPr="001F0C7A">
        <w:rPr>
          <w:bCs/>
          <w:iCs/>
          <w:color w:val="0000FF"/>
        </w:rPr>
        <w:t xml:space="preserve">The facility-level mean unadjusted percentage of long-stay residents self-reporting moderate to severe pain </w:t>
      </w:r>
      <w:r>
        <w:rPr>
          <w:bCs/>
          <w:iCs/>
          <w:color w:val="0000FF"/>
        </w:rPr>
        <w:t>was 7.5</w:t>
      </w:r>
      <w:r w:rsidRPr="001F0C7A">
        <w:rPr>
          <w:bCs/>
          <w:iCs/>
          <w:color w:val="0000FF"/>
        </w:rPr>
        <w:t xml:space="preserve">% while the risk adjusted </w:t>
      </w:r>
      <w:r>
        <w:rPr>
          <w:bCs/>
          <w:iCs/>
          <w:color w:val="0000FF"/>
        </w:rPr>
        <w:t>facility-level mean was 7.4</w:t>
      </w:r>
      <w:r w:rsidRPr="001F0C7A">
        <w:rPr>
          <w:bCs/>
          <w:iCs/>
          <w:color w:val="0000FF"/>
        </w:rPr>
        <w:t>%</w:t>
      </w:r>
      <w:r w:rsidR="00EF38E8">
        <w:rPr>
          <w:bCs/>
          <w:iCs/>
          <w:color w:val="0000FF"/>
        </w:rPr>
        <w:t xml:space="preserve"> (prior to applying public reporting restrictions for facility size)</w:t>
      </w:r>
      <w:r w:rsidRPr="001F0C7A">
        <w:rPr>
          <w:bCs/>
          <w:iCs/>
          <w:color w:val="0000FF"/>
        </w:rPr>
        <w:t>.</w:t>
      </w:r>
      <w:r w:rsidRPr="001F0C7A">
        <w:rPr>
          <w:b/>
          <w:iCs/>
          <w:color w:val="0000FF"/>
        </w:rPr>
        <w:t xml:space="preserve"> </w:t>
      </w:r>
      <w:r>
        <w:rPr>
          <w:iCs/>
          <w:color w:val="0000FF"/>
        </w:rPr>
        <w:t>Although</w:t>
      </w:r>
      <w:r w:rsidRPr="00B52B4F">
        <w:rPr>
          <w:iCs/>
          <w:color w:val="0000FF"/>
        </w:rPr>
        <w:t xml:space="preserve"> the overall facility-level mean</w:t>
      </w:r>
      <w:r>
        <w:rPr>
          <w:iCs/>
          <w:color w:val="0000FF"/>
        </w:rPr>
        <w:t>s</w:t>
      </w:r>
      <w:r w:rsidRPr="00B52B4F">
        <w:rPr>
          <w:iCs/>
          <w:color w:val="0000FF"/>
        </w:rPr>
        <w:t xml:space="preserve"> </w:t>
      </w:r>
      <w:r>
        <w:rPr>
          <w:iCs/>
          <w:color w:val="0000FF"/>
        </w:rPr>
        <w:t xml:space="preserve">for </w:t>
      </w:r>
      <w:r w:rsidRPr="00B52B4F">
        <w:rPr>
          <w:iCs/>
          <w:color w:val="0000FF"/>
        </w:rPr>
        <w:t>the risk-adjusted and unadjusted quality measures</w:t>
      </w:r>
      <w:r>
        <w:rPr>
          <w:iCs/>
          <w:color w:val="0000FF"/>
        </w:rPr>
        <w:t xml:space="preserve"> are</w:t>
      </w:r>
      <w:r w:rsidRPr="00B52B4F">
        <w:rPr>
          <w:iCs/>
          <w:color w:val="0000FF"/>
        </w:rPr>
        <w:t xml:space="preserve"> not </w:t>
      </w:r>
      <w:r>
        <w:rPr>
          <w:iCs/>
          <w:color w:val="0000FF"/>
        </w:rPr>
        <w:t>substantially different</w:t>
      </w:r>
      <w:r w:rsidRPr="00B52B4F">
        <w:rPr>
          <w:iCs/>
          <w:color w:val="0000FF"/>
        </w:rPr>
        <w:t>, the literature</w:t>
      </w:r>
      <w:r>
        <w:rPr>
          <w:iCs/>
          <w:color w:val="0000FF"/>
        </w:rPr>
        <w:t xml:space="preserve"> review and statistical evidence (including</w:t>
      </w:r>
      <w:r w:rsidRPr="00B52B4F">
        <w:rPr>
          <w:iCs/>
          <w:color w:val="0000FF"/>
        </w:rPr>
        <w:t xml:space="preserve"> the relatively large and statistically significant odds ratio for the covariate, as we</w:t>
      </w:r>
      <w:r>
        <w:rPr>
          <w:iCs/>
          <w:color w:val="0000FF"/>
        </w:rPr>
        <w:t xml:space="preserve">ll as the model fit statistics </w:t>
      </w:r>
      <w:r w:rsidRPr="00B52B4F">
        <w:rPr>
          <w:iCs/>
          <w:color w:val="0000FF"/>
        </w:rPr>
        <w:t>described in 2b3.6) indicate that this risk adjustment model is valid.</w:t>
      </w:r>
    </w:p>
    <w:p w14:paraId="2E216CD7" w14:textId="77777777" w:rsidR="005F014A" w:rsidRPr="008C667B" w:rsidRDefault="005F014A" w:rsidP="005F014A">
      <w:pPr>
        <w:autoSpaceDE w:val="0"/>
        <w:autoSpaceDN w:val="0"/>
        <w:adjustRightInd w:val="0"/>
        <w:spacing w:before="240" w:after="240" w:line="240" w:lineRule="auto"/>
        <w:rPr>
          <w:rFonts w:ascii="Calibri" w:eastAsia="MS Mincho" w:hAnsi="Calibri" w:cs="Calibri"/>
          <w:bCs/>
          <w:color w:val="0000FF"/>
        </w:rPr>
      </w:pPr>
      <w:r>
        <w:rPr>
          <w:rFonts w:ascii="Calibri" w:eastAsia="MS Mincho" w:hAnsi="Calibri" w:cs="Calibri"/>
          <w:bCs/>
          <w:color w:val="0000FF"/>
        </w:rPr>
        <w:t>Results of the statistical analyses to examine social risk factors as potential risk adjustors are detailed in 2b3.4b.</w:t>
      </w:r>
    </w:p>
    <w:p w14:paraId="53593B5D" w14:textId="77777777" w:rsidR="005F014A" w:rsidRDefault="005F014A" w:rsidP="005F014A">
      <w:pPr>
        <w:autoSpaceDE w:val="0"/>
        <w:autoSpaceDN w:val="0"/>
        <w:adjustRightInd w:val="0"/>
        <w:spacing w:after="0" w:line="240" w:lineRule="auto"/>
        <w:rPr>
          <w:rFonts w:cstheme="minorHAnsi"/>
          <w:b/>
          <w:bCs/>
        </w:rPr>
      </w:pPr>
      <w:r>
        <w:rPr>
          <w:rFonts w:cstheme="minorHAnsi"/>
          <w:b/>
          <w:bCs/>
        </w:rPr>
        <w:t xml:space="preserve">2b3.4b. Describe the analyses and interpretation resulting in the decision to select social risk factors </w:t>
      </w:r>
      <w:r w:rsidRPr="00AF2D68">
        <w:rPr>
          <w:rFonts w:cstheme="minorHAnsi"/>
          <w:bCs/>
          <w:i/>
        </w:rPr>
        <w:t>(e.g. prevalence of the factor across measured entities, empirical association with the outcome, contribution of unique variation in the outcome, assessment of between-unit effects and within-unit effects</w:t>
      </w:r>
      <w:r>
        <w:rPr>
          <w:rFonts w:cstheme="minorHAnsi"/>
          <w:bCs/>
          <w:i/>
        </w:rPr>
        <w:t xml:space="preserve">.)  </w:t>
      </w:r>
      <w:r w:rsidRPr="00CE284E">
        <w:rPr>
          <w:rFonts w:cstheme="minorHAnsi"/>
          <w:b/>
          <w:bCs/>
        </w:rPr>
        <w:t>Also describe the impact of adjusting for social risk (or not) on providers at high or low extremes of risk.</w:t>
      </w:r>
    </w:p>
    <w:p w14:paraId="21472EA9" w14:textId="77777777" w:rsidR="005F014A" w:rsidRDefault="005F014A" w:rsidP="005F014A">
      <w:pPr>
        <w:autoSpaceDE w:val="0"/>
        <w:autoSpaceDN w:val="0"/>
        <w:adjustRightInd w:val="0"/>
        <w:spacing w:after="0" w:line="240" w:lineRule="auto"/>
        <w:rPr>
          <w:rFonts w:cstheme="minorHAnsi"/>
          <w:b/>
          <w:bCs/>
        </w:rPr>
      </w:pPr>
    </w:p>
    <w:p w14:paraId="42D5D4FF" w14:textId="76240977"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First, we examined the percentage of long-stay residents with each social risk factor who self-reported moderate to severe pain compared to those without that social risk factor</w:t>
      </w:r>
      <w:r w:rsidR="00190DCC">
        <w:rPr>
          <w:rFonts w:ascii="Calibri" w:eastAsia="MS Mincho" w:hAnsi="Calibri" w:cs="Calibri"/>
          <w:bCs/>
          <w:color w:val="0000FF"/>
        </w:rPr>
        <w:t>,</w:t>
      </w:r>
      <w:r>
        <w:rPr>
          <w:rFonts w:ascii="Calibri" w:eastAsia="MS Mincho" w:hAnsi="Calibri" w:cs="Calibri"/>
          <w:bCs/>
          <w:color w:val="0000FF"/>
        </w:rPr>
        <w:t xml:space="preserve"> and used Chi-Squared tests to determine whether these differences were statistically significant, as shown in </w:t>
      </w:r>
      <w:r w:rsidRPr="00AC309D">
        <w:rPr>
          <w:rFonts w:ascii="Calibri" w:eastAsia="MS Mincho" w:hAnsi="Calibri" w:cs="Calibri"/>
          <w:b/>
          <w:bCs/>
          <w:i/>
          <w:color w:val="0000FF"/>
        </w:rPr>
        <w:t>Table 5</w:t>
      </w:r>
      <w:r w:rsidRPr="00C22073">
        <w:rPr>
          <w:rFonts w:ascii="Calibri" w:eastAsia="MS Mincho" w:hAnsi="Calibri" w:cs="Calibri"/>
          <w:bCs/>
          <w:color w:val="0000FF"/>
        </w:rPr>
        <w:t>.</w:t>
      </w:r>
      <w:r>
        <w:rPr>
          <w:rFonts w:ascii="Calibri" w:eastAsia="MS Mincho" w:hAnsi="Calibri" w:cs="Calibri"/>
          <w:bCs/>
          <w:color w:val="0000FF"/>
        </w:rPr>
        <w:t xml:space="preserve">  </w:t>
      </w:r>
    </w:p>
    <w:p w14:paraId="20591F0B"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1608ABC3" w14:textId="6AAD0995"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While all differences were statistically significant, the differences across subpopulations are mostly small.  Among residents who are eligible for Medicaid, 6.9% self</w:t>
      </w:r>
      <w:r w:rsidR="007868B1">
        <w:rPr>
          <w:rFonts w:ascii="Calibri" w:eastAsia="MS Mincho" w:hAnsi="Calibri" w:cs="Calibri"/>
          <w:bCs/>
          <w:color w:val="0000FF"/>
        </w:rPr>
        <w:t>-report moderate to severe pain and,</w:t>
      </w:r>
      <w:r>
        <w:rPr>
          <w:rFonts w:ascii="Calibri" w:eastAsia="MS Mincho" w:hAnsi="Calibri" w:cs="Calibri"/>
          <w:bCs/>
          <w:color w:val="0000FF"/>
        </w:rPr>
        <w:t xml:space="preserve"> among those ineligible for Medicaid</w:t>
      </w:r>
      <w:r w:rsidR="007868B1">
        <w:rPr>
          <w:rFonts w:ascii="Calibri" w:eastAsia="MS Mincho" w:hAnsi="Calibri" w:cs="Calibri"/>
          <w:bCs/>
          <w:color w:val="0000FF"/>
        </w:rPr>
        <w:t>,</w:t>
      </w:r>
      <w:r>
        <w:rPr>
          <w:rFonts w:ascii="Calibri" w:eastAsia="MS Mincho" w:hAnsi="Calibri" w:cs="Calibri"/>
          <w:bCs/>
          <w:color w:val="0000FF"/>
        </w:rPr>
        <w:t xml:space="preserve"> 6.3% report pain </w:t>
      </w:r>
      <w:r w:rsidRPr="00A637F4">
        <w:rPr>
          <w:rFonts w:ascii="Calibri" w:eastAsia="MS Mincho" w:hAnsi="Calibri" w:cs="Calibri"/>
          <w:bCs/>
          <w:color w:val="0000FF"/>
        </w:rPr>
        <w:t>(</w:t>
      </w:r>
      <w:r w:rsidR="00532906">
        <w:rPr>
          <w:rFonts w:ascii="Calibri" w:eastAsia="MS Mincho" w:hAnsi="Calibri" w:cs="Calibri"/>
          <w:bCs/>
          <w:color w:val="0000FF"/>
        </w:rPr>
        <w:t>(</w:t>
      </w:r>
      <w:r w:rsidR="00532906" w:rsidRPr="00E55061">
        <w:rPr>
          <w:rFonts w:ascii="Calibri" w:eastAsia="MS Mincho" w:hAnsi="Calibri" w:cs="Calibri"/>
          <w:bCs/>
          <w:i/>
          <w:color w:val="0000FF"/>
        </w:rPr>
        <w:t>χ</w:t>
      </w:r>
      <w:r w:rsidR="00532906" w:rsidRPr="007B766A">
        <w:rPr>
          <w:rFonts w:ascii="Calibri" w:eastAsia="MS Mincho" w:hAnsi="Calibri" w:cs="Calibri"/>
          <w:bCs/>
          <w:color w:val="0000FF"/>
          <w:vertAlign w:val="superscript"/>
        </w:rPr>
        <w:t>2</w:t>
      </w:r>
      <w:r w:rsidR="00532906">
        <w:rPr>
          <w:rFonts w:ascii="Calibri" w:eastAsia="MS Mincho" w:hAnsi="Calibri" w:cs="Calibri"/>
          <w:bCs/>
          <w:color w:val="0000FF"/>
        </w:rPr>
        <w:t xml:space="preserve">(1) = 46.6, </w:t>
      </w:r>
      <w:r w:rsidR="00532906">
        <w:rPr>
          <w:rFonts w:ascii="Calibri" w:eastAsia="MS Mincho" w:hAnsi="Calibri" w:cs="Calibri"/>
          <w:bCs/>
          <w:i/>
          <w:color w:val="0000FF"/>
        </w:rPr>
        <w:t>p</w:t>
      </w:r>
      <w:r w:rsidR="00532906">
        <w:rPr>
          <w:rFonts w:ascii="Calibri" w:eastAsia="MS Mincho" w:hAnsi="Calibri" w:cs="Calibri"/>
          <w:bCs/>
          <w:color w:val="0000FF"/>
        </w:rPr>
        <w:t xml:space="preserve"> &lt;</w:t>
      </w:r>
      <w:r w:rsidR="00190DCC">
        <w:rPr>
          <w:rFonts w:ascii="Calibri" w:eastAsia="MS Mincho" w:hAnsi="Calibri" w:cs="Calibri"/>
          <w:bCs/>
          <w:color w:val="0000FF"/>
        </w:rPr>
        <w:t xml:space="preserve"> </w:t>
      </w:r>
      <w:r w:rsidR="00532906">
        <w:rPr>
          <w:rFonts w:ascii="Calibri" w:eastAsia="MS Mincho" w:hAnsi="Calibri" w:cs="Calibri"/>
          <w:bCs/>
          <w:color w:val="0000FF"/>
        </w:rPr>
        <w:t>.001)</w:t>
      </w:r>
      <w:r w:rsidR="007868B1">
        <w:rPr>
          <w:rFonts w:ascii="Calibri" w:eastAsia="MS Mincho" w:hAnsi="Calibri" w:cs="Calibri"/>
          <w:bCs/>
          <w:color w:val="0000FF"/>
        </w:rPr>
        <w:t xml:space="preserve">; </w:t>
      </w:r>
      <w:r>
        <w:rPr>
          <w:rFonts w:ascii="Calibri" w:eastAsia="MS Mincho" w:hAnsi="Calibri" w:cs="Calibri"/>
          <w:bCs/>
          <w:color w:val="0000FF"/>
        </w:rPr>
        <w:t>among unmarried residents</w:t>
      </w:r>
      <w:r w:rsidR="007868B1">
        <w:rPr>
          <w:rFonts w:ascii="Calibri" w:eastAsia="MS Mincho" w:hAnsi="Calibri" w:cs="Calibri"/>
          <w:bCs/>
          <w:color w:val="0000FF"/>
        </w:rPr>
        <w:t>,</w:t>
      </w:r>
      <w:r>
        <w:rPr>
          <w:rFonts w:ascii="Calibri" w:eastAsia="MS Mincho" w:hAnsi="Calibri" w:cs="Calibri"/>
          <w:bCs/>
          <w:color w:val="0000FF"/>
        </w:rPr>
        <w:t xml:space="preserve"> 6.9% reported moderate to severe pain, whereas 6.5% of m</w:t>
      </w:r>
      <w:r w:rsidR="007868B1">
        <w:rPr>
          <w:rFonts w:ascii="Calibri" w:eastAsia="MS Mincho" w:hAnsi="Calibri" w:cs="Calibri"/>
          <w:bCs/>
          <w:color w:val="0000FF"/>
        </w:rPr>
        <w:t xml:space="preserve">arried residents reported pain </w:t>
      </w:r>
      <w:r w:rsidR="00532906">
        <w:rPr>
          <w:rFonts w:ascii="Calibri" w:eastAsia="MS Mincho" w:hAnsi="Calibri" w:cs="Calibri"/>
          <w:bCs/>
          <w:color w:val="0000FF"/>
        </w:rPr>
        <w:t>(</w:t>
      </w:r>
      <w:r w:rsidR="00532906" w:rsidRPr="00E55061">
        <w:rPr>
          <w:rFonts w:ascii="Calibri" w:eastAsia="MS Mincho" w:hAnsi="Calibri" w:cs="Calibri"/>
          <w:bCs/>
          <w:i/>
          <w:color w:val="0000FF"/>
        </w:rPr>
        <w:t>χ</w:t>
      </w:r>
      <w:r w:rsidR="00532906" w:rsidRPr="007B766A">
        <w:rPr>
          <w:rFonts w:ascii="Calibri" w:eastAsia="MS Mincho" w:hAnsi="Calibri" w:cs="Calibri"/>
          <w:bCs/>
          <w:color w:val="0000FF"/>
          <w:vertAlign w:val="superscript"/>
        </w:rPr>
        <w:t>2</w:t>
      </w:r>
      <w:r w:rsidR="007868B1">
        <w:rPr>
          <w:rFonts w:ascii="Calibri" w:eastAsia="MS Mincho" w:hAnsi="Calibri" w:cs="Calibri"/>
          <w:bCs/>
          <w:color w:val="0000FF"/>
        </w:rPr>
        <w:t>(1) = 26.7</w:t>
      </w:r>
      <w:r w:rsidR="00532906">
        <w:rPr>
          <w:rFonts w:ascii="Calibri" w:eastAsia="MS Mincho" w:hAnsi="Calibri" w:cs="Calibri"/>
          <w:bCs/>
          <w:color w:val="0000FF"/>
        </w:rPr>
        <w:t xml:space="preserve">, </w:t>
      </w:r>
      <w:r w:rsidR="00532906">
        <w:rPr>
          <w:rFonts w:ascii="Calibri" w:eastAsia="MS Mincho" w:hAnsi="Calibri" w:cs="Calibri"/>
          <w:bCs/>
          <w:i/>
          <w:color w:val="0000FF"/>
        </w:rPr>
        <w:t>p</w:t>
      </w:r>
      <w:r w:rsidR="007868B1">
        <w:rPr>
          <w:rFonts w:ascii="Calibri" w:eastAsia="MS Mincho" w:hAnsi="Calibri" w:cs="Calibri"/>
          <w:bCs/>
          <w:color w:val="0000FF"/>
        </w:rPr>
        <w:t xml:space="preserve"> &lt;</w:t>
      </w:r>
      <w:r w:rsidR="00190DCC">
        <w:rPr>
          <w:rFonts w:ascii="Calibri" w:eastAsia="MS Mincho" w:hAnsi="Calibri" w:cs="Calibri"/>
          <w:bCs/>
          <w:color w:val="0000FF"/>
        </w:rPr>
        <w:t xml:space="preserve"> </w:t>
      </w:r>
      <w:r w:rsidR="007868B1">
        <w:rPr>
          <w:rFonts w:ascii="Calibri" w:eastAsia="MS Mincho" w:hAnsi="Calibri" w:cs="Calibri"/>
          <w:bCs/>
          <w:color w:val="0000FF"/>
        </w:rPr>
        <w:t>.001)</w:t>
      </w:r>
      <w:r>
        <w:rPr>
          <w:rFonts w:ascii="Calibri" w:eastAsia="MS Mincho" w:hAnsi="Calibri" w:cs="Calibri"/>
          <w:bCs/>
          <w:color w:val="0000FF"/>
        </w:rPr>
        <w:t>. The age and gender related differences we found were relatively larger. For residents aged 85 years or older, only 4.6% reported moderate to severe pain, compared with 8.3% of younger residents</w:t>
      </w:r>
      <w:r w:rsidR="00532906">
        <w:rPr>
          <w:rFonts w:ascii="Calibri" w:eastAsia="MS Mincho" w:hAnsi="Calibri" w:cs="Calibri"/>
          <w:bCs/>
          <w:color w:val="0000FF"/>
        </w:rPr>
        <w:t xml:space="preserve"> (</w:t>
      </w:r>
      <w:r w:rsidR="00532906" w:rsidRPr="00E55061">
        <w:rPr>
          <w:rFonts w:ascii="Calibri" w:eastAsia="MS Mincho" w:hAnsi="Calibri" w:cs="Calibri"/>
          <w:bCs/>
          <w:i/>
          <w:color w:val="0000FF"/>
        </w:rPr>
        <w:t>χ</w:t>
      </w:r>
      <w:r w:rsidR="00532906" w:rsidRPr="007B766A">
        <w:rPr>
          <w:rFonts w:ascii="Calibri" w:eastAsia="MS Mincho" w:hAnsi="Calibri" w:cs="Calibri"/>
          <w:bCs/>
          <w:color w:val="0000FF"/>
          <w:vertAlign w:val="superscript"/>
        </w:rPr>
        <w:t>2</w:t>
      </w:r>
      <w:r w:rsidR="007868B1">
        <w:rPr>
          <w:rFonts w:ascii="Calibri" w:eastAsia="MS Mincho" w:hAnsi="Calibri" w:cs="Calibri"/>
          <w:bCs/>
          <w:color w:val="0000FF"/>
        </w:rPr>
        <w:t>(1) = 4,600</w:t>
      </w:r>
      <w:r w:rsidR="00532906">
        <w:rPr>
          <w:rFonts w:ascii="Calibri" w:eastAsia="MS Mincho" w:hAnsi="Calibri" w:cs="Calibri"/>
          <w:bCs/>
          <w:color w:val="0000FF"/>
        </w:rPr>
        <w:t xml:space="preserve">, </w:t>
      </w:r>
      <w:r w:rsidR="00532906">
        <w:rPr>
          <w:rFonts w:ascii="Calibri" w:eastAsia="MS Mincho" w:hAnsi="Calibri" w:cs="Calibri"/>
          <w:bCs/>
          <w:i/>
          <w:color w:val="0000FF"/>
        </w:rPr>
        <w:t>p</w:t>
      </w:r>
      <w:r w:rsidR="007868B1">
        <w:rPr>
          <w:rFonts w:ascii="Calibri" w:eastAsia="MS Mincho" w:hAnsi="Calibri" w:cs="Calibri"/>
          <w:bCs/>
          <w:color w:val="0000FF"/>
        </w:rPr>
        <w:t xml:space="preserve"> &lt;</w:t>
      </w:r>
      <w:r w:rsidR="00190DCC">
        <w:rPr>
          <w:rFonts w:ascii="Calibri" w:eastAsia="MS Mincho" w:hAnsi="Calibri" w:cs="Calibri"/>
          <w:bCs/>
          <w:color w:val="0000FF"/>
        </w:rPr>
        <w:t xml:space="preserve"> </w:t>
      </w:r>
      <w:r w:rsidR="007868B1">
        <w:rPr>
          <w:rFonts w:ascii="Calibri" w:eastAsia="MS Mincho" w:hAnsi="Calibri" w:cs="Calibri"/>
          <w:bCs/>
          <w:color w:val="0000FF"/>
        </w:rPr>
        <w:t>.001)</w:t>
      </w:r>
      <w:r>
        <w:rPr>
          <w:rFonts w:ascii="Calibri" w:eastAsia="MS Mincho" w:hAnsi="Calibri" w:cs="Calibri"/>
          <w:bCs/>
          <w:color w:val="0000FF"/>
        </w:rPr>
        <w:t>. Whereas 6.1% of the male residents reported moderate to severe pain, 7.2% of the female residents reported this level of pain</w:t>
      </w:r>
      <w:r w:rsidR="00532906">
        <w:rPr>
          <w:rFonts w:ascii="Calibri" w:eastAsia="MS Mincho" w:hAnsi="Calibri" w:cs="Calibri"/>
          <w:bCs/>
          <w:color w:val="0000FF"/>
        </w:rPr>
        <w:t xml:space="preserve"> (</w:t>
      </w:r>
      <w:r w:rsidR="00532906" w:rsidRPr="00E55061">
        <w:rPr>
          <w:rFonts w:ascii="Calibri" w:eastAsia="MS Mincho" w:hAnsi="Calibri" w:cs="Calibri"/>
          <w:bCs/>
          <w:i/>
          <w:color w:val="0000FF"/>
        </w:rPr>
        <w:t>χ</w:t>
      </w:r>
      <w:r w:rsidR="00532906" w:rsidRPr="007B766A">
        <w:rPr>
          <w:rFonts w:ascii="Calibri" w:eastAsia="MS Mincho" w:hAnsi="Calibri" w:cs="Calibri"/>
          <w:bCs/>
          <w:color w:val="0000FF"/>
          <w:vertAlign w:val="superscript"/>
        </w:rPr>
        <w:t>2</w:t>
      </w:r>
      <w:r w:rsidR="007868B1">
        <w:rPr>
          <w:rFonts w:ascii="Calibri" w:eastAsia="MS Mincho" w:hAnsi="Calibri" w:cs="Calibri"/>
          <w:bCs/>
          <w:color w:val="0000FF"/>
        </w:rPr>
        <w:t>(1) = 345.8</w:t>
      </w:r>
      <w:r w:rsidR="00532906">
        <w:rPr>
          <w:rFonts w:ascii="Calibri" w:eastAsia="MS Mincho" w:hAnsi="Calibri" w:cs="Calibri"/>
          <w:bCs/>
          <w:color w:val="0000FF"/>
        </w:rPr>
        <w:t xml:space="preserve">, </w:t>
      </w:r>
      <w:r w:rsidR="00532906">
        <w:rPr>
          <w:rFonts w:ascii="Calibri" w:eastAsia="MS Mincho" w:hAnsi="Calibri" w:cs="Calibri"/>
          <w:bCs/>
          <w:i/>
          <w:color w:val="0000FF"/>
        </w:rPr>
        <w:t>p</w:t>
      </w:r>
      <w:r w:rsidR="00532906">
        <w:rPr>
          <w:rFonts w:ascii="Calibri" w:eastAsia="MS Mincho" w:hAnsi="Calibri" w:cs="Calibri"/>
          <w:bCs/>
          <w:color w:val="0000FF"/>
        </w:rPr>
        <w:t xml:space="preserve"> &lt;</w:t>
      </w:r>
      <w:r w:rsidR="00190DCC">
        <w:rPr>
          <w:rFonts w:ascii="Calibri" w:eastAsia="MS Mincho" w:hAnsi="Calibri" w:cs="Calibri"/>
          <w:bCs/>
          <w:color w:val="0000FF"/>
        </w:rPr>
        <w:t xml:space="preserve"> </w:t>
      </w:r>
      <w:r w:rsidR="00532906">
        <w:rPr>
          <w:rFonts w:ascii="Calibri" w:eastAsia="MS Mincho" w:hAnsi="Calibri" w:cs="Calibri"/>
          <w:bCs/>
          <w:color w:val="0000FF"/>
        </w:rPr>
        <w:t>.001).</w:t>
      </w:r>
    </w:p>
    <w:p w14:paraId="65B2053F"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79801E92" w14:textId="31ED6CAC"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Differences in percentages of individuals self-reporting moderate to severe pain were in the expected direction</w:t>
      </w:r>
      <w:r w:rsidR="00190DCC">
        <w:rPr>
          <w:rFonts w:ascii="Calibri" w:eastAsia="MS Mincho" w:hAnsi="Calibri" w:cs="Calibri"/>
          <w:bCs/>
          <w:color w:val="0000FF"/>
        </w:rPr>
        <w:t>:</w:t>
      </w:r>
      <w:r>
        <w:rPr>
          <w:rFonts w:ascii="Calibri" w:eastAsia="MS Mincho" w:hAnsi="Calibri" w:cs="Calibri"/>
          <w:bCs/>
          <w:color w:val="0000FF"/>
        </w:rPr>
        <w:t xml:space="preserve"> younger residents, non-married residents, female</w:t>
      </w:r>
      <w:r w:rsidR="00190DCC">
        <w:rPr>
          <w:rFonts w:ascii="Calibri" w:eastAsia="MS Mincho" w:hAnsi="Calibri" w:cs="Calibri"/>
          <w:bCs/>
          <w:color w:val="0000FF"/>
        </w:rPr>
        <w:t xml:space="preserve"> residents,</w:t>
      </w:r>
      <w:r>
        <w:rPr>
          <w:rFonts w:ascii="Calibri" w:eastAsia="MS Mincho" w:hAnsi="Calibri" w:cs="Calibri"/>
          <w:bCs/>
          <w:color w:val="0000FF"/>
        </w:rPr>
        <w:t xml:space="preserve"> and Medicaid-eligible residents have higher proportions of individuals who self-reported moderate to severe pain.  </w:t>
      </w:r>
    </w:p>
    <w:p w14:paraId="4321BB54" w14:textId="3ED579C3" w:rsidR="005F014A" w:rsidRDefault="005F014A" w:rsidP="005F014A">
      <w:pPr>
        <w:pStyle w:val="ListParagraph"/>
        <w:numPr>
          <w:ilvl w:val="0"/>
          <w:numId w:val="0"/>
        </w:numPr>
        <w:ind w:left="765"/>
      </w:pPr>
      <w:r w:rsidRPr="00C22073">
        <w:rPr>
          <w:rFonts w:eastAsia="Times New Roman" w:cs="Times New Roman"/>
          <w:b/>
        </w:rPr>
        <w:t xml:space="preserve">Table </w:t>
      </w:r>
      <w:r>
        <w:rPr>
          <w:rFonts w:eastAsia="Times New Roman" w:cs="Times New Roman"/>
          <w:b/>
        </w:rPr>
        <w:t xml:space="preserve">5. Percent of Residents </w:t>
      </w:r>
      <w:r w:rsidR="00190DCC">
        <w:rPr>
          <w:rFonts w:eastAsia="Times New Roman" w:cs="Times New Roman"/>
          <w:b/>
        </w:rPr>
        <w:t>W</w:t>
      </w:r>
      <w:r>
        <w:rPr>
          <w:rFonts w:eastAsia="Times New Roman" w:cs="Times New Roman"/>
          <w:b/>
        </w:rPr>
        <w:t>ho Self-Report Moderate to Severe P</w:t>
      </w:r>
      <w:r w:rsidRPr="00A44B28">
        <w:rPr>
          <w:rFonts w:eastAsia="Times New Roman" w:cs="Times New Roman"/>
          <w:b/>
        </w:rPr>
        <w:t>ain</w:t>
      </w:r>
      <w:r>
        <w:rPr>
          <w:rFonts w:eastAsia="Times New Roman" w:cs="Times New Roman"/>
          <w:b/>
        </w:rPr>
        <w:t xml:space="preserve"> by Social Risk Factors</w:t>
      </w:r>
    </w:p>
    <w:tbl>
      <w:tblPr>
        <w:tblW w:w="5000" w:type="pct"/>
        <w:tblLook w:val="04A0" w:firstRow="1" w:lastRow="0" w:firstColumn="1" w:lastColumn="0" w:noHBand="0" w:noVBand="1"/>
      </w:tblPr>
      <w:tblGrid>
        <w:gridCol w:w="2270"/>
        <w:gridCol w:w="3002"/>
        <w:gridCol w:w="3044"/>
        <w:gridCol w:w="1044"/>
      </w:tblGrid>
      <w:tr w:rsidR="005F014A" w:rsidRPr="006B0AAA" w14:paraId="06BB4A74" w14:textId="77777777" w:rsidTr="00532906">
        <w:trPr>
          <w:tblHeader/>
        </w:trPr>
        <w:tc>
          <w:tcPr>
            <w:tcW w:w="1213" w:type="pct"/>
            <w:tcBorders>
              <w:top w:val="single" w:sz="12" w:space="0" w:color="auto"/>
              <w:bottom w:val="single" w:sz="4" w:space="0" w:color="auto"/>
            </w:tcBorders>
            <w:shd w:val="clear" w:color="auto" w:fill="auto"/>
            <w:vAlign w:val="center"/>
            <w:hideMark/>
          </w:tcPr>
          <w:p w14:paraId="001C5BC3" w14:textId="77777777" w:rsidR="005F014A" w:rsidRPr="006B0AAA" w:rsidRDefault="005F014A" w:rsidP="00532906">
            <w:pPr>
              <w:spacing w:after="0" w:line="240" w:lineRule="auto"/>
              <w:contextualSpacing/>
              <w:rPr>
                <w:rFonts w:eastAsia="Times New Roman" w:cs="Times New Roman"/>
                <w:color w:val="0000FF"/>
                <w:sz w:val="18"/>
                <w:szCs w:val="18"/>
              </w:rPr>
            </w:pPr>
            <w:r>
              <w:rPr>
                <w:rFonts w:eastAsia="Times New Roman" w:cs="Times New Roman"/>
                <w:color w:val="0000FF"/>
                <w:sz w:val="18"/>
                <w:szCs w:val="18"/>
              </w:rPr>
              <w:t>Resident characteristic (% of all long stay residents)</w:t>
            </w:r>
          </w:p>
        </w:tc>
        <w:tc>
          <w:tcPr>
            <w:tcW w:w="1604" w:type="pct"/>
            <w:tcBorders>
              <w:top w:val="single" w:sz="12" w:space="0" w:color="auto"/>
              <w:bottom w:val="single" w:sz="4" w:space="0" w:color="auto"/>
            </w:tcBorders>
            <w:vAlign w:val="center"/>
          </w:tcPr>
          <w:p w14:paraId="5AF8FDF0" w14:textId="77777777" w:rsidR="005F014A" w:rsidRPr="006B0AAA" w:rsidRDefault="005F014A" w:rsidP="00532906">
            <w:pPr>
              <w:spacing w:after="0" w:line="240" w:lineRule="auto"/>
              <w:contextualSpacing/>
              <w:jc w:val="center"/>
              <w:rPr>
                <w:rFonts w:eastAsia="Times New Roman" w:cs="Times New Roman"/>
                <w:color w:val="0000FF"/>
                <w:sz w:val="18"/>
                <w:szCs w:val="18"/>
              </w:rPr>
            </w:pPr>
            <w:r w:rsidRPr="006B0AAA">
              <w:rPr>
                <w:rFonts w:eastAsia="Times New Roman" w:cs="Times New Roman"/>
                <w:color w:val="0000FF"/>
                <w:sz w:val="18"/>
                <w:szCs w:val="18"/>
              </w:rPr>
              <w:t xml:space="preserve">Frequency </w:t>
            </w:r>
            <w:r>
              <w:rPr>
                <w:rFonts w:eastAsia="Times New Roman" w:cs="Times New Roman"/>
                <w:color w:val="0000FF"/>
                <w:sz w:val="18"/>
                <w:szCs w:val="18"/>
              </w:rPr>
              <w:t xml:space="preserve">of residents who self-report moderate to severe pain (n) </w:t>
            </w:r>
          </w:p>
        </w:tc>
        <w:tc>
          <w:tcPr>
            <w:tcW w:w="1626" w:type="pct"/>
            <w:tcBorders>
              <w:top w:val="single" w:sz="12" w:space="0" w:color="auto"/>
              <w:bottom w:val="single" w:sz="4" w:space="0" w:color="auto"/>
            </w:tcBorders>
            <w:vAlign w:val="center"/>
          </w:tcPr>
          <w:p w14:paraId="1D32BF93" w14:textId="77777777" w:rsidR="005F014A" w:rsidRPr="006B0AAA" w:rsidRDefault="005F014A" w:rsidP="00532906">
            <w:pPr>
              <w:spacing w:after="0" w:line="240" w:lineRule="auto"/>
              <w:contextualSpacing/>
              <w:jc w:val="center"/>
              <w:rPr>
                <w:rFonts w:eastAsia="Times New Roman" w:cs="Times New Roman"/>
                <w:color w:val="0000FF"/>
                <w:sz w:val="18"/>
                <w:szCs w:val="18"/>
              </w:rPr>
            </w:pPr>
            <w:r w:rsidRPr="006B0AAA">
              <w:rPr>
                <w:rFonts w:eastAsia="Times New Roman" w:cs="Times New Roman"/>
                <w:color w:val="0000FF"/>
                <w:sz w:val="18"/>
                <w:szCs w:val="18"/>
              </w:rPr>
              <w:t>Percentage</w:t>
            </w:r>
            <w:r>
              <w:rPr>
                <w:rFonts w:eastAsia="Times New Roman" w:cs="Times New Roman"/>
                <w:color w:val="0000FF"/>
                <w:sz w:val="18"/>
                <w:szCs w:val="18"/>
              </w:rPr>
              <w:t xml:space="preserve"> of residents who self-report moderate to severe pain (%)</w:t>
            </w:r>
          </w:p>
        </w:tc>
        <w:tc>
          <w:tcPr>
            <w:tcW w:w="558" w:type="pct"/>
            <w:tcBorders>
              <w:top w:val="single" w:sz="12" w:space="0" w:color="auto"/>
              <w:bottom w:val="single" w:sz="4" w:space="0" w:color="auto"/>
            </w:tcBorders>
          </w:tcPr>
          <w:p w14:paraId="3EEC3508" w14:textId="77777777" w:rsidR="005F014A" w:rsidRPr="006B0AAA" w:rsidRDefault="005F014A" w:rsidP="00532906">
            <w:pPr>
              <w:spacing w:after="0" w:line="240" w:lineRule="auto"/>
              <w:contextualSpacing/>
              <w:jc w:val="center"/>
              <w:rPr>
                <w:rFonts w:eastAsia="Times New Roman" w:cs="Times New Roman"/>
                <w:color w:val="0000FF"/>
                <w:sz w:val="18"/>
                <w:szCs w:val="18"/>
              </w:rPr>
            </w:pPr>
            <w:r>
              <w:rPr>
                <w:rFonts w:eastAsia="Times New Roman" w:cs="Times New Roman"/>
                <w:color w:val="0000FF"/>
                <w:sz w:val="18"/>
                <w:szCs w:val="18"/>
              </w:rPr>
              <w:t>Pearson chi</w:t>
            </w:r>
            <w:r>
              <w:rPr>
                <w:rFonts w:eastAsia="Times New Roman" w:cs="Times New Roman"/>
                <w:color w:val="0000FF"/>
                <w:sz w:val="18"/>
                <w:szCs w:val="18"/>
                <w:vertAlign w:val="superscript"/>
              </w:rPr>
              <w:t>2</w:t>
            </w:r>
            <w:r w:rsidRPr="003633C8">
              <w:rPr>
                <w:rFonts w:eastAsia="Times New Roman" w:cs="Times New Roman"/>
                <w:color w:val="0000FF"/>
                <w:sz w:val="18"/>
                <w:szCs w:val="18"/>
              </w:rPr>
              <w:t xml:space="preserve"> P-value</w:t>
            </w:r>
          </w:p>
        </w:tc>
      </w:tr>
      <w:tr w:rsidR="005F014A" w:rsidRPr="006B0AAA" w14:paraId="0B19B2F3" w14:textId="77777777" w:rsidTr="00532906">
        <w:tc>
          <w:tcPr>
            <w:tcW w:w="1213" w:type="pct"/>
            <w:shd w:val="clear" w:color="auto" w:fill="auto"/>
            <w:hideMark/>
          </w:tcPr>
          <w:p w14:paraId="5A23EFBF" w14:textId="77777777" w:rsidR="005F014A" w:rsidRPr="006B0AAA" w:rsidRDefault="005F014A" w:rsidP="00532906">
            <w:pPr>
              <w:spacing w:after="0" w:line="240" w:lineRule="auto"/>
              <w:rPr>
                <w:rFonts w:eastAsia="Times New Roman" w:cs="Times New Roman"/>
                <w:color w:val="0000FF"/>
                <w:sz w:val="18"/>
                <w:szCs w:val="18"/>
              </w:rPr>
            </w:pPr>
            <w:r w:rsidRPr="006B0AAA">
              <w:rPr>
                <w:rFonts w:eastAsia="Times New Roman" w:cs="Times New Roman"/>
                <w:color w:val="0000FF"/>
                <w:sz w:val="18"/>
                <w:szCs w:val="18"/>
              </w:rPr>
              <w:t>Age</w:t>
            </w:r>
          </w:p>
        </w:tc>
        <w:tc>
          <w:tcPr>
            <w:tcW w:w="1604" w:type="pct"/>
          </w:tcPr>
          <w:p w14:paraId="2FB167A7"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c>
          <w:tcPr>
            <w:tcW w:w="1626" w:type="pct"/>
          </w:tcPr>
          <w:p w14:paraId="43E22F69"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c>
          <w:tcPr>
            <w:tcW w:w="558" w:type="pct"/>
          </w:tcPr>
          <w:p w14:paraId="57419C65"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r>
      <w:tr w:rsidR="005F014A" w:rsidRPr="006B0AAA" w14:paraId="5FD72EE8" w14:textId="77777777" w:rsidTr="00532906">
        <w:tc>
          <w:tcPr>
            <w:tcW w:w="1213" w:type="pct"/>
            <w:shd w:val="clear" w:color="auto" w:fill="auto"/>
            <w:hideMark/>
          </w:tcPr>
          <w:p w14:paraId="73F2C919" w14:textId="77777777" w:rsidR="005F014A" w:rsidRPr="006B0AAA" w:rsidRDefault="005F014A" w:rsidP="00532906">
            <w:pPr>
              <w:spacing w:after="0" w:line="240" w:lineRule="auto"/>
              <w:ind w:firstLineChars="100" w:firstLine="180"/>
              <w:rPr>
                <w:rFonts w:eastAsia="Times New Roman" w:cs="Times New Roman"/>
                <w:color w:val="0000FF"/>
                <w:sz w:val="18"/>
                <w:szCs w:val="18"/>
              </w:rPr>
            </w:pPr>
            <w:r w:rsidRPr="006B0AAA">
              <w:rPr>
                <w:color w:val="0000FF"/>
                <w:sz w:val="18"/>
                <w:szCs w:val="18"/>
              </w:rPr>
              <w:t>≥ 85</w:t>
            </w:r>
            <w:r>
              <w:rPr>
                <w:color w:val="0000FF"/>
                <w:sz w:val="18"/>
                <w:szCs w:val="18"/>
              </w:rPr>
              <w:t xml:space="preserve"> (40.71%)</w:t>
            </w:r>
          </w:p>
        </w:tc>
        <w:tc>
          <w:tcPr>
            <w:tcW w:w="1604" w:type="pct"/>
          </w:tcPr>
          <w:p w14:paraId="4419C675"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15,394</w:t>
            </w:r>
          </w:p>
        </w:tc>
        <w:tc>
          <w:tcPr>
            <w:tcW w:w="1626" w:type="pct"/>
          </w:tcPr>
          <w:p w14:paraId="2BDF5271"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4.6%</w:t>
            </w:r>
          </w:p>
        </w:tc>
        <w:tc>
          <w:tcPr>
            <w:tcW w:w="558" w:type="pct"/>
          </w:tcPr>
          <w:p w14:paraId="316A8E05" w14:textId="77777777" w:rsidR="005F014A" w:rsidRDefault="005F014A" w:rsidP="00532906">
            <w:pPr>
              <w:spacing w:after="0" w:line="240" w:lineRule="auto"/>
              <w:ind w:right="327"/>
              <w:jc w:val="right"/>
              <w:rPr>
                <w:rFonts w:eastAsia="Times New Roman" w:cs="Times New Roman"/>
                <w:color w:val="0000FF"/>
                <w:sz w:val="18"/>
                <w:szCs w:val="18"/>
              </w:rPr>
            </w:pPr>
            <w:r w:rsidRPr="00047C1A">
              <w:rPr>
                <w:rFonts w:eastAsia="Times New Roman" w:cs="Times New Roman"/>
                <w:color w:val="0000FF"/>
                <w:sz w:val="18"/>
                <w:szCs w:val="18"/>
              </w:rPr>
              <w:t>&lt;0.001</w:t>
            </w:r>
          </w:p>
        </w:tc>
      </w:tr>
      <w:tr w:rsidR="005F014A" w:rsidRPr="006B0AAA" w14:paraId="56C99636" w14:textId="77777777" w:rsidTr="00532906">
        <w:tc>
          <w:tcPr>
            <w:tcW w:w="1213" w:type="pct"/>
            <w:shd w:val="clear" w:color="auto" w:fill="auto"/>
            <w:hideMark/>
          </w:tcPr>
          <w:p w14:paraId="5D2F52FF" w14:textId="77777777" w:rsidR="005F014A" w:rsidRPr="006B0AAA" w:rsidRDefault="005F014A" w:rsidP="00532906">
            <w:pPr>
              <w:spacing w:after="0" w:line="240" w:lineRule="auto"/>
              <w:ind w:firstLineChars="100" w:firstLine="180"/>
              <w:rPr>
                <w:rFonts w:eastAsia="Times New Roman" w:cs="Times New Roman"/>
                <w:color w:val="0000FF"/>
                <w:sz w:val="18"/>
                <w:szCs w:val="18"/>
              </w:rPr>
            </w:pPr>
            <w:r>
              <w:rPr>
                <w:rFonts w:eastAsia="Times New Roman" w:cs="Times New Roman"/>
                <w:color w:val="0000FF"/>
                <w:sz w:val="18"/>
                <w:szCs w:val="18"/>
              </w:rPr>
              <w:t>&lt; 85 (59.29%)</w:t>
            </w:r>
          </w:p>
        </w:tc>
        <w:tc>
          <w:tcPr>
            <w:tcW w:w="1604" w:type="pct"/>
          </w:tcPr>
          <w:p w14:paraId="7B8FDCDF"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41,115</w:t>
            </w:r>
          </w:p>
        </w:tc>
        <w:tc>
          <w:tcPr>
            <w:tcW w:w="1626" w:type="pct"/>
          </w:tcPr>
          <w:p w14:paraId="591947DA"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8.3%</w:t>
            </w:r>
          </w:p>
        </w:tc>
        <w:tc>
          <w:tcPr>
            <w:tcW w:w="558" w:type="pct"/>
          </w:tcPr>
          <w:p w14:paraId="39E66551" w14:textId="77777777" w:rsidR="005F014A" w:rsidRDefault="005F014A" w:rsidP="00532906">
            <w:pPr>
              <w:spacing w:after="0" w:line="240" w:lineRule="auto"/>
              <w:ind w:right="327"/>
              <w:jc w:val="right"/>
              <w:rPr>
                <w:rFonts w:eastAsia="Times New Roman" w:cs="Times New Roman"/>
                <w:color w:val="0000FF"/>
                <w:sz w:val="18"/>
                <w:szCs w:val="18"/>
              </w:rPr>
            </w:pPr>
          </w:p>
        </w:tc>
      </w:tr>
      <w:tr w:rsidR="005F014A" w:rsidRPr="006B0AAA" w14:paraId="400D34DC" w14:textId="77777777" w:rsidTr="00532906">
        <w:tc>
          <w:tcPr>
            <w:tcW w:w="1213" w:type="pct"/>
            <w:shd w:val="clear" w:color="auto" w:fill="auto"/>
            <w:hideMark/>
          </w:tcPr>
          <w:p w14:paraId="0E9481E4" w14:textId="77777777" w:rsidR="005F014A" w:rsidRPr="006B0AAA" w:rsidRDefault="005F014A" w:rsidP="00532906">
            <w:pPr>
              <w:spacing w:after="0" w:line="240" w:lineRule="auto"/>
              <w:rPr>
                <w:rFonts w:eastAsia="Times New Roman" w:cs="Times New Roman"/>
                <w:color w:val="0000FF"/>
                <w:sz w:val="18"/>
                <w:szCs w:val="18"/>
              </w:rPr>
            </w:pPr>
            <w:r>
              <w:rPr>
                <w:rFonts w:eastAsia="Times New Roman" w:cs="Times New Roman"/>
                <w:color w:val="0000FF"/>
                <w:sz w:val="18"/>
                <w:szCs w:val="18"/>
              </w:rPr>
              <w:t>Sex</w:t>
            </w:r>
          </w:p>
        </w:tc>
        <w:tc>
          <w:tcPr>
            <w:tcW w:w="1604" w:type="pct"/>
          </w:tcPr>
          <w:p w14:paraId="7247CD5C"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c>
          <w:tcPr>
            <w:tcW w:w="1626" w:type="pct"/>
          </w:tcPr>
          <w:p w14:paraId="479E31D7"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c>
          <w:tcPr>
            <w:tcW w:w="558" w:type="pct"/>
          </w:tcPr>
          <w:p w14:paraId="1AEAE2D8"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r>
      <w:tr w:rsidR="005F014A" w:rsidRPr="006B0AAA" w14:paraId="4DD8760F" w14:textId="77777777" w:rsidTr="00532906">
        <w:tc>
          <w:tcPr>
            <w:tcW w:w="1213" w:type="pct"/>
            <w:shd w:val="clear" w:color="auto" w:fill="auto"/>
            <w:hideMark/>
          </w:tcPr>
          <w:p w14:paraId="55B1C532" w14:textId="77777777" w:rsidR="005F014A" w:rsidRPr="006B0AAA" w:rsidRDefault="005F014A" w:rsidP="00532906">
            <w:pPr>
              <w:spacing w:after="0" w:line="240" w:lineRule="auto"/>
              <w:ind w:firstLineChars="100" w:firstLine="180"/>
              <w:rPr>
                <w:rFonts w:eastAsia="Times New Roman" w:cs="Times New Roman"/>
                <w:color w:val="0000FF"/>
                <w:sz w:val="18"/>
                <w:szCs w:val="18"/>
              </w:rPr>
            </w:pPr>
            <w:r>
              <w:rPr>
                <w:rFonts w:eastAsia="Times New Roman" w:cs="Times New Roman"/>
                <w:color w:val="0000FF"/>
                <w:sz w:val="18"/>
                <w:szCs w:val="18"/>
              </w:rPr>
              <w:t>Male (35.11%)</w:t>
            </w:r>
          </w:p>
        </w:tc>
        <w:tc>
          <w:tcPr>
            <w:tcW w:w="1604" w:type="pct"/>
          </w:tcPr>
          <w:p w14:paraId="1FE6F0DF"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17,805</w:t>
            </w:r>
          </w:p>
        </w:tc>
        <w:tc>
          <w:tcPr>
            <w:tcW w:w="1626" w:type="pct"/>
          </w:tcPr>
          <w:p w14:paraId="79B36F74"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6.1%</w:t>
            </w:r>
          </w:p>
        </w:tc>
        <w:tc>
          <w:tcPr>
            <w:tcW w:w="558" w:type="pct"/>
          </w:tcPr>
          <w:p w14:paraId="73C7AA2D" w14:textId="77777777" w:rsidR="005F014A" w:rsidRDefault="005F014A" w:rsidP="00532906">
            <w:pPr>
              <w:spacing w:after="0" w:line="240" w:lineRule="auto"/>
              <w:ind w:right="327"/>
              <w:jc w:val="right"/>
              <w:rPr>
                <w:rFonts w:eastAsia="Times New Roman" w:cs="Times New Roman"/>
                <w:color w:val="0000FF"/>
                <w:sz w:val="18"/>
                <w:szCs w:val="18"/>
              </w:rPr>
            </w:pPr>
            <w:r w:rsidRPr="00047C1A">
              <w:rPr>
                <w:rFonts w:eastAsia="Times New Roman" w:cs="Times New Roman"/>
                <w:color w:val="0000FF"/>
                <w:sz w:val="18"/>
                <w:szCs w:val="18"/>
              </w:rPr>
              <w:t>&lt;0.001</w:t>
            </w:r>
          </w:p>
        </w:tc>
      </w:tr>
      <w:tr w:rsidR="005F014A" w:rsidRPr="006B0AAA" w14:paraId="08BCC403" w14:textId="77777777" w:rsidTr="00532906">
        <w:tc>
          <w:tcPr>
            <w:tcW w:w="1213" w:type="pct"/>
            <w:shd w:val="clear" w:color="auto" w:fill="auto"/>
            <w:hideMark/>
          </w:tcPr>
          <w:p w14:paraId="04360514" w14:textId="77777777" w:rsidR="005F014A" w:rsidRPr="000373FE" w:rsidRDefault="005F014A" w:rsidP="00532906">
            <w:pPr>
              <w:spacing w:after="0" w:line="240" w:lineRule="auto"/>
              <w:ind w:firstLineChars="100" w:firstLine="180"/>
              <w:rPr>
                <w:rFonts w:eastAsia="Times New Roman" w:cs="Times New Roman"/>
                <w:color w:val="0000FF"/>
                <w:sz w:val="18"/>
                <w:szCs w:val="18"/>
              </w:rPr>
            </w:pPr>
            <w:r w:rsidRPr="000373FE">
              <w:rPr>
                <w:rFonts w:eastAsia="Times New Roman" w:cs="Times New Roman"/>
                <w:color w:val="0000FF"/>
                <w:sz w:val="18"/>
                <w:szCs w:val="18"/>
              </w:rPr>
              <w:t>Female</w:t>
            </w:r>
            <w:r>
              <w:rPr>
                <w:rFonts w:eastAsia="Times New Roman" w:cs="Times New Roman"/>
                <w:color w:val="0000FF"/>
                <w:sz w:val="18"/>
                <w:szCs w:val="18"/>
              </w:rPr>
              <w:t xml:space="preserve"> (64.89%)</w:t>
            </w:r>
          </w:p>
        </w:tc>
        <w:tc>
          <w:tcPr>
            <w:tcW w:w="1604" w:type="pct"/>
          </w:tcPr>
          <w:p w14:paraId="276D8BC3"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38,704</w:t>
            </w:r>
          </w:p>
        </w:tc>
        <w:tc>
          <w:tcPr>
            <w:tcW w:w="1626" w:type="pct"/>
          </w:tcPr>
          <w:p w14:paraId="309773DC"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7.2%</w:t>
            </w:r>
          </w:p>
        </w:tc>
        <w:tc>
          <w:tcPr>
            <w:tcW w:w="558" w:type="pct"/>
          </w:tcPr>
          <w:p w14:paraId="3D44855B" w14:textId="77777777" w:rsidR="005F014A" w:rsidRDefault="005F014A" w:rsidP="00532906">
            <w:pPr>
              <w:spacing w:after="0" w:line="240" w:lineRule="auto"/>
              <w:ind w:right="327"/>
              <w:jc w:val="right"/>
              <w:rPr>
                <w:rFonts w:eastAsia="Times New Roman" w:cs="Times New Roman"/>
                <w:color w:val="0000FF"/>
                <w:sz w:val="18"/>
                <w:szCs w:val="18"/>
              </w:rPr>
            </w:pPr>
          </w:p>
        </w:tc>
      </w:tr>
      <w:tr w:rsidR="005F014A" w:rsidRPr="006B0AAA" w14:paraId="1EF4FB49" w14:textId="77777777" w:rsidTr="00532906">
        <w:tc>
          <w:tcPr>
            <w:tcW w:w="1213" w:type="pct"/>
            <w:shd w:val="clear" w:color="auto" w:fill="auto"/>
            <w:hideMark/>
          </w:tcPr>
          <w:p w14:paraId="4CB8534C" w14:textId="77777777" w:rsidR="005F014A" w:rsidRPr="000373FE" w:rsidRDefault="005F014A" w:rsidP="00532906">
            <w:pPr>
              <w:spacing w:after="0" w:line="240" w:lineRule="auto"/>
              <w:rPr>
                <w:rFonts w:eastAsia="Times New Roman" w:cs="Times New Roman"/>
                <w:color w:val="0000FF"/>
                <w:sz w:val="18"/>
                <w:szCs w:val="18"/>
              </w:rPr>
            </w:pPr>
            <w:r w:rsidRPr="000373FE">
              <w:rPr>
                <w:rFonts w:eastAsia="Times New Roman" w:cs="Times New Roman"/>
                <w:color w:val="0000FF"/>
                <w:sz w:val="18"/>
                <w:szCs w:val="18"/>
              </w:rPr>
              <w:t>Marital Status</w:t>
            </w:r>
          </w:p>
        </w:tc>
        <w:tc>
          <w:tcPr>
            <w:tcW w:w="1604" w:type="pct"/>
          </w:tcPr>
          <w:p w14:paraId="56606AE4" w14:textId="77777777" w:rsidR="005F014A" w:rsidRPr="000373FE" w:rsidRDefault="005F014A" w:rsidP="00532906">
            <w:pPr>
              <w:spacing w:after="0" w:line="240" w:lineRule="auto"/>
              <w:ind w:right="327"/>
              <w:jc w:val="right"/>
              <w:rPr>
                <w:rFonts w:eastAsia="Times New Roman" w:cs="Times New Roman"/>
                <w:color w:val="0000FF"/>
                <w:sz w:val="18"/>
                <w:szCs w:val="18"/>
              </w:rPr>
            </w:pPr>
          </w:p>
        </w:tc>
        <w:tc>
          <w:tcPr>
            <w:tcW w:w="1626" w:type="pct"/>
          </w:tcPr>
          <w:p w14:paraId="4BF19654" w14:textId="77777777" w:rsidR="005F014A" w:rsidRPr="000373FE" w:rsidRDefault="005F014A" w:rsidP="00532906">
            <w:pPr>
              <w:spacing w:after="0" w:line="240" w:lineRule="auto"/>
              <w:ind w:right="327"/>
              <w:jc w:val="right"/>
              <w:rPr>
                <w:rFonts w:eastAsia="Times New Roman" w:cs="Times New Roman"/>
                <w:color w:val="0000FF"/>
                <w:sz w:val="18"/>
                <w:szCs w:val="18"/>
              </w:rPr>
            </w:pPr>
          </w:p>
        </w:tc>
        <w:tc>
          <w:tcPr>
            <w:tcW w:w="558" w:type="pct"/>
          </w:tcPr>
          <w:p w14:paraId="0E20E4C4" w14:textId="77777777" w:rsidR="005F014A" w:rsidRPr="000373FE" w:rsidRDefault="005F014A" w:rsidP="00532906">
            <w:pPr>
              <w:spacing w:after="0" w:line="240" w:lineRule="auto"/>
              <w:ind w:right="327"/>
              <w:jc w:val="right"/>
              <w:rPr>
                <w:rFonts w:eastAsia="Times New Roman" w:cs="Times New Roman"/>
                <w:color w:val="0000FF"/>
                <w:sz w:val="18"/>
                <w:szCs w:val="18"/>
              </w:rPr>
            </w:pPr>
          </w:p>
        </w:tc>
      </w:tr>
      <w:tr w:rsidR="005F014A" w:rsidRPr="006B0AAA" w14:paraId="1D9B2B5D" w14:textId="77777777" w:rsidTr="00532906">
        <w:tc>
          <w:tcPr>
            <w:tcW w:w="1213" w:type="pct"/>
            <w:shd w:val="clear" w:color="auto" w:fill="auto"/>
            <w:hideMark/>
          </w:tcPr>
          <w:p w14:paraId="3758EF52" w14:textId="77777777" w:rsidR="005F014A" w:rsidRPr="000373FE" w:rsidRDefault="005F014A" w:rsidP="00532906">
            <w:pPr>
              <w:spacing w:after="0" w:line="240" w:lineRule="auto"/>
              <w:ind w:firstLineChars="100" w:firstLine="180"/>
              <w:rPr>
                <w:rFonts w:eastAsia="Times New Roman" w:cs="Times New Roman"/>
                <w:color w:val="0000FF"/>
                <w:sz w:val="18"/>
                <w:szCs w:val="18"/>
              </w:rPr>
            </w:pPr>
            <w:r>
              <w:rPr>
                <w:rFonts w:eastAsia="Times New Roman" w:cs="Times New Roman"/>
                <w:color w:val="0000FF"/>
                <w:sz w:val="18"/>
                <w:szCs w:val="18"/>
              </w:rPr>
              <w:t>Not married (82.43%)</w:t>
            </w:r>
          </w:p>
        </w:tc>
        <w:tc>
          <w:tcPr>
            <w:tcW w:w="1604" w:type="pct"/>
          </w:tcPr>
          <w:p w14:paraId="69E1E16C"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46,053</w:t>
            </w:r>
          </w:p>
        </w:tc>
        <w:tc>
          <w:tcPr>
            <w:tcW w:w="1626" w:type="pct"/>
          </w:tcPr>
          <w:p w14:paraId="1991D4C3"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6.9%</w:t>
            </w:r>
          </w:p>
        </w:tc>
        <w:tc>
          <w:tcPr>
            <w:tcW w:w="558" w:type="pct"/>
          </w:tcPr>
          <w:p w14:paraId="0A9BFF3B" w14:textId="77777777" w:rsidR="005F014A" w:rsidRDefault="005F014A" w:rsidP="00532906">
            <w:pPr>
              <w:spacing w:after="0" w:line="240" w:lineRule="auto"/>
              <w:ind w:right="327"/>
              <w:jc w:val="right"/>
              <w:rPr>
                <w:rFonts w:eastAsia="Times New Roman" w:cs="Times New Roman"/>
                <w:color w:val="0000FF"/>
                <w:sz w:val="18"/>
                <w:szCs w:val="18"/>
              </w:rPr>
            </w:pPr>
            <w:r w:rsidRPr="00047C1A">
              <w:rPr>
                <w:rFonts w:eastAsia="Times New Roman" w:cs="Times New Roman"/>
                <w:color w:val="0000FF"/>
                <w:sz w:val="18"/>
                <w:szCs w:val="18"/>
              </w:rPr>
              <w:t>&lt;0.001</w:t>
            </w:r>
          </w:p>
        </w:tc>
      </w:tr>
      <w:tr w:rsidR="005F014A" w:rsidRPr="006B0AAA" w14:paraId="7B85AEF7" w14:textId="77777777" w:rsidTr="00532906">
        <w:tc>
          <w:tcPr>
            <w:tcW w:w="1213" w:type="pct"/>
            <w:shd w:val="clear" w:color="auto" w:fill="auto"/>
            <w:hideMark/>
          </w:tcPr>
          <w:p w14:paraId="64DB59B6" w14:textId="77777777" w:rsidR="005F014A" w:rsidRPr="000373FE" w:rsidRDefault="005F014A" w:rsidP="00532906">
            <w:pPr>
              <w:spacing w:after="0" w:line="240" w:lineRule="auto"/>
              <w:ind w:firstLineChars="100" w:firstLine="180"/>
              <w:rPr>
                <w:rFonts w:eastAsia="Times New Roman" w:cs="Times New Roman"/>
                <w:color w:val="0000FF"/>
                <w:sz w:val="18"/>
                <w:szCs w:val="18"/>
              </w:rPr>
            </w:pPr>
            <w:r>
              <w:rPr>
                <w:rFonts w:eastAsia="Times New Roman" w:cs="Times New Roman"/>
                <w:color w:val="0000FF"/>
                <w:sz w:val="18"/>
                <w:szCs w:val="18"/>
              </w:rPr>
              <w:t>Married (17.57%)</w:t>
            </w:r>
          </w:p>
        </w:tc>
        <w:tc>
          <w:tcPr>
            <w:tcW w:w="1604" w:type="pct"/>
          </w:tcPr>
          <w:p w14:paraId="4E0D8D88"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9,272</w:t>
            </w:r>
          </w:p>
        </w:tc>
        <w:tc>
          <w:tcPr>
            <w:tcW w:w="1626" w:type="pct"/>
          </w:tcPr>
          <w:p w14:paraId="78FB8241"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6.5%</w:t>
            </w:r>
          </w:p>
        </w:tc>
        <w:tc>
          <w:tcPr>
            <w:tcW w:w="558" w:type="pct"/>
          </w:tcPr>
          <w:p w14:paraId="63C0EE5F" w14:textId="77777777" w:rsidR="005F014A" w:rsidRDefault="005F014A" w:rsidP="00532906">
            <w:pPr>
              <w:spacing w:after="0" w:line="240" w:lineRule="auto"/>
              <w:ind w:right="327"/>
              <w:jc w:val="right"/>
              <w:rPr>
                <w:rFonts w:eastAsia="Times New Roman" w:cs="Times New Roman"/>
                <w:color w:val="0000FF"/>
                <w:sz w:val="18"/>
                <w:szCs w:val="18"/>
              </w:rPr>
            </w:pPr>
          </w:p>
        </w:tc>
      </w:tr>
      <w:tr w:rsidR="005F014A" w:rsidRPr="006B0AAA" w14:paraId="32C9BB2D" w14:textId="77777777" w:rsidTr="00532906">
        <w:tc>
          <w:tcPr>
            <w:tcW w:w="1213" w:type="pct"/>
            <w:shd w:val="clear" w:color="auto" w:fill="auto"/>
            <w:hideMark/>
          </w:tcPr>
          <w:p w14:paraId="52962E9E" w14:textId="77777777" w:rsidR="005F014A" w:rsidRPr="006B0AAA" w:rsidRDefault="005F014A" w:rsidP="00532906">
            <w:pPr>
              <w:spacing w:after="0" w:line="240" w:lineRule="auto"/>
              <w:rPr>
                <w:rFonts w:eastAsia="Times New Roman" w:cs="Times New Roman"/>
                <w:color w:val="0000FF"/>
                <w:sz w:val="18"/>
                <w:szCs w:val="18"/>
              </w:rPr>
            </w:pPr>
            <w:r>
              <w:rPr>
                <w:rFonts w:eastAsia="Times New Roman" w:cs="Times New Roman"/>
                <w:color w:val="0000FF"/>
                <w:sz w:val="18"/>
                <w:szCs w:val="18"/>
              </w:rPr>
              <w:t>Medicaid</w:t>
            </w:r>
          </w:p>
        </w:tc>
        <w:tc>
          <w:tcPr>
            <w:tcW w:w="1604" w:type="pct"/>
          </w:tcPr>
          <w:p w14:paraId="66874B06"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c>
          <w:tcPr>
            <w:tcW w:w="1626" w:type="pct"/>
          </w:tcPr>
          <w:p w14:paraId="6F560709"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c>
          <w:tcPr>
            <w:tcW w:w="558" w:type="pct"/>
          </w:tcPr>
          <w:p w14:paraId="5258C6A6" w14:textId="77777777" w:rsidR="005F014A" w:rsidRPr="006B0AAA" w:rsidRDefault="005F014A" w:rsidP="00532906">
            <w:pPr>
              <w:spacing w:after="0" w:line="240" w:lineRule="auto"/>
              <w:ind w:right="327"/>
              <w:jc w:val="right"/>
              <w:rPr>
                <w:rFonts w:eastAsia="Times New Roman" w:cs="Times New Roman"/>
                <w:color w:val="0000FF"/>
                <w:sz w:val="18"/>
                <w:szCs w:val="18"/>
              </w:rPr>
            </w:pPr>
          </w:p>
        </w:tc>
      </w:tr>
      <w:tr w:rsidR="005F014A" w:rsidRPr="006B0AAA" w14:paraId="7F4C14BC" w14:textId="77777777" w:rsidTr="00532906">
        <w:tc>
          <w:tcPr>
            <w:tcW w:w="1213" w:type="pct"/>
            <w:shd w:val="clear" w:color="auto" w:fill="auto"/>
            <w:hideMark/>
          </w:tcPr>
          <w:p w14:paraId="001E8445" w14:textId="77777777" w:rsidR="005F014A" w:rsidRPr="006B0AAA" w:rsidRDefault="005F014A" w:rsidP="00532906">
            <w:pPr>
              <w:spacing w:after="0" w:line="240" w:lineRule="auto"/>
              <w:ind w:firstLineChars="100" w:firstLine="180"/>
              <w:rPr>
                <w:rFonts w:eastAsia="Times New Roman" w:cs="Times New Roman"/>
                <w:color w:val="0000FF"/>
                <w:sz w:val="18"/>
                <w:szCs w:val="18"/>
              </w:rPr>
            </w:pPr>
            <w:r>
              <w:rPr>
                <w:rFonts w:eastAsia="Times New Roman" w:cs="Times New Roman"/>
                <w:color w:val="0000FF"/>
                <w:sz w:val="18"/>
                <w:szCs w:val="18"/>
              </w:rPr>
              <w:t>Medicaid (87.49%)</w:t>
            </w:r>
          </w:p>
        </w:tc>
        <w:tc>
          <w:tcPr>
            <w:tcW w:w="1604" w:type="pct"/>
          </w:tcPr>
          <w:p w14:paraId="2DC4F328"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46,078</w:t>
            </w:r>
          </w:p>
        </w:tc>
        <w:tc>
          <w:tcPr>
            <w:tcW w:w="1626" w:type="pct"/>
          </w:tcPr>
          <w:p w14:paraId="77B0FFD3"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6.9%</w:t>
            </w:r>
          </w:p>
        </w:tc>
        <w:tc>
          <w:tcPr>
            <w:tcW w:w="558" w:type="pct"/>
          </w:tcPr>
          <w:p w14:paraId="5C533604" w14:textId="77777777" w:rsidR="005F014A" w:rsidRDefault="005F014A" w:rsidP="00532906">
            <w:pPr>
              <w:spacing w:after="0" w:line="240" w:lineRule="auto"/>
              <w:ind w:right="327"/>
              <w:jc w:val="right"/>
              <w:rPr>
                <w:rFonts w:eastAsia="Times New Roman" w:cs="Times New Roman"/>
                <w:color w:val="0000FF"/>
                <w:sz w:val="18"/>
                <w:szCs w:val="18"/>
              </w:rPr>
            </w:pPr>
            <w:r w:rsidRPr="00047C1A">
              <w:rPr>
                <w:rFonts w:eastAsia="Times New Roman" w:cs="Times New Roman"/>
                <w:color w:val="0000FF"/>
                <w:sz w:val="18"/>
                <w:szCs w:val="18"/>
              </w:rPr>
              <w:t>&lt;0.001</w:t>
            </w:r>
          </w:p>
        </w:tc>
      </w:tr>
      <w:tr w:rsidR="005F014A" w:rsidRPr="006B0AAA" w14:paraId="61D51122" w14:textId="77777777" w:rsidTr="00532906">
        <w:tc>
          <w:tcPr>
            <w:tcW w:w="1213" w:type="pct"/>
            <w:tcBorders>
              <w:bottom w:val="single" w:sz="12" w:space="0" w:color="auto"/>
            </w:tcBorders>
            <w:shd w:val="clear" w:color="auto" w:fill="auto"/>
          </w:tcPr>
          <w:p w14:paraId="24C475F9" w14:textId="77777777" w:rsidR="005F014A" w:rsidRDefault="005F014A" w:rsidP="00532906">
            <w:pPr>
              <w:spacing w:after="0" w:line="240" w:lineRule="auto"/>
              <w:ind w:firstLine="162"/>
              <w:rPr>
                <w:rFonts w:eastAsia="Times New Roman" w:cs="Times New Roman"/>
                <w:color w:val="0000FF"/>
                <w:sz w:val="18"/>
                <w:szCs w:val="18"/>
              </w:rPr>
            </w:pPr>
            <w:r>
              <w:rPr>
                <w:rFonts w:eastAsia="Times New Roman" w:cs="Times New Roman"/>
                <w:color w:val="0000FF"/>
                <w:sz w:val="18"/>
                <w:szCs w:val="18"/>
              </w:rPr>
              <w:t>Non-Medicaid (12.51%)</w:t>
            </w:r>
          </w:p>
        </w:tc>
        <w:tc>
          <w:tcPr>
            <w:tcW w:w="1604" w:type="pct"/>
            <w:tcBorders>
              <w:bottom w:val="single" w:sz="12" w:space="0" w:color="auto"/>
            </w:tcBorders>
          </w:tcPr>
          <w:p w14:paraId="1FEE86BC"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6,021</w:t>
            </w:r>
          </w:p>
        </w:tc>
        <w:tc>
          <w:tcPr>
            <w:tcW w:w="1626" w:type="pct"/>
            <w:tcBorders>
              <w:bottom w:val="single" w:sz="12" w:space="0" w:color="auto"/>
            </w:tcBorders>
          </w:tcPr>
          <w:p w14:paraId="1CB39365" w14:textId="77777777" w:rsidR="005F014A" w:rsidRDefault="005F014A" w:rsidP="00532906">
            <w:pPr>
              <w:spacing w:after="0" w:line="240" w:lineRule="auto"/>
              <w:ind w:right="327"/>
              <w:jc w:val="right"/>
              <w:rPr>
                <w:rFonts w:eastAsia="Times New Roman" w:cs="Times New Roman"/>
                <w:color w:val="0000FF"/>
                <w:sz w:val="18"/>
                <w:szCs w:val="18"/>
              </w:rPr>
            </w:pPr>
            <w:r>
              <w:rPr>
                <w:rFonts w:eastAsia="Times New Roman" w:cs="Times New Roman"/>
                <w:color w:val="0000FF"/>
                <w:sz w:val="18"/>
                <w:szCs w:val="18"/>
              </w:rPr>
              <w:t>6.3%</w:t>
            </w:r>
          </w:p>
        </w:tc>
        <w:tc>
          <w:tcPr>
            <w:tcW w:w="558" w:type="pct"/>
            <w:tcBorders>
              <w:bottom w:val="single" w:sz="12" w:space="0" w:color="auto"/>
            </w:tcBorders>
          </w:tcPr>
          <w:p w14:paraId="302A4CE7" w14:textId="77777777" w:rsidR="005F014A" w:rsidRDefault="005F014A" w:rsidP="00532906">
            <w:pPr>
              <w:spacing w:after="0" w:line="240" w:lineRule="auto"/>
              <w:ind w:right="327"/>
              <w:jc w:val="right"/>
              <w:rPr>
                <w:rFonts w:eastAsia="Times New Roman" w:cs="Times New Roman"/>
                <w:color w:val="0000FF"/>
                <w:sz w:val="18"/>
                <w:szCs w:val="18"/>
              </w:rPr>
            </w:pPr>
          </w:p>
        </w:tc>
      </w:tr>
    </w:tbl>
    <w:p w14:paraId="45FF2FAD" w14:textId="71A10E57" w:rsidR="005F014A" w:rsidRPr="003D2517" w:rsidRDefault="005F014A" w:rsidP="005F014A">
      <w:pPr>
        <w:autoSpaceDE w:val="0"/>
        <w:autoSpaceDN w:val="0"/>
        <w:adjustRightInd w:val="0"/>
        <w:spacing w:after="0" w:line="240" w:lineRule="auto"/>
        <w:rPr>
          <w:rFonts w:eastAsia="Times New Roman" w:cs="Times New Roman"/>
          <w:color w:val="0000FF"/>
          <w:sz w:val="20"/>
          <w:szCs w:val="20"/>
        </w:rPr>
      </w:pPr>
      <w:r w:rsidRPr="003D2517">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LJC03/LJC03_request</w:t>
      </w:r>
      <w:r w:rsidRPr="003D2517">
        <w:rPr>
          <w:rFonts w:eastAsia="Times New Roman" w:cs="Times New Roman"/>
          <w:color w:val="0000FF"/>
          <w:sz w:val="20"/>
          <w:szCs w:val="20"/>
        </w:rPr>
        <w:t>_677.log)</w:t>
      </w:r>
    </w:p>
    <w:p w14:paraId="69D4D005"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243D374B"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Next, we examined the facility-level distribution of each social risk factor (</w:t>
      </w:r>
      <w:r w:rsidRPr="00C22073">
        <w:rPr>
          <w:rFonts w:ascii="Calibri" w:eastAsia="MS Mincho" w:hAnsi="Calibri" w:cs="Calibri"/>
          <w:bCs/>
          <w:color w:val="0000FF"/>
        </w:rPr>
        <w:t xml:space="preserve">presented </w:t>
      </w:r>
      <w:r>
        <w:rPr>
          <w:rFonts w:ascii="Calibri" w:eastAsia="MS Mincho" w:hAnsi="Calibri" w:cs="Calibri"/>
          <w:bCs/>
          <w:color w:val="0000FF"/>
        </w:rPr>
        <w:t xml:space="preserve">in </w:t>
      </w:r>
      <w:r w:rsidRPr="0012166E">
        <w:rPr>
          <w:rFonts w:ascii="Calibri" w:eastAsia="MS Mincho" w:hAnsi="Calibri" w:cs="Calibri"/>
          <w:b/>
          <w:bCs/>
          <w:i/>
          <w:color w:val="0000FF"/>
        </w:rPr>
        <w:t>Table 6</w:t>
      </w:r>
      <w:r w:rsidRPr="00C22073">
        <w:rPr>
          <w:rFonts w:ascii="Calibri" w:eastAsia="MS Mincho" w:hAnsi="Calibri" w:cs="Calibri"/>
          <w:bCs/>
          <w:color w:val="0000FF"/>
        </w:rPr>
        <w:t>).</w:t>
      </w:r>
      <w:r>
        <w:rPr>
          <w:rFonts w:ascii="Calibri" w:eastAsia="MS Mincho" w:hAnsi="Calibri" w:cs="Calibri"/>
          <w:bCs/>
          <w:color w:val="0000FF"/>
        </w:rPr>
        <w:t xml:space="preserve"> Among the tested social risk factors, there was considerable cross-facility variation; this variation was relatively smaller in the percentage of residents who are not married.</w:t>
      </w:r>
    </w:p>
    <w:p w14:paraId="5B7F0C2A"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340291E2"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addition, we used the facility-level distributions to assess whether each social risk factor may be appropriate to include in risk adjustment models.  It may not be appropriate to risk adjust for social risk factors that:</w:t>
      </w:r>
    </w:p>
    <w:p w14:paraId="61A350C8" w14:textId="77777777" w:rsidR="005F014A" w:rsidRDefault="005F014A" w:rsidP="002B676C">
      <w:pPr>
        <w:pStyle w:val="ListParagraph"/>
        <w:numPr>
          <w:ilvl w:val="0"/>
          <w:numId w:val="14"/>
        </w:numPr>
        <w:spacing w:after="0"/>
      </w:pPr>
      <w:r>
        <w:t>Have either a very high or very low prevalence</w:t>
      </w:r>
    </w:p>
    <w:p w14:paraId="515F0603" w14:textId="77777777" w:rsidR="005F014A" w:rsidRPr="00D7112A" w:rsidRDefault="005F014A" w:rsidP="002B676C">
      <w:pPr>
        <w:pStyle w:val="ListParagraph"/>
        <w:numPr>
          <w:ilvl w:val="0"/>
          <w:numId w:val="14"/>
        </w:numPr>
        <w:spacing w:after="0"/>
      </w:pPr>
      <w:r>
        <w:t xml:space="preserve">Are evenly distributed across facilities (i.e., they did not cluster in some facilities) </w:t>
      </w:r>
    </w:p>
    <w:p w14:paraId="45767682"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6CAD35C3" w14:textId="70106172" w:rsidR="005F014A" w:rsidRPr="00CD4044" w:rsidRDefault="005F014A" w:rsidP="005F014A">
      <w:pPr>
        <w:autoSpaceDE w:val="0"/>
        <w:autoSpaceDN w:val="0"/>
        <w:adjustRightInd w:val="0"/>
        <w:spacing w:after="0" w:line="240" w:lineRule="auto"/>
        <w:rPr>
          <w:rFonts w:ascii="Calibri" w:eastAsia="MS Mincho" w:hAnsi="Calibri" w:cs="Calibri"/>
          <w:bCs/>
          <w:color w:val="0000FF"/>
        </w:rPr>
      </w:pPr>
      <w:r w:rsidRPr="002824A2">
        <w:rPr>
          <w:rFonts w:ascii="Calibri" w:eastAsia="MS Mincho" w:hAnsi="Calibri" w:cs="Calibri"/>
          <w:bCs/>
          <w:color w:val="0000FF"/>
        </w:rPr>
        <w:t>Overall, the facility-level mean of Medicaid-eligible residents is high (87</w:t>
      </w:r>
      <w:r>
        <w:rPr>
          <w:rFonts w:ascii="Calibri" w:eastAsia="MS Mincho" w:hAnsi="Calibri" w:cs="Calibri"/>
          <w:bCs/>
          <w:color w:val="0000FF"/>
        </w:rPr>
        <w:t>.0</w:t>
      </w:r>
      <w:r w:rsidRPr="002824A2">
        <w:rPr>
          <w:rFonts w:ascii="Calibri" w:eastAsia="MS Mincho" w:hAnsi="Calibri" w:cs="Calibri"/>
          <w:bCs/>
          <w:color w:val="0000FF"/>
        </w:rPr>
        <w:t>%), and the distribution is right-skewed; however, this high proportion of Medicaid-eligible residents may be related to the target population for t</w:t>
      </w:r>
      <w:r>
        <w:rPr>
          <w:rFonts w:ascii="Calibri" w:eastAsia="MS Mincho" w:hAnsi="Calibri" w:cs="Calibri"/>
          <w:bCs/>
          <w:color w:val="0000FF"/>
        </w:rPr>
        <w:t>his quality measure (i.e., long-</w:t>
      </w:r>
      <w:r w:rsidRPr="002824A2">
        <w:rPr>
          <w:rFonts w:ascii="Calibri" w:eastAsia="MS Mincho" w:hAnsi="Calibri" w:cs="Calibri"/>
          <w:bCs/>
          <w:color w:val="0000FF"/>
        </w:rPr>
        <w:t>stay nursing facility residents), and not necessarily indicative of socio-economic status.</w:t>
      </w:r>
      <w:r>
        <w:rPr>
          <w:rFonts w:ascii="Calibri" w:eastAsia="MS Mincho" w:hAnsi="Calibri" w:cs="Calibri"/>
          <w:bCs/>
          <w:color w:val="0000FF"/>
        </w:rPr>
        <w:t xml:space="preserve">  The facility-level mean of residents who are not married is also high (82.0%); this may also be related to the target population, as those who are married may have more social supports and may be able to remain in the community.  </w:t>
      </w:r>
      <w:r w:rsidR="00F65D2B">
        <w:rPr>
          <w:rFonts w:ascii="Calibri" w:eastAsia="MS Mincho" w:hAnsi="Calibri" w:cs="Calibri"/>
          <w:bCs/>
          <w:color w:val="0000FF"/>
        </w:rPr>
        <w:t xml:space="preserve"> </w:t>
      </w:r>
    </w:p>
    <w:p w14:paraId="4BF46031" w14:textId="77777777" w:rsidR="005F014A" w:rsidRPr="00A44B28" w:rsidRDefault="005F014A" w:rsidP="005F014A">
      <w:pPr>
        <w:pStyle w:val="ListParagraph"/>
        <w:numPr>
          <w:ilvl w:val="0"/>
          <w:numId w:val="0"/>
        </w:numPr>
        <w:ind w:left="765"/>
        <w:rPr>
          <w:b/>
        </w:rPr>
      </w:pPr>
      <w:r>
        <w:rPr>
          <w:rFonts w:eastAsia="Times New Roman" w:cs="Times New Roman"/>
          <w:b/>
        </w:rPr>
        <w:t>Table 6</w:t>
      </w:r>
      <w:r w:rsidRPr="00C22073">
        <w:rPr>
          <w:rFonts w:eastAsia="Times New Roman" w:cs="Times New Roman"/>
          <w:b/>
        </w:rPr>
        <w:t>.</w:t>
      </w:r>
      <w:r>
        <w:rPr>
          <w:rFonts w:eastAsia="Times New Roman" w:cs="Times New Roman"/>
          <w:b/>
        </w:rPr>
        <w:t xml:space="preserve"> </w:t>
      </w:r>
      <w:r w:rsidRPr="00A44B28">
        <w:rPr>
          <w:rFonts w:eastAsia="Times New Roman" w:cs="Times New Roman"/>
          <w:b/>
        </w:rPr>
        <w:t xml:space="preserve">Distribution </w:t>
      </w:r>
      <w:r>
        <w:rPr>
          <w:rFonts w:eastAsia="Times New Roman" w:cs="Times New Roman"/>
          <w:b/>
        </w:rPr>
        <w:t>of Percentage of Residents with Select Resident Characteristics Across F</w:t>
      </w:r>
      <w:r w:rsidRPr="00A44B28">
        <w:rPr>
          <w:rFonts w:eastAsia="Times New Roman" w:cs="Times New Roman"/>
          <w:b/>
        </w:rPr>
        <w:t>acilities</w:t>
      </w:r>
      <w:r w:rsidRPr="00A44B28">
        <w:rPr>
          <w:b/>
        </w:rPr>
        <w:t xml:space="preserve"> </w:t>
      </w:r>
    </w:p>
    <w:tbl>
      <w:tblPr>
        <w:tblStyle w:val="CMSTable"/>
        <w:tblW w:w="4970" w:type="pct"/>
        <w:tblLook w:val="05E0" w:firstRow="1" w:lastRow="1" w:firstColumn="1" w:lastColumn="1" w:noHBand="0" w:noVBand="1"/>
      </w:tblPr>
      <w:tblGrid>
        <w:gridCol w:w="1745"/>
        <w:gridCol w:w="793"/>
        <w:gridCol w:w="826"/>
        <w:gridCol w:w="649"/>
        <w:gridCol w:w="1059"/>
        <w:gridCol w:w="1059"/>
        <w:gridCol w:w="1059"/>
        <w:gridCol w:w="1059"/>
        <w:gridCol w:w="1055"/>
      </w:tblGrid>
      <w:tr w:rsidR="005F014A" w:rsidRPr="009B5870" w14:paraId="70EDCA06" w14:textId="77777777" w:rsidTr="00532906">
        <w:trPr>
          <w:cnfStyle w:val="100000000000" w:firstRow="1" w:lastRow="0" w:firstColumn="0" w:lastColumn="0" w:oddVBand="0" w:evenVBand="0" w:oddHBand="0" w:evenHBand="0" w:firstRowFirstColumn="0" w:firstRowLastColumn="0" w:lastRowFirstColumn="0" w:lastRowLastColumn="0"/>
          <w:trHeight w:val="648"/>
        </w:trPr>
        <w:tc>
          <w:tcPr>
            <w:tcW w:w="938" w:type="pct"/>
          </w:tcPr>
          <w:p w14:paraId="791B166F" w14:textId="77777777" w:rsidR="005F014A" w:rsidRPr="005247F0" w:rsidRDefault="005F014A" w:rsidP="00532906">
            <w:pPr>
              <w:keepNext/>
              <w:spacing w:before="40" w:after="40"/>
              <w:rPr>
                <w:iCs/>
                <w:snapToGrid w:val="0"/>
                <w:color w:val="0000FF"/>
                <w:sz w:val="18"/>
                <w:szCs w:val="18"/>
              </w:rPr>
            </w:pPr>
            <w:r>
              <w:rPr>
                <w:iCs/>
                <w:snapToGrid w:val="0"/>
                <w:color w:val="0000FF"/>
                <w:sz w:val="18"/>
                <w:szCs w:val="18"/>
              </w:rPr>
              <w:t>Resident characteristics</w:t>
            </w:r>
          </w:p>
        </w:tc>
        <w:tc>
          <w:tcPr>
            <w:tcW w:w="426" w:type="pct"/>
          </w:tcPr>
          <w:p w14:paraId="1F3889FA" w14:textId="77777777" w:rsidR="005F014A" w:rsidRPr="009B5870" w:rsidRDefault="005F014A" w:rsidP="00532906">
            <w:pPr>
              <w:keepNext/>
              <w:spacing w:before="40" w:after="40"/>
              <w:rPr>
                <w:i/>
                <w:iCs/>
                <w:snapToGrid w:val="0"/>
                <w:color w:val="0000FF"/>
                <w:sz w:val="18"/>
                <w:szCs w:val="18"/>
              </w:rPr>
            </w:pPr>
            <w:r>
              <w:rPr>
                <w:iCs/>
                <w:snapToGrid w:val="0"/>
                <w:color w:val="0000FF"/>
                <w:sz w:val="18"/>
                <w:szCs w:val="18"/>
              </w:rPr>
              <w:t>Facilities (</w:t>
            </w:r>
            <w:r>
              <w:rPr>
                <w:i/>
                <w:iCs/>
                <w:snapToGrid w:val="0"/>
                <w:color w:val="0000FF"/>
                <w:sz w:val="18"/>
                <w:szCs w:val="18"/>
              </w:rPr>
              <w:t>k)</w:t>
            </w:r>
          </w:p>
        </w:tc>
        <w:tc>
          <w:tcPr>
            <w:tcW w:w="444" w:type="pct"/>
          </w:tcPr>
          <w:p w14:paraId="5711F3CA" w14:textId="77777777" w:rsidR="005F014A" w:rsidRPr="009B5870" w:rsidRDefault="005F014A" w:rsidP="00532906">
            <w:pPr>
              <w:keepNext/>
              <w:spacing w:before="40" w:after="40"/>
              <w:rPr>
                <w:snapToGrid w:val="0"/>
                <w:color w:val="0000FF"/>
                <w:sz w:val="18"/>
                <w:szCs w:val="18"/>
              </w:rPr>
            </w:pPr>
            <w:r>
              <w:rPr>
                <w:snapToGrid w:val="0"/>
                <w:color w:val="0000FF"/>
                <w:sz w:val="18"/>
                <w:szCs w:val="18"/>
              </w:rPr>
              <w:t>Mean % of residents</w:t>
            </w:r>
          </w:p>
        </w:tc>
        <w:tc>
          <w:tcPr>
            <w:tcW w:w="349" w:type="pct"/>
          </w:tcPr>
          <w:p w14:paraId="66C28085" w14:textId="77777777" w:rsidR="005F014A" w:rsidRPr="009B5870" w:rsidRDefault="005F014A" w:rsidP="00532906">
            <w:pPr>
              <w:keepNext/>
              <w:spacing w:before="40" w:after="40"/>
              <w:rPr>
                <w:snapToGrid w:val="0"/>
                <w:color w:val="0000FF"/>
                <w:sz w:val="18"/>
                <w:szCs w:val="18"/>
              </w:rPr>
            </w:pPr>
            <w:proofErr w:type="spellStart"/>
            <w:r w:rsidRPr="009B5870">
              <w:rPr>
                <w:snapToGrid w:val="0"/>
                <w:color w:val="0000FF"/>
                <w:sz w:val="18"/>
                <w:szCs w:val="18"/>
              </w:rPr>
              <w:t>Std</w:t>
            </w:r>
            <w:proofErr w:type="spellEnd"/>
            <w:r w:rsidRPr="009B5870">
              <w:rPr>
                <w:snapToGrid w:val="0"/>
                <w:color w:val="0000FF"/>
                <w:sz w:val="18"/>
                <w:szCs w:val="18"/>
              </w:rPr>
              <w:t xml:space="preserve"> dev.</w:t>
            </w:r>
          </w:p>
        </w:tc>
        <w:tc>
          <w:tcPr>
            <w:tcW w:w="569" w:type="pct"/>
          </w:tcPr>
          <w:p w14:paraId="4EC95CFC"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10th </w:t>
            </w:r>
            <w:r w:rsidRPr="009B5870">
              <w:rPr>
                <w:snapToGrid w:val="0"/>
                <w:color w:val="0000FF"/>
                <w:sz w:val="18"/>
                <w:szCs w:val="18"/>
              </w:rPr>
              <w:br/>
              <w:t>percentile</w:t>
            </w:r>
          </w:p>
        </w:tc>
        <w:tc>
          <w:tcPr>
            <w:tcW w:w="569" w:type="pct"/>
          </w:tcPr>
          <w:p w14:paraId="1E011441"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25th </w:t>
            </w:r>
            <w:r w:rsidRPr="009B5870">
              <w:rPr>
                <w:snapToGrid w:val="0"/>
                <w:color w:val="0000FF"/>
                <w:sz w:val="18"/>
                <w:szCs w:val="18"/>
              </w:rPr>
              <w:br/>
              <w:t>percentile</w:t>
            </w:r>
          </w:p>
        </w:tc>
        <w:tc>
          <w:tcPr>
            <w:tcW w:w="569" w:type="pct"/>
          </w:tcPr>
          <w:p w14:paraId="2A72B9E3"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50th </w:t>
            </w:r>
            <w:r w:rsidRPr="009B5870">
              <w:rPr>
                <w:snapToGrid w:val="0"/>
                <w:color w:val="0000FF"/>
                <w:sz w:val="18"/>
                <w:szCs w:val="18"/>
              </w:rPr>
              <w:br/>
              <w:t>percentile</w:t>
            </w:r>
          </w:p>
        </w:tc>
        <w:tc>
          <w:tcPr>
            <w:tcW w:w="569" w:type="pct"/>
          </w:tcPr>
          <w:p w14:paraId="0E51FCC1"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75th </w:t>
            </w:r>
            <w:r w:rsidRPr="009B5870">
              <w:rPr>
                <w:snapToGrid w:val="0"/>
                <w:color w:val="0000FF"/>
                <w:sz w:val="18"/>
                <w:szCs w:val="18"/>
              </w:rPr>
              <w:br/>
              <w:t>percentile</w:t>
            </w:r>
          </w:p>
        </w:tc>
        <w:tc>
          <w:tcPr>
            <w:tcW w:w="567" w:type="pct"/>
          </w:tcPr>
          <w:p w14:paraId="7A5A2FEE" w14:textId="77777777" w:rsidR="005F014A" w:rsidRPr="009B5870" w:rsidRDefault="005F014A" w:rsidP="00532906">
            <w:pPr>
              <w:keepNext/>
              <w:spacing w:before="40" w:after="40"/>
              <w:rPr>
                <w:snapToGrid w:val="0"/>
                <w:color w:val="0000FF"/>
                <w:sz w:val="18"/>
                <w:szCs w:val="18"/>
              </w:rPr>
            </w:pPr>
            <w:r w:rsidRPr="009B5870">
              <w:rPr>
                <w:snapToGrid w:val="0"/>
                <w:color w:val="0000FF"/>
                <w:sz w:val="18"/>
                <w:szCs w:val="18"/>
              </w:rPr>
              <w:t xml:space="preserve">90th </w:t>
            </w:r>
            <w:r w:rsidRPr="009B5870">
              <w:rPr>
                <w:snapToGrid w:val="0"/>
                <w:color w:val="0000FF"/>
                <w:sz w:val="18"/>
                <w:szCs w:val="18"/>
              </w:rPr>
              <w:br/>
              <w:t>percentile</w:t>
            </w:r>
          </w:p>
        </w:tc>
      </w:tr>
      <w:tr w:rsidR="005F014A" w:rsidRPr="009B5870" w14:paraId="1EB82474" w14:textId="77777777" w:rsidTr="00532906">
        <w:trPr>
          <w:trHeight w:val="242"/>
        </w:trPr>
        <w:tc>
          <w:tcPr>
            <w:tcW w:w="938" w:type="pct"/>
          </w:tcPr>
          <w:p w14:paraId="6D6C3F17" w14:textId="77777777" w:rsidR="005F014A" w:rsidRPr="005247F0" w:rsidRDefault="005F014A" w:rsidP="00532906">
            <w:pPr>
              <w:pStyle w:val="TableText-cent"/>
              <w:jc w:val="left"/>
              <w:rPr>
                <w:color w:val="0000FF"/>
                <w:sz w:val="18"/>
                <w:szCs w:val="18"/>
              </w:rPr>
            </w:pPr>
            <w:r w:rsidRPr="005247F0">
              <w:rPr>
                <w:color w:val="0000FF"/>
                <w:sz w:val="18"/>
                <w:szCs w:val="18"/>
              </w:rPr>
              <w:t>Age ≥ 85</w:t>
            </w:r>
          </w:p>
        </w:tc>
        <w:tc>
          <w:tcPr>
            <w:tcW w:w="426" w:type="pct"/>
          </w:tcPr>
          <w:p w14:paraId="6CBD3962" w14:textId="77777777" w:rsidR="005F014A" w:rsidRDefault="005F014A" w:rsidP="00532906">
            <w:pPr>
              <w:pStyle w:val="TableText-cent"/>
              <w:rPr>
                <w:color w:val="0000FF"/>
                <w:sz w:val="18"/>
                <w:szCs w:val="18"/>
              </w:rPr>
            </w:pPr>
            <w:r>
              <w:rPr>
                <w:color w:val="0000FF"/>
                <w:sz w:val="18"/>
                <w:szCs w:val="18"/>
              </w:rPr>
              <w:t>13,691</w:t>
            </w:r>
          </w:p>
        </w:tc>
        <w:tc>
          <w:tcPr>
            <w:tcW w:w="444" w:type="pct"/>
          </w:tcPr>
          <w:p w14:paraId="324F5153" w14:textId="77777777" w:rsidR="005F014A" w:rsidRDefault="005F014A" w:rsidP="00532906">
            <w:pPr>
              <w:pStyle w:val="TableText-cent"/>
              <w:rPr>
                <w:color w:val="0000FF"/>
                <w:sz w:val="18"/>
                <w:szCs w:val="18"/>
              </w:rPr>
            </w:pPr>
            <w:r>
              <w:rPr>
                <w:color w:val="0000FF"/>
                <w:sz w:val="18"/>
                <w:szCs w:val="18"/>
              </w:rPr>
              <w:t>41.9%</w:t>
            </w:r>
          </w:p>
        </w:tc>
        <w:tc>
          <w:tcPr>
            <w:tcW w:w="349" w:type="pct"/>
          </w:tcPr>
          <w:p w14:paraId="27EFA636" w14:textId="77777777" w:rsidR="005F014A" w:rsidRDefault="005F014A" w:rsidP="00532906">
            <w:pPr>
              <w:pStyle w:val="TableText-cent"/>
              <w:rPr>
                <w:color w:val="0000FF"/>
                <w:sz w:val="18"/>
                <w:szCs w:val="18"/>
              </w:rPr>
            </w:pPr>
            <w:r>
              <w:rPr>
                <w:color w:val="0000FF"/>
                <w:sz w:val="18"/>
                <w:szCs w:val="18"/>
              </w:rPr>
              <w:t>20.1%</w:t>
            </w:r>
          </w:p>
        </w:tc>
        <w:tc>
          <w:tcPr>
            <w:tcW w:w="569" w:type="pct"/>
          </w:tcPr>
          <w:p w14:paraId="2FC81CEA" w14:textId="77777777" w:rsidR="005F014A" w:rsidRDefault="005F014A" w:rsidP="00532906">
            <w:pPr>
              <w:pStyle w:val="TableText-cent"/>
              <w:rPr>
                <w:color w:val="0000FF"/>
                <w:sz w:val="18"/>
                <w:szCs w:val="18"/>
              </w:rPr>
            </w:pPr>
            <w:r>
              <w:rPr>
                <w:color w:val="0000FF"/>
                <w:sz w:val="18"/>
                <w:szCs w:val="18"/>
              </w:rPr>
              <w:t>15.4%</w:t>
            </w:r>
          </w:p>
        </w:tc>
        <w:tc>
          <w:tcPr>
            <w:tcW w:w="569" w:type="pct"/>
          </w:tcPr>
          <w:p w14:paraId="2B0A18CC" w14:textId="77777777" w:rsidR="005F014A" w:rsidRDefault="005F014A" w:rsidP="00532906">
            <w:pPr>
              <w:pStyle w:val="TableText-cent"/>
              <w:rPr>
                <w:color w:val="0000FF"/>
                <w:sz w:val="18"/>
                <w:szCs w:val="18"/>
              </w:rPr>
            </w:pPr>
            <w:r>
              <w:rPr>
                <w:color w:val="0000FF"/>
                <w:sz w:val="18"/>
                <w:szCs w:val="18"/>
              </w:rPr>
              <w:t>26.9%</w:t>
            </w:r>
          </w:p>
        </w:tc>
        <w:tc>
          <w:tcPr>
            <w:tcW w:w="569" w:type="pct"/>
          </w:tcPr>
          <w:p w14:paraId="3D661124" w14:textId="77777777" w:rsidR="005F014A" w:rsidRDefault="005F014A" w:rsidP="00532906">
            <w:pPr>
              <w:pStyle w:val="TableText-cent"/>
              <w:rPr>
                <w:color w:val="0000FF"/>
                <w:sz w:val="18"/>
                <w:szCs w:val="18"/>
              </w:rPr>
            </w:pPr>
            <w:r>
              <w:rPr>
                <w:color w:val="0000FF"/>
                <w:sz w:val="18"/>
                <w:szCs w:val="18"/>
              </w:rPr>
              <w:t>41.7%</w:t>
            </w:r>
          </w:p>
        </w:tc>
        <w:tc>
          <w:tcPr>
            <w:tcW w:w="569" w:type="pct"/>
          </w:tcPr>
          <w:p w14:paraId="0FAC736A" w14:textId="77777777" w:rsidR="005F014A" w:rsidRDefault="005F014A" w:rsidP="00532906">
            <w:pPr>
              <w:pStyle w:val="TableText-cent"/>
              <w:rPr>
                <w:color w:val="0000FF"/>
                <w:sz w:val="18"/>
                <w:szCs w:val="18"/>
              </w:rPr>
            </w:pPr>
            <w:r>
              <w:rPr>
                <w:color w:val="0000FF"/>
                <w:sz w:val="18"/>
                <w:szCs w:val="18"/>
              </w:rPr>
              <w:t>56.3%</w:t>
            </w:r>
          </w:p>
        </w:tc>
        <w:tc>
          <w:tcPr>
            <w:tcW w:w="567" w:type="pct"/>
          </w:tcPr>
          <w:p w14:paraId="65D45B1C" w14:textId="77777777" w:rsidR="005F014A" w:rsidRDefault="005F014A" w:rsidP="00532906">
            <w:pPr>
              <w:pStyle w:val="TableText-cent"/>
              <w:rPr>
                <w:color w:val="0000FF"/>
                <w:sz w:val="18"/>
                <w:szCs w:val="18"/>
              </w:rPr>
            </w:pPr>
            <w:r>
              <w:rPr>
                <w:color w:val="0000FF"/>
                <w:sz w:val="18"/>
                <w:szCs w:val="18"/>
              </w:rPr>
              <w:t>68.9%</w:t>
            </w:r>
          </w:p>
        </w:tc>
      </w:tr>
      <w:tr w:rsidR="005F014A" w:rsidRPr="009B5870" w14:paraId="31D806D8" w14:textId="77777777" w:rsidTr="00532906">
        <w:trPr>
          <w:trHeight w:val="242"/>
        </w:trPr>
        <w:tc>
          <w:tcPr>
            <w:tcW w:w="938" w:type="pct"/>
          </w:tcPr>
          <w:p w14:paraId="195B4378" w14:textId="77777777" w:rsidR="005F014A" w:rsidRDefault="005F014A" w:rsidP="00532906">
            <w:pPr>
              <w:pStyle w:val="TableText-cent"/>
              <w:jc w:val="left"/>
              <w:rPr>
                <w:color w:val="0000FF"/>
                <w:sz w:val="18"/>
                <w:szCs w:val="18"/>
              </w:rPr>
            </w:pPr>
            <w:r>
              <w:rPr>
                <w:color w:val="0000FF"/>
                <w:sz w:val="18"/>
                <w:szCs w:val="18"/>
              </w:rPr>
              <w:t>Male</w:t>
            </w:r>
          </w:p>
        </w:tc>
        <w:tc>
          <w:tcPr>
            <w:tcW w:w="426" w:type="pct"/>
          </w:tcPr>
          <w:p w14:paraId="5D381774" w14:textId="77777777" w:rsidR="005F014A" w:rsidRDefault="005F014A" w:rsidP="00532906">
            <w:pPr>
              <w:pStyle w:val="TableText-cent"/>
              <w:rPr>
                <w:color w:val="0000FF"/>
                <w:sz w:val="18"/>
                <w:szCs w:val="18"/>
              </w:rPr>
            </w:pPr>
            <w:r>
              <w:rPr>
                <w:color w:val="0000FF"/>
                <w:sz w:val="18"/>
                <w:szCs w:val="18"/>
              </w:rPr>
              <w:t>13,691</w:t>
            </w:r>
          </w:p>
        </w:tc>
        <w:tc>
          <w:tcPr>
            <w:tcW w:w="444" w:type="pct"/>
          </w:tcPr>
          <w:p w14:paraId="4BE89435" w14:textId="77777777" w:rsidR="005F014A" w:rsidRDefault="005F014A" w:rsidP="00532906">
            <w:pPr>
              <w:pStyle w:val="TableText-cent"/>
              <w:rPr>
                <w:color w:val="0000FF"/>
                <w:sz w:val="18"/>
                <w:szCs w:val="18"/>
              </w:rPr>
            </w:pPr>
            <w:r>
              <w:rPr>
                <w:color w:val="0000FF"/>
                <w:sz w:val="18"/>
                <w:szCs w:val="18"/>
              </w:rPr>
              <w:t>34.1%</w:t>
            </w:r>
          </w:p>
        </w:tc>
        <w:tc>
          <w:tcPr>
            <w:tcW w:w="349" w:type="pct"/>
          </w:tcPr>
          <w:p w14:paraId="348A91A4" w14:textId="77777777" w:rsidR="005F014A" w:rsidRDefault="005F014A" w:rsidP="00532906">
            <w:pPr>
              <w:pStyle w:val="TableText-cent"/>
              <w:rPr>
                <w:color w:val="0000FF"/>
                <w:sz w:val="18"/>
                <w:szCs w:val="18"/>
              </w:rPr>
            </w:pPr>
            <w:r>
              <w:rPr>
                <w:color w:val="0000FF"/>
                <w:sz w:val="18"/>
                <w:szCs w:val="18"/>
              </w:rPr>
              <w:t>13.4%</w:t>
            </w:r>
          </w:p>
        </w:tc>
        <w:tc>
          <w:tcPr>
            <w:tcW w:w="569" w:type="pct"/>
          </w:tcPr>
          <w:p w14:paraId="430218FE" w14:textId="77777777" w:rsidR="005F014A" w:rsidRDefault="005F014A" w:rsidP="00532906">
            <w:pPr>
              <w:pStyle w:val="TableText-cent"/>
              <w:rPr>
                <w:color w:val="0000FF"/>
                <w:sz w:val="18"/>
                <w:szCs w:val="18"/>
              </w:rPr>
            </w:pPr>
            <w:r>
              <w:rPr>
                <w:color w:val="0000FF"/>
                <w:sz w:val="18"/>
                <w:szCs w:val="18"/>
              </w:rPr>
              <w:t>18.9%</w:t>
            </w:r>
          </w:p>
        </w:tc>
        <w:tc>
          <w:tcPr>
            <w:tcW w:w="569" w:type="pct"/>
          </w:tcPr>
          <w:p w14:paraId="4285AF00" w14:textId="77777777" w:rsidR="005F014A" w:rsidRDefault="005F014A" w:rsidP="00532906">
            <w:pPr>
              <w:pStyle w:val="TableText-cent"/>
              <w:rPr>
                <w:color w:val="0000FF"/>
                <w:sz w:val="18"/>
                <w:szCs w:val="18"/>
              </w:rPr>
            </w:pPr>
            <w:r>
              <w:rPr>
                <w:color w:val="0000FF"/>
                <w:sz w:val="18"/>
                <w:szCs w:val="18"/>
              </w:rPr>
              <w:t>25.0%</w:t>
            </w:r>
          </w:p>
        </w:tc>
        <w:tc>
          <w:tcPr>
            <w:tcW w:w="569" w:type="pct"/>
          </w:tcPr>
          <w:p w14:paraId="1D976DF7" w14:textId="77777777" w:rsidR="005F014A" w:rsidRDefault="005F014A" w:rsidP="00532906">
            <w:pPr>
              <w:pStyle w:val="TableText-cent"/>
              <w:rPr>
                <w:color w:val="0000FF"/>
                <w:sz w:val="18"/>
                <w:szCs w:val="18"/>
              </w:rPr>
            </w:pPr>
            <w:r>
              <w:rPr>
                <w:color w:val="0000FF"/>
                <w:sz w:val="18"/>
                <w:szCs w:val="18"/>
              </w:rPr>
              <w:t>32.3%</w:t>
            </w:r>
          </w:p>
        </w:tc>
        <w:tc>
          <w:tcPr>
            <w:tcW w:w="569" w:type="pct"/>
          </w:tcPr>
          <w:p w14:paraId="556263D6" w14:textId="77777777" w:rsidR="005F014A" w:rsidRDefault="005F014A" w:rsidP="00532906">
            <w:pPr>
              <w:pStyle w:val="TableText-cent"/>
              <w:rPr>
                <w:color w:val="0000FF"/>
                <w:sz w:val="18"/>
                <w:szCs w:val="18"/>
              </w:rPr>
            </w:pPr>
            <w:r>
              <w:rPr>
                <w:color w:val="0000FF"/>
                <w:sz w:val="18"/>
                <w:szCs w:val="18"/>
              </w:rPr>
              <w:t>41.3%</w:t>
            </w:r>
          </w:p>
        </w:tc>
        <w:tc>
          <w:tcPr>
            <w:tcW w:w="567" w:type="pct"/>
          </w:tcPr>
          <w:p w14:paraId="3A9CF10B" w14:textId="77777777" w:rsidR="005F014A" w:rsidRDefault="005F014A" w:rsidP="00532906">
            <w:pPr>
              <w:pStyle w:val="TableText-cent"/>
              <w:rPr>
                <w:color w:val="0000FF"/>
                <w:sz w:val="18"/>
                <w:szCs w:val="18"/>
              </w:rPr>
            </w:pPr>
            <w:r>
              <w:rPr>
                <w:color w:val="0000FF"/>
                <w:sz w:val="18"/>
                <w:szCs w:val="18"/>
              </w:rPr>
              <w:t>51.4%</w:t>
            </w:r>
          </w:p>
        </w:tc>
      </w:tr>
      <w:tr w:rsidR="005F014A" w:rsidRPr="009B5870" w14:paraId="3B73E01F" w14:textId="77777777" w:rsidTr="00532906">
        <w:trPr>
          <w:trHeight w:val="255"/>
        </w:trPr>
        <w:tc>
          <w:tcPr>
            <w:tcW w:w="938" w:type="pct"/>
          </w:tcPr>
          <w:p w14:paraId="478B49C3" w14:textId="77777777" w:rsidR="005F014A" w:rsidRDefault="005F014A" w:rsidP="00532906">
            <w:pPr>
              <w:pStyle w:val="TableText-cent"/>
              <w:jc w:val="left"/>
              <w:rPr>
                <w:color w:val="0000FF"/>
                <w:sz w:val="18"/>
                <w:szCs w:val="18"/>
              </w:rPr>
            </w:pPr>
            <w:r>
              <w:rPr>
                <w:color w:val="0000FF"/>
                <w:sz w:val="18"/>
                <w:szCs w:val="18"/>
              </w:rPr>
              <w:t>Not married</w:t>
            </w:r>
          </w:p>
        </w:tc>
        <w:tc>
          <w:tcPr>
            <w:tcW w:w="426" w:type="pct"/>
          </w:tcPr>
          <w:p w14:paraId="459987A5" w14:textId="77777777" w:rsidR="005F014A" w:rsidRDefault="005F014A" w:rsidP="00532906">
            <w:pPr>
              <w:pStyle w:val="TableText-cent"/>
              <w:rPr>
                <w:color w:val="0000FF"/>
                <w:sz w:val="18"/>
                <w:szCs w:val="18"/>
              </w:rPr>
            </w:pPr>
            <w:r>
              <w:rPr>
                <w:color w:val="0000FF"/>
                <w:sz w:val="18"/>
                <w:szCs w:val="18"/>
              </w:rPr>
              <w:t>13,689</w:t>
            </w:r>
          </w:p>
        </w:tc>
        <w:tc>
          <w:tcPr>
            <w:tcW w:w="444" w:type="pct"/>
          </w:tcPr>
          <w:p w14:paraId="2DF59B8F" w14:textId="77777777" w:rsidR="005F014A" w:rsidRDefault="005F014A" w:rsidP="00532906">
            <w:pPr>
              <w:pStyle w:val="TableText-cent"/>
              <w:rPr>
                <w:color w:val="0000FF"/>
                <w:sz w:val="18"/>
                <w:szCs w:val="18"/>
              </w:rPr>
            </w:pPr>
            <w:r>
              <w:rPr>
                <w:color w:val="0000FF"/>
                <w:sz w:val="18"/>
                <w:szCs w:val="18"/>
              </w:rPr>
              <w:t>82.0%</w:t>
            </w:r>
          </w:p>
        </w:tc>
        <w:tc>
          <w:tcPr>
            <w:tcW w:w="349" w:type="pct"/>
          </w:tcPr>
          <w:p w14:paraId="425D95E4" w14:textId="77777777" w:rsidR="005F014A" w:rsidRDefault="005F014A" w:rsidP="00532906">
            <w:pPr>
              <w:pStyle w:val="TableText-cent"/>
              <w:rPr>
                <w:color w:val="0000FF"/>
                <w:sz w:val="18"/>
                <w:szCs w:val="18"/>
              </w:rPr>
            </w:pPr>
            <w:r>
              <w:rPr>
                <w:color w:val="0000FF"/>
                <w:sz w:val="18"/>
                <w:szCs w:val="18"/>
              </w:rPr>
              <w:t>8.0%</w:t>
            </w:r>
          </w:p>
        </w:tc>
        <w:tc>
          <w:tcPr>
            <w:tcW w:w="569" w:type="pct"/>
          </w:tcPr>
          <w:p w14:paraId="1B4C169C" w14:textId="77777777" w:rsidR="005F014A" w:rsidRDefault="005F014A" w:rsidP="00532906">
            <w:pPr>
              <w:pStyle w:val="TableText-cent"/>
              <w:rPr>
                <w:color w:val="0000FF"/>
                <w:sz w:val="18"/>
                <w:szCs w:val="18"/>
              </w:rPr>
            </w:pPr>
            <w:r>
              <w:rPr>
                <w:color w:val="0000FF"/>
                <w:sz w:val="18"/>
                <w:szCs w:val="18"/>
              </w:rPr>
              <w:t>71.8%</w:t>
            </w:r>
          </w:p>
        </w:tc>
        <w:tc>
          <w:tcPr>
            <w:tcW w:w="569" w:type="pct"/>
          </w:tcPr>
          <w:p w14:paraId="510C1CC9" w14:textId="77777777" w:rsidR="005F014A" w:rsidRDefault="005F014A" w:rsidP="00532906">
            <w:pPr>
              <w:pStyle w:val="TableText-cent"/>
              <w:rPr>
                <w:color w:val="0000FF"/>
                <w:sz w:val="18"/>
                <w:szCs w:val="18"/>
              </w:rPr>
            </w:pPr>
            <w:r>
              <w:rPr>
                <w:color w:val="0000FF"/>
                <w:sz w:val="18"/>
                <w:szCs w:val="18"/>
              </w:rPr>
              <w:t>77.3%</w:t>
            </w:r>
          </w:p>
        </w:tc>
        <w:tc>
          <w:tcPr>
            <w:tcW w:w="569" w:type="pct"/>
          </w:tcPr>
          <w:p w14:paraId="58B93B1C" w14:textId="77777777" w:rsidR="005F014A" w:rsidRDefault="005F014A" w:rsidP="00532906">
            <w:pPr>
              <w:pStyle w:val="TableText-cent"/>
              <w:rPr>
                <w:color w:val="0000FF"/>
                <w:sz w:val="18"/>
                <w:szCs w:val="18"/>
              </w:rPr>
            </w:pPr>
            <w:r>
              <w:rPr>
                <w:color w:val="0000FF"/>
                <w:sz w:val="18"/>
                <w:szCs w:val="18"/>
              </w:rPr>
              <w:t>82.6%</w:t>
            </w:r>
          </w:p>
        </w:tc>
        <w:tc>
          <w:tcPr>
            <w:tcW w:w="569" w:type="pct"/>
          </w:tcPr>
          <w:p w14:paraId="551D972F" w14:textId="77777777" w:rsidR="005F014A" w:rsidRDefault="005F014A" w:rsidP="00532906">
            <w:pPr>
              <w:pStyle w:val="TableText-cent"/>
              <w:rPr>
                <w:color w:val="0000FF"/>
                <w:sz w:val="18"/>
                <w:szCs w:val="18"/>
              </w:rPr>
            </w:pPr>
            <w:r>
              <w:rPr>
                <w:color w:val="0000FF"/>
                <w:sz w:val="18"/>
                <w:szCs w:val="18"/>
              </w:rPr>
              <w:t>87.5%</w:t>
            </w:r>
          </w:p>
        </w:tc>
        <w:tc>
          <w:tcPr>
            <w:tcW w:w="567" w:type="pct"/>
          </w:tcPr>
          <w:p w14:paraId="6B3DC322" w14:textId="77777777" w:rsidR="005F014A" w:rsidRDefault="005F014A" w:rsidP="00532906">
            <w:pPr>
              <w:pStyle w:val="TableText-cent"/>
              <w:rPr>
                <w:color w:val="0000FF"/>
                <w:sz w:val="18"/>
                <w:szCs w:val="18"/>
              </w:rPr>
            </w:pPr>
            <w:r>
              <w:rPr>
                <w:color w:val="0000FF"/>
                <w:sz w:val="18"/>
                <w:szCs w:val="18"/>
              </w:rPr>
              <w:t>91.7%</w:t>
            </w:r>
          </w:p>
        </w:tc>
      </w:tr>
      <w:tr w:rsidR="005F014A" w:rsidRPr="009B5870" w14:paraId="333B091A" w14:textId="77777777" w:rsidTr="00532906">
        <w:trPr>
          <w:cnfStyle w:val="010000000000" w:firstRow="0" w:lastRow="1" w:firstColumn="0" w:lastColumn="0" w:oddVBand="0" w:evenVBand="0" w:oddHBand="0" w:evenHBand="0" w:firstRowFirstColumn="0" w:firstRowLastColumn="0" w:lastRowFirstColumn="0" w:lastRowLastColumn="0"/>
          <w:trHeight w:val="242"/>
        </w:trPr>
        <w:tc>
          <w:tcPr>
            <w:tcW w:w="938" w:type="pct"/>
          </w:tcPr>
          <w:p w14:paraId="6769C6F9" w14:textId="77777777" w:rsidR="005F014A" w:rsidRDefault="005F014A" w:rsidP="00532906">
            <w:pPr>
              <w:pStyle w:val="TableText-cent"/>
              <w:jc w:val="left"/>
              <w:rPr>
                <w:color w:val="0000FF"/>
                <w:sz w:val="18"/>
                <w:szCs w:val="18"/>
              </w:rPr>
            </w:pPr>
            <w:r>
              <w:rPr>
                <w:color w:val="0000FF"/>
                <w:sz w:val="18"/>
                <w:szCs w:val="18"/>
              </w:rPr>
              <w:t>Medicaid eligible</w:t>
            </w:r>
          </w:p>
        </w:tc>
        <w:tc>
          <w:tcPr>
            <w:tcW w:w="426" w:type="pct"/>
          </w:tcPr>
          <w:p w14:paraId="600323C2" w14:textId="77777777" w:rsidR="005F014A" w:rsidRDefault="005F014A" w:rsidP="00532906">
            <w:pPr>
              <w:pStyle w:val="TableText-cent"/>
              <w:rPr>
                <w:color w:val="0000FF"/>
                <w:sz w:val="18"/>
                <w:szCs w:val="18"/>
              </w:rPr>
            </w:pPr>
            <w:r>
              <w:rPr>
                <w:color w:val="0000FF"/>
                <w:sz w:val="18"/>
                <w:szCs w:val="18"/>
              </w:rPr>
              <w:t>13,662</w:t>
            </w:r>
          </w:p>
        </w:tc>
        <w:tc>
          <w:tcPr>
            <w:tcW w:w="444" w:type="pct"/>
          </w:tcPr>
          <w:p w14:paraId="737FB97E" w14:textId="77777777" w:rsidR="005F014A" w:rsidRDefault="005F014A" w:rsidP="00532906">
            <w:pPr>
              <w:pStyle w:val="TableText-cent"/>
              <w:rPr>
                <w:color w:val="0000FF"/>
                <w:sz w:val="18"/>
                <w:szCs w:val="18"/>
              </w:rPr>
            </w:pPr>
            <w:r>
              <w:rPr>
                <w:color w:val="0000FF"/>
                <w:sz w:val="18"/>
                <w:szCs w:val="18"/>
              </w:rPr>
              <w:t>87.0%</w:t>
            </w:r>
          </w:p>
        </w:tc>
        <w:tc>
          <w:tcPr>
            <w:tcW w:w="349" w:type="pct"/>
          </w:tcPr>
          <w:p w14:paraId="05FC05D2" w14:textId="77777777" w:rsidR="005F014A" w:rsidRDefault="005F014A" w:rsidP="00532906">
            <w:pPr>
              <w:pStyle w:val="TableText-cent"/>
              <w:rPr>
                <w:color w:val="0000FF"/>
                <w:sz w:val="18"/>
                <w:szCs w:val="18"/>
              </w:rPr>
            </w:pPr>
            <w:r>
              <w:rPr>
                <w:color w:val="0000FF"/>
                <w:sz w:val="18"/>
                <w:szCs w:val="18"/>
              </w:rPr>
              <w:t>19.3%</w:t>
            </w:r>
          </w:p>
        </w:tc>
        <w:tc>
          <w:tcPr>
            <w:tcW w:w="569" w:type="pct"/>
          </w:tcPr>
          <w:p w14:paraId="30780442" w14:textId="77777777" w:rsidR="005F014A" w:rsidRDefault="005F014A" w:rsidP="00532906">
            <w:pPr>
              <w:pStyle w:val="TableText-cent"/>
              <w:rPr>
                <w:color w:val="0000FF"/>
                <w:sz w:val="18"/>
                <w:szCs w:val="18"/>
              </w:rPr>
            </w:pPr>
            <w:r>
              <w:rPr>
                <w:color w:val="0000FF"/>
                <w:sz w:val="18"/>
                <w:szCs w:val="18"/>
              </w:rPr>
              <w:t>62.7%</w:t>
            </w:r>
          </w:p>
        </w:tc>
        <w:tc>
          <w:tcPr>
            <w:tcW w:w="569" w:type="pct"/>
          </w:tcPr>
          <w:p w14:paraId="07482FF2" w14:textId="77777777" w:rsidR="005F014A" w:rsidRDefault="005F014A" w:rsidP="00532906">
            <w:pPr>
              <w:pStyle w:val="TableText-cent"/>
              <w:rPr>
                <w:color w:val="0000FF"/>
                <w:sz w:val="18"/>
                <w:szCs w:val="18"/>
              </w:rPr>
            </w:pPr>
            <w:r>
              <w:rPr>
                <w:color w:val="0000FF"/>
                <w:sz w:val="18"/>
                <w:szCs w:val="18"/>
              </w:rPr>
              <w:t>82.1%</w:t>
            </w:r>
          </w:p>
        </w:tc>
        <w:tc>
          <w:tcPr>
            <w:tcW w:w="569" w:type="pct"/>
          </w:tcPr>
          <w:p w14:paraId="776413D4" w14:textId="77777777" w:rsidR="005F014A" w:rsidRDefault="005F014A" w:rsidP="00532906">
            <w:pPr>
              <w:pStyle w:val="TableText-cent"/>
              <w:rPr>
                <w:color w:val="0000FF"/>
                <w:sz w:val="18"/>
                <w:szCs w:val="18"/>
              </w:rPr>
            </w:pPr>
            <w:r>
              <w:rPr>
                <w:color w:val="0000FF"/>
                <w:sz w:val="18"/>
                <w:szCs w:val="18"/>
              </w:rPr>
              <w:t>94.9%</w:t>
            </w:r>
          </w:p>
        </w:tc>
        <w:tc>
          <w:tcPr>
            <w:tcW w:w="569" w:type="pct"/>
          </w:tcPr>
          <w:p w14:paraId="55599FB4" w14:textId="77777777" w:rsidR="005F014A" w:rsidRDefault="005F014A" w:rsidP="00532906">
            <w:pPr>
              <w:pStyle w:val="TableText-cent"/>
              <w:rPr>
                <w:color w:val="0000FF"/>
                <w:sz w:val="18"/>
                <w:szCs w:val="18"/>
              </w:rPr>
            </w:pPr>
            <w:r>
              <w:rPr>
                <w:color w:val="0000FF"/>
                <w:sz w:val="18"/>
                <w:szCs w:val="18"/>
              </w:rPr>
              <w:t>100.0%</w:t>
            </w:r>
          </w:p>
        </w:tc>
        <w:tc>
          <w:tcPr>
            <w:tcW w:w="567" w:type="pct"/>
          </w:tcPr>
          <w:p w14:paraId="6A50A79C" w14:textId="77777777" w:rsidR="005F014A" w:rsidRDefault="005F014A" w:rsidP="00532906">
            <w:pPr>
              <w:pStyle w:val="TableText-cent"/>
              <w:rPr>
                <w:color w:val="0000FF"/>
                <w:sz w:val="18"/>
                <w:szCs w:val="18"/>
              </w:rPr>
            </w:pPr>
            <w:r>
              <w:rPr>
                <w:color w:val="0000FF"/>
                <w:sz w:val="18"/>
                <w:szCs w:val="18"/>
              </w:rPr>
              <w:t>100.0%</w:t>
            </w:r>
          </w:p>
        </w:tc>
      </w:tr>
    </w:tbl>
    <w:p w14:paraId="7AD906D4" w14:textId="70E50560" w:rsidR="005F014A" w:rsidRPr="00561398" w:rsidRDefault="005F014A" w:rsidP="005F014A">
      <w:pPr>
        <w:autoSpaceDE w:val="0"/>
        <w:autoSpaceDN w:val="0"/>
        <w:adjustRightInd w:val="0"/>
        <w:spacing w:before="240" w:after="240" w:line="240" w:lineRule="auto"/>
        <w:rPr>
          <w:rFonts w:ascii="Calibri" w:eastAsia="MS Mincho" w:hAnsi="Calibri" w:cs="Calibri"/>
          <w:bCs/>
          <w:color w:val="0000FF"/>
          <w:sz w:val="20"/>
          <w:szCs w:val="20"/>
        </w:rPr>
      </w:pPr>
      <w:r w:rsidRPr="00561398">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LJC03/LJC03_request</w:t>
      </w:r>
      <w:r w:rsidRPr="00561398">
        <w:rPr>
          <w:rFonts w:eastAsia="Times New Roman" w:cs="Times New Roman"/>
          <w:color w:val="0000FF"/>
          <w:sz w:val="20"/>
          <w:szCs w:val="20"/>
        </w:rPr>
        <w:t>_677.log)</w:t>
      </w:r>
      <w:r w:rsidRPr="00561398">
        <w:rPr>
          <w:rFonts w:ascii="Calibri" w:eastAsia="MS Mincho" w:hAnsi="Calibri" w:cs="Calibri"/>
          <w:bCs/>
          <w:color w:val="0000FF"/>
          <w:sz w:val="20"/>
          <w:szCs w:val="20"/>
        </w:rPr>
        <w:t xml:space="preserve"> </w:t>
      </w:r>
    </w:p>
    <w:p w14:paraId="72E7F1CB"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r w:rsidRPr="00A012BF">
        <w:rPr>
          <w:rFonts w:eastAsia="Times New Roman" w:cs="Times New Roman"/>
          <w:b/>
          <w:i/>
          <w:color w:val="0000FF"/>
        </w:rPr>
        <w:t>Tables 5</w:t>
      </w:r>
      <w:r>
        <w:rPr>
          <w:rFonts w:eastAsia="Times New Roman" w:cs="Times New Roman"/>
          <w:color w:val="0000FF"/>
        </w:rPr>
        <w:t xml:space="preserve"> and </w:t>
      </w:r>
      <w:r w:rsidRPr="00A012BF">
        <w:rPr>
          <w:rFonts w:eastAsia="Times New Roman" w:cs="Times New Roman"/>
          <w:b/>
          <w:i/>
          <w:color w:val="0000FF"/>
        </w:rPr>
        <w:t>6</w:t>
      </w:r>
      <w:r>
        <w:rPr>
          <w:rFonts w:eastAsia="Times New Roman" w:cs="Times New Roman"/>
          <w:color w:val="0000FF"/>
        </w:rPr>
        <w:t xml:space="preserve"> above indicate that there is a high prevalence of residents who are eligible for Medicaid and who are not married in the target population, that the relationship between these resident characteristics and self-reported pain is in the hypothesized direction, and that the facility-level means of these resident characteristics are also high.  Because these variables may be associated with the target population (i.e., long stay nursing facility residents) and may be less indicative of socio-economic status in this population, </w:t>
      </w:r>
      <w:r>
        <w:rPr>
          <w:rFonts w:ascii="Calibri" w:eastAsia="MS Mincho" w:hAnsi="Calibri" w:cs="Calibri"/>
          <w:bCs/>
          <w:color w:val="0000FF"/>
        </w:rPr>
        <w:t xml:space="preserve">these social risk factors were not further considered as potential risk adjustors for this measure. </w:t>
      </w:r>
    </w:p>
    <w:p w14:paraId="4733DF79"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2C10FFFF" w14:textId="6820505B"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 xml:space="preserve">Being male was associated with self-reported pain in the expected direction, with the proportion of residents who trigger the numerator for this measure being significantly higher among females than males; thus, </w:t>
      </w:r>
      <w:r>
        <w:rPr>
          <w:rFonts w:eastAsia="Times New Roman" w:cs="Times New Roman"/>
          <w:color w:val="0000FF"/>
        </w:rPr>
        <w:t xml:space="preserve">we further considered male gender as a potential risk adjustor for this measure. </w:t>
      </w:r>
      <w:r>
        <w:rPr>
          <w:rFonts w:ascii="Calibri" w:eastAsia="MS Mincho" w:hAnsi="Calibri" w:cs="Calibri"/>
          <w:bCs/>
          <w:color w:val="0000FF"/>
        </w:rPr>
        <w:t>Age of 85 years and older was also associated with self-reported pain</w:t>
      </w:r>
      <w:r w:rsidR="00300324">
        <w:rPr>
          <w:rFonts w:ascii="Calibri" w:eastAsia="MS Mincho" w:hAnsi="Calibri" w:cs="Calibri"/>
          <w:bCs/>
          <w:color w:val="0000FF"/>
        </w:rPr>
        <w:t xml:space="preserve"> in the hypothesized direction;</w:t>
      </w:r>
      <w:r>
        <w:rPr>
          <w:rFonts w:ascii="Calibri" w:eastAsia="MS Mincho" w:hAnsi="Calibri" w:cs="Calibri"/>
          <w:bCs/>
          <w:color w:val="0000FF"/>
        </w:rPr>
        <w:t xml:space="preserve"> the difference in the proportion of residents who trigger the numerator by age is large and statistically significant and, therefore, we further considered age of 85 years and older as a potential risk adjustor for this measure.</w:t>
      </w:r>
    </w:p>
    <w:p w14:paraId="2339A7B7" w14:textId="77777777" w:rsidR="005F014A" w:rsidRPr="00F31182" w:rsidRDefault="005F014A" w:rsidP="005F014A">
      <w:pPr>
        <w:autoSpaceDE w:val="0"/>
        <w:autoSpaceDN w:val="0"/>
        <w:adjustRightInd w:val="0"/>
        <w:spacing w:after="0" w:line="240" w:lineRule="auto"/>
        <w:rPr>
          <w:rFonts w:ascii="Calibri" w:eastAsia="MS Mincho" w:hAnsi="Calibri" w:cs="Calibri"/>
          <w:bCs/>
          <w:color w:val="0000FF"/>
          <w:highlight w:val="green"/>
        </w:rPr>
      </w:pPr>
    </w:p>
    <w:p w14:paraId="75E3D54B"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Based on the results of bivariate analyses, we examined three additional logistic regression models:</w:t>
      </w:r>
    </w:p>
    <w:p w14:paraId="407A98D4" w14:textId="77777777" w:rsidR="005F014A" w:rsidRDefault="005F014A" w:rsidP="002B676C">
      <w:pPr>
        <w:pStyle w:val="ListParagraph"/>
        <w:numPr>
          <w:ilvl w:val="0"/>
          <w:numId w:val="15"/>
        </w:numPr>
        <w:spacing w:after="0"/>
      </w:pPr>
      <w:r>
        <w:t>Risk adjusted for cognitive independence and oldest old (Model 1)</w:t>
      </w:r>
    </w:p>
    <w:p w14:paraId="3A45DD26" w14:textId="77777777" w:rsidR="005F014A" w:rsidRDefault="005F014A" w:rsidP="002B676C">
      <w:pPr>
        <w:pStyle w:val="ListParagraph"/>
        <w:numPr>
          <w:ilvl w:val="0"/>
          <w:numId w:val="15"/>
        </w:numPr>
        <w:spacing w:after="0"/>
      </w:pPr>
      <w:r>
        <w:t>Risk adjusted for cognitive independence and male gender (Model 2)</w:t>
      </w:r>
    </w:p>
    <w:p w14:paraId="2541D65E" w14:textId="77777777" w:rsidR="005F014A" w:rsidRDefault="005F014A" w:rsidP="002B676C">
      <w:pPr>
        <w:pStyle w:val="ListParagraph"/>
        <w:numPr>
          <w:ilvl w:val="0"/>
          <w:numId w:val="15"/>
        </w:numPr>
        <w:spacing w:after="0"/>
      </w:pPr>
      <w:r>
        <w:t>Risk adjusted for cognitive independence, oldest old, and male gender (Model 3)</w:t>
      </w:r>
    </w:p>
    <w:p w14:paraId="69C9ACA3" w14:textId="77777777" w:rsidR="005F014A" w:rsidRDefault="005F014A" w:rsidP="005F014A">
      <w:pPr>
        <w:spacing w:after="0"/>
      </w:pPr>
    </w:p>
    <w:p w14:paraId="78F0D6E8" w14:textId="79ACDC98" w:rsidR="005F014A" w:rsidRPr="00A90F18"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Model 1, t</w:t>
      </w:r>
      <w:r>
        <w:rPr>
          <w:iCs/>
          <w:color w:val="0000FF"/>
        </w:rPr>
        <w:t>he odds ratio for cognitive independence is 3.12 [95% CI</w:t>
      </w:r>
      <w:r w:rsidR="007868B1">
        <w:rPr>
          <w:iCs/>
          <w:color w:val="0000FF"/>
        </w:rPr>
        <w:t xml:space="preserve"> </w:t>
      </w:r>
      <w:r w:rsidR="00655351">
        <w:rPr>
          <w:iCs/>
          <w:color w:val="0000FF"/>
        </w:rPr>
        <w:t xml:space="preserve">= [3.06, </w:t>
      </w:r>
      <w:r>
        <w:rPr>
          <w:iCs/>
          <w:color w:val="0000FF"/>
        </w:rPr>
        <w:t>3.18], and the odds ratio for oldest old is 0.67 [95% CI</w:t>
      </w:r>
      <w:r w:rsidR="00655351">
        <w:rPr>
          <w:iCs/>
          <w:color w:val="0000FF"/>
        </w:rPr>
        <w:t xml:space="preserve"> =</w:t>
      </w:r>
      <w:r w:rsidR="007868B1">
        <w:rPr>
          <w:iCs/>
          <w:color w:val="0000FF"/>
        </w:rPr>
        <w:t xml:space="preserve"> </w:t>
      </w:r>
      <w:r w:rsidR="00655351">
        <w:rPr>
          <w:iCs/>
          <w:color w:val="0000FF"/>
        </w:rPr>
        <w:t xml:space="preserve">[0.66, </w:t>
      </w:r>
      <w:r>
        <w:rPr>
          <w:iCs/>
          <w:color w:val="0000FF"/>
        </w:rPr>
        <w:t xml:space="preserve">0.68]. Both odds ratios are statistically significant at </w:t>
      </w:r>
      <w:r w:rsidR="00B36A07">
        <w:rPr>
          <w:iCs/>
          <w:color w:val="0000FF"/>
        </w:rPr>
        <w:t xml:space="preserve">the 0.05 </w:t>
      </w:r>
      <w:r>
        <w:rPr>
          <w:iCs/>
          <w:color w:val="0000FF"/>
        </w:rPr>
        <w:t xml:space="preserve">level.  </w:t>
      </w:r>
      <w:proofErr w:type="gramStart"/>
      <w:r>
        <w:rPr>
          <w:iCs/>
          <w:color w:val="0000FF"/>
        </w:rPr>
        <w:t>Similar to</w:t>
      </w:r>
      <w:proofErr w:type="gramEnd"/>
      <w:r>
        <w:rPr>
          <w:iCs/>
          <w:color w:val="0000FF"/>
        </w:rPr>
        <w:t xml:space="preserve"> the results of the current risk adjustment model, the odds of </w:t>
      </w:r>
      <w:r>
        <w:rPr>
          <w:rFonts w:ascii="Calibri" w:eastAsia="MS Mincho" w:hAnsi="Calibri" w:cs="Calibri"/>
          <w:bCs/>
          <w:color w:val="0000FF"/>
        </w:rPr>
        <w:t xml:space="preserve">self-reporting moderate to severe pain are </w:t>
      </w:r>
      <w:r>
        <w:rPr>
          <w:iCs/>
          <w:color w:val="0000FF"/>
        </w:rPr>
        <w:t xml:space="preserve">over 2.12 times higher among those with </w:t>
      </w:r>
      <w:r>
        <w:rPr>
          <w:rFonts w:ascii="Calibri" w:eastAsia="MS Mincho" w:hAnsi="Calibri" w:cs="Calibri"/>
          <w:bCs/>
          <w:color w:val="0000FF"/>
        </w:rPr>
        <w:t>no i</w:t>
      </w:r>
      <w:r w:rsidRPr="009F2C46">
        <w:rPr>
          <w:rFonts w:ascii="Calibri" w:eastAsia="MS Mincho" w:hAnsi="Calibri" w:cs="Calibri"/>
          <w:bCs/>
          <w:color w:val="0000FF"/>
        </w:rPr>
        <w:t>mpairment in cognitive status</w:t>
      </w:r>
      <w:r>
        <w:rPr>
          <w:rFonts w:ascii="Calibri" w:eastAsia="MS Mincho" w:hAnsi="Calibri" w:cs="Calibri"/>
          <w:bCs/>
          <w:color w:val="0000FF"/>
        </w:rPr>
        <w:t>,</w:t>
      </w:r>
      <w:r w:rsidRPr="009F2C46">
        <w:rPr>
          <w:rFonts w:ascii="Calibri" w:eastAsia="MS Mincho" w:hAnsi="Calibri" w:cs="Calibri"/>
          <w:bCs/>
          <w:color w:val="0000FF"/>
        </w:rPr>
        <w:t xml:space="preserve"> </w:t>
      </w:r>
      <w:r>
        <w:rPr>
          <w:rFonts w:ascii="Calibri" w:eastAsia="MS Mincho" w:hAnsi="Calibri" w:cs="Calibri"/>
          <w:bCs/>
          <w:color w:val="0000FF"/>
        </w:rPr>
        <w:t xml:space="preserve">compared to those with cognitive impairments.  Consistent with previous studies, the odds of self-reporting moderate to severe pain are 33% lower among residents aged 85 and older, compared to younger residents.  </w:t>
      </w:r>
      <w:r>
        <w:rPr>
          <w:iCs/>
          <w:color w:val="0000FF"/>
        </w:rPr>
        <w:t xml:space="preserve">   </w:t>
      </w:r>
    </w:p>
    <w:p w14:paraId="4A717F7C"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7F34A5F7" w14:textId="05E52822" w:rsidR="005F014A" w:rsidRPr="00A90F18"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Model 2, t</w:t>
      </w:r>
      <w:r>
        <w:rPr>
          <w:iCs/>
          <w:color w:val="0000FF"/>
        </w:rPr>
        <w:t>he odds ratio for cognitive independence is 3.43 [95% CI</w:t>
      </w:r>
      <w:r w:rsidR="00655351">
        <w:rPr>
          <w:iCs/>
          <w:color w:val="0000FF"/>
        </w:rPr>
        <w:t xml:space="preserve"> =</w:t>
      </w:r>
      <w:r w:rsidR="007868B1">
        <w:rPr>
          <w:iCs/>
          <w:color w:val="0000FF"/>
        </w:rPr>
        <w:t xml:space="preserve"> </w:t>
      </w:r>
      <w:r w:rsidR="00655351">
        <w:rPr>
          <w:iCs/>
          <w:color w:val="0000FF"/>
        </w:rPr>
        <w:t xml:space="preserve">[3.37, </w:t>
      </w:r>
      <w:r>
        <w:rPr>
          <w:iCs/>
          <w:color w:val="0000FF"/>
        </w:rPr>
        <w:t>3.49], and the odds ratio for male gender is 0.78 [95% CI</w:t>
      </w:r>
      <w:r w:rsidR="00655351">
        <w:rPr>
          <w:iCs/>
          <w:color w:val="0000FF"/>
        </w:rPr>
        <w:t xml:space="preserve"> =</w:t>
      </w:r>
      <w:r w:rsidR="007868B1">
        <w:rPr>
          <w:iCs/>
          <w:color w:val="0000FF"/>
        </w:rPr>
        <w:t xml:space="preserve"> </w:t>
      </w:r>
      <w:r w:rsidR="00655351">
        <w:rPr>
          <w:iCs/>
          <w:color w:val="0000FF"/>
        </w:rPr>
        <w:t xml:space="preserve">[0.76, </w:t>
      </w:r>
      <w:r>
        <w:rPr>
          <w:iCs/>
          <w:color w:val="0000FF"/>
        </w:rPr>
        <w:t xml:space="preserve">0.79]. Both odds ratios are statistically significant at </w:t>
      </w:r>
      <w:r w:rsidR="00B36A07">
        <w:rPr>
          <w:iCs/>
          <w:color w:val="0000FF"/>
        </w:rPr>
        <w:t>the 0.05</w:t>
      </w:r>
      <w:r>
        <w:rPr>
          <w:iCs/>
          <w:color w:val="0000FF"/>
        </w:rPr>
        <w:t xml:space="preserve">level. </w:t>
      </w:r>
      <w:proofErr w:type="gramStart"/>
      <w:r>
        <w:rPr>
          <w:iCs/>
          <w:color w:val="0000FF"/>
        </w:rPr>
        <w:t>Similar to</w:t>
      </w:r>
      <w:proofErr w:type="gramEnd"/>
      <w:r>
        <w:rPr>
          <w:iCs/>
          <w:color w:val="0000FF"/>
        </w:rPr>
        <w:t xml:space="preserve"> the results of the current risk adjustment model, the odds of self-reporting moderate to severe pain are over 2.43 times higher among those with no impairment in cognitive status, compared to those with cognitive impairments.  In addition, the odds of self-reporting moderate to severe pain are 22% lower among male residents than female residents. </w:t>
      </w:r>
    </w:p>
    <w:p w14:paraId="21CFE07B"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3EE389F4" w14:textId="6B9305BA" w:rsidR="005F014A" w:rsidRPr="00A90F18"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Model 3, t</w:t>
      </w:r>
      <w:r>
        <w:rPr>
          <w:iCs/>
          <w:color w:val="0000FF"/>
        </w:rPr>
        <w:t>he odds ratio for cognitive independence is 3.13 [95% CI</w:t>
      </w:r>
      <w:r w:rsidR="00655351">
        <w:rPr>
          <w:iCs/>
          <w:color w:val="0000FF"/>
        </w:rPr>
        <w:t xml:space="preserve"> =</w:t>
      </w:r>
      <w:r w:rsidR="007868B1">
        <w:rPr>
          <w:iCs/>
          <w:color w:val="0000FF"/>
        </w:rPr>
        <w:t xml:space="preserve"> </w:t>
      </w:r>
      <w:r w:rsidR="00655351">
        <w:rPr>
          <w:iCs/>
          <w:color w:val="0000FF"/>
        </w:rPr>
        <w:t xml:space="preserve">[3.08, </w:t>
      </w:r>
      <w:r>
        <w:rPr>
          <w:iCs/>
          <w:color w:val="0000FF"/>
        </w:rPr>
        <w:t>3.19], the odds ratio for oldest old is 0.62 [95% CI</w:t>
      </w:r>
      <w:r w:rsidR="00655351">
        <w:rPr>
          <w:iCs/>
          <w:color w:val="0000FF"/>
        </w:rPr>
        <w:t xml:space="preserve"> =</w:t>
      </w:r>
      <w:r w:rsidR="007868B1">
        <w:rPr>
          <w:iCs/>
          <w:color w:val="0000FF"/>
        </w:rPr>
        <w:t xml:space="preserve"> </w:t>
      </w:r>
      <w:r w:rsidR="00655351">
        <w:rPr>
          <w:iCs/>
          <w:color w:val="0000FF"/>
        </w:rPr>
        <w:t xml:space="preserve">[0.61, </w:t>
      </w:r>
      <w:r>
        <w:rPr>
          <w:iCs/>
          <w:color w:val="0000FF"/>
        </w:rPr>
        <w:t>0.63], and the odds ratio for male gender is 0.71 [95% CI</w:t>
      </w:r>
      <w:r w:rsidR="00655351">
        <w:rPr>
          <w:iCs/>
          <w:color w:val="0000FF"/>
        </w:rPr>
        <w:t xml:space="preserve"> =</w:t>
      </w:r>
      <w:r w:rsidR="007868B1">
        <w:rPr>
          <w:iCs/>
          <w:color w:val="0000FF"/>
        </w:rPr>
        <w:t xml:space="preserve"> </w:t>
      </w:r>
      <w:r w:rsidR="00655351">
        <w:rPr>
          <w:iCs/>
          <w:color w:val="0000FF"/>
        </w:rPr>
        <w:t xml:space="preserve">[0.69, </w:t>
      </w:r>
      <w:r>
        <w:rPr>
          <w:iCs/>
          <w:color w:val="0000FF"/>
        </w:rPr>
        <w:t xml:space="preserve">0.72]. All odds ratios are statistically significant at </w:t>
      </w:r>
      <w:r w:rsidR="00B36A07">
        <w:rPr>
          <w:iCs/>
          <w:color w:val="0000FF"/>
        </w:rPr>
        <w:t xml:space="preserve">the 0.05 </w:t>
      </w:r>
      <w:r>
        <w:rPr>
          <w:iCs/>
          <w:color w:val="0000FF"/>
        </w:rPr>
        <w:t xml:space="preserve">level.  </w:t>
      </w:r>
      <w:proofErr w:type="gramStart"/>
      <w:r>
        <w:rPr>
          <w:iCs/>
          <w:color w:val="0000FF"/>
        </w:rPr>
        <w:t>Similar to</w:t>
      </w:r>
      <w:proofErr w:type="gramEnd"/>
      <w:r>
        <w:rPr>
          <w:iCs/>
          <w:color w:val="0000FF"/>
        </w:rPr>
        <w:t xml:space="preserve"> the results of the current risk adjustment model, the odds of self-reporting moderate to severe pain are over 2.13 times higher among those with no impairment in cognitive status, compared to those with cognitive impairments.  As in Model 1, </w:t>
      </w:r>
      <w:r>
        <w:rPr>
          <w:rFonts w:ascii="Calibri" w:eastAsia="MS Mincho" w:hAnsi="Calibri" w:cs="Calibri"/>
          <w:bCs/>
          <w:color w:val="0000FF"/>
        </w:rPr>
        <w:t xml:space="preserve">the odds of self-reporting moderate to severe pain are 38% lower among residents aged 85 and older, compared to younger residents.  As in Model 2, </w:t>
      </w:r>
      <w:r>
        <w:rPr>
          <w:iCs/>
          <w:color w:val="0000FF"/>
        </w:rPr>
        <w:t xml:space="preserve">the odds of self-reporting moderate to severe pain are 29% lower among male residents than female residents.  </w:t>
      </w:r>
    </w:p>
    <w:p w14:paraId="3A30231E"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63C008B1" w14:textId="2C061161"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 xml:space="preserve">We then compared the model fit and calibration for these two models to those for the current risk adjustment specification.  </w:t>
      </w:r>
      <w:r w:rsidRPr="0085116A">
        <w:rPr>
          <w:rFonts w:ascii="Calibri" w:eastAsia="MS Mincho" w:hAnsi="Calibri" w:cs="Calibri"/>
          <w:bCs/>
          <w:color w:val="0000FF"/>
        </w:rPr>
        <w:t xml:space="preserve">When we </w:t>
      </w:r>
      <w:r>
        <w:rPr>
          <w:rFonts w:ascii="Calibri" w:eastAsia="MS Mincho" w:hAnsi="Calibri" w:cs="Calibri"/>
          <w:bCs/>
          <w:color w:val="0000FF"/>
        </w:rPr>
        <w:t xml:space="preserve">additionally risk adjust for oldest old, the </w:t>
      </w:r>
      <w:r w:rsidR="00B36A07">
        <w:rPr>
          <w:rFonts w:ascii="Calibri" w:eastAsia="MS Mincho" w:hAnsi="Calibri" w:cs="Calibri"/>
          <w:bCs/>
          <w:color w:val="0000FF"/>
        </w:rPr>
        <w:t>c</w:t>
      </w:r>
      <w:r>
        <w:rPr>
          <w:rFonts w:ascii="Calibri" w:eastAsia="MS Mincho" w:hAnsi="Calibri" w:cs="Calibri"/>
          <w:bCs/>
          <w:color w:val="0000FF"/>
        </w:rPr>
        <w:t xml:space="preserve">-statistic increases slightly, by </w:t>
      </w:r>
      <w:r>
        <w:rPr>
          <w:rFonts w:eastAsia="Times New Roman" w:cs="Times New Roman"/>
          <w:color w:val="0000FF"/>
        </w:rPr>
        <w:t>0.02</w:t>
      </w:r>
      <w:r>
        <w:rPr>
          <w:rFonts w:ascii="Calibri" w:eastAsia="MS Mincho" w:hAnsi="Calibri" w:cs="Calibri"/>
          <w:bCs/>
          <w:color w:val="0000FF"/>
        </w:rPr>
        <w:t xml:space="preserve"> (from 0.65 to 0.67), compared to the </w:t>
      </w:r>
      <w:r w:rsidR="00B36A07">
        <w:rPr>
          <w:rFonts w:ascii="Calibri" w:eastAsia="MS Mincho" w:hAnsi="Calibri" w:cs="Calibri"/>
          <w:bCs/>
          <w:color w:val="0000FF"/>
        </w:rPr>
        <w:t>c</w:t>
      </w:r>
      <w:r>
        <w:rPr>
          <w:rFonts w:ascii="Calibri" w:eastAsia="MS Mincho" w:hAnsi="Calibri" w:cs="Calibri"/>
          <w:bCs/>
          <w:color w:val="0000FF"/>
        </w:rPr>
        <w:t>-statistic for the current risk adjustment model</w:t>
      </w:r>
      <w:r w:rsidRPr="0085116A">
        <w:rPr>
          <w:rFonts w:ascii="Calibri" w:eastAsia="MS Mincho" w:hAnsi="Calibri" w:cs="Calibri"/>
          <w:bCs/>
          <w:color w:val="0000FF"/>
        </w:rPr>
        <w:t xml:space="preserve">. </w:t>
      </w:r>
      <w:r>
        <w:rPr>
          <w:rFonts w:ascii="Calibri" w:eastAsia="MS Mincho" w:hAnsi="Calibri" w:cs="Calibri"/>
          <w:bCs/>
          <w:color w:val="0000FF"/>
        </w:rPr>
        <w:t xml:space="preserve"> Similarly, when we additionally risk adjust for gender, the </w:t>
      </w:r>
      <w:r w:rsidR="00B36A07">
        <w:rPr>
          <w:rFonts w:ascii="Calibri" w:eastAsia="MS Mincho" w:hAnsi="Calibri" w:cs="Calibri"/>
          <w:bCs/>
          <w:color w:val="0000FF"/>
        </w:rPr>
        <w:t>c</w:t>
      </w:r>
      <w:r>
        <w:rPr>
          <w:rFonts w:ascii="Calibri" w:eastAsia="MS Mincho" w:hAnsi="Calibri" w:cs="Calibri"/>
          <w:bCs/>
          <w:color w:val="0000FF"/>
        </w:rPr>
        <w:t xml:space="preserve">-statistic increases slightly, by 0.01 (from 0.65 to 0.66).  In addition, when we risk adjust for cognitive independence, oldest old, and gender, the </w:t>
      </w:r>
      <w:r w:rsidR="00B36A07">
        <w:rPr>
          <w:rFonts w:ascii="Calibri" w:eastAsia="MS Mincho" w:hAnsi="Calibri" w:cs="Calibri"/>
          <w:bCs/>
          <w:color w:val="0000FF"/>
        </w:rPr>
        <w:t>c</w:t>
      </w:r>
      <w:r>
        <w:rPr>
          <w:rFonts w:ascii="Calibri" w:eastAsia="MS Mincho" w:hAnsi="Calibri" w:cs="Calibri"/>
          <w:bCs/>
          <w:color w:val="0000FF"/>
        </w:rPr>
        <w:t>-statistic increases by 0.03 (from 0.65</w:t>
      </w:r>
      <w:r w:rsidRPr="0085116A">
        <w:rPr>
          <w:rFonts w:ascii="Calibri" w:eastAsia="MS Mincho" w:hAnsi="Calibri" w:cs="Calibri"/>
          <w:bCs/>
          <w:color w:val="0000FF"/>
        </w:rPr>
        <w:t xml:space="preserve"> </w:t>
      </w:r>
      <w:r>
        <w:rPr>
          <w:rFonts w:ascii="Calibri" w:eastAsia="MS Mincho" w:hAnsi="Calibri" w:cs="Calibri"/>
          <w:bCs/>
          <w:color w:val="0000FF"/>
        </w:rPr>
        <w:t xml:space="preserve">to 0.68), compared to the </w:t>
      </w:r>
      <w:r w:rsidR="00B36A07">
        <w:rPr>
          <w:rFonts w:ascii="Calibri" w:eastAsia="MS Mincho" w:hAnsi="Calibri" w:cs="Calibri"/>
          <w:bCs/>
          <w:color w:val="0000FF"/>
        </w:rPr>
        <w:t>c</w:t>
      </w:r>
      <w:r>
        <w:rPr>
          <w:rFonts w:ascii="Calibri" w:eastAsia="MS Mincho" w:hAnsi="Calibri" w:cs="Calibri"/>
          <w:bCs/>
          <w:color w:val="0000FF"/>
        </w:rPr>
        <w:t>-statistic for the current risk adjustment model.</w:t>
      </w:r>
    </w:p>
    <w:p w14:paraId="591A637D"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64678F8B" w14:textId="77777777" w:rsidR="005F014A" w:rsidRPr="007E610A" w:rsidRDefault="005F014A" w:rsidP="005F014A">
      <w:pPr>
        <w:autoSpaceDE w:val="0"/>
        <w:autoSpaceDN w:val="0"/>
        <w:adjustRightInd w:val="0"/>
        <w:spacing w:after="0" w:line="240" w:lineRule="auto"/>
        <w:rPr>
          <w:rFonts w:ascii="Calibri" w:eastAsia="MS Mincho" w:hAnsi="Calibri" w:cs="Calibri"/>
          <w:bCs/>
          <w:color w:val="0000FF"/>
        </w:rPr>
      </w:pPr>
      <w:r w:rsidRPr="00D20857">
        <w:rPr>
          <w:rFonts w:ascii="Calibri" w:eastAsia="MS Mincho" w:hAnsi="Calibri" w:cs="Calibri"/>
          <w:b/>
          <w:bCs/>
          <w:i/>
          <w:color w:val="0000FF"/>
        </w:rPr>
        <w:t>Table 7</w:t>
      </w:r>
      <w:r w:rsidRPr="0085116A">
        <w:rPr>
          <w:rFonts w:ascii="Calibri" w:eastAsia="MS Mincho" w:hAnsi="Calibri" w:cs="Calibri"/>
          <w:bCs/>
          <w:color w:val="0000FF"/>
        </w:rPr>
        <w:t xml:space="preserve"> provides further comparison of the </w:t>
      </w:r>
      <w:r>
        <w:rPr>
          <w:rFonts w:ascii="Calibri" w:eastAsia="MS Mincho" w:hAnsi="Calibri" w:cs="Calibri"/>
          <w:bCs/>
          <w:color w:val="0000FF"/>
        </w:rPr>
        <w:t>current risk adjustment model and alternate model specifications.</w:t>
      </w:r>
      <w:r w:rsidRPr="0085116A">
        <w:rPr>
          <w:rFonts w:ascii="Calibri" w:eastAsia="MS Mincho" w:hAnsi="Calibri" w:cs="Calibri"/>
          <w:bCs/>
          <w:color w:val="0000FF"/>
        </w:rPr>
        <w:t xml:space="preserve"> </w:t>
      </w:r>
    </w:p>
    <w:p w14:paraId="73FABF3B" w14:textId="77777777" w:rsidR="005F014A" w:rsidRPr="003C08AF" w:rsidRDefault="005F014A" w:rsidP="005F014A">
      <w:pPr>
        <w:pStyle w:val="TableTitle"/>
        <w:jc w:val="left"/>
      </w:pPr>
    </w:p>
    <w:p w14:paraId="75871E4F" w14:textId="77777777" w:rsidR="005F014A" w:rsidRPr="003C08AF" w:rsidRDefault="005F014A" w:rsidP="005F014A">
      <w:pPr>
        <w:pStyle w:val="TableTitle"/>
      </w:pPr>
      <w:r>
        <w:t>Table 7. Comparison of Model Performance for Alternate Risk Adjustment Specifications, NQF #0677</w:t>
      </w:r>
    </w:p>
    <w:tbl>
      <w:tblPr>
        <w:tblW w:w="5000" w:type="pct"/>
        <w:jc w:val="center"/>
        <w:tblLayout w:type="fixed"/>
        <w:tblCellMar>
          <w:left w:w="115" w:type="dxa"/>
          <w:right w:w="115" w:type="dxa"/>
        </w:tblCellMar>
        <w:tblLook w:val="04A0" w:firstRow="1" w:lastRow="0" w:firstColumn="1" w:lastColumn="0" w:noHBand="0" w:noVBand="1"/>
      </w:tblPr>
      <w:tblGrid>
        <w:gridCol w:w="1709"/>
        <w:gridCol w:w="1805"/>
        <w:gridCol w:w="1529"/>
        <w:gridCol w:w="1531"/>
        <w:gridCol w:w="1230"/>
        <w:gridCol w:w="1556"/>
      </w:tblGrid>
      <w:tr w:rsidR="005F014A" w:rsidRPr="00197EF5" w14:paraId="13F5F7E8" w14:textId="77777777" w:rsidTr="00532906">
        <w:trPr>
          <w:tblHeader/>
          <w:jc w:val="center"/>
        </w:trPr>
        <w:tc>
          <w:tcPr>
            <w:tcW w:w="913" w:type="pct"/>
            <w:tcBorders>
              <w:top w:val="single" w:sz="12" w:space="0" w:color="auto"/>
              <w:bottom w:val="single" w:sz="4" w:space="0" w:color="auto"/>
            </w:tcBorders>
            <w:shd w:val="clear" w:color="auto" w:fill="auto"/>
            <w:vAlign w:val="center"/>
            <w:hideMark/>
          </w:tcPr>
          <w:p w14:paraId="5BA2C1D8" w14:textId="77777777" w:rsidR="005F014A" w:rsidRPr="00E10A7B" w:rsidRDefault="005F014A" w:rsidP="00532906">
            <w:pPr>
              <w:spacing w:before="40" w:after="40" w:line="240" w:lineRule="auto"/>
              <w:contextualSpacing/>
              <w:rPr>
                <w:rFonts w:eastAsia="Times New Roman" w:cs="Times New Roman"/>
                <w:color w:val="0000FF"/>
                <w:sz w:val="20"/>
                <w:szCs w:val="20"/>
              </w:rPr>
            </w:pPr>
            <w:r w:rsidRPr="00E10A7B">
              <w:rPr>
                <w:rFonts w:eastAsia="Times New Roman" w:cs="Times New Roman"/>
                <w:color w:val="0000FF"/>
                <w:sz w:val="20"/>
                <w:szCs w:val="20"/>
              </w:rPr>
              <w:t xml:space="preserve">Model Covariates </w:t>
            </w:r>
          </w:p>
        </w:tc>
        <w:tc>
          <w:tcPr>
            <w:tcW w:w="964" w:type="pct"/>
            <w:tcBorders>
              <w:top w:val="single" w:sz="12" w:space="0" w:color="auto"/>
              <w:bottom w:val="single" w:sz="4" w:space="0" w:color="auto"/>
            </w:tcBorders>
            <w:shd w:val="clear" w:color="auto" w:fill="auto"/>
            <w:vAlign w:val="center"/>
            <w:hideMark/>
          </w:tcPr>
          <w:p w14:paraId="0DF37322" w14:textId="77777777" w:rsidR="005F014A" w:rsidRPr="00E10A7B" w:rsidRDefault="005F014A" w:rsidP="00532906">
            <w:pPr>
              <w:spacing w:before="40" w:after="40" w:line="240" w:lineRule="auto"/>
              <w:contextualSpacing/>
              <w:jc w:val="center"/>
              <w:rPr>
                <w:rFonts w:eastAsia="Times New Roman" w:cs="Times New Roman"/>
                <w:color w:val="0000FF"/>
                <w:sz w:val="20"/>
                <w:szCs w:val="20"/>
              </w:rPr>
            </w:pPr>
            <w:r w:rsidRPr="00E10A7B">
              <w:rPr>
                <w:rFonts w:eastAsia="Times New Roman" w:cs="Times New Roman"/>
                <w:color w:val="0000FF"/>
                <w:sz w:val="20"/>
                <w:szCs w:val="20"/>
              </w:rPr>
              <w:t>Hosmer-Lemeshow Chi</w:t>
            </w:r>
            <w:r w:rsidRPr="00E10A7B">
              <w:rPr>
                <w:rFonts w:eastAsia="Times New Roman" w:cs="Times New Roman"/>
                <w:color w:val="0000FF"/>
                <w:sz w:val="20"/>
                <w:szCs w:val="20"/>
                <w:vertAlign w:val="superscript"/>
              </w:rPr>
              <w:t>2</w:t>
            </w:r>
            <w:r w:rsidRPr="00E10A7B">
              <w:rPr>
                <w:rFonts w:eastAsia="Times New Roman" w:cs="Times New Roman"/>
                <w:color w:val="0000FF"/>
                <w:sz w:val="20"/>
                <w:szCs w:val="20"/>
              </w:rPr>
              <w:t xml:space="preserve">, </w:t>
            </w:r>
            <w:r w:rsidRPr="00E10A7B">
              <w:rPr>
                <w:rFonts w:eastAsia="Times New Roman" w:cs="Times New Roman"/>
                <w:i/>
                <w:color w:val="0000FF"/>
                <w:sz w:val="20"/>
                <w:szCs w:val="20"/>
              </w:rPr>
              <w:t>P</w:t>
            </w:r>
            <w:r w:rsidRPr="00E10A7B">
              <w:rPr>
                <w:rFonts w:eastAsia="Times New Roman" w:cs="Times New Roman"/>
                <w:color w:val="0000FF"/>
                <w:sz w:val="20"/>
                <w:szCs w:val="20"/>
              </w:rPr>
              <w:t>-value</w:t>
            </w:r>
          </w:p>
        </w:tc>
        <w:tc>
          <w:tcPr>
            <w:tcW w:w="817" w:type="pct"/>
            <w:tcBorders>
              <w:top w:val="single" w:sz="12" w:space="0" w:color="auto"/>
              <w:bottom w:val="single" w:sz="4" w:space="0" w:color="auto"/>
            </w:tcBorders>
          </w:tcPr>
          <w:p w14:paraId="4F9495E6" w14:textId="77777777" w:rsidR="005F014A" w:rsidRPr="00E10A7B" w:rsidRDefault="005F014A" w:rsidP="00532906">
            <w:pPr>
              <w:spacing w:before="40" w:after="40" w:line="240" w:lineRule="auto"/>
              <w:contextualSpacing/>
              <w:jc w:val="center"/>
              <w:rPr>
                <w:rFonts w:eastAsia="Times New Roman" w:cs="Times New Roman"/>
                <w:color w:val="0000FF"/>
                <w:sz w:val="20"/>
                <w:szCs w:val="20"/>
              </w:rPr>
            </w:pPr>
            <w:r w:rsidRPr="00E10A7B">
              <w:rPr>
                <w:rFonts w:eastAsia="Times New Roman" w:cs="Times New Roman"/>
                <w:color w:val="0000FF"/>
                <w:sz w:val="20"/>
                <w:szCs w:val="20"/>
              </w:rPr>
              <w:t>AIC</w:t>
            </w:r>
          </w:p>
        </w:tc>
        <w:tc>
          <w:tcPr>
            <w:tcW w:w="818" w:type="pct"/>
            <w:tcBorders>
              <w:top w:val="single" w:sz="12" w:space="0" w:color="auto"/>
              <w:bottom w:val="single" w:sz="4" w:space="0" w:color="auto"/>
            </w:tcBorders>
          </w:tcPr>
          <w:p w14:paraId="12477B63" w14:textId="77777777" w:rsidR="005F014A" w:rsidRPr="00E10A7B" w:rsidRDefault="005F014A" w:rsidP="00532906">
            <w:pPr>
              <w:spacing w:before="40" w:after="40" w:line="240" w:lineRule="auto"/>
              <w:contextualSpacing/>
              <w:jc w:val="center"/>
              <w:rPr>
                <w:rFonts w:eastAsia="Times New Roman" w:cs="Times New Roman"/>
                <w:color w:val="0000FF"/>
                <w:sz w:val="20"/>
                <w:szCs w:val="20"/>
              </w:rPr>
            </w:pPr>
            <w:r w:rsidRPr="00E10A7B">
              <w:rPr>
                <w:rFonts w:eastAsia="Times New Roman" w:cs="Times New Roman"/>
                <w:color w:val="0000FF"/>
                <w:sz w:val="20"/>
                <w:szCs w:val="20"/>
              </w:rPr>
              <w:t>BIC</w:t>
            </w:r>
          </w:p>
        </w:tc>
        <w:tc>
          <w:tcPr>
            <w:tcW w:w="657" w:type="pct"/>
            <w:tcBorders>
              <w:top w:val="single" w:sz="12" w:space="0" w:color="auto"/>
              <w:bottom w:val="single" w:sz="4" w:space="0" w:color="auto"/>
            </w:tcBorders>
          </w:tcPr>
          <w:p w14:paraId="5B554ED8" w14:textId="77777777" w:rsidR="005F014A" w:rsidRPr="00E10A7B" w:rsidRDefault="005F014A" w:rsidP="00532906">
            <w:pPr>
              <w:spacing w:before="40" w:after="40" w:line="240" w:lineRule="auto"/>
              <w:contextualSpacing/>
              <w:jc w:val="center"/>
              <w:rPr>
                <w:rFonts w:eastAsia="Times New Roman" w:cs="Times New Roman"/>
                <w:color w:val="0000FF"/>
                <w:sz w:val="20"/>
                <w:szCs w:val="20"/>
                <w:vertAlign w:val="superscript"/>
              </w:rPr>
            </w:pPr>
            <w:r w:rsidRPr="00E10A7B">
              <w:rPr>
                <w:rFonts w:eastAsia="Times New Roman" w:cs="Times New Roman"/>
                <w:color w:val="0000FF"/>
                <w:sz w:val="20"/>
                <w:szCs w:val="20"/>
              </w:rPr>
              <w:t xml:space="preserve">Pseudo </w:t>
            </w:r>
            <w:r w:rsidRPr="00E10A7B">
              <w:rPr>
                <w:rFonts w:eastAsia="Times New Roman" w:cs="Times New Roman"/>
                <w:i/>
                <w:color w:val="0000FF"/>
                <w:sz w:val="20"/>
                <w:szCs w:val="20"/>
              </w:rPr>
              <w:t>R</w:t>
            </w:r>
            <w:r w:rsidRPr="00E10A7B">
              <w:rPr>
                <w:rFonts w:eastAsia="Times New Roman" w:cs="Times New Roman"/>
                <w:color w:val="0000FF"/>
                <w:sz w:val="20"/>
                <w:szCs w:val="20"/>
                <w:vertAlign w:val="superscript"/>
              </w:rPr>
              <w:t>2</w:t>
            </w:r>
          </w:p>
        </w:tc>
        <w:tc>
          <w:tcPr>
            <w:tcW w:w="831" w:type="pct"/>
            <w:tcBorders>
              <w:top w:val="single" w:sz="12" w:space="0" w:color="auto"/>
              <w:bottom w:val="single" w:sz="4" w:space="0" w:color="auto"/>
            </w:tcBorders>
          </w:tcPr>
          <w:p w14:paraId="72BE920D" w14:textId="77777777" w:rsidR="005F014A" w:rsidRPr="00E10A7B" w:rsidRDefault="005F014A" w:rsidP="00532906">
            <w:pPr>
              <w:spacing w:before="40" w:after="40" w:line="240" w:lineRule="auto"/>
              <w:contextualSpacing/>
              <w:jc w:val="center"/>
              <w:rPr>
                <w:rFonts w:eastAsia="Times New Roman" w:cs="Times New Roman"/>
                <w:color w:val="0000FF"/>
                <w:sz w:val="20"/>
                <w:szCs w:val="20"/>
              </w:rPr>
            </w:pPr>
            <w:r w:rsidRPr="00E10A7B">
              <w:rPr>
                <w:rFonts w:eastAsia="Times New Roman" w:cs="Times New Roman"/>
                <w:color w:val="0000FF"/>
                <w:sz w:val="20"/>
                <w:szCs w:val="20"/>
              </w:rPr>
              <w:t>Log Likelihood</w:t>
            </w:r>
          </w:p>
        </w:tc>
      </w:tr>
      <w:tr w:rsidR="005F014A" w:rsidRPr="00197EF5" w14:paraId="2C93ADDF" w14:textId="77777777" w:rsidTr="00532906">
        <w:trPr>
          <w:jc w:val="center"/>
        </w:trPr>
        <w:tc>
          <w:tcPr>
            <w:tcW w:w="913" w:type="pct"/>
            <w:tcBorders>
              <w:top w:val="single" w:sz="4" w:space="0" w:color="auto"/>
            </w:tcBorders>
            <w:shd w:val="clear" w:color="auto" w:fill="auto"/>
            <w:hideMark/>
          </w:tcPr>
          <w:p w14:paraId="5E344A6F"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 xml:space="preserve">Cognitive independence </w:t>
            </w:r>
          </w:p>
        </w:tc>
        <w:tc>
          <w:tcPr>
            <w:tcW w:w="964" w:type="pct"/>
            <w:tcBorders>
              <w:top w:val="single" w:sz="4" w:space="0" w:color="auto"/>
            </w:tcBorders>
            <w:shd w:val="clear" w:color="auto" w:fill="auto"/>
            <w:hideMark/>
          </w:tcPr>
          <w:p w14:paraId="17186549" w14:textId="77777777" w:rsidR="005F014A" w:rsidRPr="00E10A7B" w:rsidRDefault="005F014A" w:rsidP="00532906">
            <w:pPr>
              <w:spacing w:before="40" w:after="40" w:line="240" w:lineRule="auto"/>
              <w:jc w:val="center"/>
              <w:rPr>
                <w:rFonts w:eastAsia="Times New Roman" w:cs="Times New Roman"/>
                <w:color w:val="0000FF"/>
                <w:sz w:val="20"/>
                <w:szCs w:val="20"/>
              </w:rPr>
            </w:pPr>
            <w:r w:rsidRPr="00E10A7B">
              <w:rPr>
                <w:rFonts w:eastAsia="Times New Roman" w:cs="Times New Roman"/>
                <w:color w:val="0000FF"/>
                <w:sz w:val="20"/>
                <w:szCs w:val="20"/>
              </w:rPr>
              <w:t>--</w:t>
            </w:r>
          </w:p>
        </w:tc>
        <w:tc>
          <w:tcPr>
            <w:tcW w:w="817" w:type="pct"/>
            <w:tcBorders>
              <w:top w:val="single" w:sz="4" w:space="0" w:color="auto"/>
            </w:tcBorders>
          </w:tcPr>
          <w:p w14:paraId="1DF256A5"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394,307.5</w:t>
            </w:r>
          </w:p>
        </w:tc>
        <w:tc>
          <w:tcPr>
            <w:tcW w:w="818" w:type="pct"/>
            <w:tcBorders>
              <w:top w:val="single" w:sz="4" w:space="0" w:color="auto"/>
            </w:tcBorders>
          </w:tcPr>
          <w:p w14:paraId="74F2C976"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394,330.8</w:t>
            </w:r>
          </w:p>
        </w:tc>
        <w:tc>
          <w:tcPr>
            <w:tcW w:w="657" w:type="pct"/>
            <w:tcBorders>
              <w:top w:val="single" w:sz="4" w:space="0" w:color="auto"/>
            </w:tcBorders>
          </w:tcPr>
          <w:p w14:paraId="2127A5AF"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0.0453</w:t>
            </w:r>
          </w:p>
        </w:tc>
        <w:tc>
          <w:tcPr>
            <w:tcW w:w="831" w:type="pct"/>
            <w:tcBorders>
              <w:top w:val="single" w:sz="4" w:space="0" w:color="auto"/>
            </w:tcBorders>
          </w:tcPr>
          <w:p w14:paraId="090C011F"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-197,151.8</w:t>
            </w:r>
          </w:p>
        </w:tc>
      </w:tr>
      <w:tr w:rsidR="005F014A" w:rsidRPr="00197EF5" w14:paraId="7481CC42" w14:textId="77777777" w:rsidTr="00532906">
        <w:trPr>
          <w:jc w:val="center"/>
        </w:trPr>
        <w:tc>
          <w:tcPr>
            <w:tcW w:w="913" w:type="pct"/>
            <w:shd w:val="clear" w:color="auto" w:fill="auto"/>
            <w:hideMark/>
          </w:tcPr>
          <w:p w14:paraId="388212E9"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Model 1</w:t>
            </w:r>
          </w:p>
        </w:tc>
        <w:tc>
          <w:tcPr>
            <w:tcW w:w="964" w:type="pct"/>
            <w:shd w:val="clear" w:color="auto" w:fill="auto"/>
          </w:tcPr>
          <w:p w14:paraId="711C58BF" w14:textId="77777777" w:rsidR="005F014A" w:rsidRPr="00E10A7B" w:rsidRDefault="005F014A" w:rsidP="00532906">
            <w:pPr>
              <w:spacing w:before="40" w:after="40" w:line="240" w:lineRule="auto"/>
              <w:ind w:right="327"/>
              <w:jc w:val="center"/>
              <w:rPr>
                <w:rFonts w:eastAsia="Times New Roman" w:cs="Times New Roman"/>
                <w:color w:val="0000FF"/>
                <w:sz w:val="20"/>
                <w:szCs w:val="20"/>
              </w:rPr>
            </w:pPr>
            <w:r w:rsidRPr="00E10A7B">
              <w:rPr>
                <w:rFonts w:eastAsia="Times New Roman" w:cs="Times New Roman"/>
                <w:color w:val="0000FF"/>
                <w:sz w:val="20"/>
                <w:szCs w:val="20"/>
              </w:rPr>
              <w:t>2.03, 0.362</w:t>
            </w:r>
          </w:p>
        </w:tc>
        <w:tc>
          <w:tcPr>
            <w:tcW w:w="817" w:type="pct"/>
          </w:tcPr>
          <w:p w14:paraId="67858B00"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392,654.3</w:t>
            </w:r>
          </w:p>
        </w:tc>
        <w:tc>
          <w:tcPr>
            <w:tcW w:w="818" w:type="pct"/>
          </w:tcPr>
          <w:p w14:paraId="09326355"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392,689.2</w:t>
            </w:r>
          </w:p>
        </w:tc>
        <w:tc>
          <w:tcPr>
            <w:tcW w:w="657" w:type="pct"/>
          </w:tcPr>
          <w:p w14:paraId="6D196FAB"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0.0493</w:t>
            </w:r>
          </w:p>
        </w:tc>
        <w:tc>
          <w:tcPr>
            <w:tcW w:w="831" w:type="pct"/>
          </w:tcPr>
          <w:p w14:paraId="03DDF161"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-196,324.1</w:t>
            </w:r>
          </w:p>
        </w:tc>
      </w:tr>
      <w:tr w:rsidR="005F014A" w:rsidRPr="00197EF5" w14:paraId="186A29CE" w14:textId="77777777" w:rsidTr="00532906">
        <w:trPr>
          <w:jc w:val="center"/>
        </w:trPr>
        <w:tc>
          <w:tcPr>
            <w:tcW w:w="913" w:type="pct"/>
            <w:shd w:val="clear" w:color="auto" w:fill="auto"/>
          </w:tcPr>
          <w:p w14:paraId="3285FEC2"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Model 2</w:t>
            </w:r>
          </w:p>
        </w:tc>
        <w:tc>
          <w:tcPr>
            <w:tcW w:w="964" w:type="pct"/>
            <w:shd w:val="clear" w:color="auto" w:fill="auto"/>
          </w:tcPr>
          <w:p w14:paraId="598B18D7" w14:textId="77777777" w:rsidR="005F014A" w:rsidRPr="00E10A7B" w:rsidRDefault="005F014A" w:rsidP="00532906">
            <w:pPr>
              <w:spacing w:before="40" w:after="40" w:line="240" w:lineRule="auto"/>
              <w:ind w:right="327"/>
              <w:jc w:val="center"/>
              <w:rPr>
                <w:rFonts w:eastAsia="Times New Roman" w:cs="Times New Roman"/>
                <w:color w:val="0000FF"/>
                <w:sz w:val="20"/>
                <w:szCs w:val="20"/>
              </w:rPr>
            </w:pPr>
            <w:r w:rsidRPr="00E10A7B">
              <w:rPr>
                <w:rFonts w:eastAsia="Times New Roman" w:cs="Times New Roman"/>
                <w:color w:val="0000FF"/>
                <w:sz w:val="20"/>
                <w:szCs w:val="20"/>
              </w:rPr>
              <w:t>80.94, &lt;0.001</w:t>
            </w:r>
          </w:p>
        </w:tc>
        <w:tc>
          <w:tcPr>
            <w:tcW w:w="817" w:type="pct"/>
          </w:tcPr>
          <w:p w14:paraId="4844CB11"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393,583.4</w:t>
            </w:r>
          </w:p>
        </w:tc>
        <w:tc>
          <w:tcPr>
            <w:tcW w:w="818" w:type="pct"/>
          </w:tcPr>
          <w:p w14:paraId="122F38A6"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393,618.3</w:t>
            </w:r>
          </w:p>
        </w:tc>
        <w:tc>
          <w:tcPr>
            <w:tcW w:w="657" w:type="pct"/>
          </w:tcPr>
          <w:p w14:paraId="389CFA3E"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0.0471</w:t>
            </w:r>
          </w:p>
        </w:tc>
        <w:tc>
          <w:tcPr>
            <w:tcW w:w="831" w:type="pct"/>
          </w:tcPr>
          <w:p w14:paraId="7938F05D"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-196,788.7</w:t>
            </w:r>
          </w:p>
        </w:tc>
      </w:tr>
      <w:tr w:rsidR="005F014A" w:rsidRPr="00197EF5" w14:paraId="7D32DD8B" w14:textId="77777777" w:rsidTr="00532906">
        <w:trPr>
          <w:jc w:val="center"/>
        </w:trPr>
        <w:tc>
          <w:tcPr>
            <w:tcW w:w="913" w:type="pct"/>
            <w:tcBorders>
              <w:bottom w:val="single" w:sz="4" w:space="0" w:color="auto"/>
            </w:tcBorders>
            <w:shd w:val="clear" w:color="auto" w:fill="auto"/>
          </w:tcPr>
          <w:p w14:paraId="3BD28DCA" w14:textId="77777777" w:rsidR="005F014A" w:rsidRPr="00E10A7B" w:rsidRDefault="005F014A" w:rsidP="00532906">
            <w:pPr>
              <w:spacing w:before="40" w:after="40" w:line="240" w:lineRule="auto"/>
              <w:rPr>
                <w:rFonts w:eastAsia="Times New Roman" w:cs="Times New Roman"/>
                <w:color w:val="0000FF"/>
                <w:sz w:val="20"/>
                <w:szCs w:val="20"/>
              </w:rPr>
            </w:pPr>
            <w:r w:rsidRPr="00E10A7B">
              <w:rPr>
                <w:rFonts w:eastAsia="Times New Roman" w:cs="Times New Roman"/>
                <w:color w:val="0000FF"/>
                <w:sz w:val="20"/>
                <w:szCs w:val="20"/>
              </w:rPr>
              <w:t>Model 3</w:t>
            </w:r>
          </w:p>
        </w:tc>
        <w:tc>
          <w:tcPr>
            <w:tcW w:w="964" w:type="pct"/>
            <w:tcBorders>
              <w:bottom w:val="single" w:sz="4" w:space="0" w:color="auto"/>
            </w:tcBorders>
            <w:shd w:val="clear" w:color="auto" w:fill="auto"/>
          </w:tcPr>
          <w:p w14:paraId="179662F0" w14:textId="77777777" w:rsidR="005F014A" w:rsidRPr="00E10A7B" w:rsidRDefault="005F014A" w:rsidP="00532906">
            <w:pPr>
              <w:spacing w:before="40" w:after="40" w:line="240" w:lineRule="auto"/>
              <w:ind w:right="327"/>
              <w:jc w:val="center"/>
              <w:rPr>
                <w:rFonts w:eastAsia="Times New Roman" w:cs="Times New Roman"/>
                <w:color w:val="0000FF"/>
                <w:sz w:val="20"/>
                <w:szCs w:val="20"/>
              </w:rPr>
            </w:pPr>
            <w:r w:rsidRPr="00E10A7B">
              <w:rPr>
                <w:rFonts w:eastAsia="Times New Roman" w:cs="Times New Roman"/>
                <w:color w:val="0000FF"/>
                <w:sz w:val="20"/>
                <w:szCs w:val="20"/>
              </w:rPr>
              <w:t>15.40, 0.004</w:t>
            </w:r>
          </w:p>
        </w:tc>
        <w:tc>
          <w:tcPr>
            <w:tcW w:w="817" w:type="pct"/>
            <w:tcBorders>
              <w:bottom w:val="single" w:sz="4" w:space="0" w:color="auto"/>
            </w:tcBorders>
          </w:tcPr>
          <w:p w14:paraId="7F5E61E2"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391,327.4</w:t>
            </w:r>
          </w:p>
        </w:tc>
        <w:tc>
          <w:tcPr>
            <w:tcW w:w="818" w:type="pct"/>
            <w:tcBorders>
              <w:bottom w:val="single" w:sz="4" w:space="0" w:color="auto"/>
            </w:tcBorders>
          </w:tcPr>
          <w:p w14:paraId="62DE0CFE"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391,373.9</w:t>
            </w:r>
          </w:p>
        </w:tc>
        <w:tc>
          <w:tcPr>
            <w:tcW w:w="657" w:type="pct"/>
            <w:tcBorders>
              <w:bottom w:val="single" w:sz="4" w:space="0" w:color="auto"/>
            </w:tcBorders>
          </w:tcPr>
          <w:p w14:paraId="7BA549B5"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0.0526</w:t>
            </w:r>
          </w:p>
        </w:tc>
        <w:tc>
          <w:tcPr>
            <w:tcW w:w="831" w:type="pct"/>
            <w:tcBorders>
              <w:bottom w:val="single" w:sz="4" w:space="0" w:color="auto"/>
            </w:tcBorders>
          </w:tcPr>
          <w:p w14:paraId="0F099201" w14:textId="77777777" w:rsidR="005F014A" w:rsidRPr="00E10A7B" w:rsidRDefault="005F014A" w:rsidP="00532906">
            <w:pPr>
              <w:spacing w:before="40" w:after="40" w:line="240" w:lineRule="auto"/>
              <w:ind w:right="327"/>
              <w:rPr>
                <w:rFonts w:eastAsia="Times New Roman" w:cs="Times New Roman"/>
                <w:color w:val="0000FF"/>
                <w:sz w:val="20"/>
                <w:szCs w:val="20"/>
              </w:rPr>
            </w:pPr>
            <w:r w:rsidRPr="00E10A7B">
              <w:rPr>
                <w:rFonts w:eastAsia="Times New Roman" w:cs="Times New Roman"/>
                <w:color w:val="0000FF"/>
                <w:sz w:val="20"/>
                <w:szCs w:val="20"/>
              </w:rPr>
              <w:t>-195,659.7</w:t>
            </w:r>
          </w:p>
        </w:tc>
      </w:tr>
    </w:tbl>
    <w:p w14:paraId="7F4DB55C" w14:textId="0369ADC0" w:rsidR="007868B1" w:rsidRPr="007868B1" w:rsidRDefault="00197EF5" w:rsidP="005F014A">
      <w:pPr>
        <w:spacing w:before="40" w:after="40" w:line="240" w:lineRule="auto"/>
        <w:rPr>
          <w:rFonts w:eastAsia="Times New Roman" w:cs="Times New Roman"/>
          <w:color w:val="0000FF"/>
          <w:sz w:val="20"/>
          <w:szCs w:val="20"/>
        </w:rPr>
      </w:pPr>
      <w:r>
        <w:rPr>
          <w:iCs/>
          <w:color w:val="0000FF"/>
          <w:sz w:val="20"/>
          <w:szCs w:val="20"/>
        </w:rPr>
        <w:t xml:space="preserve">NOTES: “-- </w:t>
      </w:r>
      <w:r w:rsidR="00E90F36">
        <w:rPr>
          <w:iCs/>
          <w:color w:val="0000FF"/>
          <w:sz w:val="20"/>
          <w:szCs w:val="20"/>
        </w:rPr>
        <w:t>“indicates</w:t>
      </w:r>
      <w:r>
        <w:rPr>
          <w:iCs/>
          <w:color w:val="0000FF"/>
          <w:sz w:val="20"/>
          <w:szCs w:val="20"/>
        </w:rPr>
        <w:t xml:space="preserve"> </w:t>
      </w:r>
      <w:r w:rsidR="007868B1">
        <w:rPr>
          <w:rFonts w:eastAsia="Times New Roman" w:cs="Times New Roman"/>
          <w:color w:val="0000FF"/>
          <w:sz w:val="20"/>
          <w:szCs w:val="20"/>
        </w:rPr>
        <w:t>that</w:t>
      </w:r>
      <w:r w:rsidR="007868B1">
        <w:rPr>
          <w:iCs/>
          <w:color w:val="0000FF"/>
          <w:sz w:val="20"/>
          <w:szCs w:val="20"/>
        </w:rPr>
        <w:t xml:space="preserve"> the Hosmer-Lemeshow test </w:t>
      </w:r>
      <w:r w:rsidR="007868B1" w:rsidRPr="007868B1">
        <w:rPr>
          <w:iCs/>
          <w:color w:val="0000FF"/>
          <w:sz w:val="20"/>
          <w:szCs w:val="20"/>
        </w:rPr>
        <w:t xml:space="preserve">has two quantiles, and the significance of the test statistic cannot be computed.  </w:t>
      </w:r>
    </w:p>
    <w:p w14:paraId="236A0BA5" w14:textId="12709C59" w:rsidR="005F014A" w:rsidRPr="000554AB" w:rsidRDefault="005F014A" w:rsidP="005F014A">
      <w:pPr>
        <w:spacing w:before="40" w:after="40" w:line="240" w:lineRule="auto"/>
        <w:rPr>
          <w:rFonts w:eastAsia="Times New Roman" w:cs="Times New Roman"/>
          <w:color w:val="0000FF"/>
          <w:sz w:val="20"/>
          <w:szCs w:val="20"/>
        </w:rPr>
      </w:pPr>
      <w:r w:rsidRPr="000554AB">
        <w:rPr>
          <w:rFonts w:eastAsia="Times New Roman" w:cs="Times New Roman"/>
          <w:color w:val="0000FF"/>
          <w:sz w:val="20"/>
          <w:szCs w:val="20"/>
        </w:rPr>
        <w:t>AIC: Akaike Information Criterion</w:t>
      </w:r>
    </w:p>
    <w:p w14:paraId="364D6D04" w14:textId="77777777" w:rsidR="005F014A" w:rsidRPr="000554AB" w:rsidRDefault="005F014A" w:rsidP="005F014A">
      <w:pPr>
        <w:autoSpaceDE w:val="0"/>
        <w:autoSpaceDN w:val="0"/>
        <w:adjustRightInd w:val="0"/>
        <w:spacing w:after="0" w:line="240" w:lineRule="auto"/>
        <w:rPr>
          <w:rFonts w:eastAsia="Times New Roman" w:cs="Times New Roman"/>
          <w:color w:val="0000FF"/>
          <w:sz w:val="20"/>
          <w:szCs w:val="20"/>
        </w:rPr>
      </w:pPr>
      <w:r w:rsidRPr="000554AB">
        <w:rPr>
          <w:rFonts w:eastAsia="Times New Roman" w:cs="Times New Roman"/>
          <w:color w:val="0000FF"/>
          <w:sz w:val="20"/>
          <w:szCs w:val="20"/>
        </w:rPr>
        <w:t>BIC: Bayesian Information Criterion</w:t>
      </w:r>
    </w:p>
    <w:p w14:paraId="535C1582" w14:textId="77777777" w:rsidR="005F014A" w:rsidRPr="000554AB" w:rsidRDefault="005F014A" w:rsidP="005F014A">
      <w:pPr>
        <w:autoSpaceDE w:val="0"/>
        <w:autoSpaceDN w:val="0"/>
        <w:adjustRightInd w:val="0"/>
        <w:spacing w:after="0" w:line="240" w:lineRule="auto"/>
        <w:rPr>
          <w:rFonts w:eastAsia="Times New Roman" w:cs="Times New Roman"/>
          <w:color w:val="0000FF"/>
          <w:sz w:val="20"/>
          <w:szCs w:val="20"/>
        </w:rPr>
      </w:pPr>
      <w:r w:rsidRPr="000554AB">
        <w:rPr>
          <w:rFonts w:eastAsia="Times New Roman" w:cs="Times New Roman"/>
          <w:color w:val="0000FF"/>
          <w:sz w:val="20"/>
          <w:szCs w:val="20"/>
        </w:rPr>
        <w:t>Model 1: Risk adjusted for cognitive independence and oldest old</w:t>
      </w:r>
    </w:p>
    <w:p w14:paraId="0EB1FB04" w14:textId="77777777" w:rsidR="005F014A" w:rsidRPr="000554AB" w:rsidRDefault="005F014A" w:rsidP="005F014A">
      <w:pPr>
        <w:autoSpaceDE w:val="0"/>
        <w:autoSpaceDN w:val="0"/>
        <w:adjustRightInd w:val="0"/>
        <w:spacing w:after="0" w:line="240" w:lineRule="auto"/>
        <w:rPr>
          <w:rFonts w:eastAsia="Times New Roman" w:cs="Times New Roman"/>
          <w:color w:val="0000FF"/>
          <w:sz w:val="20"/>
          <w:szCs w:val="20"/>
        </w:rPr>
      </w:pPr>
      <w:r w:rsidRPr="000554AB">
        <w:rPr>
          <w:rFonts w:eastAsia="Times New Roman" w:cs="Times New Roman"/>
          <w:color w:val="0000FF"/>
          <w:sz w:val="20"/>
          <w:szCs w:val="20"/>
        </w:rPr>
        <w:t>Model 2: Risk adjusted for cognitive independence and male gender</w:t>
      </w:r>
    </w:p>
    <w:p w14:paraId="5CF77350" w14:textId="77777777" w:rsidR="005F014A" w:rsidRPr="000554AB" w:rsidRDefault="005F014A" w:rsidP="005F014A">
      <w:pPr>
        <w:autoSpaceDE w:val="0"/>
        <w:autoSpaceDN w:val="0"/>
        <w:adjustRightInd w:val="0"/>
        <w:spacing w:after="0" w:line="240" w:lineRule="auto"/>
        <w:rPr>
          <w:rFonts w:eastAsia="Times New Roman" w:cs="Times New Roman"/>
          <w:color w:val="0000FF"/>
          <w:sz w:val="20"/>
          <w:szCs w:val="20"/>
        </w:rPr>
      </w:pPr>
      <w:r w:rsidRPr="000554AB">
        <w:rPr>
          <w:rFonts w:eastAsia="Times New Roman" w:cs="Times New Roman"/>
          <w:color w:val="0000FF"/>
          <w:sz w:val="20"/>
          <w:szCs w:val="20"/>
        </w:rPr>
        <w:t>Model 3: Risk adjusted for cognitive independence, oldest old, and male gender</w:t>
      </w:r>
    </w:p>
    <w:p w14:paraId="1C0F9A02" w14:textId="77777777" w:rsidR="005F014A" w:rsidRPr="000554AB" w:rsidRDefault="005F014A" w:rsidP="005F014A">
      <w:pPr>
        <w:autoSpaceDE w:val="0"/>
        <w:autoSpaceDN w:val="0"/>
        <w:adjustRightInd w:val="0"/>
        <w:spacing w:after="0" w:line="240" w:lineRule="auto"/>
        <w:rPr>
          <w:rFonts w:ascii="Calibri" w:eastAsia="MS Mincho" w:hAnsi="Calibri" w:cs="Calibri"/>
          <w:bCs/>
          <w:color w:val="0000FF"/>
          <w:sz w:val="20"/>
          <w:szCs w:val="20"/>
        </w:rPr>
      </w:pPr>
    </w:p>
    <w:p w14:paraId="1D93FF51" w14:textId="24C011F1" w:rsidR="005F014A" w:rsidRPr="000554AB" w:rsidRDefault="005F014A" w:rsidP="005F014A">
      <w:pPr>
        <w:autoSpaceDE w:val="0"/>
        <w:autoSpaceDN w:val="0"/>
        <w:adjustRightInd w:val="0"/>
        <w:spacing w:after="0" w:line="240" w:lineRule="auto"/>
        <w:rPr>
          <w:rFonts w:eastAsia="Times New Roman" w:cs="Times New Roman"/>
          <w:color w:val="0000FF"/>
          <w:sz w:val="20"/>
          <w:szCs w:val="20"/>
        </w:rPr>
      </w:pPr>
      <w:r w:rsidRPr="000554AB">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LJC04/LJC04_request</w:t>
      </w:r>
      <w:r w:rsidRPr="000554AB">
        <w:rPr>
          <w:rFonts w:eastAsia="Times New Roman" w:cs="Times New Roman"/>
          <w:color w:val="0000FF"/>
          <w:sz w:val="20"/>
          <w:szCs w:val="20"/>
        </w:rPr>
        <w:t>_677.log)</w:t>
      </w:r>
    </w:p>
    <w:p w14:paraId="51B68FEE" w14:textId="77777777" w:rsidR="005F014A" w:rsidRDefault="005F014A" w:rsidP="005F014A">
      <w:pPr>
        <w:autoSpaceDE w:val="0"/>
        <w:autoSpaceDN w:val="0"/>
        <w:adjustRightInd w:val="0"/>
        <w:spacing w:after="0" w:line="240" w:lineRule="auto"/>
        <w:rPr>
          <w:rFonts w:eastAsia="Times New Roman" w:cs="Times New Roman"/>
          <w:color w:val="0000FF"/>
        </w:rPr>
      </w:pPr>
    </w:p>
    <w:p w14:paraId="63BC7E91"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Based on the c-statistic and these model calibration statistics, overall, Model 3 appears to have the best fit and calibration.  However, we also note that the improvements to model fit and calibration by including these additional social risk factors are very slight, and there is almost no practical improvement in adding these risk adjustors to the risk adjustment model.</w:t>
      </w:r>
    </w:p>
    <w:p w14:paraId="51506A19" w14:textId="77777777" w:rsidR="005F014A" w:rsidRDefault="005F014A" w:rsidP="005F014A">
      <w:pPr>
        <w:autoSpaceDE w:val="0"/>
        <w:autoSpaceDN w:val="0"/>
        <w:adjustRightInd w:val="0"/>
        <w:spacing w:after="0" w:line="240" w:lineRule="auto"/>
        <w:rPr>
          <w:rFonts w:ascii="Calibri" w:eastAsia="MS Mincho" w:hAnsi="Calibri" w:cs="Calibri"/>
          <w:bCs/>
          <w:color w:val="0000FF"/>
        </w:rPr>
      </w:pPr>
    </w:p>
    <w:p w14:paraId="150330BA" w14:textId="7F48F225" w:rsidR="005F014A" w:rsidRPr="00CD070B" w:rsidRDefault="005F014A" w:rsidP="005F014A">
      <w:pPr>
        <w:autoSpaceDE w:val="0"/>
        <w:autoSpaceDN w:val="0"/>
        <w:adjustRightInd w:val="0"/>
        <w:spacing w:after="0" w:line="240" w:lineRule="auto"/>
        <w:rPr>
          <w:rFonts w:ascii="Calibri" w:eastAsia="MS Mincho" w:hAnsi="Calibri" w:cs="Calibri"/>
          <w:bCs/>
          <w:color w:val="0000FF"/>
        </w:rPr>
      </w:pPr>
      <w:r>
        <w:rPr>
          <w:rFonts w:ascii="Calibri" w:eastAsia="MS Mincho" w:hAnsi="Calibri" w:cs="Calibri"/>
          <w:bCs/>
          <w:color w:val="0000FF"/>
        </w:rPr>
        <w:t>In addition, we examined the correlation between quality measure scores, comparing the quality measure scores under the risk adjustment model specification for Models 1-3 to the current risk adjustment model (adjusted for cognitive independence only).  The quality measure scores calculated following the risk adjustment specifications in Models 1-3 are very highly correlated with the quality measure score under the current risk adjustment model (&gt;0.996</w:t>
      </w:r>
      <w:r w:rsidRPr="008518BF">
        <w:rPr>
          <w:rFonts w:ascii="Calibri" w:eastAsia="MS Mincho" w:hAnsi="Calibri" w:cs="Calibri"/>
          <w:bCs/>
          <w:color w:val="0000FF"/>
        </w:rPr>
        <w:t xml:space="preserve"> for all three </w:t>
      </w:r>
      <w:r>
        <w:rPr>
          <w:rFonts w:ascii="Calibri" w:eastAsia="MS Mincho" w:hAnsi="Calibri" w:cs="Calibri"/>
          <w:bCs/>
          <w:color w:val="0000FF"/>
        </w:rPr>
        <w:t>models risk</w:t>
      </w:r>
      <w:r w:rsidRPr="008518BF">
        <w:rPr>
          <w:rFonts w:ascii="Calibri" w:eastAsia="MS Mincho" w:hAnsi="Calibri" w:cs="Calibri"/>
          <w:bCs/>
          <w:color w:val="0000FF"/>
        </w:rPr>
        <w:t xml:space="preserve">-adjusted </w:t>
      </w:r>
      <w:r>
        <w:rPr>
          <w:rFonts w:ascii="Calibri" w:eastAsia="MS Mincho" w:hAnsi="Calibri" w:cs="Calibri"/>
          <w:bCs/>
          <w:color w:val="0000FF"/>
        </w:rPr>
        <w:t>for social risk factors,</w:t>
      </w:r>
      <w:r w:rsidRPr="008518BF">
        <w:rPr>
          <w:rFonts w:ascii="Calibri" w:eastAsia="MS Mincho" w:hAnsi="Calibri" w:cs="Calibri"/>
          <w:bCs/>
          <w:color w:val="0000FF"/>
        </w:rPr>
        <w:t xml:space="preserve"> </w:t>
      </w:r>
      <w:r w:rsidR="00197EF5">
        <w:rPr>
          <w:rFonts w:ascii="Calibri" w:eastAsia="MS Mincho" w:hAnsi="Calibri" w:cs="Calibri"/>
          <w:bCs/>
          <w:i/>
          <w:color w:val="0000FF"/>
        </w:rPr>
        <w:t>p</w:t>
      </w:r>
      <w:r>
        <w:rPr>
          <w:rFonts w:ascii="Calibri" w:eastAsia="MS Mincho" w:hAnsi="Calibri" w:cs="Calibri"/>
          <w:bCs/>
          <w:color w:val="0000FF"/>
        </w:rPr>
        <w:t xml:space="preserve"> &lt;</w:t>
      </w:r>
      <w:r w:rsidR="00197EF5">
        <w:rPr>
          <w:rFonts w:ascii="Calibri" w:eastAsia="MS Mincho" w:hAnsi="Calibri" w:cs="Calibri"/>
          <w:bCs/>
          <w:color w:val="0000FF"/>
        </w:rPr>
        <w:t xml:space="preserve"> </w:t>
      </w:r>
      <w:r>
        <w:rPr>
          <w:rFonts w:ascii="Calibri" w:eastAsia="MS Mincho" w:hAnsi="Calibri" w:cs="Calibri"/>
          <w:bCs/>
          <w:color w:val="0000FF"/>
        </w:rPr>
        <w:t>.001). The</w:t>
      </w:r>
      <w:r w:rsidRPr="008518BF">
        <w:rPr>
          <w:rFonts w:ascii="Calibri" w:eastAsia="MS Mincho" w:hAnsi="Calibri" w:cs="Calibri"/>
          <w:bCs/>
          <w:color w:val="0000FF"/>
        </w:rPr>
        <w:t xml:space="preserve"> high degree of correlation between the </w:t>
      </w:r>
      <w:r>
        <w:rPr>
          <w:rFonts w:ascii="Calibri" w:eastAsia="MS Mincho" w:hAnsi="Calibri" w:cs="Calibri"/>
          <w:bCs/>
          <w:color w:val="0000FF"/>
        </w:rPr>
        <w:t>risk-adjusted QM scores</w:t>
      </w:r>
      <w:r w:rsidRPr="008518BF">
        <w:rPr>
          <w:rFonts w:ascii="Calibri" w:eastAsia="MS Mincho" w:hAnsi="Calibri" w:cs="Calibri"/>
          <w:bCs/>
          <w:color w:val="0000FF"/>
        </w:rPr>
        <w:t xml:space="preserve"> suggests that</w:t>
      </w:r>
      <w:r>
        <w:rPr>
          <w:rFonts w:ascii="Calibri" w:eastAsia="MS Mincho" w:hAnsi="Calibri" w:cs="Calibri"/>
          <w:bCs/>
          <w:color w:val="0000FF"/>
        </w:rPr>
        <w:t>,</w:t>
      </w:r>
      <w:r w:rsidRPr="008518BF">
        <w:rPr>
          <w:rFonts w:ascii="Calibri" w:eastAsia="MS Mincho" w:hAnsi="Calibri" w:cs="Calibri"/>
          <w:bCs/>
          <w:color w:val="0000FF"/>
        </w:rPr>
        <w:t xml:space="preserve"> for most </w:t>
      </w:r>
      <w:r>
        <w:rPr>
          <w:rFonts w:ascii="Calibri" w:eastAsia="MS Mincho" w:hAnsi="Calibri" w:cs="Calibri"/>
          <w:bCs/>
          <w:color w:val="0000FF"/>
        </w:rPr>
        <w:t xml:space="preserve">nursing </w:t>
      </w:r>
      <w:r w:rsidRPr="008518BF">
        <w:rPr>
          <w:rFonts w:ascii="Calibri" w:eastAsia="MS Mincho" w:hAnsi="Calibri" w:cs="Calibri"/>
          <w:bCs/>
          <w:color w:val="0000FF"/>
        </w:rPr>
        <w:t xml:space="preserve">facilities, the </w:t>
      </w:r>
      <w:r>
        <w:rPr>
          <w:rFonts w:ascii="Calibri" w:eastAsia="MS Mincho" w:hAnsi="Calibri" w:cs="Calibri"/>
          <w:bCs/>
          <w:color w:val="0000FF"/>
        </w:rPr>
        <w:t>current risk adjustment model</w:t>
      </w:r>
      <w:r w:rsidRPr="008518BF">
        <w:rPr>
          <w:rFonts w:ascii="Calibri" w:eastAsia="MS Mincho" w:hAnsi="Calibri" w:cs="Calibri"/>
          <w:bCs/>
          <w:color w:val="0000FF"/>
        </w:rPr>
        <w:t xml:space="preserve"> and </w:t>
      </w:r>
      <w:r>
        <w:rPr>
          <w:rFonts w:ascii="Calibri" w:eastAsia="MS Mincho" w:hAnsi="Calibri" w:cs="Calibri"/>
          <w:bCs/>
          <w:color w:val="0000FF"/>
        </w:rPr>
        <w:t>alternate model specifications</w:t>
      </w:r>
      <w:r w:rsidRPr="008518BF">
        <w:rPr>
          <w:rFonts w:ascii="Calibri" w:eastAsia="MS Mincho" w:hAnsi="Calibri" w:cs="Calibri"/>
          <w:bCs/>
          <w:color w:val="0000FF"/>
        </w:rPr>
        <w:t xml:space="preserve"> are not significantly different.</w:t>
      </w:r>
      <w:r>
        <w:rPr>
          <w:rFonts w:ascii="Calibri" w:eastAsia="MS Mincho" w:hAnsi="Calibri" w:cs="Calibri"/>
          <w:bCs/>
          <w:color w:val="0000FF"/>
        </w:rPr>
        <w:t xml:space="preserve">    </w:t>
      </w:r>
    </w:p>
    <w:p w14:paraId="36711BC6" w14:textId="77777777" w:rsidR="005F014A" w:rsidRPr="002C1BDC" w:rsidRDefault="005F014A" w:rsidP="005F014A">
      <w:pPr>
        <w:autoSpaceDE w:val="0"/>
        <w:autoSpaceDN w:val="0"/>
        <w:adjustRightInd w:val="0"/>
        <w:spacing w:after="0" w:line="240" w:lineRule="auto"/>
        <w:rPr>
          <w:rFonts w:eastAsia="Times New Roman" w:cs="Times New Roman"/>
          <w:color w:val="0000FF"/>
        </w:rPr>
      </w:pPr>
    </w:p>
    <w:p w14:paraId="2C434A5B" w14:textId="14363D16" w:rsidR="005F014A" w:rsidRPr="000554AB" w:rsidRDefault="005F014A" w:rsidP="005F014A">
      <w:pPr>
        <w:autoSpaceDE w:val="0"/>
        <w:autoSpaceDN w:val="0"/>
        <w:adjustRightInd w:val="0"/>
        <w:spacing w:after="0" w:line="240" w:lineRule="auto"/>
        <w:rPr>
          <w:rFonts w:eastAsia="Times New Roman" w:cs="Times New Roman"/>
          <w:color w:val="0000FF"/>
          <w:sz w:val="20"/>
          <w:szCs w:val="20"/>
        </w:rPr>
      </w:pPr>
      <w:r w:rsidRPr="000554AB">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LJC04/LJC04_request</w:t>
      </w:r>
      <w:r w:rsidRPr="000554AB">
        <w:rPr>
          <w:rFonts w:eastAsia="Times New Roman" w:cs="Times New Roman"/>
          <w:color w:val="0000FF"/>
          <w:sz w:val="20"/>
          <w:szCs w:val="20"/>
        </w:rPr>
        <w:t>_677.log)</w:t>
      </w:r>
    </w:p>
    <w:p w14:paraId="2C884D37" w14:textId="77777777" w:rsidR="005F014A" w:rsidRPr="00001D73" w:rsidRDefault="005F014A" w:rsidP="005F014A">
      <w:pPr>
        <w:autoSpaceDE w:val="0"/>
        <w:autoSpaceDN w:val="0"/>
        <w:adjustRightInd w:val="0"/>
        <w:spacing w:after="0" w:line="240" w:lineRule="auto"/>
        <w:rPr>
          <w:rFonts w:cstheme="minorHAnsi"/>
          <w:b/>
          <w:bCs/>
        </w:rPr>
      </w:pPr>
    </w:p>
    <w:p w14:paraId="04070DC0" w14:textId="77777777" w:rsidR="005F014A" w:rsidRDefault="005F014A" w:rsidP="005F014A">
      <w:pPr>
        <w:autoSpaceDE w:val="0"/>
        <w:autoSpaceDN w:val="0"/>
        <w:adjustRightInd w:val="0"/>
        <w:spacing w:after="0" w:line="240" w:lineRule="auto"/>
        <w:rPr>
          <w:rFonts w:cstheme="minorHAnsi"/>
          <w:b/>
          <w:bCs/>
        </w:rPr>
      </w:pPr>
      <w:r>
        <w:rPr>
          <w:rFonts w:cstheme="minorHAnsi"/>
          <w:b/>
          <w:bCs/>
        </w:rPr>
        <w:t>2b3.5. Describe the method of</w:t>
      </w:r>
      <w:r w:rsidRPr="00A25024">
        <w:rPr>
          <w:rFonts w:cstheme="minorHAnsi"/>
          <w:b/>
          <w:bCs/>
        </w:rPr>
        <w:t xml:space="preserve"> </w:t>
      </w:r>
      <w:r>
        <w:rPr>
          <w:rFonts w:cstheme="minorHAnsi"/>
          <w:b/>
          <w:bCs/>
        </w:rPr>
        <w:t xml:space="preserve">testing/analysis used </w:t>
      </w:r>
      <w:r w:rsidRPr="00A25024">
        <w:rPr>
          <w:rFonts w:cstheme="minorHAnsi"/>
          <w:b/>
          <w:bCs/>
        </w:rPr>
        <w:t xml:space="preserve">to develop and validate the adequacy of the statistical model </w:t>
      </w:r>
      <w:r w:rsidRPr="006C3A4F">
        <w:rPr>
          <w:rFonts w:cstheme="minorHAnsi"/>
          <w:b/>
          <w:bCs/>
          <w:u w:val="single"/>
        </w:rPr>
        <w:t>or</w:t>
      </w:r>
      <w:r w:rsidRPr="00A25024">
        <w:rPr>
          <w:rFonts w:cstheme="minorHAnsi"/>
          <w:b/>
          <w:bCs/>
        </w:rPr>
        <w:t xml:space="preserve"> stratification approach</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Pr>
          <w:rFonts w:cstheme="minorHAnsi"/>
          <w:bCs/>
        </w:rPr>
        <w:t xml:space="preserve"> </w:t>
      </w:r>
      <w:r w:rsidRPr="00001D73">
        <w:rPr>
          <w:rFonts w:cstheme="minorHAnsi"/>
          <w:bCs/>
          <w:i/>
        </w:rPr>
        <w:t>Provide the statistical results from testing the approach to controlling for differences in patient characteristics (case mix) below</w:t>
      </w:r>
      <w:r>
        <w:rPr>
          <w:rFonts w:cstheme="minorHAnsi"/>
          <w:bCs/>
        </w:rPr>
        <w:t>.</w:t>
      </w:r>
      <w:r w:rsidRPr="00A25024">
        <w:rPr>
          <w:rFonts w:cstheme="minorHAnsi"/>
          <w:bCs/>
        </w:rPr>
        <w:br/>
      </w:r>
      <w:r w:rsidRPr="00743E46">
        <w:rPr>
          <w:rFonts w:cstheme="minorHAnsi"/>
          <w:b/>
          <w:bCs/>
          <w:i/>
          <w:highlight w:val="green"/>
        </w:rPr>
        <w:t xml:space="preserve">If stratified, skip to </w:t>
      </w:r>
      <w:hyperlink w:anchor="question2b49" w:history="1">
        <w:r>
          <w:rPr>
            <w:rStyle w:val="Hyperlink"/>
            <w:rFonts w:cstheme="minorHAnsi"/>
            <w:b/>
            <w:bCs/>
            <w:i/>
            <w:highlight w:val="green"/>
          </w:rPr>
          <w:t>2b3.9</w:t>
        </w:r>
      </w:hyperlink>
    </w:p>
    <w:p w14:paraId="1DA73F44" w14:textId="77777777" w:rsidR="005F014A" w:rsidRDefault="005F014A" w:rsidP="005F014A">
      <w:pPr>
        <w:autoSpaceDE w:val="0"/>
        <w:autoSpaceDN w:val="0"/>
        <w:adjustRightInd w:val="0"/>
        <w:spacing w:after="0" w:line="240" w:lineRule="auto"/>
        <w:rPr>
          <w:rFonts w:cstheme="minorHAnsi"/>
          <w:bCs/>
        </w:rPr>
      </w:pPr>
    </w:p>
    <w:p w14:paraId="3432D63E" w14:textId="77777777" w:rsidR="005F014A" w:rsidRDefault="005F014A" w:rsidP="005F014A">
      <w:pPr>
        <w:spacing w:after="240" w:line="240" w:lineRule="auto"/>
        <w:rPr>
          <w:iCs/>
          <w:color w:val="0000FF"/>
        </w:rPr>
      </w:pPr>
      <w:r>
        <w:rPr>
          <w:iCs/>
          <w:color w:val="0000FF"/>
        </w:rPr>
        <w:t>O</w:t>
      </w:r>
      <w:r w:rsidRPr="001B4B1B">
        <w:rPr>
          <w:iCs/>
          <w:color w:val="0000FF"/>
        </w:rPr>
        <w:t xml:space="preserve">ur risk adjustment model demonstrates reasonable predictive validity </w:t>
      </w:r>
      <w:r>
        <w:rPr>
          <w:iCs/>
          <w:color w:val="0000FF"/>
        </w:rPr>
        <w:t>for</w:t>
      </w:r>
      <w:r w:rsidRPr="001B4B1B">
        <w:rPr>
          <w:iCs/>
          <w:color w:val="0000FF"/>
        </w:rPr>
        <w:t xml:space="preserve"> </w:t>
      </w:r>
      <w:r>
        <w:rPr>
          <w:iCs/>
          <w:color w:val="0000FF"/>
        </w:rPr>
        <w:t>self-reported pain among long-stay nursing home residents</w:t>
      </w:r>
      <w:r w:rsidRPr="001B4B1B">
        <w:rPr>
          <w:iCs/>
          <w:color w:val="0000FF"/>
        </w:rPr>
        <w:t xml:space="preserve">. </w:t>
      </w:r>
      <w:r>
        <w:rPr>
          <w:iCs/>
          <w:color w:val="0000FF"/>
        </w:rPr>
        <w:t>After running each of the logistic</w:t>
      </w:r>
      <w:r w:rsidRPr="001B4B1B">
        <w:rPr>
          <w:iCs/>
          <w:color w:val="0000FF"/>
        </w:rPr>
        <w:t xml:space="preserve"> regression</w:t>
      </w:r>
      <w:r>
        <w:rPr>
          <w:iCs/>
          <w:color w:val="0000FF"/>
        </w:rPr>
        <w:t xml:space="preserve"> models</w:t>
      </w:r>
      <w:r w:rsidRPr="001B4B1B">
        <w:rPr>
          <w:iCs/>
          <w:color w:val="0000FF"/>
        </w:rPr>
        <w:t xml:space="preserve">, </w:t>
      </w:r>
      <w:r>
        <w:rPr>
          <w:iCs/>
          <w:color w:val="0000FF"/>
        </w:rPr>
        <w:t>we conducted regression diagnostics to assess model performance, examining predictive ability, as well as model fit and calibration</w:t>
      </w:r>
      <w:r w:rsidRPr="001B4B1B">
        <w:rPr>
          <w:iCs/>
          <w:color w:val="0000FF"/>
        </w:rPr>
        <w:t>.</w:t>
      </w:r>
    </w:p>
    <w:p w14:paraId="1D51C764" w14:textId="77777777" w:rsidR="005F014A" w:rsidRDefault="005F014A" w:rsidP="005F014A">
      <w:pPr>
        <w:spacing w:after="240" w:line="240" w:lineRule="auto"/>
        <w:rPr>
          <w:iCs/>
          <w:color w:val="0000FF"/>
        </w:rPr>
      </w:pPr>
      <w:r>
        <w:rPr>
          <w:iCs/>
          <w:color w:val="0000FF"/>
        </w:rPr>
        <w:t xml:space="preserve">We used the c-statistic to examine the discrimination of the statistical risk model, and we used the Akaike Information Criterion (AIC), Bayesian Information Criterion (BIC), pseudo </w:t>
      </w:r>
      <w:r>
        <w:rPr>
          <w:i/>
          <w:iCs/>
          <w:color w:val="0000FF"/>
        </w:rPr>
        <w:t>R</w:t>
      </w:r>
      <w:r>
        <w:rPr>
          <w:iCs/>
          <w:color w:val="0000FF"/>
          <w:vertAlign w:val="superscript"/>
        </w:rPr>
        <w:t>2</w:t>
      </w:r>
      <w:r>
        <w:rPr>
          <w:iCs/>
          <w:color w:val="0000FF"/>
        </w:rPr>
        <w:t xml:space="preserve">, and log-likelihood to examine the statistical risk model calibration.  We also used the Hosmer-Lemeshow test for goodness of fit; however, with only 1 predictor in the risk adjustment model, the Hosmer-Lemeshow test only has two quantiles, and the significance of the test statistic cannot be computed.  In addition, we present the receiving operating characteristic (ROC) curve in 2b3.8.    </w:t>
      </w:r>
    </w:p>
    <w:p w14:paraId="655B0A03" w14:textId="77777777" w:rsidR="005F014A" w:rsidRDefault="005F014A" w:rsidP="005F014A">
      <w:pPr>
        <w:autoSpaceDE w:val="0"/>
        <w:autoSpaceDN w:val="0"/>
        <w:adjustRightInd w:val="0"/>
        <w:spacing w:after="0" w:line="240" w:lineRule="auto"/>
        <w:rPr>
          <w:rFonts w:eastAsia="Times New Roman" w:cs="Times New Roman"/>
          <w:color w:val="0000FF"/>
        </w:rPr>
      </w:pPr>
      <w:r>
        <w:rPr>
          <w:rFonts w:cstheme="minorHAnsi"/>
          <w:b/>
          <w:bCs/>
        </w:rPr>
        <w:t xml:space="preserve">2b3.6. </w:t>
      </w:r>
      <w:r w:rsidRPr="00001D73">
        <w:rPr>
          <w:rFonts w:cstheme="minorHAnsi"/>
          <w:b/>
          <w:bCs/>
        </w:rPr>
        <w:t>Statistical Risk Model Discrimination Statistics</w:t>
      </w:r>
      <w:r>
        <w:rPr>
          <w:rFonts w:cstheme="minorHAnsi"/>
          <w:bCs/>
        </w:rPr>
        <w:t xml:space="preserve"> (</w:t>
      </w:r>
      <w:r w:rsidRPr="003605B4">
        <w:rPr>
          <w:rFonts w:cstheme="minorHAnsi"/>
          <w:bCs/>
          <w:i/>
        </w:rPr>
        <w:t>e.g., c-statistic, R-squared</w:t>
      </w:r>
      <w:r>
        <w:rPr>
          <w:rFonts w:cstheme="minorHAnsi"/>
          <w:bCs/>
        </w:rPr>
        <w:t>)</w:t>
      </w:r>
      <w:r>
        <w:rPr>
          <w:rFonts w:cstheme="minorHAnsi"/>
          <w:b/>
          <w:bCs/>
        </w:rPr>
        <w:t>:</w:t>
      </w:r>
      <w:r w:rsidRPr="00001D73">
        <w:rPr>
          <w:rFonts w:cstheme="minorHAnsi"/>
          <w:b/>
          <w:bCs/>
        </w:rPr>
        <w:t xml:space="preserve">  </w:t>
      </w:r>
      <w:r w:rsidRPr="00001D73">
        <w:rPr>
          <w:rFonts w:cstheme="minorHAnsi"/>
          <w:b/>
        </w:rPr>
        <w:br/>
      </w:r>
    </w:p>
    <w:p w14:paraId="709C0841" w14:textId="304877B7" w:rsidR="005F014A" w:rsidRDefault="005F014A" w:rsidP="005F014A">
      <w:pPr>
        <w:autoSpaceDE w:val="0"/>
        <w:autoSpaceDN w:val="0"/>
        <w:adjustRightInd w:val="0"/>
        <w:spacing w:after="0" w:line="240" w:lineRule="auto"/>
        <w:rPr>
          <w:rFonts w:cstheme="minorHAnsi"/>
          <w:bCs/>
          <w:color w:val="0000FF"/>
        </w:rPr>
      </w:pPr>
      <w:r>
        <w:rPr>
          <w:rFonts w:cstheme="minorHAnsi"/>
          <w:bCs/>
          <w:color w:val="0000FF"/>
        </w:rPr>
        <w:t xml:space="preserve">The risk adjustment model currently used for this quality measure had acceptable predictive power on the data in Quarter 2, 2017.  The multivariate logistic regression model with independence or modified independence in daily decision making on the prior assessment as the only covariate yielded a </w:t>
      </w:r>
      <w:r w:rsidR="00197EF5">
        <w:rPr>
          <w:rFonts w:cstheme="minorHAnsi"/>
          <w:bCs/>
          <w:color w:val="0000FF"/>
        </w:rPr>
        <w:t>c</w:t>
      </w:r>
      <w:r>
        <w:rPr>
          <w:rFonts w:cstheme="minorHAnsi"/>
          <w:bCs/>
          <w:color w:val="0000FF"/>
        </w:rPr>
        <w:t xml:space="preserve">-statistic of 0.65 and a pseudo </w:t>
      </w:r>
      <w:r>
        <w:rPr>
          <w:rFonts w:eastAsia="Times New Roman" w:cs="Times New Roman"/>
          <w:i/>
          <w:color w:val="0000FF"/>
        </w:rPr>
        <w:t>R</w:t>
      </w:r>
      <w:r>
        <w:rPr>
          <w:rFonts w:eastAsia="Times New Roman" w:cs="Times New Roman"/>
          <w:color w:val="0000FF"/>
          <w:vertAlign w:val="superscript"/>
        </w:rPr>
        <w:t>2</w:t>
      </w:r>
      <w:r>
        <w:rPr>
          <w:rFonts w:cstheme="minorHAnsi"/>
          <w:bCs/>
          <w:color w:val="0000FF"/>
        </w:rPr>
        <w:t xml:space="preserve"> of 0.045, values typical for risk adjustment models of nursing facility outcomes based on MDS assessment data (Mukamel, 1997).</w:t>
      </w:r>
    </w:p>
    <w:p w14:paraId="2CF5866C" w14:textId="77777777" w:rsidR="005F014A" w:rsidRDefault="005F014A" w:rsidP="005F014A">
      <w:pPr>
        <w:autoSpaceDE w:val="0"/>
        <w:autoSpaceDN w:val="0"/>
        <w:adjustRightInd w:val="0"/>
        <w:spacing w:after="0" w:line="240" w:lineRule="auto"/>
        <w:rPr>
          <w:rFonts w:eastAsia="Times New Roman" w:cs="Times New Roman"/>
          <w:color w:val="0000FF"/>
        </w:rPr>
      </w:pPr>
    </w:p>
    <w:p w14:paraId="6232AAC9" w14:textId="7C118006" w:rsidR="005F014A" w:rsidRPr="00967763" w:rsidRDefault="005F014A" w:rsidP="005F014A">
      <w:pPr>
        <w:autoSpaceDE w:val="0"/>
        <w:autoSpaceDN w:val="0"/>
        <w:adjustRightInd w:val="0"/>
        <w:spacing w:after="0" w:line="240" w:lineRule="auto"/>
        <w:ind w:left="405"/>
        <w:rPr>
          <w:rFonts w:eastAsia="Times New Roman" w:cs="Times New Roman"/>
          <w:color w:val="0000FF"/>
          <w:sz w:val="20"/>
          <w:szCs w:val="20"/>
        </w:rPr>
      </w:pPr>
      <w:r w:rsidRPr="00967763">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LJC04/LJC04_request</w:t>
      </w:r>
      <w:r w:rsidRPr="00967763">
        <w:rPr>
          <w:rFonts w:eastAsia="Times New Roman" w:cs="Times New Roman"/>
          <w:color w:val="0000FF"/>
          <w:sz w:val="20"/>
          <w:szCs w:val="20"/>
        </w:rPr>
        <w:t>_677.log)</w:t>
      </w:r>
    </w:p>
    <w:p w14:paraId="4CCEBAC8" w14:textId="77777777" w:rsidR="005F014A" w:rsidRPr="00967763" w:rsidRDefault="005F014A" w:rsidP="005F014A">
      <w:pPr>
        <w:autoSpaceDE w:val="0"/>
        <w:autoSpaceDN w:val="0"/>
        <w:adjustRightInd w:val="0"/>
        <w:spacing w:after="0" w:line="240" w:lineRule="auto"/>
        <w:rPr>
          <w:rFonts w:eastAsia="Times New Roman" w:cs="Times New Roman"/>
          <w:color w:val="0000FF"/>
          <w:sz w:val="20"/>
          <w:szCs w:val="20"/>
        </w:rPr>
      </w:pPr>
    </w:p>
    <w:p w14:paraId="31E07BB9" w14:textId="77777777" w:rsidR="005F014A" w:rsidRPr="00967763" w:rsidRDefault="005F014A" w:rsidP="005F014A">
      <w:pPr>
        <w:spacing w:after="0"/>
        <w:ind w:left="765" w:hanging="360"/>
        <w:rPr>
          <w:rFonts w:eastAsia="Times New Roman" w:cs="Times New Roman"/>
          <w:color w:val="0000FF"/>
          <w:sz w:val="20"/>
          <w:szCs w:val="20"/>
        </w:rPr>
      </w:pPr>
      <w:r w:rsidRPr="00967763">
        <w:rPr>
          <w:rFonts w:eastAsia="Times New Roman" w:cs="Times New Roman"/>
          <w:color w:val="0000FF"/>
          <w:sz w:val="20"/>
          <w:szCs w:val="20"/>
        </w:rPr>
        <w:t>Mukamel, D. B. (1997). Risk adjusted outcome measures and quality of care in nursing homes. Medical Care, 35, 367–385</w:t>
      </w:r>
    </w:p>
    <w:p w14:paraId="0BF745B9" w14:textId="77777777" w:rsidR="005F014A" w:rsidRPr="005542B0" w:rsidRDefault="005F014A" w:rsidP="005F014A">
      <w:pPr>
        <w:autoSpaceDE w:val="0"/>
        <w:autoSpaceDN w:val="0"/>
        <w:adjustRightInd w:val="0"/>
        <w:spacing w:after="0" w:line="240" w:lineRule="auto"/>
        <w:rPr>
          <w:rFonts w:eastAsia="Times New Roman" w:cs="Times New Roman"/>
          <w:color w:val="0000FF"/>
        </w:rPr>
      </w:pPr>
    </w:p>
    <w:p w14:paraId="283A71B2" w14:textId="77777777" w:rsidR="005F014A" w:rsidRDefault="005F014A" w:rsidP="005F014A">
      <w:pPr>
        <w:autoSpaceDE w:val="0"/>
        <w:autoSpaceDN w:val="0"/>
        <w:adjustRightInd w:val="0"/>
        <w:spacing w:after="0" w:line="240" w:lineRule="auto"/>
        <w:rPr>
          <w:rFonts w:ascii="Calibri" w:eastAsia="MS Mincho" w:hAnsi="Calibri" w:cs="Calibri"/>
          <w:bCs/>
        </w:rPr>
      </w:pPr>
      <w:r>
        <w:rPr>
          <w:rFonts w:cstheme="minorHAnsi"/>
          <w:b/>
          <w:bCs/>
        </w:rPr>
        <w:t xml:space="preserve">2b3.7. Statistical </w:t>
      </w:r>
      <w:r w:rsidRPr="00A25024">
        <w:rPr>
          <w:rFonts w:cstheme="minorHAnsi"/>
          <w:b/>
          <w:bCs/>
        </w:rPr>
        <w:t>Risk Model Calibration Statistics</w:t>
      </w:r>
      <w:r>
        <w:rPr>
          <w:rFonts w:cstheme="minorHAnsi"/>
          <w:b/>
          <w:bCs/>
        </w:rPr>
        <w:t xml:space="preserve"> </w:t>
      </w:r>
      <w:r w:rsidRPr="003605B4">
        <w:rPr>
          <w:rFonts w:cstheme="minorHAnsi"/>
          <w:bCs/>
        </w:rPr>
        <w:t>(</w:t>
      </w:r>
      <w:r w:rsidRPr="003605B4">
        <w:rPr>
          <w:rFonts w:cstheme="minorHAnsi"/>
          <w:bCs/>
          <w:i/>
        </w:rPr>
        <w:t>e.g., Hosmer-Lemeshow statistic</w:t>
      </w:r>
      <w:r w:rsidRPr="003605B4">
        <w:rPr>
          <w:rFonts w:cstheme="minorHAnsi"/>
          <w:bCs/>
        </w:rPr>
        <w:t>)</w:t>
      </w:r>
      <w:r w:rsidRPr="00A25024">
        <w:rPr>
          <w:rFonts w:cstheme="minorHAnsi"/>
          <w:bCs/>
        </w:rPr>
        <w:t xml:space="preserve">:  </w:t>
      </w:r>
      <w:r w:rsidRPr="00A25024">
        <w:rPr>
          <w:rFonts w:cstheme="minorHAnsi"/>
          <w:bCs/>
        </w:rPr>
        <w:br/>
      </w:r>
    </w:p>
    <w:p w14:paraId="652888F0" w14:textId="77777777" w:rsidR="005F014A" w:rsidRDefault="005F014A" w:rsidP="005F014A">
      <w:pPr>
        <w:autoSpaceDE w:val="0"/>
        <w:autoSpaceDN w:val="0"/>
        <w:adjustRightInd w:val="0"/>
        <w:spacing w:after="0" w:line="240" w:lineRule="auto"/>
        <w:rPr>
          <w:rFonts w:cstheme="minorHAnsi"/>
          <w:bCs/>
          <w:color w:val="0000FF"/>
        </w:rPr>
      </w:pPr>
      <w:r>
        <w:rPr>
          <w:rFonts w:cstheme="minorHAnsi"/>
          <w:bCs/>
          <w:color w:val="0000FF"/>
        </w:rPr>
        <w:t xml:space="preserve">The risk adjustment model currently used for this quality measure performed similarly to models with additional risk adjustors when using data from Quarter 2, 2017.  </w:t>
      </w:r>
      <w:r w:rsidRPr="000554AB">
        <w:rPr>
          <w:rFonts w:cstheme="minorHAnsi"/>
          <w:b/>
          <w:bCs/>
          <w:i/>
          <w:color w:val="0000FF"/>
        </w:rPr>
        <w:t>Table 8</w:t>
      </w:r>
      <w:r>
        <w:rPr>
          <w:rFonts w:cstheme="minorHAnsi"/>
          <w:bCs/>
          <w:color w:val="0000FF"/>
        </w:rPr>
        <w:t xml:space="preserve"> below presents the Akaike Information Criterion (AIC), Bayesian Information Criterion (BIC), and log-likelihood for the current risk adjustment model.  These statistics are also presented for all risk adjustment models in </w:t>
      </w:r>
      <w:r w:rsidRPr="00C6190C">
        <w:rPr>
          <w:rFonts w:cstheme="minorHAnsi"/>
          <w:b/>
          <w:bCs/>
          <w:i/>
          <w:color w:val="0000FF"/>
        </w:rPr>
        <w:t>Table 7</w:t>
      </w:r>
      <w:r>
        <w:rPr>
          <w:rFonts w:cstheme="minorHAnsi"/>
          <w:bCs/>
          <w:color w:val="0000FF"/>
        </w:rPr>
        <w:t xml:space="preserve"> above.  In general, when comparing models, smaller values for AIC or BIC indicate better model fit; thus, models with smaller values for the information criterion are considered preferable.  The information criterion in </w:t>
      </w:r>
      <w:r w:rsidRPr="00C6190C">
        <w:rPr>
          <w:rFonts w:cstheme="minorHAnsi"/>
          <w:b/>
          <w:bCs/>
          <w:i/>
          <w:color w:val="0000FF"/>
        </w:rPr>
        <w:t>Tables 7</w:t>
      </w:r>
      <w:r>
        <w:rPr>
          <w:rFonts w:cstheme="minorHAnsi"/>
          <w:bCs/>
          <w:color w:val="0000FF"/>
        </w:rPr>
        <w:t xml:space="preserve"> and </w:t>
      </w:r>
      <w:r w:rsidRPr="00305ED6">
        <w:rPr>
          <w:rFonts w:cstheme="minorHAnsi"/>
          <w:b/>
          <w:bCs/>
          <w:i/>
          <w:color w:val="0000FF"/>
        </w:rPr>
        <w:t>8</w:t>
      </w:r>
      <w:r>
        <w:rPr>
          <w:rFonts w:cstheme="minorHAnsi"/>
          <w:bCs/>
          <w:color w:val="0000FF"/>
        </w:rPr>
        <w:t xml:space="preserve"> can be used to compare alternate model specifications.         </w:t>
      </w:r>
    </w:p>
    <w:p w14:paraId="5F1A3FC5" w14:textId="77777777" w:rsidR="005F014A" w:rsidRPr="00861082" w:rsidRDefault="005F014A" w:rsidP="005F014A">
      <w:pPr>
        <w:autoSpaceDE w:val="0"/>
        <w:autoSpaceDN w:val="0"/>
        <w:adjustRightInd w:val="0"/>
        <w:spacing w:after="0" w:line="240" w:lineRule="auto"/>
        <w:rPr>
          <w:rFonts w:cstheme="minorHAnsi"/>
          <w:bCs/>
          <w:color w:val="0000FF"/>
        </w:rPr>
      </w:pPr>
    </w:p>
    <w:p w14:paraId="0D0D4794" w14:textId="77777777" w:rsidR="005F014A" w:rsidRDefault="005F014A" w:rsidP="005F014A">
      <w:pPr>
        <w:pStyle w:val="TableTitle"/>
      </w:pPr>
      <w:r>
        <w:t xml:space="preserve">Table 8. </w:t>
      </w:r>
      <w:r w:rsidRPr="006A728B">
        <w:rPr>
          <w:bCs w:val="0"/>
        </w:rPr>
        <w:t>Statistical Risk Model Calibration Statistics</w:t>
      </w:r>
    </w:p>
    <w:tbl>
      <w:tblPr>
        <w:tblW w:w="4214" w:type="pct"/>
        <w:jc w:val="center"/>
        <w:tblCellMar>
          <w:left w:w="115" w:type="dxa"/>
          <w:right w:w="115" w:type="dxa"/>
        </w:tblCellMar>
        <w:tblLook w:val="04A0" w:firstRow="1" w:lastRow="0" w:firstColumn="1" w:lastColumn="0" w:noHBand="0" w:noVBand="1"/>
      </w:tblPr>
      <w:tblGrid>
        <w:gridCol w:w="2369"/>
        <w:gridCol w:w="1827"/>
        <w:gridCol w:w="1830"/>
        <w:gridCol w:w="1863"/>
      </w:tblGrid>
      <w:tr w:rsidR="005F014A" w:rsidRPr="00ED4158" w14:paraId="3DA6D7D5" w14:textId="77777777" w:rsidTr="00532906">
        <w:trPr>
          <w:tblHeader/>
          <w:jc w:val="center"/>
        </w:trPr>
        <w:tc>
          <w:tcPr>
            <w:tcW w:w="1501" w:type="pct"/>
            <w:tcBorders>
              <w:top w:val="single" w:sz="12" w:space="0" w:color="auto"/>
              <w:bottom w:val="single" w:sz="4" w:space="0" w:color="auto"/>
            </w:tcBorders>
            <w:shd w:val="clear" w:color="auto" w:fill="auto"/>
            <w:vAlign w:val="center"/>
            <w:hideMark/>
          </w:tcPr>
          <w:p w14:paraId="517FB887" w14:textId="77777777" w:rsidR="005F014A" w:rsidRPr="00ED4158" w:rsidRDefault="005F014A" w:rsidP="00532906">
            <w:pPr>
              <w:spacing w:before="40" w:after="40" w:line="240" w:lineRule="auto"/>
              <w:contextualSpacing/>
              <w:rPr>
                <w:rFonts w:eastAsia="Times New Roman" w:cs="Times New Roman"/>
                <w:color w:val="0000FF"/>
              </w:rPr>
            </w:pPr>
            <w:r>
              <w:rPr>
                <w:rFonts w:eastAsia="Times New Roman" w:cs="Times New Roman"/>
                <w:color w:val="0000FF"/>
              </w:rPr>
              <w:t>Model Covariates (N)</w:t>
            </w:r>
          </w:p>
        </w:tc>
        <w:tc>
          <w:tcPr>
            <w:tcW w:w="1158" w:type="pct"/>
            <w:tcBorders>
              <w:top w:val="single" w:sz="12" w:space="0" w:color="auto"/>
              <w:bottom w:val="single" w:sz="4" w:space="0" w:color="auto"/>
            </w:tcBorders>
          </w:tcPr>
          <w:p w14:paraId="2BD702FD" w14:textId="77777777" w:rsidR="005F014A" w:rsidRDefault="005F014A" w:rsidP="00532906">
            <w:pPr>
              <w:spacing w:before="40" w:after="40" w:line="240" w:lineRule="auto"/>
              <w:contextualSpacing/>
              <w:jc w:val="center"/>
              <w:rPr>
                <w:rFonts w:eastAsia="Times New Roman" w:cs="Times New Roman"/>
                <w:color w:val="0000FF"/>
              </w:rPr>
            </w:pPr>
            <w:r>
              <w:rPr>
                <w:rFonts w:eastAsia="Times New Roman" w:cs="Times New Roman"/>
                <w:color w:val="0000FF"/>
              </w:rPr>
              <w:t>AIC</w:t>
            </w:r>
          </w:p>
        </w:tc>
        <w:tc>
          <w:tcPr>
            <w:tcW w:w="1160" w:type="pct"/>
            <w:tcBorders>
              <w:top w:val="single" w:sz="12" w:space="0" w:color="auto"/>
              <w:bottom w:val="single" w:sz="4" w:space="0" w:color="auto"/>
            </w:tcBorders>
          </w:tcPr>
          <w:p w14:paraId="729A659F" w14:textId="77777777" w:rsidR="005F014A" w:rsidRDefault="005F014A" w:rsidP="00532906">
            <w:pPr>
              <w:spacing w:before="40" w:after="40" w:line="240" w:lineRule="auto"/>
              <w:contextualSpacing/>
              <w:jc w:val="center"/>
              <w:rPr>
                <w:rFonts w:eastAsia="Times New Roman" w:cs="Times New Roman"/>
                <w:color w:val="0000FF"/>
              </w:rPr>
            </w:pPr>
            <w:r>
              <w:rPr>
                <w:rFonts w:eastAsia="Times New Roman" w:cs="Times New Roman"/>
                <w:color w:val="0000FF"/>
              </w:rPr>
              <w:t>BIC</w:t>
            </w:r>
          </w:p>
        </w:tc>
        <w:tc>
          <w:tcPr>
            <w:tcW w:w="1181" w:type="pct"/>
            <w:tcBorders>
              <w:top w:val="single" w:sz="12" w:space="0" w:color="auto"/>
              <w:bottom w:val="single" w:sz="4" w:space="0" w:color="auto"/>
            </w:tcBorders>
          </w:tcPr>
          <w:p w14:paraId="28396A11" w14:textId="77777777" w:rsidR="005F014A" w:rsidRDefault="005F014A" w:rsidP="00532906">
            <w:pPr>
              <w:spacing w:before="40" w:after="40" w:line="240" w:lineRule="auto"/>
              <w:contextualSpacing/>
              <w:jc w:val="center"/>
              <w:rPr>
                <w:rFonts w:eastAsia="Times New Roman" w:cs="Times New Roman"/>
                <w:color w:val="0000FF"/>
              </w:rPr>
            </w:pPr>
            <w:r>
              <w:rPr>
                <w:rFonts w:eastAsia="Times New Roman" w:cs="Times New Roman"/>
                <w:color w:val="0000FF"/>
              </w:rPr>
              <w:t>Log Likelihood</w:t>
            </w:r>
          </w:p>
        </w:tc>
      </w:tr>
      <w:tr w:rsidR="005F014A" w:rsidRPr="00ED4158" w14:paraId="23B33CEB" w14:textId="77777777" w:rsidTr="00532906">
        <w:trPr>
          <w:jc w:val="center"/>
        </w:trPr>
        <w:tc>
          <w:tcPr>
            <w:tcW w:w="1501" w:type="pct"/>
            <w:tcBorders>
              <w:top w:val="single" w:sz="4" w:space="0" w:color="auto"/>
              <w:bottom w:val="single" w:sz="4" w:space="0" w:color="auto"/>
            </w:tcBorders>
            <w:shd w:val="clear" w:color="auto" w:fill="auto"/>
            <w:hideMark/>
          </w:tcPr>
          <w:p w14:paraId="44B2CF0F" w14:textId="77777777" w:rsidR="005F014A" w:rsidRPr="00ED4158" w:rsidRDefault="005F014A" w:rsidP="00532906">
            <w:pPr>
              <w:spacing w:before="40" w:after="40" w:line="240" w:lineRule="auto"/>
              <w:rPr>
                <w:rFonts w:eastAsia="Times New Roman" w:cs="Times New Roman"/>
                <w:color w:val="0000FF"/>
              </w:rPr>
            </w:pPr>
            <w:r>
              <w:rPr>
                <w:rFonts w:eastAsia="Times New Roman" w:cs="Times New Roman"/>
                <w:color w:val="0000FF"/>
              </w:rPr>
              <w:t>Cognitive independence (831,869)</w:t>
            </w:r>
          </w:p>
        </w:tc>
        <w:tc>
          <w:tcPr>
            <w:tcW w:w="1158" w:type="pct"/>
            <w:tcBorders>
              <w:top w:val="single" w:sz="4" w:space="0" w:color="auto"/>
              <w:bottom w:val="single" w:sz="4" w:space="0" w:color="auto"/>
            </w:tcBorders>
          </w:tcPr>
          <w:p w14:paraId="1ABE53A2" w14:textId="77777777" w:rsidR="005F014A" w:rsidRDefault="005F014A" w:rsidP="00532906">
            <w:pPr>
              <w:spacing w:before="40" w:after="40" w:line="240" w:lineRule="auto"/>
              <w:jc w:val="center"/>
              <w:rPr>
                <w:rFonts w:eastAsia="Times New Roman" w:cs="Times New Roman"/>
                <w:color w:val="0000FF"/>
              </w:rPr>
            </w:pPr>
            <w:r>
              <w:rPr>
                <w:rFonts w:eastAsia="Times New Roman" w:cs="Times New Roman"/>
                <w:color w:val="0000FF"/>
              </w:rPr>
              <w:t>394,307.5</w:t>
            </w:r>
          </w:p>
        </w:tc>
        <w:tc>
          <w:tcPr>
            <w:tcW w:w="1160" w:type="pct"/>
            <w:tcBorders>
              <w:top w:val="single" w:sz="4" w:space="0" w:color="auto"/>
              <w:bottom w:val="single" w:sz="4" w:space="0" w:color="auto"/>
            </w:tcBorders>
          </w:tcPr>
          <w:p w14:paraId="129B37E2" w14:textId="77777777" w:rsidR="005F014A" w:rsidRDefault="005F014A" w:rsidP="00532906">
            <w:pPr>
              <w:spacing w:before="40" w:after="40" w:line="240" w:lineRule="auto"/>
              <w:jc w:val="center"/>
              <w:rPr>
                <w:rFonts w:eastAsia="Times New Roman" w:cs="Times New Roman"/>
                <w:color w:val="0000FF"/>
              </w:rPr>
            </w:pPr>
            <w:r>
              <w:rPr>
                <w:rFonts w:eastAsia="Times New Roman" w:cs="Times New Roman"/>
                <w:color w:val="0000FF"/>
              </w:rPr>
              <w:t>394,330.8</w:t>
            </w:r>
          </w:p>
        </w:tc>
        <w:tc>
          <w:tcPr>
            <w:tcW w:w="1181" w:type="pct"/>
            <w:tcBorders>
              <w:top w:val="single" w:sz="4" w:space="0" w:color="auto"/>
              <w:bottom w:val="single" w:sz="4" w:space="0" w:color="auto"/>
            </w:tcBorders>
          </w:tcPr>
          <w:p w14:paraId="67BB9E42" w14:textId="77777777" w:rsidR="005F014A" w:rsidRDefault="005F014A" w:rsidP="00532906">
            <w:pPr>
              <w:spacing w:before="40" w:after="40" w:line="240" w:lineRule="auto"/>
              <w:jc w:val="center"/>
              <w:rPr>
                <w:rFonts w:eastAsia="Times New Roman" w:cs="Times New Roman"/>
                <w:color w:val="0000FF"/>
              </w:rPr>
            </w:pPr>
            <w:r>
              <w:rPr>
                <w:rFonts w:eastAsia="Times New Roman" w:cs="Times New Roman"/>
                <w:color w:val="0000FF"/>
              </w:rPr>
              <w:t>-197,151.8</w:t>
            </w:r>
          </w:p>
        </w:tc>
      </w:tr>
    </w:tbl>
    <w:p w14:paraId="2E34CF46" w14:textId="77777777" w:rsidR="005F014A" w:rsidRDefault="005F014A" w:rsidP="005F014A">
      <w:pPr>
        <w:autoSpaceDE w:val="0"/>
        <w:autoSpaceDN w:val="0"/>
        <w:adjustRightInd w:val="0"/>
        <w:spacing w:after="0" w:line="240" w:lineRule="auto"/>
        <w:rPr>
          <w:rFonts w:eastAsia="Times New Roman" w:cs="Times New Roman"/>
          <w:color w:val="0000FF"/>
        </w:rPr>
      </w:pPr>
    </w:p>
    <w:p w14:paraId="3B008A58" w14:textId="60EDB9C4" w:rsidR="005F014A" w:rsidRPr="00305ED6" w:rsidRDefault="005F014A" w:rsidP="005F014A">
      <w:pPr>
        <w:autoSpaceDE w:val="0"/>
        <w:autoSpaceDN w:val="0"/>
        <w:adjustRightInd w:val="0"/>
        <w:spacing w:after="0" w:line="240" w:lineRule="auto"/>
        <w:rPr>
          <w:rFonts w:eastAsia="Times New Roman" w:cs="Times New Roman"/>
          <w:color w:val="0000FF"/>
          <w:sz w:val="20"/>
          <w:szCs w:val="20"/>
        </w:rPr>
      </w:pPr>
      <w:r w:rsidRPr="00305ED6">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LJC04/LJC04_request</w:t>
      </w:r>
      <w:r w:rsidRPr="00305ED6">
        <w:rPr>
          <w:rFonts w:eastAsia="Times New Roman" w:cs="Times New Roman"/>
          <w:color w:val="0000FF"/>
          <w:sz w:val="20"/>
          <w:szCs w:val="20"/>
        </w:rPr>
        <w:t>_677.log)</w:t>
      </w:r>
    </w:p>
    <w:p w14:paraId="1EC82A9C" w14:textId="77777777" w:rsidR="005F014A" w:rsidRPr="002C1BDC" w:rsidRDefault="005F014A" w:rsidP="005F014A">
      <w:pPr>
        <w:autoSpaceDE w:val="0"/>
        <w:autoSpaceDN w:val="0"/>
        <w:adjustRightInd w:val="0"/>
        <w:spacing w:after="0" w:line="240" w:lineRule="auto"/>
        <w:rPr>
          <w:rFonts w:eastAsia="Times New Roman" w:cs="Times New Roman"/>
          <w:color w:val="0000FF"/>
        </w:rPr>
      </w:pPr>
    </w:p>
    <w:p w14:paraId="001777F2" w14:textId="77777777" w:rsidR="005F014A" w:rsidRPr="00592CB2" w:rsidRDefault="005F014A" w:rsidP="005F014A">
      <w:pPr>
        <w:autoSpaceDE w:val="0"/>
        <w:autoSpaceDN w:val="0"/>
        <w:adjustRightInd w:val="0"/>
        <w:spacing w:after="0" w:line="240" w:lineRule="auto"/>
        <w:rPr>
          <w:rFonts w:eastAsia="Times New Roman" w:cs="Times New Roman"/>
          <w:color w:val="0000FF"/>
        </w:rPr>
      </w:pPr>
      <w:r>
        <w:rPr>
          <w:rFonts w:cstheme="minorHAnsi"/>
          <w:b/>
          <w:bCs/>
        </w:rPr>
        <w:t xml:space="preserve">2b3.8. Statistical </w:t>
      </w:r>
      <w:r w:rsidRPr="00A25024">
        <w:rPr>
          <w:rFonts w:cstheme="minorHAnsi"/>
          <w:b/>
          <w:bCs/>
        </w:rPr>
        <w:t>Risk Model Calibration – Risk decile plots or calibration curves</w:t>
      </w:r>
      <w:r w:rsidRPr="00A25024">
        <w:rPr>
          <w:rFonts w:cstheme="minorHAnsi"/>
          <w:bCs/>
        </w:rPr>
        <w:t>:</w:t>
      </w:r>
    </w:p>
    <w:p w14:paraId="1F612727" w14:textId="77777777" w:rsidR="005F014A" w:rsidRDefault="005F014A" w:rsidP="005F014A">
      <w:pPr>
        <w:autoSpaceDE w:val="0"/>
        <w:autoSpaceDN w:val="0"/>
        <w:adjustRightInd w:val="0"/>
        <w:spacing w:after="0" w:line="240" w:lineRule="auto"/>
        <w:rPr>
          <w:rFonts w:eastAsia="Times New Roman" w:cs="Times New Roman"/>
          <w:color w:val="0000FF"/>
        </w:rPr>
      </w:pPr>
    </w:p>
    <w:p w14:paraId="6D27CB66" w14:textId="77777777" w:rsidR="005F014A" w:rsidRPr="00EA6DED" w:rsidRDefault="005F014A" w:rsidP="005F014A">
      <w:pPr>
        <w:autoSpaceDE w:val="0"/>
        <w:autoSpaceDN w:val="0"/>
        <w:adjustRightInd w:val="0"/>
        <w:spacing w:after="0" w:line="240" w:lineRule="auto"/>
        <w:rPr>
          <w:rFonts w:eastAsia="Times New Roman" w:cs="Times New Roman"/>
          <w:color w:val="0000FF"/>
        </w:rPr>
      </w:pPr>
      <w:r w:rsidRPr="00592CB2">
        <w:rPr>
          <w:rFonts w:eastAsia="Times New Roman" w:cs="Times New Roman"/>
          <w:color w:val="0000FF"/>
        </w:rPr>
        <w:t xml:space="preserve">The </w:t>
      </w:r>
      <w:r>
        <w:rPr>
          <w:rFonts w:eastAsia="Times New Roman" w:cs="Times New Roman"/>
          <w:color w:val="0000FF"/>
        </w:rPr>
        <w:t>receiver operating characteristic (</w:t>
      </w:r>
      <w:r w:rsidRPr="00592CB2">
        <w:rPr>
          <w:rFonts w:eastAsia="Times New Roman" w:cs="Times New Roman"/>
          <w:color w:val="0000FF"/>
        </w:rPr>
        <w:t>ROC</w:t>
      </w:r>
      <w:r>
        <w:rPr>
          <w:rFonts w:eastAsia="Times New Roman" w:cs="Times New Roman"/>
          <w:color w:val="0000FF"/>
        </w:rPr>
        <w:t>)</w:t>
      </w:r>
      <w:r w:rsidRPr="00592CB2">
        <w:rPr>
          <w:rFonts w:eastAsia="Times New Roman" w:cs="Times New Roman"/>
          <w:color w:val="0000FF"/>
        </w:rPr>
        <w:t xml:space="preserve"> curve is</w:t>
      </w:r>
      <w:r>
        <w:rPr>
          <w:rFonts w:eastAsia="Times New Roman" w:cs="Times New Roman"/>
          <w:color w:val="0000FF"/>
        </w:rPr>
        <w:t xml:space="preserve"> presented in </w:t>
      </w:r>
      <w:r w:rsidRPr="009F6C13">
        <w:rPr>
          <w:rFonts w:eastAsia="Times New Roman" w:cs="Times New Roman"/>
          <w:b/>
          <w:i/>
          <w:color w:val="0000FF"/>
        </w:rPr>
        <w:t>Figure 4</w:t>
      </w:r>
      <w:r w:rsidRPr="00592CB2">
        <w:rPr>
          <w:rFonts w:eastAsia="Times New Roman" w:cs="Times New Roman"/>
          <w:color w:val="0000FF"/>
        </w:rPr>
        <w:t xml:space="preserve"> below.</w:t>
      </w:r>
      <w:r>
        <w:rPr>
          <w:rFonts w:eastAsia="Times New Roman" w:cs="Times New Roman"/>
          <w:color w:val="0000FF"/>
        </w:rPr>
        <w:t xml:space="preserve">  With one binary predictor (i.e., one possible cut-point for this test), the ROC curve is not smooth. Using the current model specification, the area under the curve indicates acceptable model performance, with alternate specifications that include additional risk adjustors performing slightly better.  </w:t>
      </w:r>
      <w:r w:rsidRPr="00592CB2">
        <w:rPr>
          <w:rFonts w:eastAsia="Times New Roman" w:cs="Times New Roman"/>
          <w:color w:val="0000FF"/>
        </w:rPr>
        <w:t xml:space="preserve">  </w:t>
      </w:r>
    </w:p>
    <w:p w14:paraId="2AB2F36E" w14:textId="77777777" w:rsidR="005F014A" w:rsidRDefault="005F014A" w:rsidP="005F014A">
      <w:pPr>
        <w:autoSpaceDE w:val="0"/>
        <w:autoSpaceDN w:val="0"/>
        <w:adjustRightInd w:val="0"/>
        <w:spacing w:after="0" w:line="240" w:lineRule="auto"/>
        <w:jc w:val="center"/>
        <w:rPr>
          <w:rFonts w:eastAsia="Times New Roman" w:cs="Times New Roman"/>
          <w:b/>
          <w:color w:val="0000FF"/>
        </w:rPr>
      </w:pPr>
    </w:p>
    <w:p w14:paraId="2E3181AD" w14:textId="0C533F23" w:rsidR="005F014A" w:rsidRDefault="005F014A" w:rsidP="005F014A">
      <w:pPr>
        <w:autoSpaceDE w:val="0"/>
        <w:autoSpaceDN w:val="0"/>
        <w:adjustRightInd w:val="0"/>
        <w:spacing w:after="0" w:line="240" w:lineRule="auto"/>
        <w:jc w:val="center"/>
        <w:rPr>
          <w:rFonts w:eastAsia="Times New Roman" w:cs="Times New Roman"/>
          <w:b/>
          <w:color w:val="0000FF"/>
        </w:rPr>
      </w:pPr>
      <w:r w:rsidRPr="0072344F">
        <w:rPr>
          <w:rFonts w:eastAsia="Times New Roman" w:cs="Times New Roman"/>
          <w:b/>
          <w:color w:val="0000FF"/>
        </w:rPr>
        <w:t xml:space="preserve">Figure 4. ROC </w:t>
      </w:r>
      <w:r w:rsidR="00197EF5">
        <w:rPr>
          <w:rFonts w:eastAsia="Times New Roman" w:cs="Times New Roman"/>
          <w:b/>
          <w:color w:val="0000FF"/>
        </w:rPr>
        <w:t>C</w:t>
      </w:r>
      <w:r w:rsidRPr="0072344F">
        <w:rPr>
          <w:rFonts w:eastAsia="Times New Roman" w:cs="Times New Roman"/>
          <w:b/>
          <w:color w:val="0000FF"/>
        </w:rPr>
        <w:t>urve</w:t>
      </w:r>
      <w:r w:rsidR="00197EF5">
        <w:rPr>
          <w:rFonts w:eastAsia="Times New Roman" w:cs="Times New Roman"/>
          <w:b/>
          <w:color w:val="0000FF"/>
        </w:rPr>
        <w:t>,</w:t>
      </w:r>
      <w:r w:rsidRPr="0072344F">
        <w:rPr>
          <w:rFonts w:eastAsia="Times New Roman" w:cs="Times New Roman"/>
          <w:b/>
          <w:color w:val="0000FF"/>
        </w:rPr>
        <w:t xml:space="preserve"> QM #0677 Percent of Residents Who Self-Report Moderate to Severe Pain (Long Stay), Quarter 2, 2017</w:t>
      </w:r>
    </w:p>
    <w:p w14:paraId="3C48A4F6" w14:textId="77777777" w:rsidR="005F014A" w:rsidRPr="0072344F" w:rsidRDefault="005F014A" w:rsidP="005F014A">
      <w:pPr>
        <w:autoSpaceDE w:val="0"/>
        <w:autoSpaceDN w:val="0"/>
        <w:adjustRightInd w:val="0"/>
        <w:spacing w:after="0" w:line="240" w:lineRule="auto"/>
        <w:jc w:val="center"/>
        <w:rPr>
          <w:rFonts w:eastAsia="Times New Roman" w:cs="Times New Roman"/>
          <w:b/>
          <w:color w:val="0000FF"/>
        </w:rPr>
      </w:pPr>
    </w:p>
    <w:p w14:paraId="49ED4669" w14:textId="77777777" w:rsidR="005F014A" w:rsidRDefault="005F014A" w:rsidP="005F014A">
      <w:pPr>
        <w:autoSpaceDE w:val="0"/>
        <w:autoSpaceDN w:val="0"/>
        <w:adjustRightInd w:val="0"/>
        <w:spacing w:after="0" w:line="240" w:lineRule="auto"/>
        <w:rPr>
          <w:rFonts w:cstheme="minorHAnsi"/>
          <w:b/>
        </w:rPr>
      </w:pPr>
      <w:r>
        <w:rPr>
          <w:noProof/>
        </w:rPr>
        <w:drawing>
          <wp:inline distT="0" distB="0" distL="0" distR="0" wp14:anchorId="24C0C850" wp14:editId="12D1588B">
            <wp:extent cx="5457825" cy="3969168"/>
            <wp:effectExtent l="0" t="0" r="0" b="0"/>
            <wp:docPr id="5" name="Picture 5" descr="C:\Users\lcampbell\AppData\Local\Microsoft\Windows\INetCache\Content.Word\ljc04_lroc677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campbell\AppData\Local\Microsoft\Windows\INetCache\Content.Word\ljc04_lroc677_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65419" cy="3974691"/>
                    </a:xfrm>
                    <a:prstGeom prst="rect">
                      <a:avLst/>
                    </a:prstGeom>
                    <a:noFill/>
                    <a:ln>
                      <a:noFill/>
                    </a:ln>
                  </pic:spPr>
                </pic:pic>
              </a:graphicData>
            </a:graphic>
          </wp:inline>
        </w:drawing>
      </w:r>
    </w:p>
    <w:p w14:paraId="2EB30A34" w14:textId="77777777" w:rsidR="005F014A" w:rsidRDefault="005F014A" w:rsidP="005F014A">
      <w:pPr>
        <w:autoSpaceDE w:val="0"/>
        <w:autoSpaceDN w:val="0"/>
        <w:adjustRightInd w:val="0"/>
        <w:spacing w:after="0" w:line="240" w:lineRule="auto"/>
        <w:rPr>
          <w:rFonts w:cstheme="minorHAnsi"/>
          <w:b/>
        </w:rPr>
      </w:pPr>
    </w:p>
    <w:p w14:paraId="259B417D" w14:textId="352AF867" w:rsidR="005F014A" w:rsidRPr="00ED3857" w:rsidRDefault="005F014A" w:rsidP="005F014A">
      <w:pPr>
        <w:autoSpaceDE w:val="0"/>
        <w:autoSpaceDN w:val="0"/>
        <w:adjustRightInd w:val="0"/>
        <w:spacing w:after="0" w:line="240" w:lineRule="auto"/>
        <w:rPr>
          <w:rFonts w:eastAsia="Times New Roman" w:cs="Times New Roman"/>
          <w:color w:val="0000FF"/>
          <w:sz w:val="20"/>
          <w:szCs w:val="20"/>
        </w:rPr>
      </w:pPr>
      <w:r w:rsidRPr="00ED3857">
        <w:rPr>
          <w:rFonts w:eastAsia="Times New Roman" w:cs="Times New Roman"/>
          <w:color w:val="0000FF"/>
          <w:sz w:val="20"/>
          <w:szCs w:val="20"/>
        </w:rPr>
        <w:t>Source: RTI analysis of MDS 3.0 Data, Q2 2017 (programming refe</w:t>
      </w:r>
      <w:r w:rsidR="00D83DDE">
        <w:rPr>
          <w:rFonts w:eastAsia="Times New Roman" w:cs="Times New Roman"/>
          <w:color w:val="0000FF"/>
          <w:sz w:val="20"/>
          <w:szCs w:val="20"/>
        </w:rPr>
        <w:t>rence: LJC04/LJC04_request</w:t>
      </w:r>
      <w:r w:rsidRPr="00ED3857">
        <w:rPr>
          <w:rFonts w:eastAsia="Times New Roman" w:cs="Times New Roman"/>
          <w:color w:val="0000FF"/>
          <w:sz w:val="20"/>
          <w:szCs w:val="20"/>
        </w:rPr>
        <w:t>_677.log)</w:t>
      </w:r>
    </w:p>
    <w:p w14:paraId="502C0EA8" w14:textId="77777777" w:rsidR="005F014A" w:rsidRDefault="005F014A" w:rsidP="005F014A">
      <w:pPr>
        <w:autoSpaceDE w:val="0"/>
        <w:autoSpaceDN w:val="0"/>
        <w:adjustRightInd w:val="0"/>
        <w:spacing w:after="0" w:line="240" w:lineRule="auto"/>
        <w:rPr>
          <w:rFonts w:cstheme="minorHAnsi"/>
          <w:b/>
        </w:rPr>
      </w:pPr>
    </w:p>
    <w:p w14:paraId="453B305A" w14:textId="77777777" w:rsidR="005F014A" w:rsidRDefault="005F014A" w:rsidP="005F014A">
      <w:pPr>
        <w:autoSpaceDE w:val="0"/>
        <w:autoSpaceDN w:val="0"/>
        <w:adjustRightInd w:val="0"/>
        <w:spacing w:after="0" w:line="240" w:lineRule="auto"/>
        <w:rPr>
          <w:rFonts w:cstheme="minorHAnsi"/>
          <w:bCs/>
        </w:rPr>
      </w:pPr>
      <w:bookmarkStart w:id="27" w:name="question2b49"/>
      <w:bookmarkEnd w:id="27"/>
      <w:r>
        <w:rPr>
          <w:rFonts w:cstheme="minorHAnsi"/>
          <w:b/>
        </w:rPr>
        <w:t xml:space="preserve">2b3.9. Results of </w:t>
      </w:r>
      <w:r w:rsidRPr="00A25024">
        <w:rPr>
          <w:rFonts w:cstheme="minorHAnsi"/>
          <w:b/>
        </w:rPr>
        <w:t>Risk Stratification Analysis</w:t>
      </w:r>
      <w:r w:rsidRPr="00A25024">
        <w:rPr>
          <w:rFonts w:cstheme="minorHAnsi"/>
        </w:rPr>
        <w:t xml:space="preserve">: </w:t>
      </w:r>
      <w:r w:rsidRPr="00A25024">
        <w:rPr>
          <w:rFonts w:cstheme="minorHAnsi"/>
          <w:bCs/>
        </w:rPr>
        <w:t xml:space="preserve"> </w:t>
      </w:r>
    </w:p>
    <w:p w14:paraId="0ABAC710" w14:textId="77777777" w:rsidR="005F014A" w:rsidRPr="00867A70" w:rsidRDefault="005F014A" w:rsidP="005F014A">
      <w:pPr>
        <w:autoSpaceDE w:val="0"/>
        <w:autoSpaceDN w:val="0"/>
        <w:adjustRightInd w:val="0"/>
        <w:spacing w:before="240" w:after="240" w:line="240" w:lineRule="auto"/>
        <w:rPr>
          <w:rFonts w:ascii="Calibri" w:eastAsia="MS Mincho" w:hAnsi="Calibri" w:cs="Calibri"/>
          <w:bCs/>
          <w:color w:val="0000FF"/>
        </w:rPr>
      </w:pPr>
      <w:r>
        <w:rPr>
          <w:rFonts w:ascii="Calibri" w:eastAsia="MS Mincho" w:hAnsi="Calibri" w:cs="Calibri"/>
          <w:bCs/>
          <w:color w:val="0000FF"/>
        </w:rPr>
        <w:t xml:space="preserve">Not applicable. This measure is not stratified.  </w:t>
      </w:r>
    </w:p>
    <w:p w14:paraId="3A736689" w14:textId="77777777" w:rsidR="005F014A" w:rsidRDefault="005F014A" w:rsidP="005F014A">
      <w:pPr>
        <w:autoSpaceDE w:val="0"/>
        <w:autoSpaceDN w:val="0"/>
        <w:adjustRightInd w:val="0"/>
        <w:spacing w:after="0" w:line="240" w:lineRule="auto"/>
        <w:rPr>
          <w:rFonts w:cstheme="minorHAnsi"/>
          <w:bCs/>
        </w:rPr>
      </w:pPr>
      <w:r>
        <w:rPr>
          <w:rFonts w:cstheme="minorHAnsi"/>
          <w:b/>
          <w:bCs/>
        </w:rPr>
        <w:t xml:space="preserve">2b3.10. </w:t>
      </w:r>
      <w:r w:rsidRPr="00A25024">
        <w:rPr>
          <w:rFonts w:cstheme="minorHAnsi"/>
          <w:b/>
          <w:bCs/>
        </w:rPr>
        <w:t>What is your interpretation of the results in terms of demonstrating adequacy of controlling for differences in patient characteristics (case mix)?</w:t>
      </w:r>
      <w:r w:rsidRPr="00A25024">
        <w:rPr>
          <w:rFonts w:cstheme="minorHAnsi"/>
          <w:bCs/>
        </w:rPr>
        <w:t xml:space="preserve"> (i</w:t>
      </w:r>
      <w:r w:rsidRPr="00A25024">
        <w:rPr>
          <w:rFonts w:cstheme="minorHAnsi"/>
          <w:bCs/>
          <w:i/>
        </w:rPr>
        <w:t>.e., what do the results mean and what are the norms for the test conducted</w:t>
      </w:r>
      <w:r>
        <w:rPr>
          <w:rFonts w:cstheme="minorHAnsi"/>
          <w:bCs/>
        </w:rPr>
        <w:t>)</w:t>
      </w:r>
    </w:p>
    <w:p w14:paraId="783178AC" w14:textId="77777777" w:rsidR="005F014A" w:rsidRDefault="005F014A" w:rsidP="005F014A">
      <w:pPr>
        <w:autoSpaceDE w:val="0"/>
        <w:autoSpaceDN w:val="0"/>
        <w:adjustRightInd w:val="0"/>
        <w:spacing w:after="0" w:line="240" w:lineRule="auto"/>
        <w:rPr>
          <w:rFonts w:cstheme="minorHAnsi"/>
          <w:bCs/>
        </w:rPr>
      </w:pPr>
    </w:p>
    <w:p w14:paraId="1F5CB7F2" w14:textId="77777777" w:rsidR="00CD5382" w:rsidRDefault="005F014A" w:rsidP="00707FD9">
      <w:pPr>
        <w:spacing w:after="0" w:line="240" w:lineRule="auto"/>
        <w:rPr>
          <w:iCs/>
          <w:color w:val="0000FF"/>
        </w:rPr>
      </w:pPr>
      <w:r w:rsidRPr="001B4B1B">
        <w:rPr>
          <w:iCs/>
          <w:color w:val="0000FF"/>
        </w:rPr>
        <w:t>In summary, our results demonstrate</w:t>
      </w:r>
      <w:r>
        <w:rPr>
          <w:iCs/>
          <w:color w:val="0000FF"/>
        </w:rPr>
        <w:t xml:space="preserve"> that the current risk adjustment model has</w:t>
      </w:r>
      <w:r w:rsidRPr="001B4B1B">
        <w:rPr>
          <w:iCs/>
          <w:color w:val="0000FF"/>
        </w:rPr>
        <w:t xml:space="preserve"> reasonable predictive </w:t>
      </w:r>
      <w:r>
        <w:rPr>
          <w:iCs/>
          <w:color w:val="0000FF"/>
        </w:rPr>
        <w:t>power; additional risk adjustment for social risk factors offers little practical improvement to the risk adjustment model.</w:t>
      </w:r>
    </w:p>
    <w:p w14:paraId="6BA31EC2" w14:textId="77777777" w:rsidR="00CD5382" w:rsidRDefault="00CD5382" w:rsidP="00707FD9">
      <w:pPr>
        <w:spacing w:after="0" w:line="240" w:lineRule="auto"/>
        <w:rPr>
          <w:iCs/>
          <w:color w:val="0000FF"/>
        </w:rPr>
      </w:pPr>
    </w:p>
    <w:p w14:paraId="07D75BBC" w14:textId="1968FC48" w:rsidR="00707FD9" w:rsidRPr="009B1A15" w:rsidRDefault="00707FD9" w:rsidP="00707FD9">
      <w:pPr>
        <w:spacing w:after="0" w:line="240" w:lineRule="auto"/>
        <w:rPr>
          <w:rFonts w:cstheme="minorHAnsi"/>
        </w:rPr>
      </w:pPr>
      <w:r>
        <w:rPr>
          <w:rFonts w:cstheme="minorHAnsi"/>
          <w:b/>
          <w:highlight w:val="green"/>
        </w:rPr>
        <w:t>2b3</w:t>
      </w:r>
      <w:r w:rsidRPr="009B1A15">
        <w:rPr>
          <w:rFonts w:cstheme="minorHAnsi"/>
          <w:b/>
          <w:highlight w:val="green"/>
        </w:rPr>
        <w:t>.11.</w:t>
      </w:r>
      <w:r>
        <w:rPr>
          <w:rFonts w:cstheme="minorHAnsi"/>
          <w:highlight w:val="green"/>
        </w:rPr>
        <w:t xml:space="preserve"> </w:t>
      </w:r>
      <w:r w:rsidRPr="009B1A15">
        <w:rPr>
          <w:rFonts w:cstheme="minorHAnsi"/>
          <w:b/>
          <w:highlight w:val="green"/>
        </w:rPr>
        <w:t xml:space="preserve">Optional Additional </w:t>
      </w:r>
      <w:r w:rsidRPr="004756E1">
        <w:rPr>
          <w:rFonts w:cstheme="minorHAnsi"/>
          <w:b/>
          <w:highlight w:val="green"/>
        </w:rPr>
        <w:t>Testing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 e.g., testing of risk model in another data set; sensitivity analysis for missing data; other methods that were assessed</w:t>
      </w:r>
      <w:r>
        <w:rPr>
          <w:rFonts w:cstheme="minorHAnsi"/>
        </w:rPr>
        <w:t>)</w:t>
      </w:r>
    </w:p>
    <w:p w14:paraId="0CABD005" w14:textId="35F09483"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1739042D" w14:textId="77777777" w:rsidR="00CB24E0" w:rsidRPr="00A25024" w:rsidRDefault="00CB24E0" w:rsidP="00CB24E0">
      <w:pPr>
        <w:autoSpaceDE w:val="0"/>
        <w:autoSpaceDN w:val="0"/>
        <w:adjustRightInd w:val="0"/>
        <w:spacing w:after="0" w:line="240" w:lineRule="auto"/>
        <w:rPr>
          <w:rFonts w:cstheme="minorHAnsi"/>
          <w:b/>
          <w:bCs/>
        </w:rPr>
      </w:pPr>
      <w:bookmarkStart w:id="28" w:name="section2b5"/>
      <w:bookmarkStart w:id="29" w:name="_Hlk500948484"/>
      <w:bookmarkEnd w:id="28"/>
      <w:r>
        <w:rPr>
          <w:rFonts w:cstheme="minorHAnsi"/>
          <w:b/>
          <w:bCs/>
        </w:rPr>
        <w:t>2b4</w:t>
      </w:r>
      <w:r w:rsidRPr="00A25024">
        <w:rPr>
          <w:rFonts w:cstheme="minorHAnsi"/>
          <w:b/>
          <w:bCs/>
        </w:rPr>
        <w:t>. IDENTIFICATION OF STATISTICALLY SIGNIFICANT &amp; MEANINGFUL DIFFERENCES IN PERFORMANCE</w:t>
      </w:r>
    </w:p>
    <w:p w14:paraId="0161E60D" w14:textId="77777777" w:rsidR="00CB24E0" w:rsidRDefault="00CB24E0" w:rsidP="00CB24E0">
      <w:pPr>
        <w:autoSpaceDE w:val="0"/>
        <w:autoSpaceDN w:val="0"/>
        <w:adjustRightInd w:val="0"/>
        <w:spacing w:after="0" w:line="240" w:lineRule="auto"/>
        <w:rPr>
          <w:rFonts w:cstheme="minorHAnsi"/>
          <w:bCs/>
        </w:rPr>
      </w:pPr>
      <w:r>
        <w:rPr>
          <w:rFonts w:cstheme="minorHAnsi"/>
          <w:b/>
          <w:bCs/>
        </w:rPr>
        <w:t>2b4.1.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bookmarkEnd w:id="29"/>
      <w:r w:rsidRPr="00A25024">
        <w:rPr>
          <w:rFonts w:cstheme="minorHAnsi"/>
          <w:bCs/>
        </w:rPr>
        <w:br/>
        <w:t xml:space="preserve"> </w:t>
      </w:r>
    </w:p>
    <w:p w14:paraId="7ABCE539" w14:textId="263AAD6F" w:rsidR="00864C21" w:rsidRDefault="00864C21" w:rsidP="002310DB">
      <w:pPr>
        <w:pStyle w:val="Response"/>
      </w:pPr>
      <w:r w:rsidRPr="00906F3D">
        <w:t xml:space="preserve">RTI </w:t>
      </w:r>
      <w:r w:rsidR="002310DB" w:rsidRPr="00906F3D">
        <w:t>described</w:t>
      </w:r>
      <w:r w:rsidRPr="00906F3D">
        <w:t xml:space="preserve"> the current variability in the facility-level quality measure scores.</w:t>
      </w:r>
      <w:r w:rsidRPr="00303E93">
        <w:t xml:space="preserve">  </w:t>
      </w:r>
    </w:p>
    <w:p w14:paraId="33718CD5" w14:textId="38D93D2A" w:rsidR="00CB24E0" w:rsidRPr="00B76DB4" w:rsidRDefault="00CB24E0" w:rsidP="002310DB">
      <w:pPr>
        <w:pStyle w:val="Response"/>
      </w:pPr>
      <w:r>
        <w:t xml:space="preserve">RTI </w:t>
      </w:r>
      <w:r w:rsidR="002310DB">
        <w:t xml:space="preserve">also </w:t>
      </w:r>
      <w:r w:rsidR="00C67C27">
        <w:t xml:space="preserve">examined proportions of facilities with scores for this measure that are significantly different from national facility-level mean, stratified by facility denominator size. For this analysis, statistical significance was determined using 95% confidence intervals: a facility’s quality measure score was significantly different from the national mean if the national mean was not included in the facility’s 95% confidence interval. High-performing facilities should have scores that are significantly below average, and scores of low-performing facilities should be significantly above average. We stratified the analysis by facility </w:t>
      </w:r>
      <w:r w:rsidR="00C67C27" w:rsidRPr="005D3370">
        <w:t>denominator size to examine whether this feature of the measure varies by size.</w:t>
      </w:r>
    </w:p>
    <w:p w14:paraId="26349738" w14:textId="77777777" w:rsidR="00CB24E0" w:rsidRDefault="00CB24E0" w:rsidP="00CB24E0">
      <w:pPr>
        <w:autoSpaceDE w:val="0"/>
        <w:autoSpaceDN w:val="0"/>
        <w:adjustRightInd w:val="0"/>
        <w:spacing w:after="0" w:line="240" w:lineRule="auto"/>
        <w:rPr>
          <w:rFonts w:cstheme="minorHAnsi"/>
          <w:bCs/>
        </w:rPr>
      </w:pPr>
      <w:r>
        <w:rPr>
          <w:rFonts w:cstheme="minorHAnsi"/>
          <w:b/>
          <w:bCs/>
        </w:rPr>
        <w:t xml:space="preserve">2b4.2. </w:t>
      </w:r>
      <w:r w:rsidRPr="00A25024">
        <w:rPr>
          <w:rFonts w:cstheme="minorHAnsi"/>
          <w:b/>
          <w:bCs/>
        </w:rPr>
        <w:t xml:space="preserve">What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Pr>
          <w:rFonts w:cstheme="minorHAnsi"/>
          <w:bCs/>
          <w:i/>
        </w:rPr>
        <w:t>or some benchmark, different from expected; how was meaningful difference defined</w:t>
      </w:r>
      <w:r w:rsidRPr="00A25024">
        <w:rPr>
          <w:rFonts w:cstheme="minorHAnsi"/>
          <w:bCs/>
        </w:rPr>
        <w:t>)</w:t>
      </w:r>
    </w:p>
    <w:p w14:paraId="0F713AB2" w14:textId="1BBF77E3" w:rsidR="00B4226E" w:rsidRDefault="00B4226E" w:rsidP="00B4226E">
      <w:pPr>
        <w:pStyle w:val="Response"/>
      </w:pPr>
      <w:r w:rsidRPr="00303E93">
        <w:rPr>
          <w:b/>
          <w:i/>
        </w:rPr>
        <w:t>Table 9</w:t>
      </w:r>
      <w:r w:rsidRPr="00303E93">
        <w:t xml:space="preserve"> </w:t>
      </w:r>
      <w:r w:rsidRPr="00906F3D">
        <w:t>describes the current variability in the quality measure scores of facilities nationally.  We find that the mean facility-level score for this quality measure was 7.</w:t>
      </w:r>
      <w:r>
        <w:t>2</w:t>
      </w:r>
      <w:r w:rsidRPr="00906F3D">
        <w:t>% in Q</w:t>
      </w:r>
      <w:r>
        <w:t xml:space="preserve">uarter </w:t>
      </w:r>
      <w:r w:rsidRPr="00906F3D">
        <w:t>2</w:t>
      </w:r>
      <w:r>
        <w:t>,</w:t>
      </w:r>
      <w:r w:rsidRPr="00906F3D">
        <w:t xml:space="preserve"> 2017 with a median score of 4.</w:t>
      </w:r>
      <w:r>
        <w:t>9</w:t>
      </w:r>
      <w:r w:rsidRPr="00906F3D">
        <w:t>%, indicating a slight positive skew.  The interquartile range for this measure was 9.</w:t>
      </w:r>
      <w:r>
        <w:t>6</w:t>
      </w:r>
      <w:r w:rsidRPr="00906F3D">
        <w:t>%.  Among facilities who were eligible to publicly report this measure</w:t>
      </w:r>
      <w:r>
        <w:t>,</w:t>
      </w:r>
      <w:r w:rsidRPr="00906F3D">
        <w:t xml:space="preserve"> 22.</w:t>
      </w:r>
      <w:r>
        <w:t>7</w:t>
      </w:r>
      <w:r w:rsidRPr="00906F3D">
        <w:t>% had perfect scores of 0%</w:t>
      </w:r>
      <w:r>
        <w:t>;</w:t>
      </w:r>
      <w:r w:rsidRPr="00906F3D">
        <w:t xml:space="preserve"> as shown in </w:t>
      </w:r>
      <w:r w:rsidRPr="00906F3D">
        <w:rPr>
          <w:b/>
          <w:i/>
        </w:rPr>
        <w:t>Figure 3</w:t>
      </w:r>
      <w:r w:rsidRPr="00906F3D">
        <w:t xml:space="preserve"> in Section 2b1, the national mean facility-level score on this measure has </w:t>
      </w:r>
      <w:r>
        <w:t>decreased</w:t>
      </w:r>
      <w:r w:rsidRPr="00906F3D">
        <w:t xml:space="preserve"> over time, suggesting that facilities may have improved in pain management</w:t>
      </w:r>
      <w:r>
        <w:t xml:space="preserve"> after this measure was publicly reported</w:t>
      </w:r>
      <w:r w:rsidRPr="00906F3D">
        <w:t>.</w:t>
      </w:r>
    </w:p>
    <w:p w14:paraId="0F3D4171" w14:textId="632E1E98" w:rsidR="00CB24E0" w:rsidRPr="00320E5E" w:rsidRDefault="00CB24E0" w:rsidP="007154B1">
      <w:pPr>
        <w:pStyle w:val="TableTitle"/>
      </w:pPr>
      <w:r w:rsidRPr="00303E93">
        <w:t xml:space="preserve">Table </w:t>
      </w:r>
      <w:r w:rsidR="00FA7774" w:rsidRPr="00303E93">
        <w:t>9</w:t>
      </w:r>
      <w:r w:rsidR="004650BE">
        <w:br/>
        <w:t>National Facility-Level Score D</w:t>
      </w:r>
      <w:r w:rsidR="003A4B21">
        <w:t>istribution</w:t>
      </w:r>
      <w:r w:rsidR="004650BE">
        <w:t>,</w:t>
      </w:r>
      <w:r w:rsidR="003A4B21">
        <w:t xml:space="preserve"> NQF</w:t>
      </w:r>
      <w:r>
        <w:t xml:space="preserve"> #0677</w:t>
      </w:r>
      <w:r w:rsidRPr="00F638D4">
        <w:t xml:space="preserve"> Percent of Residents Who Self-Report Moderate to Severe Pain (</w:t>
      </w:r>
      <w:r>
        <w:t>Long</w:t>
      </w:r>
      <w:r w:rsidRPr="00F638D4">
        <w:t xml:space="preserve"> Stay)</w:t>
      </w:r>
    </w:p>
    <w:p w14:paraId="0E47E109" w14:textId="77777777" w:rsidR="00B4226E" w:rsidRDefault="00B4226E" w:rsidP="00CB24E0">
      <w:pPr>
        <w:pStyle w:val="Response"/>
        <w:rPr>
          <w:sz w:val="20"/>
          <w:szCs w:val="20"/>
        </w:rPr>
      </w:pPr>
    </w:p>
    <w:tbl>
      <w:tblPr>
        <w:tblStyle w:val="CMSTable"/>
        <w:tblW w:w="5000" w:type="pct"/>
        <w:tblLook w:val="05E0" w:firstRow="1" w:lastRow="1" w:firstColumn="1" w:lastColumn="1" w:noHBand="0" w:noVBand="1"/>
      </w:tblPr>
      <w:tblGrid>
        <w:gridCol w:w="778"/>
        <w:gridCol w:w="692"/>
        <w:gridCol w:w="642"/>
        <w:gridCol w:w="1018"/>
        <w:gridCol w:w="1018"/>
        <w:gridCol w:w="1018"/>
        <w:gridCol w:w="1018"/>
        <w:gridCol w:w="1018"/>
        <w:gridCol w:w="936"/>
        <w:gridCol w:w="1222"/>
      </w:tblGrid>
      <w:tr w:rsidR="00B4226E" w:rsidRPr="009B5870" w14:paraId="7E42B6C8" w14:textId="77777777" w:rsidTr="003F4731">
        <w:trPr>
          <w:cnfStyle w:val="100000000000" w:firstRow="1" w:lastRow="0" w:firstColumn="0" w:lastColumn="0" w:oddVBand="0" w:evenVBand="0" w:oddHBand="0" w:evenHBand="0" w:firstRowFirstColumn="0" w:firstRowLastColumn="0" w:lastRowFirstColumn="0" w:lastRowLastColumn="0"/>
        </w:trPr>
        <w:tc>
          <w:tcPr>
            <w:tcW w:w="415" w:type="pct"/>
          </w:tcPr>
          <w:p w14:paraId="6C76D963" w14:textId="77777777" w:rsidR="00B4226E" w:rsidRPr="009B5870" w:rsidRDefault="00B4226E" w:rsidP="003F4731">
            <w:pPr>
              <w:keepNext/>
              <w:spacing w:before="40" w:after="40"/>
              <w:rPr>
                <w:i/>
                <w:iCs/>
                <w:snapToGrid w:val="0"/>
                <w:color w:val="0000FF"/>
                <w:sz w:val="18"/>
                <w:szCs w:val="18"/>
              </w:rPr>
            </w:pPr>
            <w:r>
              <w:rPr>
                <w:i/>
                <w:iCs/>
                <w:snapToGrid w:val="0"/>
                <w:color w:val="0000FF"/>
                <w:sz w:val="18"/>
                <w:szCs w:val="18"/>
              </w:rPr>
              <w:t>k</w:t>
            </w:r>
          </w:p>
        </w:tc>
        <w:tc>
          <w:tcPr>
            <w:tcW w:w="369" w:type="pct"/>
          </w:tcPr>
          <w:p w14:paraId="267E8927" w14:textId="77777777" w:rsidR="00B4226E" w:rsidRPr="009B5870" w:rsidRDefault="00B4226E" w:rsidP="003F4731">
            <w:pPr>
              <w:keepNext/>
              <w:spacing w:before="40" w:after="40"/>
              <w:rPr>
                <w:snapToGrid w:val="0"/>
                <w:color w:val="0000FF"/>
                <w:sz w:val="18"/>
                <w:szCs w:val="18"/>
              </w:rPr>
            </w:pPr>
            <w:r w:rsidRPr="009B5870">
              <w:rPr>
                <w:snapToGrid w:val="0"/>
                <w:color w:val="0000FF"/>
                <w:sz w:val="18"/>
                <w:szCs w:val="18"/>
              </w:rPr>
              <w:t>Mean score</w:t>
            </w:r>
          </w:p>
        </w:tc>
        <w:tc>
          <w:tcPr>
            <w:tcW w:w="343" w:type="pct"/>
          </w:tcPr>
          <w:p w14:paraId="5F605D15" w14:textId="77777777" w:rsidR="00B4226E" w:rsidRPr="009B5870" w:rsidRDefault="00B4226E" w:rsidP="003F4731">
            <w:pPr>
              <w:keepNext/>
              <w:spacing w:before="40" w:after="40"/>
              <w:rPr>
                <w:snapToGrid w:val="0"/>
                <w:color w:val="0000FF"/>
                <w:sz w:val="18"/>
                <w:szCs w:val="18"/>
              </w:rPr>
            </w:pPr>
            <w:proofErr w:type="spellStart"/>
            <w:r w:rsidRPr="009B5870">
              <w:rPr>
                <w:snapToGrid w:val="0"/>
                <w:color w:val="0000FF"/>
                <w:sz w:val="18"/>
                <w:szCs w:val="18"/>
              </w:rPr>
              <w:t>Std</w:t>
            </w:r>
            <w:proofErr w:type="spellEnd"/>
            <w:r w:rsidRPr="009B5870">
              <w:rPr>
                <w:snapToGrid w:val="0"/>
                <w:color w:val="0000FF"/>
                <w:sz w:val="18"/>
                <w:szCs w:val="18"/>
              </w:rPr>
              <w:t xml:space="preserve"> dev.</w:t>
            </w:r>
          </w:p>
        </w:tc>
        <w:tc>
          <w:tcPr>
            <w:tcW w:w="544" w:type="pct"/>
          </w:tcPr>
          <w:p w14:paraId="0EDFC626" w14:textId="77777777" w:rsidR="00B4226E" w:rsidRPr="009B5870" w:rsidRDefault="00B4226E" w:rsidP="003F4731">
            <w:pPr>
              <w:keepNext/>
              <w:spacing w:before="40" w:after="40"/>
              <w:rPr>
                <w:snapToGrid w:val="0"/>
                <w:color w:val="0000FF"/>
                <w:sz w:val="18"/>
                <w:szCs w:val="18"/>
              </w:rPr>
            </w:pPr>
            <w:r w:rsidRPr="009B5870">
              <w:rPr>
                <w:snapToGrid w:val="0"/>
                <w:color w:val="0000FF"/>
                <w:sz w:val="18"/>
                <w:szCs w:val="18"/>
              </w:rPr>
              <w:t xml:space="preserve">10th </w:t>
            </w:r>
            <w:r w:rsidRPr="009B5870">
              <w:rPr>
                <w:snapToGrid w:val="0"/>
                <w:color w:val="0000FF"/>
                <w:sz w:val="18"/>
                <w:szCs w:val="18"/>
              </w:rPr>
              <w:br/>
              <w:t>percentile</w:t>
            </w:r>
          </w:p>
        </w:tc>
        <w:tc>
          <w:tcPr>
            <w:tcW w:w="544" w:type="pct"/>
          </w:tcPr>
          <w:p w14:paraId="39C15947" w14:textId="77777777" w:rsidR="00B4226E" w:rsidRPr="009B5870" w:rsidRDefault="00B4226E" w:rsidP="003F4731">
            <w:pPr>
              <w:keepNext/>
              <w:spacing w:before="40" w:after="40"/>
              <w:rPr>
                <w:snapToGrid w:val="0"/>
                <w:color w:val="0000FF"/>
                <w:sz w:val="18"/>
                <w:szCs w:val="18"/>
              </w:rPr>
            </w:pPr>
            <w:r w:rsidRPr="009B5870">
              <w:rPr>
                <w:snapToGrid w:val="0"/>
                <w:color w:val="0000FF"/>
                <w:sz w:val="18"/>
                <w:szCs w:val="18"/>
              </w:rPr>
              <w:t xml:space="preserve">25th </w:t>
            </w:r>
            <w:r w:rsidRPr="009B5870">
              <w:rPr>
                <w:snapToGrid w:val="0"/>
                <w:color w:val="0000FF"/>
                <w:sz w:val="18"/>
                <w:szCs w:val="18"/>
              </w:rPr>
              <w:br/>
              <w:t>percentile</w:t>
            </w:r>
          </w:p>
        </w:tc>
        <w:tc>
          <w:tcPr>
            <w:tcW w:w="544" w:type="pct"/>
          </w:tcPr>
          <w:p w14:paraId="498AB87B" w14:textId="77777777" w:rsidR="00B4226E" w:rsidRPr="009B5870" w:rsidRDefault="00B4226E" w:rsidP="003F4731">
            <w:pPr>
              <w:keepNext/>
              <w:spacing w:before="40" w:after="40"/>
              <w:rPr>
                <w:snapToGrid w:val="0"/>
                <w:color w:val="0000FF"/>
                <w:sz w:val="18"/>
                <w:szCs w:val="18"/>
              </w:rPr>
            </w:pPr>
            <w:r w:rsidRPr="009B5870">
              <w:rPr>
                <w:snapToGrid w:val="0"/>
                <w:color w:val="0000FF"/>
                <w:sz w:val="18"/>
                <w:szCs w:val="18"/>
              </w:rPr>
              <w:t xml:space="preserve">50th </w:t>
            </w:r>
            <w:r w:rsidRPr="009B5870">
              <w:rPr>
                <w:snapToGrid w:val="0"/>
                <w:color w:val="0000FF"/>
                <w:sz w:val="18"/>
                <w:szCs w:val="18"/>
              </w:rPr>
              <w:br/>
              <w:t>percentile</w:t>
            </w:r>
          </w:p>
        </w:tc>
        <w:tc>
          <w:tcPr>
            <w:tcW w:w="544" w:type="pct"/>
          </w:tcPr>
          <w:p w14:paraId="69D42FA8" w14:textId="77777777" w:rsidR="00B4226E" w:rsidRPr="009B5870" w:rsidRDefault="00B4226E" w:rsidP="003F4731">
            <w:pPr>
              <w:keepNext/>
              <w:spacing w:before="40" w:after="40"/>
              <w:rPr>
                <w:snapToGrid w:val="0"/>
                <w:color w:val="0000FF"/>
                <w:sz w:val="18"/>
                <w:szCs w:val="18"/>
              </w:rPr>
            </w:pPr>
            <w:r w:rsidRPr="009B5870">
              <w:rPr>
                <w:snapToGrid w:val="0"/>
                <w:color w:val="0000FF"/>
                <w:sz w:val="18"/>
                <w:szCs w:val="18"/>
              </w:rPr>
              <w:t xml:space="preserve">75th </w:t>
            </w:r>
            <w:r w:rsidRPr="009B5870">
              <w:rPr>
                <w:snapToGrid w:val="0"/>
                <w:color w:val="0000FF"/>
                <w:sz w:val="18"/>
                <w:szCs w:val="18"/>
              </w:rPr>
              <w:br/>
              <w:t>percentile</w:t>
            </w:r>
          </w:p>
        </w:tc>
        <w:tc>
          <w:tcPr>
            <w:tcW w:w="544" w:type="pct"/>
          </w:tcPr>
          <w:p w14:paraId="0C352C3B" w14:textId="77777777" w:rsidR="00B4226E" w:rsidRPr="009B5870" w:rsidRDefault="00B4226E" w:rsidP="003F4731">
            <w:pPr>
              <w:keepNext/>
              <w:spacing w:before="40" w:after="40"/>
              <w:rPr>
                <w:snapToGrid w:val="0"/>
                <w:color w:val="0000FF"/>
                <w:sz w:val="18"/>
                <w:szCs w:val="18"/>
              </w:rPr>
            </w:pPr>
            <w:r w:rsidRPr="009B5870">
              <w:rPr>
                <w:snapToGrid w:val="0"/>
                <w:color w:val="0000FF"/>
                <w:sz w:val="18"/>
                <w:szCs w:val="18"/>
              </w:rPr>
              <w:t xml:space="preserve">90th </w:t>
            </w:r>
            <w:r w:rsidRPr="009B5870">
              <w:rPr>
                <w:snapToGrid w:val="0"/>
                <w:color w:val="0000FF"/>
                <w:sz w:val="18"/>
                <w:szCs w:val="18"/>
              </w:rPr>
              <w:br/>
              <w:t>percentile</w:t>
            </w:r>
          </w:p>
        </w:tc>
        <w:tc>
          <w:tcPr>
            <w:tcW w:w="500" w:type="pct"/>
            <w:shd w:val="clear" w:color="auto" w:fill="auto"/>
          </w:tcPr>
          <w:p w14:paraId="6EEE91FF" w14:textId="77777777" w:rsidR="00B4226E" w:rsidRPr="00C67C27" w:rsidRDefault="00B4226E" w:rsidP="003F4731">
            <w:pPr>
              <w:keepNext/>
              <w:spacing w:before="40" w:after="40"/>
              <w:rPr>
                <w:snapToGrid w:val="0"/>
                <w:color w:val="0000FF"/>
                <w:sz w:val="18"/>
                <w:szCs w:val="18"/>
              </w:rPr>
            </w:pPr>
            <w:r w:rsidRPr="00C67C27">
              <w:rPr>
                <w:snapToGrid w:val="0"/>
                <w:color w:val="0000FF"/>
                <w:sz w:val="18"/>
                <w:szCs w:val="18"/>
              </w:rPr>
              <w:t xml:space="preserve">% of </w:t>
            </w:r>
            <w:r w:rsidRPr="00C67C27">
              <w:rPr>
                <w:snapToGrid w:val="0"/>
                <w:color w:val="0000FF"/>
                <w:sz w:val="18"/>
                <w:szCs w:val="18"/>
              </w:rPr>
              <w:br/>
              <w:t xml:space="preserve">facilities with </w:t>
            </w:r>
            <w:r w:rsidRPr="00C67C27">
              <w:rPr>
                <w:snapToGrid w:val="0"/>
                <w:color w:val="0000FF"/>
                <w:sz w:val="18"/>
                <w:szCs w:val="18"/>
              </w:rPr>
              <w:br/>
              <w:t>“perfect scores”</w:t>
            </w:r>
          </w:p>
        </w:tc>
        <w:tc>
          <w:tcPr>
            <w:tcW w:w="655" w:type="pct"/>
          </w:tcPr>
          <w:p w14:paraId="5163D72D" w14:textId="77777777" w:rsidR="00B4226E" w:rsidRPr="009B5870" w:rsidRDefault="00B4226E" w:rsidP="003F4731">
            <w:pPr>
              <w:keepNext/>
              <w:spacing w:before="40" w:after="40"/>
              <w:rPr>
                <w:snapToGrid w:val="0"/>
                <w:color w:val="0000FF"/>
                <w:sz w:val="18"/>
                <w:szCs w:val="18"/>
              </w:rPr>
            </w:pPr>
            <w:r w:rsidRPr="009B5870">
              <w:rPr>
                <w:snapToGrid w:val="0"/>
                <w:color w:val="0000FF"/>
                <w:sz w:val="18"/>
                <w:szCs w:val="18"/>
              </w:rPr>
              <w:t xml:space="preserve">Interquartile </w:t>
            </w:r>
            <w:r w:rsidRPr="009B5870">
              <w:rPr>
                <w:snapToGrid w:val="0"/>
                <w:color w:val="0000FF"/>
                <w:sz w:val="18"/>
                <w:szCs w:val="18"/>
              </w:rPr>
              <w:br/>
              <w:t>range</w:t>
            </w:r>
          </w:p>
        </w:tc>
      </w:tr>
      <w:tr w:rsidR="00B4226E" w:rsidRPr="009B5870" w14:paraId="6AEFE19F" w14:textId="77777777" w:rsidTr="003F4731">
        <w:trPr>
          <w:cnfStyle w:val="010000000000" w:firstRow="0" w:lastRow="1" w:firstColumn="0" w:lastColumn="0" w:oddVBand="0" w:evenVBand="0" w:oddHBand="0" w:evenHBand="0" w:firstRowFirstColumn="0" w:firstRowLastColumn="0" w:lastRowFirstColumn="0" w:lastRowLastColumn="0"/>
        </w:trPr>
        <w:tc>
          <w:tcPr>
            <w:tcW w:w="415" w:type="pct"/>
            <w:vAlign w:val="center"/>
          </w:tcPr>
          <w:p w14:paraId="606B03E6" w14:textId="77777777" w:rsidR="00B4226E" w:rsidRPr="009B5870" w:rsidRDefault="00B4226E" w:rsidP="003F4731">
            <w:pPr>
              <w:pStyle w:val="TableText-cent"/>
              <w:rPr>
                <w:color w:val="0000FF"/>
                <w:sz w:val="18"/>
                <w:szCs w:val="18"/>
              </w:rPr>
            </w:pPr>
            <w:r>
              <w:rPr>
                <w:color w:val="0000FF"/>
                <w:sz w:val="18"/>
                <w:szCs w:val="18"/>
              </w:rPr>
              <w:t xml:space="preserve">   13,691 </w:t>
            </w:r>
          </w:p>
        </w:tc>
        <w:tc>
          <w:tcPr>
            <w:tcW w:w="369" w:type="pct"/>
            <w:vAlign w:val="bottom"/>
          </w:tcPr>
          <w:p w14:paraId="04818878" w14:textId="77777777" w:rsidR="00B4226E" w:rsidRPr="009B5870" w:rsidRDefault="00B4226E" w:rsidP="003F4731">
            <w:pPr>
              <w:pStyle w:val="TableText-cent"/>
              <w:rPr>
                <w:color w:val="0000FF"/>
                <w:sz w:val="18"/>
                <w:szCs w:val="18"/>
              </w:rPr>
            </w:pPr>
            <w:r>
              <w:rPr>
                <w:color w:val="0000FF"/>
                <w:sz w:val="18"/>
                <w:szCs w:val="18"/>
              </w:rPr>
              <w:t>7.2%</w:t>
            </w:r>
          </w:p>
        </w:tc>
        <w:tc>
          <w:tcPr>
            <w:tcW w:w="0" w:type="pct"/>
            <w:vAlign w:val="bottom"/>
          </w:tcPr>
          <w:p w14:paraId="785D0502" w14:textId="77777777" w:rsidR="00B4226E" w:rsidRPr="009B5870" w:rsidRDefault="00B4226E" w:rsidP="003F4731">
            <w:pPr>
              <w:pStyle w:val="TableText-cent"/>
              <w:rPr>
                <w:color w:val="0000FF"/>
                <w:sz w:val="18"/>
                <w:szCs w:val="18"/>
              </w:rPr>
            </w:pPr>
            <w:r>
              <w:rPr>
                <w:color w:val="0000FF"/>
                <w:sz w:val="18"/>
                <w:szCs w:val="18"/>
              </w:rPr>
              <w:t>7.6%</w:t>
            </w:r>
          </w:p>
        </w:tc>
        <w:tc>
          <w:tcPr>
            <w:tcW w:w="0" w:type="pct"/>
            <w:vAlign w:val="bottom"/>
          </w:tcPr>
          <w:p w14:paraId="23961E61" w14:textId="77777777" w:rsidR="00B4226E" w:rsidRPr="009B5870" w:rsidRDefault="00B4226E" w:rsidP="003F4731">
            <w:pPr>
              <w:pStyle w:val="TableText-cent"/>
              <w:rPr>
                <w:color w:val="0000FF"/>
                <w:sz w:val="18"/>
                <w:szCs w:val="18"/>
              </w:rPr>
            </w:pPr>
            <w:r>
              <w:rPr>
                <w:color w:val="0000FF"/>
                <w:sz w:val="18"/>
                <w:szCs w:val="18"/>
              </w:rPr>
              <w:t>0.0%</w:t>
            </w:r>
          </w:p>
        </w:tc>
        <w:tc>
          <w:tcPr>
            <w:tcW w:w="0" w:type="pct"/>
            <w:vAlign w:val="bottom"/>
          </w:tcPr>
          <w:p w14:paraId="5118446E" w14:textId="77777777" w:rsidR="00B4226E" w:rsidRPr="009B5870" w:rsidRDefault="00B4226E" w:rsidP="003F4731">
            <w:pPr>
              <w:pStyle w:val="TableText-cent"/>
              <w:rPr>
                <w:color w:val="0000FF"/>
                <w:sz w:val="18"/>
                <w:szCs w:val="18"/>
              </w:rPr>
            </w:pPr>
            <w:r>
              <w:rPr>
                <w:color w:val="0000FF"/>
                <w:sz w:val="18"/>
                <w:szCs w:val="18"/>
              </w:rPr>
              <w:t>1.2%</w:t>
            </w:r>
          </w:p>
        </w:tc>
        <w:tc>
          <w:tcPr>
            <w:tcW w:w="0" w:type="pct"/>
            <w:vAlign w:val="bottom"/>
          </w:tcPr>
          <w:p w14:paraId="2B061DF5" w14:textId="77777777" w:rsidR="00B4226E" w:rsidRPr="009B5870" w:rsidRDefault="00B4226E" w:rsidP="003F4731">
            <w:pPr>
              <w:pStyle w:val="TableText-cent"/>
              <w:rPr>
                <w:color w:val="0000FF"/>
                <w:sz w:val="18"/>
                <w:szCs w:val="18"/>
              </w:rPr>
            </w:pPr>
            <w:r>
              <w:rPr>
                <w:color w:val="0000FF"/>
                <w:sz w:val="18"/>
                <w:szCs w:val="18"/>
              </w:rPr>
              <w:t>4.9%</w:t>
            </w:r>
          </w:p>
        </w:tc>
        <w:tc>
          <w:tcPr>
            <w:tcW w:w="0" w:type="pct"/>
            <w:vAlign w:val="bottom"/>
          </w:tcPr>
          <w:p w14:paraId="24B80C5C" w14:textId="77777777" w:rsidR="00B4226E" w:rsidRPr="009B5870" w:rsidRDefault="00B4226E" w:rsidP="003F4731">
            <w:pPr>
              <w:pStyle w:val="TableText-cent"/>
              <w:rPr>
                <w:color w:val="0000FF"/>
                <w:sz w:val="18"/>
                <w:szCs w:val="18"/>
              </w:rPr>
            </w:pPr>
            <w:r>
              <w:rPr>
                <w:color w:val="0000FF"/>
                <w:sz w:val="18"/>
                <w:szCs w:val="18"/>
              </w:rPr>
              <w:t>10.8%</w:t>
            </w:r>
          </w:p>
        </w:tc>
        <w:tc>
          <w:tcPr>
            <w:tcW w:w="0" w:type="pct"/>
            <w:vAlign w:val="bottom"/>
          </w:tcPr>
          <w:p w14:paraId="43BEDC6B" w14:textId="77777777" w:rsidR="00B4226E" w:rsidRPr="009B5870" w:rsidRDefault="00B4226E" w:rsidP="003F4731">
            <w:pPr>
              <w:pStyle w:val="TableText-cent"/>
              <w:rPr>
                <w:color w:val="0000FF"/>
                <w:sz w:val="18"/>
                <w:szCs w:val="18"/>
              </w:rPr>
            </w:pPr>
            <w:r>
              <w:rPr>
                <w:color w:val="0000FF"/>
                <w:sz w:val="18"/>
                <w:szCs w:val="18"/>
              </w:rPr>
              <w:t>17.8%</w:t>
            </w:r>
          </w:p>
        </w:tc>
        <w:tc>
          <w:tcPr>
            <w:tcW w:w="0" w:type="pct"/>
            <w:vAlign w:val="bottom"/>
          </w:tcPr>
          <w:p w14:paraId="0C1ADB27" w14:textId="77777777" w:rsidR="00B4226E" w:rsidRPr="009B5870" w:rsidRDefault="00B4226E" w:rsidP="003F4731">
            <w:pPr>
              <w:pStyle w:val="TableText-cent"/>
              <w:rPr>
                <w:color w:val="0000FF"/>
                <w:sz w:val="18"/>
                <w:szCs w:val="18"/>
              </w:rPr>
            </w:pPr>
            <w:r>
              <w:rPr>
                <w:color w:val="0000FF"/>
                <w:sz w:val="18"/>
                <w:szCs w:val="18"/>
              </w:rPr>
              <w:t>22.7%</w:t>
            </w:r>
          </w:p>
        </w:tc>
        <w:tc>
          <w:tcPr>
            <w:tcW w:w="655" w:type="pct"/>
            <w:vAlign w:val="bottom"/>
          </w:tcPr>
          <w:p w14:paraId="7D561851" w14:textId="77777777" w:rsidR="00B4226E" w:rsidRPr="009B5870" w:rsidRDefault="00B4226E" w:rsidP="003F4731">
            <w:pPr>
              <w:pStyle w:val="TableText-cent"/>
              <w:rPr>
                <w:color w:val="0000FF"/>
                <w:sz w:val="18"/>
                <w:szCs w:val="18"/>
              </w:rPr>
            </w:pPr>
            <w:r>
              <w:rPr>
                <w:color w:val="0000FF"/>
                <w:sz w:val="18"/>
                <w:szCs w:val="18"/>
              </w:rPr>
              <w:t>9.6%</w:t>
            </w:r>
          </w:p>
        </w:tc>
      </w:tr>
    </w:tbl>
    <w:p w14:paraId="1183053D" w14:textId="5970D27B" w:rsidR="00CB24E0" w:rsidRPr="00E81353" w:rsidRDefault="00CB24E0" w:rsidP="00CB24E0">
      <w:pPr>
        <w:pStyle w:val="Response"/>
        <w:rPr>
          <w:sz w:val="20"/>
          <w:szCs w:val="20"/>
        </w:rPr>
      </w:pPr>
      <w:r w:rsidRPr="00E81353">
        <w:rPr>
          <w:sz w:val="20"/>
          <w:szCs w:val="20"/>
        </w:rPr>
        <w:t xml:space="preserve">NOTES: </w:t>
      </w:r>
      <w:r w:rsidRPr="00E81353">
        <w:rPr>
          <w:i/>
          <w:iCs/>
          <w:sz w:val="20"/>
          <w:szCs w:val="20"/>
        </w:rPr>
        <w:t xml:space="preserve">k </w:t>
      </w:r>
      <w:r w:rsidRPr="00E81353">
        <w:rPr>
          <w:sz w:val="20"/>
          <w:szCs w:val="20"/>
        </w:rPr>
        <w:t xml:space="preserve">= number of facilities that meet minimum requirements for public reporting this quality measure. </w:t>
      </w:r>
    </w:p>
    <w:p w14:paraId="3AF9DCB6" w14:textId="53BB1D29" w:rsidR="00B4226E" w:rsidRPr="00E81353" w:rsidRDefault="00B4226E" w:rsidP="00B4226E">
      <w:pPr>
        <w:pStyle w:val="Response"/>
        <w:rPr>
          <w:sz w:val="20"/>
          <w:szCs w:val="20"/>
        </w:rPr>
      </w:pPr>
      <w:r w:rsidRPr="00E81353">
        <w:rPr>
          <w:sz w:val="20"/>
          <w:szCs w:val="20"/>
        </w:rPr>
        <w:t xml:space="preserve">Analysis date: </w:t>
      </w:r>
      <w:r>
        <w:rPr>
          <w:sz w:val="20"/>
          <w:szCs w:val="20"/>
        </w:rPr>
        <w:t>4</w:t>
      </w:r>
      <w:r w:rsidRPr="00E81353">
        <w:rPr>
          <w:sz w:val="20"/>
          <w:szCs w:val="20"/>
        </w:rPr>
        <w:t>/5/201</w:t>
      </w:r>
      <w:r>
        <w:rPr>
          <w:sz w:val="20"/>
          <w:szCs w:val="20"/>
        </w:rPr>
        <w:t>8</w:t>
      </w:r>
    </w:p>
    <w:p w14:paraId="1E950717" w14:textId="485DE5BC" w:rsidR="00B4226E" w:rsidRPr="00303E93" w:rsidRDefault="00B4226E" w:rsidP="00B4226E">
      <w:pPr>
        <w:pStyle w:val="Response"/>
        <w:rPr>
          <w:sz w:val="20"/>
          <w:szCs w:val="20"/>
        </w:rPr>
      </w:pPr>
      <w:r w:rsidRPr="00303E93">
        <w:rPr>
          <w:sz w:val="20"/>
          <w:szCs w:val="20"/>
        </w:rPr>
        <w:t xml:space="preserve">SOURCE: RTI analysis of MDS 3.0 </w:t>
      </w:r>
      <w:r>
        <w:rPr>
          <w:sz w:val="20"/>
          <w:szCs w:val="20"/>
        </w:rPr>
        <w:t>data</w:t>
      </w:r>
      <w:r w:rsidRPr="00303E93">
        <w:rPr>
          <w:sz w:val="20"/>
          <w:szCs w:val="20"/>
        </w:rPr>
        <w:t xml:space="preserve"> for Quarter 2, 2017 (</w:t>
      </w:r>
      <w:r>
        <w:rPr>
          <w:sz w:val="20"/>
          <w:szCs w:val="20"/>
        </w:rPr>
        <w:t>programming reference: rn01/</w:t>
      </w:r>
      <w:r w:rsidRPr="009B221A">
        <w:t xml:space="preserve"> </w:t>
      </w:r>
      <w:r w:rsidRPr="009B221A">
        <w:rPr>
          <w:sz w:val="20"/>
          <w:szCs w:val="20"/>
        </w:rPr>
        <w:t>ac356_request_q2627_677.log</w:t>
      </w:r>
      <w:r>
        <w:rPr>
          <w:sz w:val="20"/>
          <w:szCs w:val="20"/>
        </w:rPr>
        <w:t>; rn-1/ac</w:t>
      </w:r>
      <w:r w:rsidRPr="00303E93">
        <w:rPr>
          <w:sz w:val="20"/>
          <w:szCs w:val="20"/>
        </w:rPr>
        <w:t>36</w:t>
      </w:r>
      <w:r>
        <w:rPr>
          <w:sz w:val="20"/>
          <w:szCs w:val="20"/>
        </w:rPr>
        <w:t>2</w:t>
      </w:r>
      <w:r w:rsidRPr="00303E93">
        <w:rPr>
          <w:sz w:val="20"/>
          <w:szCs w:val="20"/>
        </w:rPr>
        <w:t>_request_q2627_677.log)</w:t>
      </w:r>
    </w:p>
    <w:p w14:paraId="6DBB4A08" w14:textId="3BE041C3" w:rsidR="00D05795" w:rsidRDefault="007E1164" w:rsidP="00E10A7B">
      <w:pPr>
        <w:pStyle w:val="Response"/>
      </w:pPr>
      <w:r w:rsidRPr="00303E93">
        <w:rPr>
          <w:b/>
          <w:i/>
        </w:rPr>
        <w:t>Table 10</w:t>
      </w:r>
      <w:r w:rsidR="00710F15" w:rsidRPr="00303E93">
        <w:t xml:space="preserve"> shows the</w:t>
      </w:r>
      <w:r w:rsidR="00710F15">
        <w:t xml:space="preserve"> proportions of facilities that score statistically significantly higher or lower than the national facility-level mean in Quarter 2, 2017. For this analysis, statistical significance was determined using 95% confidence intervals: a facility’s quality measure score was significantly different from the national mean if the national mean was not within the facility’s 95% confidence interval. </w:t>
      </w:r>
    </w:p>
    <w:p w14:paraId="35957BFF" w14:textId="10649758" w:rsidR="00906F3D" w:rsidRPr="00303E93" w:rsidRDefault="00B4226E" w:rsidP="00D05795">
      <w:pPr>
        <w:pStyle w:val="Response"/>
        <w:ind w:left="720"/>
      </w:pPr>
      <w:r>
        <w:t xml:space="preserve">Overall, almost half (46.2%) </w:t>
      </w:r>
      <w:r w:rsidR="00D05795">
        <w:t xml:space="preserve">of facilities were significantly different from the national mean in Quarter 2, 2017, indicating that there are meaningful differences in facility-level scores for this measure. </w:t>
      </w:r>
      <w:r w:rsidR="00D05795" w:rsidRPr="009C7D47">
        <w:t>We also stratified the data by the facility denominator size to allow us to examine the relationship between facility size and the reliability of facility scores.</w:t>
      </w:r>
      <w:r w:rsidR="00D05795">
        <w:t xml:space="preserve"> The proportions of facilities with scores that are significantly different from the national mean vary as a function of the number of residents included in the denominator for this measure; in general, the percentage of facilities which have scores that are statistically significantly different from the mean increase with the number of residents. Increases in the facility-level sample size lead to reductions in the standard error of facility-level scores, thus, it appears that changes in the reliability of this measure for larger facilities are due to the greater statistical reliability that accompanies increased sample size</w:t>
      </w:r>
      <w:r w:rsidR="00D05795" w:rsidRPr="00303E93">
        <w:t>.</w:t>
      </w:r>
    </w:p>
    <w:p w14:paraId="49A8B1BB" w14:textId="72E0F377" w:rsidR="0067481D" w:rsidRPr="00CD5382" w:rsidRDefault="00C12171" w:rsidP="00CD5382">
      <w:pPr>
        <w:pStyle w:val="TableTitle"/>
      </w:pPr>
      <w:r w:rsidRPr="00303E93">
        <w:t>T</w:t>
      </w:r>
      <w:r w:rsidR="007E1164" w:rsidRPr="00303E93">
        <w:t>able 10</w:t>
      </w:r>
      <w:r w:rsidRPr="003D1D04">
        <w:br/>
      </w:r>
      <w:r w:rsidR="001F3ADD">
        <w:t>Proportion of Facilities with Scores Significantly Different from the National Facility-L</w:t>
      </w:r>
      <w:r w:rsidR="007E1164">
        <w:t>evel M</w:t>
      </w:r>
      <w:r w:rsidR="001F3ADD">
        <w:t>ean, Stratified by Facility Denominator S</w:t>
      </w:r>
      <w:r w:rsidR="001F3ADD" w:rsidRPr="003D1D04">
        <w:t>ize</w:t>
      </w:r>
      <w:r w:rsidR="001F3ADD">
        <w:t xml:space="preserve"> for NQF #0677</w:t>
      </w:r>
      <w:r w:rsidR="001F3ADD" w:rsidRPr="00F638D4">
        <w:t xml:space="preserve"> Percent of Residents Who Self-Report Moderate to Severe Pain (</w:t>
      </w:r>
      <w:r w:rsidR="001F3ADD">
        <w:t>Long</w:t>
      </w:r>
      <w:r w:rsidR="001F3ADD" w:rsidRPr="00F638D4">
        <w:t xml:space="preserve"> Stay)</w:t>
      </w:r>
    </w:p>
    <w:tbl>
      <w:tblPr>
        <w:tblStyle w:val="CMSTable"/>
        <w:tblW w:w="5000" w:type="pct"/>
        <w:tblLook w:val="05E0" w:firstRow="1" w:lastRow="1" w:firstColumn="1" w:lastColumn="1" w:noHBand="0" w:noVBand="1"/>
      </w:tblPr>
      <w:tblGrid>
        <w:gridCol w:w="2358"/>
        <w:gridCol w:w="49"/>
        <w:gridCol w:w="1200"/>
        <w:gridCol w:w="221"/>
        <w:gridCol w:w="1696"/>
        <w:gridCol w:w="137"/>
        <w:gridCol w:w="1782"/>
        <w:gridCol w:w="52"/>
        <w:gridCol w:w="1865"/>
      </w:tblGrid>
      <w:tr w:rsidR="0067481D" w:rsidRPr="00CD5382" w14:paraId="350559C9" w14:textId="77777777" w:rsidTr="002A277D">
        <w:trPr>
          <w:cnfStyle w:val="100000000000" w:firstRow="1" w:lastRow="0" w:firstColumn="0" w:lastColumn="0" w:oddVBand="0" w:evenVBand="0" w:oddHBand="0" w:evenHBand="0" w:firstRowFirstColumn="0" w:firstRowLastColumn="0" w:lastRowFirstColumn="0" w:lastRowLastColumn="0"/>
          <w:trHeight w:val="20"/>
          <w:tblHeader/>
        </w:trPr>
        <w:tc>
          <w:tcPr>
            <w:tcW w:w="1260" w:type="pct"/>
            <w:tcBorders>
              <w:left w:val="nil"/>
              <w:right w:val="nil"/>
            </w:tcBorders>
            <w:hideMark/>
          </w:tcPr>
          <w:p w14:paraId="5E3A7BF4" w14:textId="77777777" w:rsidR="0067481D" w:rsidRPr="00CD5382" w:rsidRDefault="0067481D" w:rsidP="002A277D">
            <w:pPr>
              <w:pStyle w:val="TableHeaders"/>
              <w:rPr>
                <w:rFonts w:ascii="Times New Roman" w:hAnsi="Times New Roman"/>
                <w:color w:val="3333FF"/>
              </w:rPr>
            </w:pPr>
            <w:bookmarkStart w:id="30" w:name="_Hlk511139238"/>
            <w:r w:rsidRPr="00CD5382">
              <w:rPr>
                <w:rFonts w:ascii="Times New Roman" w:hAnsi="Times New Roman"/>
                <w:color w:val="3333FF"/>
              </w:rPr>
              <w:t>Decile of denominator size in residents</w:t>
            </w:r>
          </w:p>
        </w:tc>
        <w:tc>
          <w:tcPr>
            <w:tcW w:w="785" w:type="pct"/>
            <w:gridSpan w:val="3"/>
            <w:tcBorders>
              <w:left w:val="nil"/>
              <w:right w:val="nil"/>
            </w:tcBorders>
            <w:hideMark/>
          </w:tcPr>
          <w:p w14:paraId="04B239B4" w14:textId="77777777" w:rsidR="0067481D" w:rsidRPr="00CD5382" w:rsidRDefault="0067481D" w:rsidP="002A277D">
            <w:pPr>
              <w:pStyle w:val="TableHeaders"/>
              <w:rPr>
                <w:rFonts w:ascii="Times New Roman" w:hAnsi="Times New Roman"/>
                <w:i/>
                <w:color w:val="3333FF"/>
              </w:rPr>
            </w:pPr>
            <w:r w:rsidRPr="00CD5382">
              <w:rPr>
                <w:rFonts w:ascii="Times New Roman" w:hAnsi="Times New Roman"/>
                <w:i/>
                <w:color w:val="3333FF"/>
              </w:rPr>
              <w:t>k</w:t>
            </w:r>
          </w:p>
        </w:tc>
        <w:tc>
          <w:tcPr>
            <w:tcW w:w="979" w:type="pct"/>
            <w:gridSpan w:val="2"/>
            <w:tcBorders>
              <w:left w:val="nil"/>
              <w:right w:val="nil"/>
            </w:tcBorders>
            <w:hideMark/>
          </w:tcPr>
          <w:p w14:paraId="445C5DBF" w14:textId="77777777" w:rsidR="0067481D" w:rsidRPr="00CD5382" w:rsidRDefault="0067481D" w:rsidP="002A277D">
            <w:pPr>
              <w:pStyle w:val="TableHeaders"/>
              <w:rPr>
                <w:rFonts w:ascii="Times New Roman" w:hAnsi="Times New Roman"/>
                <w:color w:val="3333FF"/>
              </w:rPr>
            </w:pPr>
            <w:r w:rsidRPr="00CD5382">
              <w:rPr>
                <w:rFonts w:ascii="Times New Roman" w:hAnsi="Times New Roman"/>
                <w:color w:val="3333FF"/>
              </w:rPr>
              <w:t>Number of facilities with 95% confidence interval lower than national mean (%)</w:t>
            </w:r>
          </w:p>
        </w:tc>
        <w:tc>
          <w:tcPr>
            <w:tcW w:w="980" w:type="pct"/>
            <w:gridSpan w:val="2"/>
            <w:tcBorders>
              <w:left w:val="nil"/>
              <w:right w:val="nil"/>
            </w:tcBorders>
            <w:hideMark/>
          </w:tcPr>
          <w:p w14:paraId="26853A6F" w14:textId="77777777" w:rsidR="0067481D" w:rsidRPr="00CD5382" w:rsidRDefault="0067481D" w:rsidP="002A277D">
            <w:pPr>
              <w:pStyle w:val="TableHeaders"/>
              <w:rPr>
                <w:rFonts w:ascii="Times New Roman" w:hAnsi="Times New Roman"/>
                <w:color w:val="3333FF"/>
              </w:rPr>
            </w:pPr>
            <w:r w:rsidRPr="00CD5382">
              <w:rPr>
                <w:rFonts w:ascii="Times New Roman" w:hAnsi="Times New Roman"/>
                <w:color w:val="3333FF"/>
              </w:rPr>
              <w:t>Number of facilities with 95% confidence interval higher than national mean (%)</w:t>
            </w:r>
          </w:p>
        </w:tc>
        <w:tc>
          <w:tcPr>
            <w:tcW w:w="996" w:type="pct"/>
            <w:tcBorders>
              <w:left w:val="nil"/>
              <w:right w:val="nil"/>
            </w:tcBorders>
            <w:hideMark/>
          </w:tcPr>
          <w:p w14:paraId="601F8A31" w14:textId="77777777" w:rsidR="0067481D" w:rsidRPr="00CD5382" w:rsidRDefault="0067481D" w:rsidP="002A277D">
            <w:pPr>
              <w:pStyle w:val="TableHeaders"/>
              <w:rPr>
                <w:rFonts w:ascii="Times New Roman" w:hAnsi="Times New Roman"/>
                <w:color w:val="3333FF"/>
              </w:rPr>
            </w:pPr>
            <w:r w:rsidRPr="00CD5382">
              <w:rPr>
                <w:rFonts w:ascii="Times New Roman" w:hAnsi="Times New Roman"/>
                <w:color w:val="3333FF"/>
              </w:rPr>
              <w:t>Total number of facilities with scores significantly different from mean (%)</w:t>
            </w:r>
          </w:p>
        </w:tc>
      </w:tr>
      <w:tr w:rsidR="0067481D" w:rsidRPr="00CD5382" w14:paraId="3E26FFED" w14:textId="77777777" w:rsidTr="002A277D">
        <w:trPr>
          <w:trHeight w:val="20"/>
        </w:trPr>
        <w:tc>
          <w:tcPr>
            <w:tcW w:w="1286" w:type="pct"/>
            <w:gridSpan w:val="2"/>
            <w:tcBorders>
              <w:top w:val="nil"/>
              <w:left w:val="nil"/>
              <w:bottom w:val="nil"/>
              <w:right w:val="nil"/>
            </w:tcBorders>
            <w:hideMark/>
          </w:tcPr>
          <w:p w14:paraId="295241A6"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1st Decile (</w:t>
            </w:r>
            <w:r w:rsidRPr="00CD5382">
              <w:rPr>
                <w:rFonts w:ascii="Times New Roman" w:hAnsi="Times New Roman"/>
                <w:i/>
                <w:color w:val="3333FF"/>
              </w:rPr>
              <w:t>n</w:t>
            </w:r>
            <w:r w:rsidRPr="00CD5382">
              <w:rPr>
                <w:rFonts w:ascii="Times New Roman" w:hAnsi="Times New Roman"/>
                <w:color w:val="3333FF"/>
              </w:rPr>
              <w:t xml:space="preserve">= 20 to 27) </w:t>
            </w:r>
          </w:p>
        </w:tc>
        <w:tc>
          <w:tcPr>
            <w:tcW w:w="641" w:type="pct"/>
            <w:tcBorders>
              <w:top w:val="nil"/>
              <w:left w:val="nil"/>
              <w:bottom w:val="nil"/>
              <w:right w:val="nil"/>
            </w:tcBorders>
            <w:hideMark/>
          </w:tcPr>
          <w:p w14:paraId="53AD37AC"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1,419</w:t>
            </w:r>
          </w:p>
        </w:tc>
        <w:tc>
          <w:tcPr>
            <w:tcW w:w="1024" w:type="pct"/>
            <w:gridSpan w:val="2"/>
            <w:tcBorders>
              <w:top w:val="nil"/>
              <w:left w:val="nil"/>
              <w:bottom w:val="nil"/>
              <w:right w:val="nil"/>
            </w:tcBorders>
            <w:hideMark/>
          </w:tcPr>
          <w:p w14:paraId="373DAE6E"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441 (31.1%)</w:t>
            </w:r>
          </w:p>
        </w:tc>
        <w:tc>
          <w:tcPr>
            <w:tcW w:w="1025" w:type="pct"/>
            <w:gridSpan w:val="2"/>
            <w:tcBorders>
              <w:top w:val="nil"/>
              <w:left w:val="nil"/>
              <w:bottom w:val="nil"/>
              <w:right w:val="nil"/>
            </w:tcBorders>
            <w:hideMark/>
          </w:tcPr>
          <w:p w14:paraId="54598FD8"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100 (7.0%) </w:t>
            </w:r>
          </w:p>
        </w:tc>
        <w:tc>
          <w:tcPr>
            <w:tcW w:w="1024" w:type="pct"/>
            <w:gridSpan w:val="2"/>
            <w:tcBorders>
              <w:top w:val="nil"/>
              <w:left w:val="nil"/>
              <w:bottom w:val="nil"/>
              <w:right w:val="nil"/>
            </w:tcBorders>
            <w:hideMark/>
          </w:tcPr>
          <w:p w14:paraId="0AF0422A"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541 (38.1%)</w:t>
            </w:r>
          </w:p>
        </w:tc>
      </w:tr>
      <w:tr w:rsidR="0067481D" w:rsidRPr="00CD5382" w14:paraId="1FECE9EF" w14:textId="77777777" w:rsidTr="002A277D">
        <w:trPr>
          <w:trHeight w:val="20"/>
        </w:trPr>
        <w:tc>
          <w:tcPr>
            <w:tcW w:w="1286" w:type="pct"/>
            <w:gridSpan w:val="2"/>
            <w:tcBorders>
              <w:top w:val="nil"/>
              <w:left w:val="nil"/>
              <w:bottom w:val="nil"/>
              <w:right w:val="nil"/>
            </w:tcBorders>
            <w:hideMark/>
          </w:tcPr>
          <w:p w14:paraId="7935098D"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2nd Decile (</w:t>
            </w:r>
            <w:r w:rsidRPr="00CD5382">
              <w:rPr>
                <w:rFonts w:ascii="Times New Roman" w:hAnsi="Times New Roman"/>
                <w:i/>
                <w:color w:val="3333FF"/>
              </w:rPr>
              <w:t>n</w:t>
            </w:r>
            <w:r w:rsidRPr="00CD5382">
              <w:rPr>
                <w:rFonts w:ascii="Times New Roman" w:hAnsi="Times New Roman"/>
                <w:color w:val="3333FF"/>
              </w:rPr>
              <w:t xml:space="preserve"> = 28 to 33)</w:t>
            </w:r>
          </w:p>
        </w:tc>
        <w:tc>
          <w:tcPr>
            <w:tcW w:w="641" w:type="pct"/>
            <w:tcBorders>
              <w:top w:val="nil"/>
              <w:left w:val="nil"/>
              <w:bottom w:val="nil"/>
              <w:right w:val="nil"/>
            </w:tcBorders>
            <w:hideMark/>
          </w:tcPr>
          <w:p w14:paraId="02BC59FE"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1,352</w:t>
            </w:r>
          </w:p>
        </w:tc>
        <w:tc>
          <w:tcPr>
            <w:tcW w:w="1024" w:type="pct"/>
            <w:gridSpan w:val="2"/>
            <w:tcBorders>
              <w:top w:val="nil"/>
              <w:left w:val="nil"/>
              <w:bottom w:val="nil"/>
              <w:right w:val="nil"/>
            </w:tcBorders>
            <w:hideMark/>
          </w:tcPr>
          <w:p w14:paraId="0ED50AD1"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378 (28.0%)</w:t>
            </w:r>
          </w:p>
        </w:tc>
        <w:tc>
          <w:tcPr>
            <w:tcW w:w="1025" w:type="pct"/>
            <w:gridSpan w:val="2"/>
            <w:tcBorders>
              <w:top w:val="nil"/>
              <w:left w:val="nil"/>
              <w:bottom w:val="nil"/>
              <w:right w:val="nil"/>
            </w:tcBorders>
            <w:hideMark/>
          </w:tcPr>
          <w:p w14:paraId="1E0CA77B"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107 (7.9%) </w:t>
            </w:r>
          </w:p>
        </w:tc>
        <w:tc>
          <w:tcPr>
            <w:tcW w:w="1024" w:type="pct"/>
            <w:gridSpan w:val="2"/>
            <w:tcBorders>
              <w:top w:val="nil"/>
              <w:left w:val="nil"/>
              <w:bottom w:val="nil"/>
              <w:right w:val="nil"/>
            </w:tcBorders>
            <w:hideMark/>
          </w:tcPr>
          <w:p w14:paraId="6681E2F6"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485 (35.9%)</w:t>
            </w:r>
          </w:p>
        </w:tc>
      </w:tr>
      <w:tr w:rsidR="0067481D" w:rsidRPr="00CD5382" w14:paraId="49373964" w14:textId="77777777" w:rsidTr="002A277D">
        <w:trPr>
          <w:trHeight w:val="20"/>
        </w:trPr>
        <w:tc>
          <w:tcPr>
            <w:tcW w:w="1286" w:type="pct"/>
            <w:gridSpan w:val="2"/>
            <w:tcBorders>
              <w:top w:val="nil"/>
              <w:left w:val="nil"/>
              <w:bottom w:val="nil"/>
              <w:right w:val="nil"/>
            </w:tcBorders>
            <w:hideMark/>
          </w:tcPr>
          <w:p w14:paraId="5ED7453F"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3rd Decile (</w:t>
            </w:r>
            <w:r w:rsidRPr="00CD5382">
              <w:rPr>
                <w:rFonts w:ascii="Times New Roman" w:hAnsi="Times New Roman"/>
                <w:i/>
                <w:color w:val="3333FF"/>
              </w:rPr>
              <w:t>n</w:t>
            </w:r>
            <w:r w:rsidRPr="00CD5382">
              <w:rPr>
                <w:rFonts w:ascii="Times New Roman" w:hAnsi="Times New Roman"/>
                <w:color w:val="3333FF"/>
              </w:rPr>
              <w:t xml:space="preserve"> = 34 to 39)</w:t>
            </w:r>
          </w:p>
        </w:tc>
        <w:tc>
          <w:tcPr>
            <w:tcW w:w="641" w:type="pct"/>
            <w:tcBorders>
              <w:top w:val="nil"/>
              <w:left w:val="nil"/>
              <w:bottom w:val="nil"/>
              <w:right w:val="nil"/>
            </w:tcBorders>
            <w:hideMark/>
          </w:tcPr>
          <w:p w14:paraId="03887069"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1,383</w:t>
            </w:r>
          </w:p>
        </w:tc>
        <w:tc>
          <w:tcPr>
            <w:tcW w:w="1024" w:type="pct"/>
            <w:gridSpan w:val="2"/>
            <w:tcBorders>
              <w:top w:val="nil"/>
              <w:left w:val="nil"/>
              <w:bottom w:val="nil"/>
              <w:right w:val="nil"/>
            </w:tcBorders>
            <w:hideMark/>
          </w:tcPr>
          <w:p w14:paraId="244D1C8D"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381 (27.5%)</w:t>
            </w:r>
          </w:p>
        </w:tc>
        <w:tc>
          <w:tcPr>
            <w:tcW w:w="1025" w:type="pct"/>
            <w:gridSpan w:val="2"/>
            <w:tcBorders>
              <w:top w:val="nil"/>
              <w:left w:val="nil"/>
              <w:bottom w:val="nil"/>
              <w:right w:val="nil"/>
            </w:tcBorders>
            <w:hideMark/>
          </w:tcPr>
          <w:p w14:paraId="3D4D0DBD"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123 (8.9%) </w:t>
            </w:r>
          </w:p>
        </w:tc>
        <w:tc>
          <w:tcPr>
            <w:tcW w:w="1024" w:type="pct"/>
            <w:gridSpan w:val="2"/>
            <w:tcBorders>
              <w:top w:val="nil"/>
              <w:left w:val="nil"/>
              <w:bottom w:val="nil"/>
              <w:right w:val="nil"/>
            </w:tcBorders>
            <w:hideMark/>
          </w:tcPr>
          <w:p w14:paraId="5014CE32"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504 (36.4%)</w:t>
            </w:r>
          </w:p>
        </w:tc>
      </w:tr>
      <w:tr w:rsidR="0067481D" w:rsidRPr="00CD5382" w14:paraId="6E6E6DD1" w14:textId="77777777" w:rsidTr="002A277D">
        <w:trPr>
          <w:trHeight w:val="20"/>
        </w:trPr>
        <w:tc>
          <w:tcPr>
            <w:tcW w:w="1286" w:type="pct"/>
            <w:gridSpan w:val="2"/>
            <w:tcBorders>
              <w:top w:val="nil"/>
              <w:left w:val="nil"/>
              <w:bottom w:val="nil"/>
              <w:right w:val="nil"/>
            </w:tcBorders>
            <w:hideMark/>
          </w:tcPr>
          <w:p w14:paraId="66A19A60"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4th Decile (</w:t>
            </w:r>
            <w:r w:rsidRPr="00CD5382">
              <w:rPr>
                <w:rFonts w:ascii="Times New Roman" w:hAnsi="Times New Roman"/>
                <w:i/>
                <w:color w:val="3333FF"/>
              </w:rPr>
              <w:t>n</w:t>
            </w:r>
            <w:r w:rsidRPr="00CD5382">
              <w:rPr>
                <w:rFonts w:ascii="Times New Roman" w:hAnsi="Times New Roman"/>
                <w:color w:val="3333FF"/>
              </w:rPr>
              <w:t xml:space="preserve"> = 40 to 46)</w:t>
            </w:r>
          </w:p>
        </w:tc>
        <w:tc>
          <w:tcPr>
            <w:tcW w:w="641" w:type="pct"/>
            <w:tcBorders>
              <w:top w:val="nil"/>
              <w:left w:val="nil"/>
              <w:bottom w:val="nil"/>
              <w:right w:val="nil"/>
            </w:tcBorders>
            <w:hideMark/>
          </w:tcPr>
          <w:p w14:paraId="60AC480A"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1,518</w:t>
            </w:r>
          </w:p>
        </w:tc>
        <w:tc>
          <w:tcPr>
            <w:tcW w:w="1024" w:type="pct"/>
            <w:gridSpan w:val="2"/>
            <w:tcBorders>
              <w:top w:val="nil"/>
              <w:left w:val="nil"/>
              <w:bottom w:val="nil"/>
              <w:right w:val="nil"/>
            </w:tcBorders>
            <w:hideMark/>
          </w:tcPr>
          <w:p w14:paraId="4C548871"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504 (33.2%)</w:t>
            </w:r>
          </w:p>
        </w:tc>
        <w:tc>
          <w:tcPr>
            <w:tcW w:w="1025" w:type="pct"/>
            <w:gridSpan w:val="2"/>
            <w:tcBorders>
              <w:top w:val="nil"/>
              <w:left w:val="nil"/>
              <w:bottom w:val="nil"/>
              <w:right w:val="nil"/>
            </w:tcBorders>
            <w:hideMark/>
          </w:tcPr>
          <w:p w14:paraId="6203249A"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156 (10.3%) </w:t>
            </w:r>
          </w:p>
        </w:tc>
        <w:tc>
          <w:tcPr>
            <w:tcW w:w="1024" w:type="pct"/>
            <w:gridSpan w:val="2"/>
            <w:tcBorders>
              <w:top w:val="nil"/>
              <w:left w:val="nil"/>
              <w:bottom w:val="nil"/>
              <w:right w:val="nil"/>
            </w:tcBorders>
            <w:hideMark/>
          </w:tcPr>
          <w:p w14:paraId="2DA001B6"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660 (43.5%)</w:t>
            </w:r>
          </w:p>
        </w:tc>
      </w:tr>
      <w:tr w:rsidR="0067481D" w:rsidRPr="00CD5382" w14:paraId="430DACF9" w14:textId="77777777" w:rsidTr="002A277D">
        <w:trPr>
          <w:trHeight w:val="20"/>
        </w:trPr>
        <w:tc>
          <w:tcPr>
            <w:tcW w:w="1286" w:type="pct"/>
            <w:gridSpan w:val="2"/>
            <w:tcBorders>
              <w:top w:val="nil"/>
              <w:left w:val="nil"/>
              <w:bottom w:val="nil"/>
              <w:right w:val="nil"/>
            </w:tcBorders>
            <w:hideMark/>
          </w:tcPr>
          <w:p w14:paraId="1D77EECD"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5th Decile (</w:t>
            </w:r>
            <w:r w:rsidRPr="00CD5382">
              <w:rPr>
                <w:rFonts w:ascii="Times New Roman" w:hAnsi="Times New Roman"/>
                <w:i/>
                <w:color w:val="3333FF"/>
              </w:rPr>
              <w:t>n</w:t>
            </w:r>
            <w:r w:rsidRPr="00CD5382">
              <w:rPr>
                <w:rFonts w:ascii="Times New Roman" w:hAnsi="Times New Roman"/>
                <w:color w:val="3333FF"/>
              </w:rPr>
              <w:t xml:space="preserve"> = 47 to 52)</w:t>
            </w:r>
          </w:p>
        </w:tc>
        <w:tc>
          <w:tcPr>
            <w:tcW w:w="641" w:type="pct"/>
            <w:tcBorders>
              <w:top w:val="nil"/>
              <w:left w:val="nil"/>
              <w:bottom w:val="nil"/>
              <w:right w:val="nil"/>
            </w:tcBorders>
            <w:hideMark/>
          </w:tcPr>
          <w:p w14:paraId="1D10FC53"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1,289</w:t>
            </w:r>
          </w:p>
        </w:tc>
        <w:tc>
          <w:tcPr>
            <w:tcW w:w="1024" w:type="pct"/>
            <w:gridSpan w:val="2"/>
            <w:tcBorders>
              <w:top w:val="nil"/>
              <w:left w:val="nil"/>
              <w:bottom w:val="nil"/>
              <w:right w:val="nil"/>
            </w:tcBorders>
            <w:hideMark/>
          </w:tcPr>
          <w:p w14:paraId="2FACCB6E"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446 (34.6%)</w:t>
            </w:r>
          </w:p>
        </w:tc>
        <w:tc>
          <w:tcPr>
            <w:tcW w:w="1025" w:type="pct"/>
            <w:gridSpan w:val="2"/>
            <w:tcBorders>
              <w:top w:val="nil"/>
              <w:left w:val="nil"/>
              <w:bottom w:val="nil"/>
              <w:right w:val="nil"/>
            </w:tcBorders>
            <w:hideMark/>
          </w:tcPr>
          <w:p w14:paraId="1304F52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125 (9.7%) </w:t>
            </w:r>
          </w:p>
        </w:tc>
        <w:tc>
          <w:tcPr>
            <w:tcW w:w="1024" w:type="pct"/>
            <w:gridSpan w:val="2"/>
            <w:tcBorders>
              <w:top w:val="nil"/>
              <w:left w:val="nil"/>
              <w:bottom w:val="nil"/>
              <w:right w:val="nil"/>
            </w:tcBorders>
            <w:hideMark/>
          </w:tcPr>
          <w:p w14:paraId="403EC4B8"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571 (44.3%)</w:t>
            </w:r>
          </w:p>
        </w:tc>
      </w:tr>
      <w:tr w:rsidR="0067481D" w:rsidRPr="00CD5382" w14:paraId="047EBCC4" w14:textId="77777777" w:rsidTr="002A277D">
        <w:trPr>
          <w:trHeight w:val="20"/>
        </w:trPr>
        <w:tc>
          <w:tcPr>
            <w:tcW w:w="1286" w:type="pct"/>
            <w:gridSpan w:val="2"/>
            <w:tcBorders>
              <w:top w:val="nil"/>
              <w:left w:val="nil"/>
              <w:bottom w:val="nil"/>
              <w:right w:val="nil"/>
            </w:tcBorders>
            <w:hideMark/>
          </w:tcPr>
          <w:p w14:paraId="7EB19608"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6th Decile (</w:t>
            </w:r>
            <w:r w:rsidRPr="00CD5382">
              <w:rPr>
                <w:rFonts w:ascii="Times New Roman" w:hAnsi="Times New Roman"/>
                <w:i/>
                <w:color w:val="3333FF"/>
              </w:rPr>
              <w:t>n</w:t>
            </w:r>
            <w:r w:rsidRPr="00CD5382">
              <w:rPr>
                <w:rFonts w:ascii="Times New Roman" w:hAnsi="Times New Roman"/>
                <w:color w:val="3333FF"/>
              </w:rPr>
              <w:t xml:space="preserve"> = 53 to 59)</w:t>
            </w:r>
          </w:p>
        </w:tc>
        <w:tc>
          <w:tcPr>
            <w:tcW w:w="641" w:type="pct"/>
            <w:tcBorders>
              <w:top w:val="nil"/>
              <w:left w:val="nil"/>
              <w:bottom w:val="nil"/>
              <w:right w:val="nil"/>
            </w:tcBorders>
            <w:hideMark/>
          </w:tcPr>
          <w:p w14:paraId="7DD5BF57"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1,380</w:t>
            </w:r>
          </w:p>
        </w:tc>
        <w:tc>
          <w:tcPr>
            <w:tcW w:w="1024" w:type="pct"/>
            <w:gridSpan w:val="2"/>
            <w:tcBorders>
              <w:top w:val="nil"/>
              <w:left w:val="nil"/>
              <w:bottom w:val="nil"/>
              <w:right w:val="nil"/>
            </w:tcBorders>
            <w:hideMark/>
          </w:tcPr>
          <w:p w14:paraId="0C1A785A"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489 (35.4%)</w:t>
            </w:r>
          </w:p>
        </w:tc>
        <w:tc>
          <w:tcPr>
            <w:tcW w:w="1025" w:type="pct"/>
            <w:gridSpan w:val="2"/>
            <w:tcBorders>
              <w:top w:val="nil"/>
              <w:left w:val="nil"/>
              <w:bottom w:val="nil"/>
              <w:right w:val="nil"/>
            </w:tcBorders>
            <w:hideMark/>
          </w:tcPr>
          <w:p w14:paraId="6E87BF07"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144 (10.4%) </w:t>
            </w:r>
          </w:p>
        </w:tc>
        <w:tc>
          <w:tcPr>
            <w:tcW w:w="1024" w:type="pct"/>
            <w:gridSpan w:val="2"/>
            <w:tcBorders>
              <w:top w:val="nil"/>
              <w:left w:val="nil"/>
              <w:bottom w:val="nil"/>
              <w:right w:val="nil"/>
            </w:tcBorders>
            <w:hideMark/>
          </w:tcPr>
          <w:p w14:paraId="68B8616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633 (45.9%)</w:t>
            </w:r>
          </w:p>
        </w:tc>
      </w:tr>
      <w:tr w:rsidR="0067481D" w:rsidRPr="00CD5382" w14:paraId="515B44C3" w14:textId="77777777" w:rsidTr="002A277D">
        <w:trPr>
          <w:trHeight w:val="20"/>
        </w:trPr>
        <w:tc>
          <w:tcPr>
            <w:tcW w:w="1286" w:type="pct"/>
            <w:gridSpan w:val="2"/>
            <w:tcBorders>
              <w:top w:val="nil"/>
              <w:left w:val="nil"/>
              <w:bottom w:val="nil"/>
              <w:right w:val="nil"/>
            </w:tcBorders>
            <w:hideMark/>
          </w:tcPr>
          <w:p w14:paraId="0D1C4BBA"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7th Decile (</w:t>
            </w:r>
            <w:r w:rsidRPr="00CD5382">
              <w:rPr>
                <w:rFonts w:ascii="Times New Roman" w:hAnsi="Times New Roman"/>
                <w:i/>
                <w:color w:val="3333FF"/>
              </w:rPr>
              <w:t>n</w:t>
            </w:r>
            <w:r w:rsidRPr="00CD5382">
              <w:rPr>
                <w:rFonts w:ascii="Times New Roman" w:hAnsi="Times New Roman"/>
                <w:color w:val="3333FF"/>
              </w:rPr>
              <w:t xml:space="preserve"> = 60 to 67)</w:t>
            </w:r>
          </w:p>
        </w:tc>
        <w:tc>
          <w:tcPr>
            <w:tcW w:w="641" w:type="pct"/>
            <w:tcBorders>
              <w:top w:val="nil"/>
              <w:left w:val="nil"/>
              <w:bottom w:val="nil"/>
              <w:right w:val="nil"/>
            </w:tcBorders>
            <w:hideMark/>
          </w:tcPr>
          <w:p w14:paraId="1191CB9B"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1,380</w:t>
            </w:r>
          </w:p>
        </w:tc>
        <w:tc>
          <w:tcPr>
            <w:tcW w:w="1024" w:type="pct"/>
            <w:gridSpan w:val="2"/>
            <w:tcBorders>
              <w:top w:val="nil"/>
              <w:left w:val="nil"/>
              <w:bottom w:val="nil"/>
              <w:right w:val="nil"/>
            </w:tcBorders>
            <w:hideMark/>
          </w:tcPr>
          <w:p w14:paraId="213CB328"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489 (35.4%)</w:t>
            </w:r>
          </w:p>
        </w:tc>
        <w:tc>
          <w:tcPr>
            <w:tcW w:w="1025" w:type="pct"/>
            <w:gridSpan w:val="2"/>
            <w:tcBorders>
              <w:top w:val="nil"/>
              <w:left w:val="nil"/>
              <w:bottom w:val="nil"/>
              <w:right w:val="nil"/>
            </w:tcBorders>
            <w:hideMark/>
          </w:tcPr>
          <w:p w14:paraId="30B1C1B3"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159 (11.5%) </w:t>
            </w:r>
          </w:p>
        </w:tc>
        <w:tc>
          <w:tcPr>
            <w:tcW w:w="1024" w:type="pct"/>
            <w:gridSpan w:val="2"/>
            <w:tcBorders>
              <w:top w:val="nil"/>
              <w:left w:val="nil"/>
              <w:bottom w:val="nil"/>
              <w:right w:val="nil"/>
            </w:tcBorders>
            <w:hideMark/>
          </w:tcPr>
          <w:p w14:paraId="2E60C466"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648 (47.0%)</w:t>
            </w:r>
          </w:p>
        </w:tc>
      </w:tr>
      <w:tr w:rsidR="0067481D" w:rsidRPr="00CD5382" w14:paraId="1BB3EF3C" w14:textId="77777777" w:rsidTr="002A277D">
        <w:trPr>
          <w:trHeight w:val="20"/>
        </w:trPr>
        <w:tc>
          <w:tcPr>
            <w:tcW w:w="1286" w:type="pct"/>
            <w:gridSpan w:val="2"/>
            <w:tcBorders>
              <w:top w:val="nil"/>
              <w:left w:val="nil"/>
              <w:bottom w:val="nil"/>
              <w:right w:val="nil"/>
            </w:tcBorders>
            <w:hideMark/>
          </w:tcPr>
          <w:p w14:paraId="3569C029"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8th Decile (</w:t>
            </w:r>
            <w:r w:rsidRPr="00CD5382">
              <w:rPr>
                <w:rFonts w:ascii="Times New Roman" w:hAnsi="Times New Roman"/>
                <w:i/>
                <w:color w:val="3333FF"/>
              </w:rPr>
              <w:t>n</w:t>
            </w:r>
            <w:r w:rsidRPr="00CD5382">
              <w:rPr>
                <w:rFonts w:ascii="Times New Roman" w:hAnsi="Times New Roman"/>
                <w:color w:val="3333FF"/>
              </w:rPr>
              <w:t xml:space="preserve"> = 68 to 77)</w:t>
            </w:r>
          </w:p>
        </w:tc>
        <w:tc>
          <w:tcPr>
            <w:tcW w:w="641" w:type="pct"/>
            <w:tcBorders>
              <w:top w:val="nil"/>
              <w:left w:val="nil"/>
              <w:bottom w:val="nil"/>
              <w:right w:val="nil"/>
            </w:tcBorders>
            <w:hideMark/>
          </w:tcPr>
          <w:p w14:paraId="34FDBE23"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1,248</w:t>
            </w:r>
          </w:p>
        </w:tc>
        <w:tc>
          <w:tcPr>
            <w:tcW w:w="1024" w:type="pct"/>
            <w:gridSpan w:val="2"/>
            <w:tcBorders>
              <w:top w:val="nil"/>
              <w:left w:val="nil"/>
              <w:bottom w:val="nil"/>
              <w:right w:val="nil"/>
            </w:tcBorders>
            <w:hideMark/>
          </w:tcPr>
          <w:p w14:paraId="05740502"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513 (41.1%)</w:t>
            </w:r>
          </w:p>
        </w:tc>
        <w:tc>
          <w:tcPr>
            <w:tcW w:w="1025" w:type="pct"/>
            <w:gridSpan w:val="2"/>
            <w:tcBorders>
              <w:top w:val="nil"/>
              <w:left w:val="nil"/>
              <w:bottom w:val="nil"/>
              <w:right w:val="nil"/>
            </w:tcBorders>
            <w:hideMark/>
          </w:tcPr>
          <w:p w14:paraId="4EF0CB5B"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117 (9.4%) </w:t>
            </w:r>
          </w:p>
        </w:tc>
        <w:tc>
          <w:tcPr>
            <w:tcW w:w="1024" w:type="pct"/>
            <w:gridSpan w:val="2"/>
            <w:tcBorders>
              <w:top w:val="nil"/>
              <w:left w:val="nil"/>
              <w:bottom w:val="nil"/>
              <w:right w:val="nil"/>
            </w:tcBorders>
            <w:hideMark/>
          </w:tcPr>
          <w:p w14:paraId="06B653A7"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630 (50.5%)</w:t>
            </w:r>
          </w:p>
        </w:tc>
      </w:tr>
      <w:tr w:rsidR="0067481D" w:rsidRPr="00CD5382" w14:paraId="5EC831E5" w14:textId="77777777" w:rsidTr="002A277D">
        <w:trPr>
          <w:trHeight w:val="20"/>
        </w:trPr>
        <w:tc>
          <w:tcPr>
            <w:tcW w:w="1286" w:type="pct"/>
            <w:gridSpan w:val="2"/>
            <w:tcBorders>
              <w:top w:val="nil"/>
              <w:left w:val="nil"/>
              <w:bottom w:val="nil"/>
              <w:right w:val="nil"/>
            </w:tcBorders>
            <w:hideMark/>
          </w:tcPr>
          <w:p w14:paraId="60ED81CC"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9th Decile (</w:t>
            </w:r>
            <w:r w:rsidRPr="00CD5382">
              <w:rPr>
                <w:rFonts w:ascii="Times New Roman" w:hAnsi="Times New Roman"/>
                <w:i/>
                <w:color w:val="3333FF"/>
              </w:rPr>
              <w:t>n</w:t>
            </w:r>
            <w:r w:rsidRPr="00CD5382">
              <w:rPr>
                <w:rFonts w:ascii="Times New Roman" w:hAnsi="Times New Roman"/>
                <w:color w:val="3333FF"/>
              </w:rPr>
              <w:t xml:space="preserve"> = 78 to 97)</w:t>
            </w:r>
          </w:p>
        </w:tc>
        <w:tc>
          <w:tcPr>
            <w:tcW w:w="641" w:type="pct"/>
            <w:tcBorders>
              <w:top w:val="nil"/>
              <w:left w:val="nil"/>
              <w:bottom w:val="nil"/>
              <w:right w:val="nil"/>
            </w:tcBorders>
            <w:hideMark/>
          </w:tcPr>
          <w:p w14:paraId="1299675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1,367</w:t>
            </w:r>
          </w:p>
        </w:tc>
        <w:tc>
          <w:tcPr>
            <w:tcW w:w="1024" w:type="pct"/>
            <w:gridSpan w:val="2"/>
            <w:tcBorders>
              <w:top w:val="nil"/>
              <w:left w:val="nil"/>
              <w:bottom w:val="nil"/>
              <w:right w:val="nil"/>
            </w:tcBorders>
            <w:hideMark/>
          </w:tcPr>
          <w:p w14:paraId="221F6F72"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631 (46.2%)</w:t>
            </w:r>
          </w:p>
        </w:tc>
        <w:tc>
          <w:tcPr>
            <w:tcW w:w="1025" w:type="pct"/>
            <w:gridSpan w:val="2"/>
            <w:tcBorders>
              <w:top w:val="nil"/>
              <w:left w:val="nil"/>
              <w:bottom w:val="nil"/>
              <w:right w:val="nil"/>
            </w:tcBorders>
            <w:hideMark/>
          </w:tcPr>
          <w:p w14:paraId="2B032A47"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144 (10.5%) </w:t>
            </w:r>
          </w:p>
        </w:tc>
        <w:tc>
          <w:tcPr>
            <w:tcW w:w="1024" w:type="pct"/>
            <w:gridSpan w:val="2"/>
            <w:tcBorders>
              <w:top w:val="nil"/>
              <w:left w:val="nil"/>
              <w:bottom w:val="nil"/>
              <w:right w:val="nil"/>
            </w:tcBorders>
            <w:hideMark/>
          </w:tcPr>
          <w:p w14:paraId="3379B2AC"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775 (56.7%)</w:t>
            </w:r>
          </w:p>
        </w:tc>
      </w:tr>
      <w:tr w:rsidR="0067481D" w:rsidRPr="00CD5382" w14:paraId="2E780800" w14:textId="77777777" w:rsidTr="002A277D">
        <w:trPr>
          <w:trHeight w:val="20"/>
        </w:trPr>
        <w:tc>
          <w:tcPr>
            <w:tcW w:w="1286" w:type="pct"/>
            <w:gridSpan w:val="2"/>
            <w:tcBorders>
              <w:top w:val="nil"/>
              <w:left w:val="nil"/>
              <w:bottom w:val="nil"/>
              <w:right w:val="nil"/>
            </w:tcBorders>
            <w:hideMark/>
          </w:tcPr>
          <w:p w14:paraId="412F0DFC"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10th Decile (</w:t>
            </w:r>
            <w:r w:rsidRPr="00CD5382">
              <w:rPr>
                <w:rFonts w:ascii="Times New Roman" w:hAnsi="Times New Roman"/>
                <w:i/>
                <w:color w:val="3333FF"/>
              </w:rPr>
              <w:t>n</w:t>
            </w:r>
            <w:r w:rsidRPr="00CD5382">
              <w:rPr>
                <w:rFonts w:ascii="Times New Roman" w:hAnsi="Times New Roman"/>
                <w:color w:val="3333FF"/>
              </w:rPr>
              <w:t xml:space="preserve"> = 98 to 552)</w:t>
            </w:r>
          </w:p>
        </w:tc>
        <w:tc>
          <w:tcPr>
            <w:tcW w:w="641" w:type="pct"/>
            <w:tcBorders>
              <w:top w:val="nil"/>
              <w:left w:val="nil"/>
              <w:bottom w:val="nil"/>
              <w:right w:val="nil"/>
            </w:tcBorders>
            <w:hideMark/>
          </w:tcPr>
          <w:p w14:paraId="453856B0"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1,355</w:t>
            </w:r>
          </w:p>
        </w:tc>
        <w:tc>
          <w:tcPr>
            <w:tcW w:w="1024" w:type="pct"/>
            <w:gridSpan w:val="2"/>
            <w:tcBorders>
              <w:top w:val="nil"/>
              <w:left w:val="nil"/>
              <w:bottom w:val="nil"/>
              <w:right w:val="nil"/>
            </w:tcBorders>
            <w:hideMark/>
          </w:tcPr>
          <w:p w14:paraId="1D62651F"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725 (53.5%)</w:t>
            </w:r>
          </w:p>
        </w:tc>
        <w:tc>
          <w:tcPr>
            <w:tcW w:w="1025" w:type="pct"/>
            <w:gridSpan w:val="2"/>
            <w:tcBorders>
              <w:top w:val="nil"/>
              <w:left w:val="nil"/>
              <w:bottom w:val="nil"/>
              <w:right w:val="nil"/>
            </w:tcBorders>
            <w:hideMark/>
          </w:tcPr>
          <w:p w14:paraId="62CE1F2A"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155 (11.4%) </w:t>
            </w:r>
          </w:p>
        </w:tc>
        <w:tc>
          <w:tcPr>
            <w:tcW w:w="1024" w:type="pct"/>
            <w:gridSpan w:val="2"/>
            <w:tcBorders>
              <w:top w:val="nil"/>
              <w:left w:val="nil"/>
              <w:bottom w:val="nil"/>
              <w:right w:val="nil"/>
            </w:tcBorders>
            <w:hideMark/>
          </w:tcPr>
          <w:p w14:paraId="188E8459"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880 (64.9%)</w:t>
            </w:r>
          </w:p>
        </w:tc>
      </w:tr>
      <w:tr w:rsidR="0067481D" w:rsidRPr="00CD5382" w14:paraId="67541677" w14:textId="77777777" w:rsidTr="002A277D">
        <w:trPr>
          <w:cnfStyle w:val="010000000000" w:firstRow="0" w:lastRow="1" w:firstColumn="0" w:lastColumn="0" w:oddVBand="0" w:evenVBand="0" w:oddHBand="0" w:evenHBand="0" w:firstRowFirstColumn="0" w:firstRowLastColumn="0" w:lastRowFirstColumn="0" w:lastRowLastColumn="0"/>
          <w:trHeight w:val="20"/>
        </w:trPr>
        <w:tc>
          <w:tcPr>
            <w:tcW w:w="1286" w:type="pct"/>
            <w:gridSpan w:val="2"/>
            <w:tcBorders>
              <w:top w:val="nil"/>
              <w:left w:val="nil"/>
              <w:right w:val="nil"/>
            </w:tcBorders>
            <w:hideMark/>
          </w:tcPr>
          <w:p w14:paraId="4DD7AE48" w14:textId="77777777" w:rsidR="0067481D" w:rsidRPr="00CD5382" w:rsidRDefault="0067481D" w:rsidP="002A277D">
            <w:pPr>
              <w:pStyle w:val="TableText"/>
              <w:rPr>
                <w:rFonts w:ascii="Times New Roman" w:hAnsi="Times New Roman"/>
                <w:color w:val="3333FF"/>
              </w:rPr>
            </w:pPr>
            <w:r w:rsidRPr="00CD5382">
              <w:rPr>
                <w:rFonts w:ascii="Times New Roman" w:hAnsi="Times New Roman"/>
                <w:color w:val="3333FF"/>
              </w:rPr>
              <w:t>Total</w:t>
            </w:r>
          </w:p>
        </w:tc>
        <w:tc>
          <w:tcPr>
            <w:tcW w:w="641" w:type="pct"/>
            <w:tcBorders>
              <w:top w:val="nil"/>
              <w:left w:val="nil"/>
              <w:right w:val="nil"/>
            </w:tcBorders>
            <w:hideMark/>
          </w:tcPr>
          <w:p w14:paraId="6645E888"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13,691</w:t>
            </w:r>
          </w:p>
        </w:tc>
        <w:tc>
          <w:tcPr>
            <w:tcW w:w="1024" w:type="pct"/>
            <w:gridSpan w:val="2"/>
            <w:tcBorders>
              <w:top w:val="nil"/>
              <w:left w:val="nil"/>
              <w:right w:val="nil"/>
            </w:tcBorders>
            <w:hideMark/>
          </w:tcPr>
          <w:p w14:paraId="22F68439"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4,997 (36.5%)</w:t>
            </w:r>
          </w:p>
        </w:tc>
        <w:tc>
          <w:tcPr>
            <w:tcW w:w="1025" w:type="pct"/>
            <w:gridSpan w:val="2"/>
            <w:tcBorders>
              <w:top w:val="nil"/>
              <w:left w:val="nil"/>
              <w:right w:val="nil"/>
            </w:tcBorders>
            <w:hideMark/>
          </w:tcPr>
          <w:p w14:paraId="663B37E0"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 xml:space="preserve"> 1,330 (9.7%) </w:t>
            </w:r>
          </w:p>
        </w:tc>
        <w:tc>
          <w:tcPr>
            <w:tcW w:w="1024" w:type="pct"/>
            <w:gridSpan w:val="2"/>
            <w:tcBorders>
              <w:top w:val="nil"/>
              <w:left w:val="nil"/>
              <w:right w:val="nil"/>
            </w:tcBorders>
            <w:hideMark/>
          </w:tcPr>
          <w:p w14:paraId="08DB7CEC" w14:textId="77777777" w:rsidR="0067481D" w:rsidRPr="00CD5382" w:rsidRDefault="0067481D" w:rsidP="002A277D">
            <w:pPr>
              <w:pStyle w:val="TableText"/>
              <w:jc w:val="center"/>
              <w:rPr>
                <w:rFonts w:ascii="Times New Roman" w:hAnsi="Times New Roman"/>
                <w:color w:val="3333FF"/>
              </w:rPr>
            </w:pPr>
            <w:r w:rsidRPr="00CD5382">
              <w:rPr>
                <w:rFonts w:ascii="Times New Roman" w:hAnsi="Times New Roman"/>
                <w:color w:val="3333FF"/>
              </w:rPr>
              <w:t>6,327 (46.2%)</w:t>
            </w:r>
          </w:p>
        </w:tc>
      </w:tr>
    </w:tbl>
    <w:bookmarkEnd w:id="30"/>
    <w:p w14:paraId="33B7CBF3" w14:textId="2D78DA5F" w:rsidR="00B4226E" w:rsidRDefault="00B4226E" w:rsidP="00B4226E">
      <w:pPr>
        <w:pStyle w:val="Response"/>
        <w:rPr>
          <w:sz w:val="20"/>
          <w:szCs w:val="20"/>
        </w:rPr>
      </w:pPr>
      <w:r>
        <w:rPr>
          <w:sz w:val="20"/>
          <w:szCs w:val="20"/>
        </w:rPr>
        <w:t xml:space="preserve">NOTE: </w:t>
      </w:r>
      <w:r w:rsidRPr="00E81353">
        <w:rPr>
          <w:i/>
          <w:iCs/>
          <w:sz w:val="20"/>
          <w:szCs w:val="20"/>
        </w:rPr>
        <w:t xml:space="preserve">k </w:t>
      </w:r>
      <w:r w:rsidRPr="00E81353">
        <w:rPr>
          <w:sz w:val="20"/>
          <w:szCs w:val="20"/>
        </w:rPr>
        <w:t>= number of facilities that meet minimum requirements for public re</w:t>
      </w:r>
      <w:r>
        <w:rPr>
          <w:sz w:val="20"/>
          <w:szCs w:val="20"/>
        </w:rPr>
        <w:t xml:space="preserve">porting this quality measure. </w:t>
      </w:r>
    </w:p>
    <w:p w14:paraId="0399957E" w14:textId="6E5FCD87" w:rsidR="00B4226E" w:rsidRPr="002A23FE" w:rsidRDefault="00B4226E" w:rsidP="00B4226E">
      <w:pPr>
        <w:pStyle w:val="Response"/>
        <w:rPr>
          <w:sz w:val="20"/>
          <w:szCs w:val="20"/>
          <w:highlight w:val="yellow"/>
        </w:rPr>
      </w:pPr>
      <w:bookmarkStart w:id="31" w:name="_Hlk510968730"/>
      <w:r w:rsidRPr="002A23FE">
        <w:rPr>
          <w:sz w:val="20"/>
          <w:szCs w:val="20"/>
        </w:rPr>
        <w:t xml:space="preserve">Analysis date: </w:t>
      </w:r>
      <w:r>
        <w:rPr>
          <w:sz w:val="20"/>
          <w:szCs w:val="20"/>
        </w:rPr>
        <w:t>4</w:t>
      </w:r>
      <w:r w:rsidRPr="002A23FE">
        <w:rPr>
          <w:sz w:val="20"/>
          <w:szCs w:val="20"/>
        </w:rPr>
        <w:t>/5/201</w:t>
      </w:r>
      <w:r>
        <w:rPr>
          <w:sz w:val="20"/>
          <w:szCs w:val="20"/>
        </w:rPr>
        <w:t>8</w:t>
      </w:r>
    </w:p>
    <w:p w14:paraId="3608AC82" w14:textId="6C5C94FF" w:rsidR="00B4226E" w:rsidRDefault="00B4226E" w:rsidP="00B4226E">
      <w:pPr>
        <w:autoSpaceDE w:val="0"/>
        <w:autoSpaceDN w:val="0"/>
        <w:adjustRightInd w:val="0"/>
        <w:spacing w:after="0" w:line="240" w:lineRule="auto"/>
        <w:rPr>
          <w:rFonts w:cstheme="minorHAnsi"/>
          <w:bCs/>
          <w:color w:val="0000FF"/>
          <w:sz w:val="20"/>
          <w:szCs w:val="20"/>
        </w:rPr>
      </w:pPr>
      <w:r w:rsidRPr="002A23FE">
        <w:rPr>
          <w:rFonts w:cstheme="minorHAnsi"/>
          <w:bCs/>
          <w:color w:val="0000FF"/>
          <w:sz w:val="20"/>
          <w:szCs w:val="20"/>
        </w:rPr>
        <w:t>SOURCE: RTI analysis of Q2 2017 MDS 3.0 data (programming reference: rn01\</w:t>
      </w:r>
      <w:r>
        <w:rPr>
          <w:rFonts w:cstheme="minorHAnsi"/>
          <w:bCs/>
          <w:color w:val="0000FF"/>
          <w:sz w:val="20"/>
          <w:szCs w:val="20"/>
        </w:rPr>
        <w:t>ac</w:t>
      </w:r>
      <w:r w:rsidRPr="002A23FE">
        <w:rPr>
          <w:rFonts w:cstheme="minorHAnsi"/>
          <w:bCs/>
          <w:color w:val="0000FF"/>
          <w:sz w:val="20"/>
          <w:szCs w:val="20"/>
        </w:rPr>
        <w:t>364_request_q2627_677.log)</w:t>
      </w:r>
    </w:p>
    <w:bookmarkEnd w:id="31"/>
    <w:p w14:paraId="4886E6C0" w14:textId="77777777" w:rsidR="00307B55" w:rsidRPr="00307B55" w:rsidRDefault="00307B55" w:rsidP="00307B55">
      <w:pPr>
        <w:autoSpaceDE w:val="0"/>
        <w:autoSpaceDN w:val="0"/>
        <w:adjustRightInd w:val="0"/>
        <w:spacing w:after="0" w:line="240" w:lineRule="auto"/>
        <w:rPr>
          <w:rFonts w:cstheme="minorHAnsi"/>
          <w:bCs/>
          <w:color w:val="0000FF"/>
          <w:sz w:val="20"/>
          <w:szCs w:val="20"/>
        </w:rPr>
      </w:pPr>
    </w:p>
    <w:p w14:paraId="15F5CF16" w14:textId="7104D8BF" w:rsidR="00CB24E0" w:rsidRDefault="00CB24E0" w:rsidP="00CB24E0">
      <w:pPr>
        <w:autoSpaceDE w:val="0"/>
        <w:autoSpaceDN w:val="0"/>
        <w:adjustRightInd w:val="0"/>
        <w:spacing w:after="0" w:line="240" w:lineRule="auto"/>
        <w:rPr>
          <w:rFonts w:cstheme="minorHAnsi"/>
          <w:bCs/>
        </w:rPr>
      </w:pPr>
      <w:r>
        <w:rPr>
          <w:rFonts w:cstheme="minorHAnsi"/>
          <w:b/>
          <w:bCs/>
        </w:rPr>
        <w:t xml:space="preserve">2b4.3. </w:t>
      </w:r>
      <w:r w:rsidRPr="00A25024">
        <w:rPr>
          <w:rFonts w:cstheme="minorHAnsi"/>
          <w:b/>
          <w:bCs/>
        </w:rPr>
        <w:t>What is your interpretation of the results in terms of demonstrating the ability to identify statistically significant and</w:t>
      </w:r>
      <w:r>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Pr>
          <w:rFonts w:cstheme="minorHAnsi"/>
          <w:bCs/>
          <w:i/>
        </w:rPr>
        <w:t>o the results mean in terms of statistical and meaningful differences?</w:t>
      </w:r>
      <w:r w:rsidR="00CD5382">
        <w:rPr>
          <w:rFonts w:cstheme="minorHAnsi"/>
          <w:bCs/>
        </w:rPr>
        <w:t>)</w:t>
      </w:r>
    </w:p>
    <w:p w14:paraId="168A89A3" w14:textId="41AC0B68" w:rsidR="00C53BA4" w:rsidRPr="00C67C27" w:rsidRDefault="007E1164" w:rsidP="00C67C27">
      <w:pPr>
        <w:pStyle w:val="Response"/>
      </w:pPr>
      <w:r>
        <w:t>These analyses show that the quality measure</w:t>
      </w:r>
      <w:r w:rsidR="00C67C27">
        <w:t xml:space="preserve"> score varies enough to make meaningful distinctions between high- and low-quality facilities.</w:t>
      </w:r>
      <w:r w:rsidR="00C67C27" w:rsidRPr="00762C22">
        <w:t xml:space="preserve"> </w:t>
      </w:r>
      <w:r>
        <w:t>Moreover, the quality measure</w:t>
      </w:r>
      <w:r w:rsidR="00C67C27">
        <w:t xml:space="preserve"> scores vary enough from the national mean that there are meaningful differences in facility-level scores for this measure.</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41A6509D" w:rsidR="000F06B5"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0CABD014" w14:textId="3E9FE234" w:rsidR="000F06B5" w:rsidRPr="00A25024" w:rsidRDefault="005F581E" w:rsidP="003A4365">
      <w:pPr>
        <w:pStyle w:val="Response"/>
      </w:pPr>
      <w:r>
        <w:t>Not applicable.</w:t>
      </w:r>
    </w:p>
    <w:p w14:paraId="0CABD015" w14:textId="07B01C6F"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CABD016" w14:textId="1754022A" w:rsidR="00E1508F" w:rsidRPr="00E1508F" w:rsidRDefault="005F581E" w:rsidP="003A4365">
      <w:pPr>
        <w:pStyle w:val="Response"/>
      </w:pPr>
      <w:r>
        <w:t>Not applicable.</w:t>
      </w:r>
    </w:p>
    <w:p w14:paraId="0CABD017" w14:textId="1A62BF6A"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3FCB7F25" w14:textId="476C0749" w:rsidR="005F581E" w:rsidRPr="005F581E" w:rsidRDefault="005F581E" w:rsidP="005F581E">
      <w:pPr>
        <w:pStyle w:val="Response"/>
        <w:pBdr>
          <w:bottom w:val="single" w:sz="12" w:space="1" w:color="auto"/>
        </w:pBdr>
      </w:pPr>
      <w:r>
        <w:t>Not applicable.</w:t>
      </w:r>
    </w:p>
    <w:p w14:paraId="4A07FF83" w14:textId="77777777" w:rsidR="0041274C" w:rsidRDefault="0041274C" w:rsidP="0041274C">
      <w:pPr>
        <w:spacing w:after="0" w:line="240" w:lineRule="auto"/>
        <w:rPr>
          <w:rFonts w:cstheme="minorHAnsi"/>
          <w:b/>
          <w:bCs/>
        </w:rPr>
      </w:pPr>
    </w:p>
    <w:p w14:paraId="5CE646B4" w14:textId="0CBD0225" w:rsidR="0041274C" w:rsidRDefault="0041274C" w:rsidP="0041274C">
      <w:pPr>
        <w:spacing w:after="0" w:line="240" w:lineRule="auto"/>
        <w:rPr>
          <w:rFonts w:cstheme="minorHAnsi"/>
          <w:b/>
          <w:bCs/>
        </w:rPr>
      </w:pPr>
      <w:r w:rsidRPr="00A25024">
        <w:rPr>
          <w:rFonts w:cstheme="minorHAnsi"/>
          <w:b/>
          <w:bCs/>
        </w:rPr>
        <w:t>2b</w:t>
      </w:r>
      <w:r>
        <w:rPr>
          <w:rFonts w:cstheme="minorHAnsi"/>
          <w:b/>
          <w:bCs/>
        </w:rPr>
        <w:t>6</w:t>
      </w:r>
      <w:r w:rsidRPr="00A25024">
        <w:rPr>
          <w:rFonts w:cstheme="minorHAnsi"/>
          <w:b/>
          <w:bCs/>
        </w:rPr>
        <w:t xml:space="preserve">. </w:t>
      </w:r>
      <w:r>
        <w:rPr>
          <w:rFonts w:cstheme="minorHAnsi"/>
          <w:b/>
          <w:bCs/>
        </w:rPr>
        <w:t xml:space="preserve">MISSING DATA ANALYSIS AND MINIMIZING BIAS </w:t>
      </w:r>
    </w:p>
    <w:p w14:paraId="09335FE1" w14:textId="77777777" w:rsidR="0041274C" w:rsidRDefault="0041274C" w:rsidP="0041274C">
      <w:pPr>
        <w:autoSpaceDE w:val="0"/>
        <w:autoSpaceDN w:val="0"/>
        <w:adjustRightInd w:val="0"/>
        <w:spacing w:after="0" w:line="240" w:lineRule="auto"/>
        <w:rPr>
          <w:rFonts w:cstheme="minorHAnsi"/>
          <w:bCs/>
        </w:rPr>
      </w:pPr>
    </w:p>
    <w:p w14:paraId="12F1F137" w14:textId="77777777" w:rsidR="0041274C" w:rsidRDefault="0041274C" w:rsidP="0041274C">
      <w:pPr>
        <w:autoSpaceDE w:val="0"/>
        <w:autoSpaceDN w:val="0"/>
        <w:adjustRightInd w:val="0"/>
        <w:spacing w:after="0" w:line="240" w:lineRule="auto"/>
        <w:rPr>
          <w:rFonts w:cstheme="minorHAnsi"/>
          <w:bCs/>
        </w:rPr>
      </w:pPr>
      <w:r>
        <w:rPr>
          <w:rFonts w:cstheme="minorHAnsi"/>
          <w:b/>
          <w:bCs/>
        </w:rPr>
        <w:t xml:space="preserve">2b6.1.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Pr="008B604D">
        <w:rPr>
          <w:rFonts w:ascii="Calibri" w:eastAsia="Calibri" w:hAnsi="Calibri" w:cs="Calibri"/>
          <w:b/>
        </w:rPr>
        <w:t>identify the extent and distribution of missing data (or nonresponse) and demonstrate that performance results are not biased</w:t>
      </w:r>
      <w:r w:rsidRPr="006A028C">
        <w:rPr>
          <w:rFonts w:ascii="Calibri" w:eastAsia="Calibri" w:hAnsi="Calibri" w:cs="Calibri"/>
        </w:rPr>
        <w:t xml:space="preserve"> </w:t>
      </w:r>
      <w:r w:rsidRPr="00D071E2">
        <w:rPr>
          <w:rFonts w:ascii="Calibri" w:eastAsia="Calibri" w:hAnsi="Calibri" w:cs="Calibri"/>
          <w:b/>
        </w:rPr>
        <w:t xml:space="preserve">due to systematic missing data </w:t>
      </w:r>
      <w:r w:rsidRPr="006A028C">
        <w:rPr>
          <w:rFonts w:ascii="Calibri" w:eastAsia="Calibri" w:hAnsi="Calibri" w:cs="Calibri"/>
        </w:rPr>
        <w:t xml:space="preserve">(or differences between responders and </w:t>
      </w:r>
      <w:proofErr w:type="spellStart"/>
      <w:r w:rsidRPr="006A028C">
        <w:rPr>
          <w:rFonts w:ascii="Calibri" w:eastAsia="Calibri" w:hAnsi="Calibri" w:cs="Calibri"/>
        </w:rPr>
        <w:t>nonresponders</w:t>
      </w:r>
      <w:proofErr w:type="spellEnd"/>
      <w:r w:rsidRPr="006A028C">
        <w:rPr>
          <w:rFonts w:ascii="Calibri" w:eastAsia="Calibri" w:hAnsi="Calibri" w:cs="Calibri"/>
        </w:rPr>
        <w:t>) and how the specified handling of missing data minimizes bias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14:paraId="66BF807A" w14:textId="283ED8F9" w:rsidR="0041274C" w:rsidRDefault="0041274C" w:rsidP="0041274C">
      <w:pPr>
        <w:pStyle w:val="Response"/>
      </w:pPr>
      <w:r>
        <w:t xml:space="preserve">RTI analyzed the effects of missing data on </w:t>
      </w:r>
      <w:r w:rsidR="007E1164">
        <w:t>this measure</w:t>
      </w:r>
      <w:r>
        <w:t xml:space="preserve"> in the following ways:</w:t>
      </w:r>
    </w:p>
    <w:p w14:paraId="5BB0BCAF" w14:textId="133465AA" w:rsidR="0041274C" w:rsidRDefault="0041274C" w:rsidP="002B676C">
      <w:pPr>
        <w:pStyle w:val="Response"/>
        <w:numPr>
          <w:ilvl w:val="0"/>
          <w:numId w:val="11"/>
        </w:numPr>
      </w:pPr>
      <w:r>
        <w:t xml:space="preserve">We report summary statistics for the </w:t>
      </w:r>
      <w:r w:rsidR="007E1164">
        <w:t xml:space="preserve">facility-level </w:t>
      </w:r>
      <w:r>
        <w:t>distribution of miss</w:t>
      </w:r>
      <w:r w:rsidR="00372825">
        <w:t>ing data rates for items used in the calculation of the long-stay pain measure</w:t>
      </w:r>
      <w:r>
        <w:t xml:space="preserve">, both overall and </w:t>
      </w:r>
      <w:r w:rsidRPr="00F638D4">
        <w:t xml:space="preserve">stratified by </w:t>
      </w:r>
      <w:r w:rsidR="00372825">
        <w:t>quality measure score quartile</w:t>
      </w:r>
      <w:r>
        <w:t xml:space="preserve">.  </w:t>
      </w:r>
    </w:p>
    <w:p w14:paraId="264362C9" w14:textId="77777777" w:rsidR="0041274C" w:rsidRDefault="0041274C" w:rsidP="002B676C">
      <w:pPr>
        <w:pStyle w:val="Response"/>
        <w:numPr>
          <w:ilvl w:val="0"/>
          <w:numId w:val="11"/>
        </w:numPr>
      </w:pPr>
      <w:r>
        <w:t>We analyzed whether m</w:t>
      </w:r>
      <w:r w:rsidRPr="0040429A">
        <w:t>issing data on pain items</w:t>
      </w:r>
      <w:r>
        <w:t xml:space="preserve"> </w:t>
      </w:r>
      <w:r w:rsidRPr="0040429A">
        <w:t xml:space="preserve">varied systematically </w:t>
      </w:r>
      <w:r>
        <w:t>by several resident-level</w:t>
      </w:r>
      <w:r w:rsidRPr="0040429A">
        <w:t xml:space="preserve"> characteristics</w:t>
      </w:r>
      <w:r>
        <w:t xml:space="preserve"> which are associated with self-reported pain.</w:t>
      </w:r>
    </w:p>
    <w:p w14:paraId="42A2562E" w14:textId="7E0490D4" w:rsidR="0041274C" w:rsidRPr="00E43CC5" w:rsidRDefault="0041274C" w:rsidP="002B676C">
      <w:pPr>
        <w:pStyle w:val="Response"/>
        <w:numPr>
          <w:ilvl w:val="1"/>
          <w:numId w:val="11"/>
        </w:numPr>
      </w:pPr>
      <w:r>
        <w:t xml:space="preserve">Specifically, we examined </w:t>
      </w:r>
      <w:r w:rsidR="009709D8">
        <w:t xml:space="preserve">if </w:t>
      </w:r>
      <w:r w:rsidRPr="0040429A">
        <w:t>missing data on pain items J0300</w:t>
      </w:r>
      <w:r w:rsidR="000D3540">
        <w:t xml:space="preserve"> (Pain Presence)</w:t>
      </w:r>
      <w:r w:rsidRPr="0040429A">
        <w:t>, J0400</w:t>
      </w:r>
      <w:r w:rsidR="000D3540">
        <w:t xml:space="preserve"> (Pain Frequency)</w:t>
      </w:r>
      <w:r w:rsidRPr="0040429A">
        <w:t xml:space="preserve">, or J0600 </w:t>
      </w:r>
      <w:r>
        <w:t xml:space="preserve">(Pain Intensity) </w:t>
      </w:r>
      <w:r w:rsidRPr="0040429A">
        <w:t>varied systematically on the foll</w:t>
      </w:r>
      <w:r w:rsidRPr="000850CD">
        <w:t xml:space="preserve">owing characteristics which </w:t>
      </w:r>
      <w:r w:rsidR="00C13B0D" w:rsidRPr="000850CD">
        <w:t xml:space="preserve">our analyses show are </w:t>
      </w:r>
      <w:r w:rsidRPr="000850CD">
        <w:t>related to self-reported pain:</w:t>
      </w:r>
      <w:r w:rsidRPr="0040429A">
        <w:t xml:space="preserve"> age greater than or equal to 85, gender, a</w:t>
      </w:r>
      <w:r w:rsidR="00B12E4F">
        <w:t>nd a</w:t>
      </w:r>
      <w:r w:rsidRPr="0040429A">
        <w:t xml:space="preserve"> </w:t>
      </w:r>
      <w:r w:rsidR="000D3540">
        <w:t xml:space="preserve">BIMS </w:t>
      </w:r>
      <w:r w:rsidRPr="0040429A">
        <w:t xml:space="preserve">score </w:t>
      </w:r>
      <w:r w:rsidR="000D3540">
        <w:t xml:space="preserve">of </w:t>
      </w:r>
      <w:r w:rsidRPr="0040429A">
        <w:t>less than or equal to 12 (indicating cognitive impairment)</w:t>
      </w:r>
      <w:r w:rsidR="00B12E4F">
        <w:t>.</w:t>
      </w:r>
    </w:p>
    <w:p w14:paraId="68D101CC" w14:textId="5E906257" w:rsidR="0041274C" w:rsidRPr="00DE5874" w:rsidRDefault="0041274C" w:rsidP="0041274C">
      <w:pPr>
        <w:autoSpaceDE w:val="0"/>
        <w:autoSpaceDN w:val="0"/>
        <w:adjustRightInd w:val="0"/>
        <w:spacing w:after="0" w:line="240" w:lineRule="auto"/>
        <w:rPr>
          <w:rFonts w:cstheme="minorHAnsi"/>
          <w:bCs/>
        </w:rPr>
      </w:pPr>
      <w:r>
        <w:rPr>
          <w:rFonts w:cstheme="minorHAnsi"/>
          <w:b/>
          <w:bCs/>
        </w:rPr>
        <w:t xml:space="preserve">2b6.2. </w:t>
      </w:r>
      <w:r w:rsidRPr="00FC5DE1">
        <w:rPr>
          <w:rFonts w:cstheme="minorHAnsi"/>
          <w:b/>
          <w:bCs/>
        </w:rPr>
        <w:t>What is the overall frequency of missing data</w:t>
      </w:r>
      <w:r>
        <w:rPr>
          <w:rFonts w:cstheme="minorHAnsi"/>
          <w:b/>
          <w:bCs/>
        </w:rPr>
        <w:t>,</w:t>
      </w:r>
      <w:r w:rsidRPr="00FC5DE1">
        <w:rPr>
          <w:rFonts w:cstheme="minorHAnsi"/>
          <w:b/>
          <w:bCs/>
        </w:rPr>
        <w:t xml:space="preserve"> the distribution of missing data across providers</w:t>
      </w:r>
      <w:r>
        <w:rPr>
          <w:rFonts w:cstheme="minorHAnsi"/>
          <w:b/>
          <w:bCs/>
        </w:rPr>
        <w:t>,</w:t>
      </w:r>
      <w:r w:rsidRPr="00A25024">
        <w:rPr>
          <w:rFonts w:cstheme="minorHAnsi"/>
          <w:b/>
          <w:bCs/>
        </w:rPr>
        <w:t xml:space="preserve"> </w:t>
      </w:r>
      <w:r>
        <w:rPr>
          <w:rFonts w:cstheme="minorHAnsi"/>
          <w:b/>
          <w:bCs/>
        </w:rPr>
        <w:t>and the</w:t>
      </w:r>
      <w:r w:rsidRPr="00A25024">
        <w:rPr>
          <w:rFonts w:cstheme="minorHAnsi"/>
          <w:b/>
          <w:bCs/>
        </w:rPr>
        <w:t xml:space="preserve"> results from testing </w:t>
      </w:r>
      <w:r>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Pr="008B604D">
        <w:rPr>
          <w:rFonts w:cstheme="minorHAnsi"/>
          <w:b/>
          <w:bCs/>
        </w:rPr>
        <w:t xml:space="preserve"> </w:t>
      </w:r>
      <w:r w:rsidRPr="00FC5DE1">
        <w:rPr>
          <w:rFonts w:cstheme="minorHAnsi"/>
          <w:bCs/>
          <w:i/>
        </w:rPr>
        <w:t xml:space="preserve">results of sensitivity analysis of </w:t>
      </w:r>
      <w:r>
        <w:rPr>
          <w:rFonts w:cstheme="minorHAnsi"/>
          <w:bCs/>
          <w:i/>
        </w:rPr>
        <w:t xml:space="preserve">the </w:t>
      </w:r>
      <w:r w:rsidRPr="00FC5DE1">
        <w:rPr>
          <w:rFonts w:cstheme="minorHAnsi"/>
          <w:bCs/>
          <w:i/>
        </w:rPr>
        <w:t xml:space="preserve">effect of </w:t>
      </w:r>
      <w:r w:rsidRPr="00DE5874">
        <w:rPr>
          <w:rFonts w:cstheme="minorHAnsi"/>
          <w:bCs/>
          <w:i/>
        </w:rPr>
        <w:t xml:space="preserve">various rules for missing data/nonresponse; </w:t>
      </w:r>
      <w:r w:rsidRPr="00DE5874">
        <w:rPr>
          <w:rFonts w:cstheme="minorHAnsi"/>
          <w:bCs/>
          <w:i/>
          <w:u w:val="single"/>
        </w:rPr>
        <w:t>if no empirical sensitivity analysis</w:t>
      </w:r>
      <w:r w:rsidRPr="00DE5874">
        <w:rPr>
          <w:rFonts w:cstheme="minorHAnsi"/>
          <w:bCs/>
          <w:i/>
        </w:rPr>
        <w:t>, identify the approaches for handling missing data that were considered and pros and cons of each</w:t>
      </w:r>
      <w:r w:rsidR="001D6B52" w:rsidRPr="00DE5874">
        <w:rPr>
          <w:rFonts w:cstheme="minorHAnsi"/>
          <w:bCs/>
        </w:rPr>
        <w:t>)</w:t>
      </w:r>
    </w:p>
    <w:p w14:paraId="353ECCD8" w14:textId="5C7FB0B4" w:rsidR="0041274C" w:rsidRPr="00887F00" w:rsidRDefault="0041274C" w:rsidP="002B676C">
      <w:pPr>
        <w:pStyle w:val="Response"/>
        <w:numPr>
          <w:ilvl w:val="0"/>
          <w:numId w:val="12"/>
        </w:numPr>
        <w:rPr>
          <w:sz w:val="20"/>
          <w:szCs w:val="20"/>
        </w:rPr>
      </w:pPr>
      <w:r w:rsidRPr="00DE5874">
        <w:t xml:space="preserve">Among all long-stay </w:t>
      </w:r>
      <w:r w:rsidR="00372301" w:rsidRPr="00DE5874">
        <w:t>residents</w:t>
      </w:r>
      <w:r w:rsidRPr="00DE5874">
        <w:t xml:space="preserve"> </w:t>
      </w:r>
      <w:r w:rsidR="00DF446A" w:rsidRPr="00DE5874">
        <w:t xml:space="preserve">in Quarter 2, 2017 </w:t>
      </w:r>
      <w:r w:rsidRPr="00DE5874">
        <w:t>(</w:t>
      </w:r>
      <w:r w:rsidR="00903BE0" w:rsidRPr="00E10A7B">
        <w:rPr>
          <w:i/>
        </w:rPr>
        <w:t>n</w:t>
      </w:r>
      <w:r w:rsidR="00903BE0" w:rsidRPr="00DE5874">
        <w:t>=</w:t>
      </w:r>
      <w:r w:rsidRPr="00DE5874">
        <w:t>1,120,8</w:t>
      </w:r>
      <w:r w:rsidR="00AE428A" w:rsidRPr="00DE5874">
        <w:t>14</w:t>
      </w:r>
      <w:r w:rsidRPr="00DE5874">
        <w:t>)</w:t>
      </w:r>
      <w:r w:rsidR="00061C7D" w:rsidRPr="00DE5874">
        <w:t>,</w:t>
      </w:r>
      <w:r w:rsidRPr="00DE5874">
        <w:t xml:space="preserve"> </w:t>
      </w:r>
      <w:r w:rsidR="00DF446A" w:rsidRPr="00DE5874">
        <w:t>8.6%</w:t>
      </w:r>
      <w:r w:rsidRPr="00DE5874">
        <w:t xml:space="preserve"> (</w:t>
      </w:r>
      <w:r w:rsidR="00903BE0" w:rsidRPr="00E10A7B">
        <w:rPr>
          <w:i/>
        </w:rPr>
        <w:t>n</w:t>
      </w:r>
      <w:r w:rsidR="00903BE0" w:rsidRPr="00DE5874">
        <w:t>=</w:t>
      </w:r>
      <w:r w:rsidR="00DF446A" w:rsidRPr="00DE5874">
        <w:t>96,793</w:t>
      </w:r>
      <w:r w:rsidRPr="00DE5874">
        <w:t xml:space="preserve">) had missing data for at least one of the items necessary to </w:t>
      </w:r>
      <w:r w:rsidR="0022592C" w:rsidRPr="00DE5874">
        <w:t xml:space="preserve">calculate </w:t>
      </w:r>
      <w:r w:rsidRPr="00DE5874">
        <w:t>the pain measure.</w:t>
      </w:r>
      <w:r w:rsidRPr="00DE5874">
        <w:rPr>
          <w:sz w:val="20"/>
          <w:szCs w:val="20"/>
        </w:rPr>
        <w:t xml:space="preserve"> </w:t>
      </w:r>
      <w:r w:rsidR="00903BE0" w:rsidRPr="00DE5874">
        <w:t>Similarly, the mean</w:t>
      </w:r>
      <w:r w:rsidRPr="00DE5874">
        <w:t xml:space="preserve"> facility-level percentage of </w:t>
      </w:r>
      <w:r w:rsidR="00EF6D96" w:rsidRPr="00DE5874">
        <w:t>residents with</w:t>
      </w:r>
      <w:r w:rsidRPr="00DE5874">
        <w:t xml:space="preserve"> missing data for any of the items necessary to </w:t>
      </w:r>
      <w:r w:rsidRPr="00887F00">
        <w:t xml:space="preserve">calculate the pain measure was </w:t>
      </w:r>
      <w:r w:rsidR="004328B0" w:rsidRPr="00887F00">
        <w:t>8</w:t>
      </w:r>
      <w:r w:rsidRPr="00887F00">
        <w:t>.</w:t>
      </w:r>
      <w:r w:rsidR="004328B0" w:rsidRPr="00887F00">
        <w:t>2</w:t>
      </w:r>
      <w:r w:rsidR="009709D8" w:rsidRPr="00887F00">
        <w:t>%</w:t>
      </w:r>
      <w:r w:rsidRPr="00887F00">
        <w:t xml:space="preserve"> (</w:t>
      </w:r>
      <w:r w:rsidRPr="00887F00">
        <w:rPr>
          <w:b/>
          <w:i/>
        </w:rPr>
        <w:t>Table</w:t>
      </w:r>
      <w:r w:rsidR="007D3653" w:rsidRPr="00887F00">
        <w:rPr>
          <w:b/>
          <w:i/>
        </w:rPr>
        <w:t xml:space="preserve"> 11</w:t>
      </w:r>
      <w:r w:rsidR="00511F0E" w:rsidRPr="00E10A7B">
        <w:t>)</w:t>
      </w:r>
      <w:r w:rsidRPr="000D3540">
        <w:t xml:space="preserve">. </w:t>
      </w:r>
    </w:p>
    <w:p w14:paraId="11163CFC" w14:textId="32779779" w:rsidR="0041274C" w:rsidRPr="00887F00" w:rsidRDefault="0041274C" w:rsidP="0022592C">
      <w:pPr>
        <w:pStyle w:val="Response"/>
        <w:ind w:left="720"/>
      </w:pPr>
      <w:r w:rsidRPr="00887F00">
        <w:rPr>
          <w:b/>
          <w:i/>
          <w:iCs/>
        </w:rPr>
        <w:t xml:space="preserve">Table </w:t>
      </w:r>
      <w:r w:rsidR="007D3653" w:rsidRPr="00887F00">
        <w:rPr>
          <w:b/>
          <w:i/>
          <w:iCs/>
        </w:rPr>
        <w:t>11</w:t>
      </w:r>
      <w:r w:rsidRPr="00887F00">
        <w:t xml:space="preserve"> shows </w:t>
      </w:r>
      <w:r w:rsidR="000A4579" w:rsidRPr="00887F00">
        <w:t xml:space="preserve">facility-level </w:t>
      </w:r>
      <w:r w:rsidRPr="00887F00">
        <w:t>summary statistics for the distribution of missing data rates for items used to calculate</w:t>
      </w:r>
      <w:r w:rsidR="0087277F" w:rsidRPr="00887F00">
        <w:t xml:space="preserve"> this measure</w:t>
      </w:r>
      <w:r w:rsidRPr="00887F00">
        <w:t xml:space="preserve">, both overall and stratified by quartile of </w:t>
      </w:r>
      <w:r w:rsidR="0087277F" w:rsidRPr="00887F00">
        <w:t xml:space="preserve">quality measure </w:t>
      </w:r>
      <w:r w:rsidRPr="00887F00">
        <w:t>scores.</w:t>
      </w:r>
      <w:r w:rsidR="0022592C" w:rsidRPr="00887F00">
        <w:t xml:space="preserve">  </w:t>
      </w:r>
      <w:r w:rsidR="00145F4D" w:rsidRPr="00887F00">
        <w:t xml:space="preserve">    </w:t>
      </w:r>
    </w:p>
    <w:p w14:paraId="1D2E4AE4" w14:textId="6CFA8E85" w:rsidR="0041274C" w:rsidRPr="00F638D4" w:rsidRDefault="0041274C" w:rsidP="00E43CC5">
      <w:pPr>
        <w:pStyle w:val="TableTitle"/>
      </w:pPr>
      <w:r w:rsidRPr="00887F00">
        <w:t xml:space="preserve">Table </w:t>
      </w:r>
      <w:r w:rsidR="007D3653" w:rsidRPr="00887F00">
        <w:t>11</w:t>
      </w:r>
      <w:r w:rsidR="008D196E" w:rsidRPr="00887F00">
        <w:t xml:space="preserve">. </w:t>
      </w:r>
      <w:r w:rsidRPr="00887F00">
        <w:t xml:space="preserve">Distribution of </w:t>
      </w:r>
      <w:r w:rsidR="00E806DF" w:rsidRPr="00887F00">
        <w:t>F</w:t>
      </w:r>
      <w:r w:rsidRPr="00887F00">
        <w:t>acility</w:t>
      </w:r>
      <w:r w:rsidR="00FA1D9D" w:rsidRPr="00887F00">
        <w:t>-</w:t>
      </w:r>
      <w:r w:rsidR="00E806DF" w:rsidRPr="00887F00">
        <w:t>L</w:t>
      </w:r>
      <w:r w:rsidR="00FA1D9D" w:rsidRPr="00887F00">
        <w:t xml:space="preserve">evel </w:t>
      </w:r>
      <w:r w:rsidR="00E806DF" w:rsidRPr="00887F00">
        <w:t>M</w:t>
      </w:r>
      <w:r w:rsidR="00FA1D9D" w:rsidRPr="00887F00">
        <w:t xml:space="preserve">issing </w:t>
      </w:r>
      <w:r w:rsidR="00091B37" w:rsidRPr="00887F00">
        <w:t>Rate by Measure Score Quartile,</w:t>
      </w:r>
      <w:r w:rsidR="00FA1D9D" w:rsidRPr="00887F00">
        <w:t xml:space="preserve"> NQF</w:t>
      </w:r>
      <w:r w:rsidRPr="00887F00">
        <w:t xml:space="preserve"> #0677 Percent of Residents Who</w:t>
      </w:r>
      <w:r w:rsidRPr="00F638D4">
        <w:t xml:space="preserve"> Self-Report Moderate to Severe Pain (</w:t>
      </w:r>
      <w:r>
        <w:t>Long</w:t>
      </w:r>
      <w:r w:rsidR="00572664">
        <w:t xml:space="preserve"> Stay) </w:t>
      </w:r>
    </w:p>
    <w:tbl>
      <w:tblPr>
        <w:tblW w:w="5000" w:type="pct"/>
        <w:tblLook w:val="04A0" w:firstRow="1" w:lastRow="0" w:firstColumn="1" w:lastColumn="0" w:noHBand="0" w:noVBand="1"/>
      </w:tblPr>
      <w:tblGrid>
        <w:gridCol w:w="1553"/>
        <w:gridCol w:w="281"/>
        <w:gridCol w:w="867"/>
        <w:gridCol w:w="953"/>
        <w:gridCol w:w="949"/>
        <w:gridCol w:w="949"/>
        <w:gridCol w:w="951"/>
        <w:gridCol w:w="951"/>
        <w:gridCol w:w="955"/>
        <w:gridCol w:w="951"/>
      </w:tblGrid>
      <w:tr w:rsidR="003F4731" w:rsidRPr="00245A5A" w14:paraId="41A415DE" w14:textId="77777777" w:rsidTr="003F4731">
        <w:trPr>
          <w:trHeight w:val="510"/>
        </w:trPr>
        <w:tc>
          <w:tcPr>
            <w:tcW w:w="830" w:type="pct"/>
            <w:tcBorders>
              <w:top w:val="single" w:sz="12" w:space="0" w:color="auto"/>
              <w:left w:val="nil"/>
              <w:bottom w:val="single" w:sz="8" w:space="0" w:color="auto"/>
              <w:right w:val="nil"/>
            </w:tcBorders>
            <w:shd w:val="clear" w:color="auto" w:fill="auto"/>
            <w:vAlign w:val="center"/>
            <w:hideMark/>
          </w:tcPr>
          <w:p w14:paraId="49870C3F"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r w:rsidRPr="00245A5A">
              <w:rPr>
                <w:rFonts w:ascii="Calibri" w:eastAsia="Times New Roman" w:hAnsi="Calibri" w:cs="Times New Roman"/>
                <w:b/>
                <w:bCs/>
                <w:color w:val="3333FF"/>
                <w:sz w:val="18"/>
                <w:szCs w:val="18"/>
              </w:rPr>
              <w:t>Quality Measure Score Quartile</w:t>
            </w:r>
          </w:p>
        </w:tc>
        <w:tc>
          <w:tcPr>
            <w:tcW w:w="613" w:type="pct"/>
            <w:gridSpan w:val="2"/>
            <w:tcBorders>
              <w:top w:val="single" w:sz="12" w:space="0" w:color="auto"/>
              <w:left w:val="nil"/>
              <w:bottom w:val="single" w:sz="8" w:space="0" w:color="auto"/>
              <w:right w:val="nil"/>
            </w:tcBorders>
            <w:shd w:val="clear" w:color="auto" w:fill="auto"/>
            <w:vAlign w:val="center"/>
            <w:hideMark/>
          </w:tcPr>
          <w:p w14:paraId="5CED975D" w14:textId="77777777" w:rsidR="003F4731" w:rsidRPr="00245A5A" w:rsidRDefault="003F4731" w:rsidP="003F4731">
            <w:pPr>
              <w:spacing w:after="0" w:line="240" w:lineRule="auto"/>
              <w:jc w:val="center"/>
              <w:rPr>
                <w:rFonts w:ascii="Calibri" w:eastAsia="Times New Roman" w:hAnsi="Calibri" w:cs="Times New Roman"/>
                <w:b/>
                <w:bCs/>
                <w:iCs/>
                <w:color w:val="3333FF"/>
                <w:sz w:val="18"/>
                <w:szCs w:val="18"/>
              </w:rPr>
            </w:pPr>
            <w:r w:rsidRPr="00245A5A">
              <w:rPr>
                <w:rFonts w:ascii="Calibri" w:eastAsia="Times New Roman" w:hAnsi="Calibri" w:cs="Times New Roman"/>
                <w:b/>
                <w:bCs/>
                <w:iCs/>
                <w:color w:val="3333FF"/>
                <w:sz w:val="18"/>
                <w:szCs w:val="18"/>
              </w:rPr>
              <w:t>Facilities (k)</w:t>
            </w:r>
          </w:p>
        </w:tc>
        <w:tc>
          <w:tcPr>
            <w:tcW w:w="509" w:type="pct"/>
            <w:tcBorders>
              <w:top w:val="single" w:sz="12" w:space="0" w:color="auto"/>
              <w:left w:val="nil"/>
              <w:bottom w:val="single" w:sz="8" w:space="0" w:color="auto"/>
              <w:right w:val="nil"/>
            </w:tcBorders>
            <w:shd w:val="clear" w:color="auto" w:fill="auto"/>
            <w:vAlign w:val="center"/>
            <w:hideMark/>
          </w:tcPr>
          <w:p w14:paraId="21D4B9C2"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r w:rsidRPr="00245A5A">
              <w:rPr>
                <w:rFonts w:ascii="Calibri" w:eastAsia="Times New Roman" w:hAnsi="Calibri" w:cs="Times New Roman"/>
                <w:b/>
                <w:bCs/>
                <w:color w:val="3333FF"/>
                <w:sz w:val="18"/>
                <w:szCs w:val="18"/>
              </w:rPr>
              <w:t xml:space="preserve">Mean </w:t>
            </w:r>
          </w:p>
        </w:tc>
        <w:tc>
          <w:tcPr>
            <w:tcW w:w="507" w:type="pct"/>
            <w:tcBorders>
              <w:top w:val="single" w:sz="12" w:space="0" w:color="auto"/>
              <w:left w:val="nil"/>
              <w:bottom w:val="single" w:sz="8" w:space="0" w:color="auto"/>
              <w:right w:val="nil"/>
            </w:tcBorders>
            <w:shd w:val="clear" w:color="auto" w:fill="auto"/>
            <w:vAlign w:val="center"/>
            <w:hideMark/>
          </w:tcPr>
          <w:p w14:paraId="78E6FB53"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proofErr w:type="spellStart"/>
            <w:r w:rsidRPr="00245A5A">
              <w:rPr>
                <w:rFonts w:ascii="Calibri" w:eastAsia="Times New Roman" w:hAnsi="Calibri" w:cs="Times New Roman"/>
                <w:b/>
                <w:bCs/>
                <w:color w:val="3333FF"/>
                <w:sz w:val="18"/>
                <w:szCs w:val="18"/>
              </w:rPr>
              <w:t>Std</w:t>
            </w:r>
            <w:proofErr w:type="spellEnd"/>
            <w:r w:rsidRPr="00245A5A">
              <w:rPr>
                <w:rFonts w:ascii="Calibri" w:eastAsia="Times New Roman" w:hAnsi="Calibri" w:cs="Times New Roman"/>
                <w:b/>
                <w:bCs/>
                <w:color w:val="3333FF"/>
                <w:sz w:val="18"/>
                <w:szCs w:val="18"/>
              </w:rPr>
              <w:t xml:space="preserve"> dev.</w:t>
            </w:r>
          </w:p>
        </w:tc>
        <w:tc>
          <w:tcPr>
            <w:tcW w:w="507" w:type="pct"/>
            <w:tcBorders>
              <w:top w:val="single" w:sz="12" w:space="0" w:color="auto"/>
              <w:left w:val="nil"/>
              <w:bottom w:val="single" w:sz="8" w:space="0" w:color="auto"/>
              <w:right w:val="nil"/>
            </w:tcBorders>
            <w:shd w:val="clear" w:color="auto" w:fill="auto"/>
            <w:vAlign w:val="center"/>
            <w:hideMark/>
          </w:tcPr>
          <w:p w14:paraId="504493AA"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r w:rsidRPr="00245A5A">
              <w:rPr>
                <w:rFonts w:ascii="Calibri" w:eastAsia="Times New Roman" w:hAnsi="Calibri" w:cs="Times New Roman"/>
                <w:b/>
                <w:bCs/>
                <w:color w:val="3333FF"/>
                <w:sz w:val="18"/>
                <w:szCs w:val="18"/>
              </w:rPr>
              <w:t>10</w:t>
            </w:r>
            <w:r w:rsidRPr="00245A5A">
              <w:rPr>
                <w:rFonts w:ascii="Calibri" w:eastAsia="Times New Roman" w:hAnsi="Calibri" w:cs="Times New Roman"/>
                <w:b/>
                <w:bCs/>
                <w:color w:val="3333FF"/>
                <w:sz w:val="18"/>
                <w:szCs w:val="18"/>
                <w:vertAlign w:val="superscript"/>
              </w:rPr>
              <w:t>th</w:t>
            </w:r>
          </w:p>
        </w:tc>
        <w:tc>
          <w:tcPr>
            <w:tcW w:w="508" w:type="pct"/>
            <w:tcBorders>
              <w:top w:val="single" w:sz="12" w:space="0" w:color="auto"/>
              <w:left w:val="nil"/>
              <w:bottom w:val="single" w:sz="8" w:space="0" w:color="auto"/>
              <w:right w:val="nil"/>
            </w:tcBorders>
            <w:shd w:val="clear" w:color="auto" w:fill="auto"/>
            <w:vAlign w:val="center"/>
            <w:hideMark/>
          </w:tcPr>
          <w:p w14:paraId="71E1CBFA"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r w:rsidRPr="00245A5A">
              <w:rPr>
                <w:rFonts w:ascii="Calibri" w:eastAsia="Times New Roman" w:hAnsi="Calibri" w:cs="Times New Roman"/>
                <w:b/>
                <w:bCs/>
                <w:color w:val="3333FF"/>
                <w:sz w:val="18"/>
                <w:szCs w:val="18"/>
              </w:rPr>
              <w:t>25</w:t>
            </w:r>
            <w:r w:rsidRPr="00245A5A">
              <w:rPr>
                <w:rFonts w:ascii="Calibri" w:eastAsia="Times New Roman" w:hAnsi="Calibri" w:cs="Times New Roman"/>
                <w:b/>
                <w:bCs/>
                <w:color w:val="3333FF"/>
                <w:sz w:val="18"/>
                <w:szCs w:val="18"/>
                <w:vertAlign w:val="superscript"/>
              </w:rPr>
              <w:t>th</w:t>
            </w:r>
          </w:p>
        </w:tc>
        <w:tc>
          <w:tcPr>
            <w:tcW w:w="508" w:type="pct"/>
            <w:tcBorders>
              <w:top w:val="single" w:sz="12" w:space="0" w:color="auto"/>
              <w:left w:val="nil"/>
              <w:bottom w:val="single" w:sz="8" w:space="0" w:color="auto"/>
              <w:right w:val="nil"/>
            </w:tcBorders>
            <w:shd w:val="clear" w:color="auto" w:fill="auto"/>
            <w:vAlign w:val="center"/>
            <w:hideMark/>
          </w:tcPr>
          <w:p w14:paraId="7E5B333F"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r w:rsidRPr="00245A5A">
              <w:rPr>
                <w:rFonts w:ascii="Calibri" w:eastAsia="Times New Roman" w:hAnsi="Calibri" w:cs="Times New Roman"/>
                <w:b/>
                <w:bCs/>
                <w:color w:val="3333FF"/>
                <w:sz w:val="18"/>
                <w:szCs w:val="18"/>
              </w:rPr>
              <w:t>50th</w:t>
            </w:r>
          </w:p>
        </w:tc>
        <w:tc>
          <w:tcPr>
            <w:tcW w:w="510" w:type="pct"/>
            <w:tcBorders>
              <w:top w:val="single" w:sz="12" w:space="0" w:color="auto"/>
              <w:left w:val="nil"/>
              <w:bottom w:val="single" w:sz="8" w:space="0" w:color="auto"/>
              <w:right w:val="nil"/>
            </w:tcBorders>
            <w:shd w:val="clear" w:color="auto" w:fill="auto"/>
            <w:vAlign w:val="center"/>
            <w:hideMark/>
          </w:tcPr>
          <w:p w14:paraId="0BC9FACA"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r w:rsidRPr="00245A5A">
              <w:rPr>
                <w:rFonts w:ascii="Calibri" w:eastAsia="Times New Roman" w:hAnsi="Calibri" w:cs="Times New Roman"/>
                <w:b/>
                <w:bCs/>
                <w:color w:val="3333FF"/>
                <w:sz w:val="18"/>
                <w:szCs w:val="18"/>
              </w:rPr>
              <w:t>75th</w:t>
            </w:r>
          </w:p>
        </w:tc>
        <w:tc>
          <w:tcPr>
            <w:tcW w:w="508" w:type="pct"/>
            <w:tcBorders>
              <w:top w:val="single" w:sz="12" w:space="0" w:color="auto"/>
              <w:left w:val="nil"/>
              <w:bottom w:val="single" w:sz="8" w:space="0" w:color="auto"/>
              <w:right w:val="nil"/>
            </w:tcBorders>
            <w:shd w:val="clear" w:color="auto" w:fill="auto"/>
            <w:vAlign w:val="center"/>
            <w:hideMark/>
          </w:tcPr>
          <w:p w14:paraId="5EA6D772" w14:textId="77777777" w:rsidR="003F4731" w:rsidRPr="00245A5A" w:rsidRDefault="003F4731" w:rsidP="003F4731">
            <w:pPr>
              <w:spacing w:after="0" w:line="240" w:lineRule="auto"/>
              <w:jc w:val="center"/>
              <w:rPr>
                <w:rFonts w:ascii="Calibri" w:eastAsia="Times New Roman" w:hAnsi="Calibri" w:cs="Times New Roman"/>
                <w:b/>
                <w:bCs/>
                <w:color w:val="3333FF"/>
                <w:sz w:val="18"/>
                <w:szCs w:val="18"/>
              </w:rPr>
            </w:pPr>
            <w:r w:rsidRPr="00245A5A">
              <w:rPr>
                <w:rFonts w:ascii="Calibri" w:eastAsia="Times New Roman" w:hAnsi="Calibri" w:cs="Times New Roman"/>
                <w:b/>
                <w:bCs/>
                <w:color w:val="3333FF"/>
                <w:sz w:val="18"/>
                <w:szCs w:val="18"/>
              </w:rPr>
              <w:t>90</w:t>
            </w:r>
            <w:r w:rsidRPr="00245A5A">
              <w:rPr>
                <w:rFonts w:ascii="Calibri" w:eastAsia="Times New Roman" w:hAnsi="Calibri" w:cs="Times New Roman"/>
                <w:b/>
                <w:bCs/>
                <w:color w:val="3333FF"/>
                <w:sz w:val="18"/>
                <w:szCs w:val="18"/>
                <w:vertAlign w:val="superscript"/>
              </w:rPr>
              <w:t>th</w:t>
            </w:r>
          </w:p>
        </w:tc>
      </w:tr>
      <w:tr w:rsidR="003F4731" w:rsidRPr="00245A5A" w14:paraId="4BC88EBF" w14:textId="77777777" w:rsidTr="003F4731">
        <w:trPr>
          <w:trHeight w:val="480"/>
        </w:trPr>
        <w:tc>
          <w:tcPr>
            <w:tcW w:w="980" w:type="pct"/>
            <w:gridSpan w:val="2"/>
            <w:tcBorders>
              <w:top w:val="nil"/>
              <w:left w:val="nil"/>
              <w:bottom w:val="nil"/>
              <w:right w:val="nil"/>
            </w:tcBorders>
            <w:shd w:val="clear" w:color="auto" w:fill="auto"/>
            <w:vAlign w:val="center"/>
            <w:hideMark/>
          </w:tcPr>
          <w:p w14:paraId="4EE7BD3D" w14:textId="77777777" w:rsidR="003F4731" w:rsidRPr="00245A5A" w:rsidRDefault="003F4731" w:rsidP="003F4731">
            <w:pPr>
              <w:spacing w:after="0" w:line="240" w:lineRule="auto"/>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0–25 (Best)†</w:t>
            </w:r>
          </w:p>
        </w:tc>
        <w:tc>
          <w:tcPr>
            <w:tcW w:w="463" w:type="pct"/>
            <w:tcBorders>
              <w:top w:val="nil"/>
              <w:left w:val="nil"/>
              <w:bottom w:val="nil"/>
              <w:right w:val="nil"/>
            </w:tcBorders>
            <w:shd w:val="clear" w:color="auto" w:fill="auto"/>
            <w:vAlign w:val="center"/>
            <w:hideMark/>
          </w:tcPr>
          <w:p w14:paraId="2B53B3F7"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3,423</w:t>
            </w:r>
          </w:p>
        </w:tc>
        <w:tc>
          <w:tcPr>
            <w:tcW w:w="509" w:type="pct"/>
            <w:tcBorders>
              <w:top w:val="nil"/>
              <w:left w:val="nil"/>
              <w:bottom w:val="nil"/>
              <w:right w:val="nil"/>
            </w:tcBorders>
            <w:shd w:val="clear" w:color="auto" w:fill="auto"/>
            <w:vAlign w:val="center"/>
            <w:hideMark/>
          </w:tcPr>
          <w:p w14:paraId="452BC64C"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7.7%</w:t>
            </w:r>
          </w:p>
        </w:tc>
        <w:tc>
          <w:tcPr>
            <w:tcW w:w="507" w:type="pct"/>
            <w:tcBorders>
              <w:top w:val="nil"/>
              <w:left w:val="nil"/>
              <w:bottom w:val="nil"/>
              <w:right w:val="nil"/>
            </w:tcBorders>
            <w:shd w:val="clear" w:color="auto" w:fill="auto"/>
            <w:vAlign w:val="center"/>
            <w:hideMark/>
          </w:tcPr>
          <w:p w14:paraId="3B633AF6"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6.8%</w:t>
            </w:r>
          </w:p>
        </w:tc>
        <w:tc>
          <w:tcPr>
            <w:tcW w:w="507" w:type="pct"/>
            <w:tcBorders>
              <w:top w:val="nil"/>
              <w:left w:val="nil"/>
              <w:bottom w:val="nil"/>
              <w:right w:val="nil"/>
            </w:tcBorders>
            <w:shd w:val="clear" w:color="auto" w:fill="auto"/>
            <w:vAlign w:val="center"/>
            <w:hideMark/>
          </w:tcPr>
          <w:p w14:paraId="68D9B1AD"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1.8%</w:t>
            </w:r>
          </w:p>
        </w:tc>
        <w:tc>
          <w:tcPr>
            <w:tcW w:w="508" w:type="pct"/>
            <w:tcBorders>
              <w:top w:val="nil"/>
              <w:left w:val="nil"/>
              <w:bottom w:val="nil"/>
              <w:right w:val="nil"/>
            </w:tcBorders>
            <w:shd w:val="clear" w:color="auto" w:fill="auto"/>
            <w:vAlign w:val="center"/>
            <w:hideMark/>
          </w:tcPr>
          <w:p w14:paraId="0282308A"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3.6%</w:t>
            </w:r>
          </w:p>
        </w:tc>
        <w:tc>
          <w:tcPr>
            <w:tcW w:w="508" w:type="pct"/>
            <w:tcBorders>
              <w:top w:val="nil"/>
              <w:left w:val="nil"/>
              <w:bottom w:val="nil"/>
              <w:right w:val="nil"/>
            </w:tcBorders>
            <w:shd w:val="clear" w:color="auto" w:fill="auto"/>
            <w:vAlign w:val="center"/>
            <w:hideMark/>
          </w:tcPr>
          <w:p w14:paraId="578CC6D1"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6.4%</w:t>
            </w:r>
          </w:p>
        </w:tc>
        <w:tc>
          <w:tcPr>
            <w:tcW w:w="510" w:type="pct"/>
            <w:tcBorders>
              <w:top w:val="nil"/>
              <w:left w:val="nil"/>
              <w:bottom w:val="nil"/>
              <w:right w:val="nil"/>
            </w:tcBorders>
            <w:shd w:val="clear" w:color="auto" w:fill="auto"/>
            <w:vAlign w:val="center"/>
            <w:hideMark/>
          </w:tcPr>
          <w:p w14:paraId="4EB431F8"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9.8%</w:t>
            </w:r>
          </w:p>
        </w:tc>
        <w:tc>
          <w:tcPr>
            <w:tcW w:w="508" w:type="pct"/>
            <w:tcBorders>
              <w:top w:val="nil"/>
              <w:left w:val="nil"/>
              <w:bottom w:val="nil"/>
              <w:right w:val="nil"/>
            </w:tcBorders>
            <w:shd w:val="clear" w:color="auto" w:fill="auto"/>
            <w:vAlign w:val="center"/>
            <w:hideMark/>
          </w:tcPr>
          <w:p w14:paraId="71EDD31A"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14.3%</w:t>
            </w:r>
          </w:p>
        </w:tc>
      </w:tr>
      <w:tr w:rsidR="003F4731" w:rsidRPr="00245A5A" w14:paraId="7008B5F9" w14:textId="77777777" w:rsidTr="003F4731">
        <w:trPr>
          <w:trHeight w:val="300"/>
        </w:trPr>
        <w:tc>
          <w:tcPr>
            <w:tcW w:w="980" w:type="pct"/>
            <w:gridSpan w:val="2"/>
            <w:tcBorders>
              <w:top w:val="nil"/>
              <w:left w:val="nil"/>
              <w:bottom w:val="nil"/>
              <w:right w:val="nil"/>
            </w:tcBorders>
            <w:shd w:val="clear" w:color="auto" w:fill="auto"/>
            <w:vAlign w:val="center"/>
            <w:hideMark/>
          </w:tcPr>
          <w:p w14:paraId="68190A6E" w14:textId="77777777" w:rsidR="003F4731" w:rsidRPr="00245A5A" w:rsidRDefault="003F4731" w:rsidP="003F4731">
            <w:pPr>
              <w:spacing w:after="0" w:line="240" w:lineRule="auto"/>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26–50</w:t>
            </w:r>
          </w:p>
        </w:tc>
        <w:tc>
          <w:tcPr>
            <w:tcW w:w="463" w:type="pct"/>
            <w:tcBorders>
              <w:top w:val="nil"/>
              <w:left w:val="nil"/>
              <w:bottom w:val="nil"/>
              <w:right w:val="nil"/>
            </w:tcBorders>
            <w:shd w:val="clear" w:color="auto" w:fill="auto"/>
            <w:vAlign w:val="center"/>
            <w:hideMark/>
          </w:tcPr>
          <w:p w14:paraId="23B1FE05"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3,425</w:t>
            </w:r>
          </w:p>
        </w:tc>
        <w:tc>
          <w:tcPr>
            <w:tcW w:w="509" w:type="pct"/>
            <w:tcBorders>
              <w:top w:val="nil"/>
              <w:left w:val="nil"/>
              <w:bottom w:val="nil"/>
              <w:right w:val="nil"/>
            </w:tcBorders>
            <w:shd w:val="clear" w:color="auto" w:fill="auto"/>
            <w:vAlign w:val="center"/>
            <w:hideMark/>
          </w:tcPr>
          <w:p w14:paraId="7E6ADA68"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7.7%</w:t>
            </w:r>
          </w:p>
        </w:tc>
        <w:tc>
          <w:tcPr>
            <w:tcW w:w="507" w:type="pct"/>
            <w:tcBorders>
              <w:top w:val="nil"/>
              <w:left w:val="nil"/>
              <w:bottom w:val="nil"/>
              <w:right w:val="nil"/>
            </w:tcBorders>
            <w:shd w:val="clear" w:color="auto" w:fill="auto"/>
            <w:vAlign w:val="center"/>
            <w:hideMark/>
          </w:tcPr>
          <w:p w14:paraId="6449CAC1"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6.0%</w:t>
            </w:r>
          </w:p>
        </w:tc>
        <w:tc>
          <w:tcPr>
            <w:tcW w:w="507" w:type="pct"/>
            <w:tcBorders>
              <w:top w:val="nil"/>
              <w:left w:val="nil"/>
              <w:bottom w:val="nil"/>
              <w:right w:val="nil"/>
            </w:tcBorders>
            <w:shd w:val="clear" w:color="auto" w:fill="auto"/>
            <w:vAlign w:val="center"/>
            <w:hideMark/>
          </w:tcPr>
          <w:p w14:paraId="7DF43B6E"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2.0%</w:t>
            </w:r>
          </w:p>
        </w:tc>
        <w:tc>
          <w:tcPr>
            <w:tcW w:w="508" w:type="pct"/>
            <w:tcBorders>
              <w:top w:val="nil"/>
              <w:left w:val="nil"/>
              <w:bottom w:val="nil"/>
              <w:right w:val="nil"/>
            </w:tcBorders>
            <w:shd w:val="clear" w:color="auto" w:fill="auto"/>
            <w:vAlign w:val="center"/>
            <w:hideMark/>
          </w:tcPr>
          <w:p w14:paraId="1D98EBB1"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3.9%</w:t>
            </w:r>
          </w:p>
        </w:tc>
        <w:tc>
          <w:tcPr>
            <w:tcW w:w="508" w:type="pct"/>
            <w:tcBorders>
              <w:top w:val="nil"/>
              <w:left w:val="nil"/>
              <w:bottom w:val="nil"/>
              <w:right w:val="nil"/>
            </w:tcBorders>
            <w:shd w:val="clear" w:color="auto" w:fill="auto"/>
            <w:vAlign w:val="center"/>
            <w:hideMark/>
          </w:tcPr>
          <w:p w14:paraId="0E969B2D"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6.6%</w:t>
            </w:r>
          </w:p>
        </w:tc>
        <w:tc>
          <w:tcPr>
            <w:tcW w:w="510" w:type="pct"/>
            <w:tcBorders>
              <w:top w:val="nil"/>
              <w:left w:val="nil"/>
              <w:bottom w:val="nil"/>
              <w:right w:val="nil"/>
            </w:tcBorders>
            <w:shd w:val="clear" w:color="auto" w:fill="auto"/>
            <w:vAlign w:val="center"/>
            <w:hideMark/>
          </w:tcPr>
          <w:p w14:paraId="42CBD7D4"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9.9%</w:t>
            </w:r>
          </w:p>
        </w:tc>
        <w:tc>
          <w:tcPr>
            <w:tcW w:w="508" w:type="pct"/>
            <w:tcBorders>
              <w:top w:val="nil"/>
              <w:left w:val="nil"/>
              <w:bottom w:val="nil"/>
              <w:right w:val="nil"/>
            </w:tcBorders>
            <w:shd w:val="clear" w:color="auto" w:fill="auto"/>
            <w:vAlign w:val="center"/>
            <w:hideMark/>
          </w:tcPr>
          <w:p w14:paraId="2123A8A0"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14.2%</w:t>
            </w:r>
          </w:p>
        </w:tc>
      </w:tr>
      <w:tr w:rsidR="003F4731" w:rsidRPr="00245A5A" w14:paraId="5DB6A7D9" w14:textId="77777777" w:rsidTr="003F4731">
        <w:trPr>
          <w:trHeight w:val="300"/>
        </w:trPr>
        <w:tc>
          <w:tcPr>
            <w:tcW w:w="980" w:type="pct"/>
            <w:gridSpan w:val="2"/>
            <w:tcBorders>
              <w:top w:val="nil"/>
              <w:left w:val="nil"/>
              <w:bottom w:val="nil"/>
              <w:right w:val="nil"/>
            </w:tcBorders>
            <w:shd w:val="clear" w:color="auto" w:fill="auto"/>
            <w:vAlign w:val="center"/>
            <w:hideMark/>
          </w:tcPr>
          <w:p w14:paraId="193A05F9" w14:textId="77777777" w:rsidR="003F4731" w:rsidRPr="00245A5A" w:rsidRDefault="003F4731" w:rsidP="003F4731">
            <w:pPr>
              <w:spacing w:after="0" w:line="240" w:lineRule="auto"/>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51–75</w:t>
            </w:r>
          </w:p>
        </w:tc>
        <w:tc>
          <w:tcPr>
            <w:tcW w:w="463" w:type="pct"/>
            <w:tcBorders>
              <w:top w:val="nil"/>
              <w:left w:val="nil"/>
              <w:bottom w:val="nil"/>
              <w:right w:val="nil"/>
            </w:tcBorders>
            <w:shd w:val="clear" w:color="auto" w:fill="auto"/>
            <w:vAlign w:val="center"/>
            <w:hideMark/>
          </w:tcPr>
          <w:p w14:paraId="6203E650"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3,422</w:t>
            </w:r>
          </w:p>
        </w:tc>
        <w:tc>
          <w:tcPr>
            <w:tcW w:w="509" w:type="pct"/>
            <w:tcBorders>
              <w:top w:val="nil"/>
              <w:left w:val="nil"/>
              <w:bottom w:val="nil"/>
              <w:right w:val="nil"/>
            </w:tcBorders>
            <w:shd w:val="clear" w:color="auto" w:fill="auto"/>
            <w:vAlign w:val="center"/>
            <w:hideMark/>
          </w:tcPr>
          <w:p w14:paraId="4AA7887E"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8.4%</w:t>
            </w:r>
          </w:p>
        </w:tc>
        <w:tc>
          <w:tcPr>
            <w:tcW w:w="507" w:type="pct"/>
            <w:tcBorders>
              <w:top w:val="nil"/>
              <w:left w:val="nil"/>
              <w:bottom w:val="nil"/>
              <w:right w:val="nil"/>
            </w:tcBorders>
            <w:shd w:val="clear" w:color="auto" w:fill="auto"/>
            <w:vAlign w:val="center"/>
            <w:hideMark/>
          </w:tcPr>
          <w:p w14:paraId="182C262A"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7.1%</w:t>
            </w:r>
          </w:p>
        </w:tc>
        <w:tc>
          <w:tcPr>
            <w:tcW w:w="507" w:type="pct"/>
            <w:tcBorders>
              <w:top w:val="nil"/>
              <w:left w:val="nil"/>
              <w:bottom w:val="nil"/>
              <w:right w:val="nil"/>
            </w:tcBorders>
            <w:shd w:val="clear" w:color="auto" w:fill="auto"/>
            <w:vAlign w:val="center"/>
            <w:hideMark/>
          </w:tcPr>
          <w:p w14:paraId="70C0CB4F"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2.1%</w:t>
            </w:r>
          </w:p>
        </w:tc>
        <w:tc>
          <w:tcPr>
            <w:tcW w:w="508" w:type="pct"/>
            <w:tcBorders>
              <w:top w:val="nil"/>
              <w:left w:val="nil"/>
              <w:bottom w:val="nil"/>
              <w:right w:val="nil"/>
            </w:tcBorders>
            <w:shd w:val="clear" w:color="auto" w:fill="auto"/>
            <w:vAlign w:val="center"/>
            <w:hideMark/>
          </w:tcPr>
          <w:p w14:paraId="2F447C6D"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4.0%</w:t>
            </w:r>
          </w:p>
        </w:tc>
        <w:tc>
          <w:tcPr>
            <w:tcW w:w="508" w:type="pct"/>
            <w:tcBorders>
              <w:top w:val="nil"/>
              <w:left w:val="nil"/>
              <w:bottom w:val="nil"/>
              <w:right w:val="nil"/>
            </w:tcBorders>
            <w:shd w:val="clear" w:color="auto" w:fill="auto"/>
            <w:vAlign w:val="center"/>
            <w:hideMark/>
          </w:tcPr>
          <w:p w14:paraId="71663CA2"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6.9%</w:t>
            </w:r>
          </w:p>
        </w:tc>
        <w:tc>
          <w:tcPr>
            <w:tcW w:w="510" w:type="pct"/>
            <w:tcBorders>
              <w:top w:val="nil"/>
              <w:left w:val="nil"/>
              <w:bottom w:val="nil"/>
              <w:right w:val="nil"/>
            </w:tcBorders>
            <w:shd w:val="clear" w:color="auto" w:fill="auto"/>
            <w:vAlign w:val="center"/>
            <w:hideMark/>
          </w:tcPr>
          <w:p w14:paraId="7A310749"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10.5%</w:t>
            </w:r>
          </w:p>
        </w:tc>
        <w:tc>
          <w:tcPr>
            <w:tcW w:w="508" w:type="pct"/>
            <w:tcBorders>
              <w:top w:val="nil"/>
              <w:left w:val="nil"/>
              <w:bottom w:val="nil"/>
              <w:right w:val="nil"/>
            </w:tcBorders>
            <w:shd w:val="clear" w:color="auto" w:fill="auto"/>
            <w:vAlign w:val="center"/>
            <w:hideMark/>
          </w:tcPr>
          <w:p w14:paraId="45F18636"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15.5%</w:t>
            </w:r>
          </w:p>
        </w:tc>
      </w:tr>
      <w:tr w:rsidR="003F4731" w:rsidRPr="00245A5A" w14:paraId="202201B8" w14:textId="77777777" w:rsidTr="003F4731">
        <w:trPr>
          <w:trHeight w:val="495"/>
        </w:trPr>
        <w:tc>
          <w:tcPr>
            <w:tcW w:w="980" w:type="pct"/>
            <w:gridSpan w:val="2"/>
            <w:tcBorders>
              <w:top w:val="nil"/>
              <w:left w:val="nil"/>
              <w:bottom w:val="single" w:sz="8" w:space="0" w:color="auto"/>
              <w:right w:val="nil"/>
            </w:tcBorders>
            <w:shd w:val="clear" w:color="auto" w:fill="auto"/>
            <w:vAlign w:val="center"/>
            <w:hideMark/>
          </w:tcPr>
          <w:p w14:paraId="43520EB1" w14:textId="77777777" w:rsidR="003F4731" w:rsidRPr="00245A5A" w:rsidRDefault="003F4731" w:rsidP="003F4731">
            <w:pPr>
              <w:spacing w:after="0" w:line="240" w:lineRule="auto"/>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76–100 (Worst)†</w:t>
            </w:r>
          </w:p>
        </w:tc>
        <w:tc>
          <w:tcPr>
            <w:tcW w:w="463" w:type="pct"/>
            <w:tcBorders>
              <w:top w:val="nil"/>
              <w:left w:val="nil"/>
              <w:bottom w:val="single" w:sz="8" w:space="0" w:color="auto"/>
              <w:right w:val="nil"/>
            </w:tcBorders>
            <w:shd w:val="clear" w:color="auto" w:fill="auto"/>
            <w:vAlign w:val="center"/>
            <w:hideMark/>
          </w:tcPr>
          <w:p w14:paraId="3E0A747E"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3,421</w:t>
            </w:r>
          </w:p>
        </w:tc>
        <w:tc>
          <w:tcPr>
            <w:tcW w:w="509" w:type="pct"/>
            <w:tcBorders>
              <w:top w:val="nil"/>
              <w:left w:val="nil"/>
              <w:bottom w:val="single" w:sz="8" w:space="0" w:color="auto"/>
              <w:right w:val="nil"/>
            </w:tcBorders>
            <w:shd w:val="clear" w:color="auto" w:fill="auto"/>
            <w:vAlign w:val="center"/>
            <w:hideMark/>
          </w:tcPr>
          <w:p w14:paraId="3223D799"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9.0%</w:t>
            </w:r>
          </w:p>
        </w:tc>
        <w:tc>
          <w:tcPr>
            <w:tcW w:w="507" w:type="pct"/>
            <w:tcBorders>
              <w:top w:val="nil"/>
              <w:left w:val="nil"/>
              <w:bottom w:val="single" w:sz="8" w:space="0" w:color="auto"/>
              <w:right w:val="nil"/>
            </w:tcBorders>
            <w:shd w:val="clear" w:color="auto" w:fill="auto"/>
            <w:vAlign w:val="center"/>
            <w:hideMark/>
          </w:tcPr>
          <w:p w14:paraId="2412C98C"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7.4%</w:t>
            </w:r>
          </w:p>
        </w:tc>
        <w:tc>
          <w:tcPr>
            <w:tcW w:w="507" w:type="pct"/>
            <w:tcBorders>
              <w:top w:val="nil"/>
              <w:left w:val="nil"/>
              <w:bottom w:val="single" w:sz="8" w:space="0" w:color="auto"/>
              <w:right w:val="nil"/>
            </w:tcBorders>
            <w:shd w:val="clear" w:color="auto" w:fill="auto"/>
            <w:vAlign w:val="center"/>
            <w:hideMark/>
          </w:tcPr>
          <w:p w14:paraId="7FCAC5D7"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2.3%</w:t>
            </w:r>
          </w:p>
        </w:tc>
        <w:tc>
          <w:tcPr>
            <w:tcW w:w="508" w:type="pct"/>
            <w:tcBorders>
              <w:top w:val="nil"/>
              <w:left w:val="nil"/>
              <w:bottom w:val="single" w:sz="8" w:space="0" w:color="auto"/>
              <w:right w:val="nil"/>
            </w:tcBorders>
            <w:shd w:val="clear" w:color="auto" w:fill="auto"/>
            <w:vAlign w:val="center"/>
            <w:hideMark/>
          </w:tcPr>
          <w:p w14:paraId="2114BBF9"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4.5%</w:t>
            </w:r>
          </w:p>
        </w:tc>
        <w:tc>
          <w:tcPr>
            <w:tcW w:w="508" w:type="pct"/>
            <w:tcBorders>
              <w:top w:val="nil"/>
              <w:left w:val="nil"/>
              <w:bottom w:val="single" w:sz="8" w:space="0" w:color="auto"/>
              <w:right w:val="nil"/>
            </w:tcBorders>
            <w:shd w:val="clear" w:color="auto" w:fill="auto"/>
            <w:vAlign w:val="center"/>
            <w:hideMark/>
          </w:tcPr>
          <w:p w14:paraId="337C0478"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7.4%</w:t>
            </w:r>
          </w:p>
        </w:tc>
        <w:tc>
          <w:tcPr>
            <w:tcW w:w="510" w:type="pct"/>
            <w:tcBorders>
              <w:top w:val="nil"/>
              <w:left w:val="nil"/>
              <w:bottom w:val="single" w:sz="8" w:space="0" w:color="auto"/>
              <w:right w:val="nil"/>
            </w:tcBorders>
            <w:shd w:val="clear" w:color="auto" w:fill="auto"/>
            <w:vAlign w:val="center"/>
            <w:hideMark/>
          </w:tcPr>
          <w:p w14:paraId="37C42E3C"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11.5%</w:t>
            </w:r>
          </w:p>
        </w:tc>
        <w:tc>
          <w:tcPr>
            <w:tcW w:w="508" w:type="pct"/>
            <w:tcBorders>
              <w:top w:val="nil"/>
              <w:left w:val="nil"/>
              <w:bottom w:val="single" w:sz="8" w:space="0" w:color="auto"/>
              <w:right w:val="nil"/>
            </w:tcBorders>
            <w:shd w:val="clear" w:color="auto" w:fill="auto"/>
            <w:vAlign w:val="center"/>
            <w:hideMark/>
          </w:tcPr>
          <w:p w14:paraId="7C2E87F0"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16.9%</w:t>
            </w:r>
          </w:p>
        </w:tc>
      </w:tr>
      <w:tr w:rsidR="003F4731" w:rsidRPr="00245A5A" w14:paraId="2124A9C0" w14:textId="77777777" w:rsidTr="003F4731">
        <w:trPr>
          <w:trHeight w:val="315"/>
        </w:trPr>
        <w:tc>
          <w:tcPr>
            <w:tcW w:w="980" w:type="pct"/>
            <w:gridSpan w:val="2"/>
            <w:tcBorders>
              <w:top w:val="nil"/>
              <w:left w:val="nil"/>
              <w:bottom w:val="single" w:sz="12" w:space="0" w:color="auto"/>
              <w:right w:val="nil"/>
            </w:tcBorders>
            <w:shd w:val="clear" w:color="auto" w:fill="auto"/>
            <w:vAlign w:val="center"/>
            <w:hideMark/>
          </w:tcPr>
          <w:p w14:paraId="53A8A950" w14:textId="77777777" w:rsidR="003F4731" w:rsidRPr="00245A5A" w:rsidRDefault="003F4731" w:rsidP="003F4731">
            <w:pPr>
              <w:spacing w:after="0" w:line="240" w:lineRule="auto"/>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Total</w:t>
            </w:r>
          </w:p>
        </w:tc>
        <w:tc>
          <w:tcPr>
            <w:tcW w:w="463" w:type="pct"/>
            <w:tcBorders>
              <w:top w:val="nil"/>
              <w:left w:val="nil"/>
              <w:bottom w:val="single" w:sz="12" w:space="0" w:color="auto"/>
              <w:right w:val="nil"/>
            </w:tcBorders>
            <w:shd w:val="clear" w:color="auto" w:fill="auto"/>
            <w:vAlign w:val="center"/>
            <w:hideMark/>
          </w:tcPr>
          <w:p w14:paraId="0874481E"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13,691</w:t>
            </w:r>
          </w:p>
        </w:tc>
        <w:tc>
          <w:tcPr>
            <w:tcW w:w="509" w:type="pct"/>
            <w:tcBorders>
              <w:top w:val="nil"/>
              <w:left w:val="nil"/>
              <w:bottom w:val="single" w:sz="12" w:space="0" w:color="auto"/>
              <w:right w:val="nil"/>
            </w:tcBorders>
            <w:shd w:val="clear" w:color="auto" w:fill="auto"/>
            <w:vAlign w:val="center"/>
            <w:hideMark/>
          </w:tcPr>
          <w:p w14:paraId="6FFF6982"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8.2%</w:t>
            </w:r>
          </w:p>
        </w:tc>
        <w:tc>
          <w:tcPr>
            <w:tcW w:w="507" w:type="pct"/>
            <w:tcBorders>
              <w:top w:val="nil"/>
              <w:left w:val="nil"/>
              <w:bottom w:val="single" w:sz="12" w:space="0" w:color="auto"/>
              <w:right w:val="nil"/>
            </w:tcBorders>
            <w:shd w:val="clear" w:color="auto" w:fill="auto"/>
            <w:vAlign w:val="center"/>
            <w:hideMark/>
          </w:tcPr>
          <w:p w14:paraId="347F8C6D"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6.9%</w:t>
            </w:r>
          </w:p>
        </w:tc>
        <w:tc>
          <w:tcPr>
            <w:tcW w:w="507" w:type="pct"/>
            <w:tcBorders>
              <w:top w:val="nil"/>
              <w:left w:val="nil"/>
              <w:bottom w:val="single" w:sz="12" w:space="0" w:color="auto"/>
              <w:right w:val="nil"/>
            </w:tcBorders>
            <w:shd w:val="clear" w:color="auto" w:fill="auto"/>
            <w:vAlign w:val="center"/>
            <w:hideMark/>
          </w:tcPr>
          <w:p w14:paraId="1C3AF02A"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2.1%</w:t>
            </w:r>
          </w:p>
        </w:tc>
        <w:tc>
          <w:tcPr>
            <w:tcW w:w="508" w:type="pct"/>
            <w:tcBorders>
              <w:top w:val="nil"/>
              <w:left w:val="nil"/>
              <w:bottom w:val="single" w:sz="12" w:space="0" w:color="auto"/>
              <w:right w:val="nil"/>
            </w:tcBorders>
            <w:shd w:val="clear" w:color="auto" w:fill="auto"/>
            <w:vAlign w:val="center"/>
            <w:hideMark/>
          </w:tcPr>
          <w:p w14:paraId="1C1C4870"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4.0%</w:t>
            </w:r>
          </w:p>
        </w:tc>
        <w:tc>
          <w:tcPr>
            <w:tcW w:w="508" w:type="pct"/>
            <w:tcBorders>
              <w:top w:val="nil"/>
              <w:left w:val="nil"/>
              <w:bottom w:val="single" w:sz="12" w:space="0" w:color="auto"/>
              <w:right w:val="nil"/>
            </w:tcBorders>
            <w:shd w:val="clear" w:color="auto" w:fill="auto"/>
            <w:vAlign w:val="center"/>
            <w:hideMark/>
          </w:tcPr>
          <w:p w14:paraId="0413A79D"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6.8%</w:t>
            </w:r>
          </w:p>
        </w:tc>
        <w:tc>
          <w:tcPr>
            <w:tcW w:w="510" w:type="pct"/>
            <w:tcBorders>
              <w:top w:val="nil"/>
              <w:left w:val="nil"/>
              <w:bottom w:val="single" w:sz="12" w:space="0" w:color="auto"/>
              <w:right w:val="nil"/>
            </w:tcBorders>
            <w:shd w:val="clear" w:color="auto" w:fill="auto"/>
            <w:vAlign w:val="center"/>
            <w:hideMark/>
          </w:tcPr>
          <w:p w14:paraId="0111EAFC"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10.4%</w:t>
            </w:r>
          </w:p>
        </w:tc>
        <w:tc>
          <w:tcPr>
            <w:tcW w:w="508" w:type="pct"/>
            <w:tcBorders>
              <w:top w:val="nil"/>
              <w:left w:val="nil"/>
              <w:bottom w:val="single" w:sz="12" w:space="0" w:color="auto"/>
              <w:right w:val="nil"/>
            </w:tcBorders>
            <w:shd w:val="clear" w:color="auto" w:fill="auto"/>
            <w:vAlign w:val="center"/>
            <w:hideMark/>
          </w:tcPr>
          <w:p w14:paraId="27707AD3" w14:textId="77777777" w:rsidR="003F4731" w:rsidRPr="00245A5A" w:rsidRDefault="003F4731" w:rsidP="003F4731">
            <w:pPr>
              <w:spacing w:after="0" w:line="240" w:lineRule="auto"/>
              <w:jc w:val="center"/>
              <w:rPr>
                <w:rFonts w:ascii="Calibri" w:eastAsia="Times New Roman" w:hAnsi="Calibri" w:cs="Times New Roman"/>
                <w:color w:val="3333FF"/>
                <w:sz w:val="18"/>
                <w:szCs w:val="18"/>
              </w:rPr>
            </w:pPr>
            <w:r w:rsidRPr="00245A5A">
              <w:rPr>
                <w:rFonts w:ascii="Calibri" w:eastAsia="Times New Roman" w:hAnsi="Calibri" w:cs="Times New Roman"/>
                <w:color w:val="3333FF"/>
                <w:sz w:val="18"/>
                <w:szCs w:val="18"/>
              </w:rPr>
              <w:t>15.2%</w:t>
            </w:r>
          </w:p>
        </w:tc>
      </w:tr>
    </w:tbl>
    <w:p w14:paraId="03CE4E39" w14:textId="101D119C" w:rsidR="0041274C" w:rsidRDefault="0041274C" w:rsidP="0041274C">
      <w:pPr>
        <w:pStyle w:val="Response"/>
        <w:rPr>
          <w:sz w:val="20"/>
          <w:szCs w:val="20"/>
        </w:rPr>
      </w:pPr>
      <w:r w:rsidRPr="00B47A66">
        <w:rPr>
          <w:sz w:val="20"/>
          <w:szCs w:val="20"/>
        </w:rPr>
        <w:t>NOTES</w:t>
      </w:r>
      <w:r>
        <w:rPr>
          <w:sz w:val="20"/>
          <w:szCs w:val="20"/>
        </w:rPr>
        <w:t xml:space="preserve">: </w:t>
      </w:r>
      <w:r w:rsidRPr="00B47A66" w:rsidDel="00085277">
        <w:rPr>
          <w:sz w:val="20"/>
          <w:szCs w:val="20"/>
        </w:rPr>
        <w:t xml:space="preserve"> </w:t>
      </w:r>
      <w:r w:rsidRPr="00062F03">
        <w:rPr>
          <w:sz w:val="20"/>
          <w:szCs w:val="20"/>
        </w:rPr>
        <w:t>†Facilities with scores in the lowest part of the distribution are considered to have better performance relative to facilities with scores in higher parts of the distribution</w:t>
      </w:r>
      <w:r>
        <w:rPr>
          <w:sz w:val="20"/>
          <w:szCs w:val="20"/>
        </w:rPr>
        <w:t>.</w:t>
      </w:r>
      <w:r w:rsidR="00FC46FB">
        <w:rPr>
          <w:sz w:val="20"/>
          <w:szCs w:val="20"/>
        </w:rPr>
        <w:t xml:space="preserve"> </w:t>
      </w:r>
    </w:p>
    <w:p w14:paraId="1C9B8799" w14:textId="23148D88" w:rsidR="0041274C" w:rsidRPr="00B47A66" w:rsidRDefault="0041274C" w:rsidP="0041274C">
      <w:pPr>
        <w:pStyle w:val="Response"/>
        <w:rPr>
          <w:sz w:val="20"/>
          <w:szCs w:val="20"/>
        </w:rPr>
      </w:pPr>
      <w:r w:rsidRPr="00B47A66">
        <w:rPr>
          <w:sz w:val="20"/>
          <w:szCs w:val="20"/>
        </w:rPr>
        <w:t xml:space="preserve">Analysis date: </w:t>
      </w:r>
      <w:r w:rsidR="00014FDC">
        <w:rPr>
          <w:sz w:val="20"/>
          <w:szCs w:val="20"/>
        </w:rPr>
        <w:t>4</w:t>
      </w:r>
      <w:r w:rsidRPr="00B47A66">
        <w:rPr>
          <w:sz w:val="20"/>
          <w:szCs w:val="20"/>
        </w:rPr>
        <w:t>/5/201</w:t>
      </w:r>
      <w:r w:rsidR="00014FDC">
        <w:rPr>
          <w:sz w:val="20"/>
          <w:szCs w:val="20"/>
        </w:rPr>
        <w:t>8</w:t>
      </w:r>
    </w:p>
    <w:p w14:paraId="15ADB67A" w14:textId="13C16FB9" w:rsidR="0041274C" w:rsidRPr="009D7697" w:rsidRDefault="0041274C" w:rsidP="0041274C">
      <w:pPr>
        <w:pStyle w:val="Response"/>
        <w:rPr>
          <w:sz w:val="20"/>
          <w:szCs w:val="20"/>
        </w:rPr>
      </w:pPr>
      <w:r w:rsidRPr="00B47A66">
        <w:rPr>
          <w:sz w:val="20"/>
          <w:szCs w:val="20"/>
        </w:rPr>
        <w:t>SOURCE: RTI analysis of Q2 2017 MDS 3.0 data (programming reference:</w:t>
      </w:r>
      <w:r w:rsidR="00082767">
        <w:rPr>
          <w:sz w:val="20"/>
          <w:szCs w:val="20"/>
        </w:rPr>
        <w:t xml:space="preserve"> </w:t>
      </w:r>
      <w:r w:rsidR="006363EC">
        <w:rPr>
          <w:sz w:val="20"/>
          <w:szCs w:val="20"/>
        </w:rPr>
        <w:t>rn16/</w:t>
      </w:r>
      <w:r w:rsidR="006363EC" w:rsidRPr="003B5305">
        <w:rPr>
          <w:sz w:val="20"/>
          <w:szCs w:val="20"/>
        </w:rPr>
        <w:t>rn16_request_ls.log</w:t>
      </w:r>
      <w:r w:rsidR="006363EC">
        <w:rPr>
          <w:sz w:val="20"/>
          <w:szCs w:val="20"/>
        </w:rPr>
        <w:t xml:space="preserve">; </w:t>
      </w:r>
      <w:r w:rsidR="00082767">
        <w:rPr>
          <w:sz w:val="20"/>
          <w:szCs w:val="20"/>
        </w:rPr>
        <w:t>av</w:t>
      </w:r>
      <w:r w:rsidR="00E20BDB">
        <w:rPr>
          <w:sz w:val="20"/>
          <w:szCs w:val="20"/>
        </w:rPr>
        <w:t>_db361</w:t>
      </w:r>
      <w:r>
        <w:rPr>
          <w:sz w:val="20"/>
          <w:szCs w:val="20"/>
        </w:rPr>
        <w:t>/</w:t>
      </w:r>
      <w:r w:rsidR="00E20BDB">
        <w:rPr>
          <w:sz w:val="20"/>
          <w:szCs w:val="20"/>
        </w:rPr>
        <w:t>new/</w:t>
      </w:r>
      <w:r w:rsidR="00082767" w:rsidRPr="00082767">
        <w:rPr>
          <w:sz w:val="20"/>
          <w:szCs w:val="20"/>
        </w:rPr>
        <w:t>a</w:t>
      </w:r>
      <w:r w:rsidR="00082767">
        <w:rPr>
          <w:sz w:val="20"/>
          <w:szCs w:val="20"/>
        </w:rPr>
        <w:t>v_db361</w:t>
      </w:r>
      <w:r w:rsidR="006363EC">
        <w:rPr>
          <w:sz w:val="20"/>
          <w:szCs w:val="20"/>
        </w:rPr>
        <w:t>_rerun</w:t>
      </w:r>
      <w:r w:rsidR="00E63DFA">
        <w:rPr>
          <w:sz w:val="20"/>
          <w:szCs w:val="20"/>
        </w:rPr>
        <w:t>_new</w:t>
      </w:r>
      <w:r w:rsidR="006363EC">
        <w:rPr>
          <w:sz w:val="20"/>
          <w:szCs w:val="20"/>
        </w:rPr>
        <w:t>.log</w:t>
      </w:r>
      <w:r>
        <w:rPr>
          <w:sz w:val="20"/>
          <w:szCs w:val="20"/>
        </w:rPr>
        <w:t>)</w:t>
      </w:r>
    </w:p>
    <w:p w14:paraId="101DC95C" w14:textId="02F5A5B5" w:rsidR="006D638B" w:rsidRPr="000E1805" w:rsidRDefault="009709D8" w:rsidP="006D638B">
      <w:pPr>
        <w:pStyle w:val="Response"/>
        <w:ind w:left="720"/>
      </w:pPr>
      <w:r>
        <w:t xml:space="preserve">Our analysis showed that the average missing data rate across </w:t>
      </w:r>
      <w:r w:rsidRPr="00B358A0">
        <w:t>facilities was</w:t>
      </w:r>
      <w:r w:rsidR="00933F9F" w:rsidRPr="00B358A0">
        <w:t xml:space="preserve"> 8</w:t>
      </w:r>
      <w:r w:rsidRPr="00B358A0">
        <w:t>.</w:t>
      </w:r>
      <w:r w:rsidR="00933F9F" w:rsidRPr="00B358A0">
        <w:t>2</w:t>
      </w:r>
      <w:r w:rsidRPr="00B358A0">
        <w:t>%</w:t>
      </w:r>
      <w:r w:rsidR="0041274C" w:rsidRPr="00B358A0">
        <w:t xml:space="preserve"> (shown</w:t>
      </w:r>
      <w:r w:rsidR="0041274C">
        <w:t xml:space="preserve"> in the </w:t>
      </w:r>
      <w:r w:rsidR="0041274C" w:rsidRPr="000E1805">
        <w:t xml:space="preserve">“Total” row of </w:t>
      </w:r>
      <w:r w:rsidR="0041274C" w:rsidRPr="000E1805">
        <w:rPr>
          <w:b/>
          <w:i/>
        </w:rPr>
        <w:t xml:space="preserve">Table </w:t>
      </w:r>
      <w:r w:rsidR="007D3653" w:rsidRPr="000E1805">
        <w:rPr>
          <w:b/>
          <w:i/>
        </w:rPr>
        <w:t>11</w:t>
      </w:r>
      <w:r w:rsidR="0041274C" w:rsidRPr="000E1805">
        <w:t>) on items</w:t>
      </w:r>
      <w:r w:rsidR="005C2EA5" w:rsidRPr="000E1805">
        <w:t xml:space="preserve"> used to construct this measure</w:t>
      </w:r>
      <w:r w:rsidR="0041274C" w:rsidRPr="000E1805">
        <w:t>, with a greater percentage of facilities having lower missing data rates and relatively fewer facilities having high</w:t>
      </w:r>
      <w:r w:rsidR="000D3540">
        <w:t>er</w:t>
      </w:r>
      <w:r w:rsidR="0041274C" w:rsidRPr="000E1805">
        <w:t xml:space="preserve"> missing data rates.</w:t>
      </w:r>
      <w:r w:rsidR="006D638B">
        <w:t xml:space="preserve"> </w:t>
      </w:r>
      <w:r w:rsidR="006D638B" w:rsidRPr="000E1805">
        <w:rPr>
          <w:b/>
          <w:i/>
        </w:rPr>
        <w:t xml:space="preserve">Table </w:t>
      </w:r>
      <w:r w:rsidR="006D638B">
        <w:rPr>
          <w:b/>
          <w:i/>
        </w:rPr>
        <w:t>11</w:t>
      </w:r>
      <w:r w:rsidR="00E402FE">
        <w:rPr>
          <w:b/>
          <w:i/>
        </w:rPr>
        <w:t xml:space="preserve"> </w:t>
      </w:r>
      <w:r w:rsidR="006D638B" w:rsidRPr="000E1805">
        <w:t>indicates that only 10% of facilities had missing data rates of 15.2% or higher.</w:t>
      </w:r>
    </w:p>
    <w:p w14:paraId="1DA43675" w14:textId="748169DC" w:rsidR="0041274C" w:rsidRPr="00207CD8" w:rsidRDefault="0041274C" w:rsidP="0041274C">
      <w:pPr>
        <w:pStyle w:val="Response"/>
        <w:ind w:left="720"/>
      </w:pPr>
      <w:r w:rsidRPr="000E1805">
        <w:rPr>
          <w:rFonts w:cs="Arial"/>
        </w:rPr>
        <w:t xml:space="preserve">In addition, RTI examined the relationship between missing data for items used to calculate this </w:t>
      </w:r>
      <w:r w:rsidR="002F363D" w:rsidRPr="000E1805">
        <w:rPr>
          <w:rFonts w:cs="Arial"/>
        </w:rPr>
        <w:t xml:space="preserve">measure </w:t>
      </w:r>
      <w:r w:rsidRPr="000E1805">
        <w:rPr>
          <w:rFonts w:cs="Arial"/>
        </w:rPr>
        <w:t xml:space="preserve">by </w:t>
      </w:r>
      <w:r w:rsidR="000E1805" w:rsidRPr="000E1805">
        <w:rPr>
          <w:rFonts w:cs="Arial"/>
        </w:rPr>
        <w:t xml:space="preserve">quality measure score </w:t>
      </w:r>
      <w:r w:rsidRPr="000E1805">
        <w:rPr>
          <w:rFonts w:cs="Arial"/>
        </w:rPr>
        <w:t xml:space="preserve">quartile.  </w:t>
      </w:r>
      <w:r w:rsidRPr="000E1805">
        <w:rPr>
          <w:b/>
          <w:i/>
          <w:iCs/>
        </w:rPr>
        <w:t xml:space="preserve">Table </w:t>
      </w:r>
      <w:r w:rsidR="007D3653" w:rsidRPr="000E1805">
        <w:rPr>
          <w:b/>
          <w:i/>
          <w:iCs/>
        </w:rPr>
        <w:t>11</w:t>
      </w:r>
      <w:r w:rsidRPr="000E1805">
        <w:rPr>
          <w:b/>
          <w:i/>
          <w:iCs/>
        </w:rPr>
        <w:t xml:space="preserve"> </w:t>
      </w:r>
      <w:r w:rsidRPr="000E1805">
        <w:t>shows</w:t>
      </w:r>
      <w:r w:rsidRPr="00207CD8">
        <w:t xml:space="preserve"> the mean facility-level missing rate for items used to </w:t>
      </w:r>
      <w:r w:rsidRPr="00C24976">
        <w:t xml:space="preserve">calculate this measure increases with the </w:t>
      </w:r>
      <w:r w:rsidR="00904F8C">
        <w:t xml:space="preserve">score </w:t>
      </w:r>
      <w:r w:rsidRPr="00C24976">
        <w:t xml:space="preserve">quartile, from the quartile containing the lowest (best) scores (missing rate: </w:t>
      </w:r>
      <w:r w:rsidR="00C24976" w:rsidRPr="00C24976">
        <w:t>7.</w:t>
      </w:r>
      <w:r w:rsidR="00014FDC">
        <w:t>7</w:t>
      </w:r>
      <w:r w:rsidR="009B489E" w:rsidRPr="00C24976">
        <w:t>%</w:t>
      </w:r>
      <w:r w:rsidRPr="00C24976">
        <w:t xml:space="preserve">) to the quartile containing the highest (worst) scores </w:t>
      </w:r>
      <w:r w:rsidR="00C24976" w:rsidRPr="00C24976">
        <w:t>(9.</w:t>
      </w:r>
      <w:r w:rsidR="00014FDC">
        <w:t>0</w:t>
      </w:r>
      <w:r w:rsidR="009B489E" w:rsidRPr="00C24976">
        <w:t>%</w:t>
      </w:r>
      <w:r w:rsidRPr="00C24976">
        <w:t>). This pattern is also</w:t>
      </w:r>
      <w:r w:rsidRPr="009D7697">
        <w:t xml:space="preserve"> shown by the significant</w:t>
      </w:r>
      <w:r w:rsidR="009B489E">
        <w:t xml:space="preserve"> but weak</w:t>
      </w:r>
      <w:r w:rsidRPr="009D7697">
        <w:t xml:space="preserve"> correla</w:t>
      </w:r>
      <w:r w:rsidR="00904F8C">
        <w:t>tion between missing data and quality measure</w:t>
      </w:r>
      <w:r w:rsidRPr="009D7697">
        <w:t xml:space="preserve"> scores </w:t>
      </w:r>
      <w:r w:rsidRPr="00C24976">
        <w:t>(</w:t>
      </w:r>
      <w:r w:rsidRPr="00C24976">
        <w:rPr>
          <w:i/>
        </w:rPr>
        <w:t>r</w:t>
      </w:r>
      <w:r w:rsidR="005C2EA5" w:rsidRPr="00C24976">
        <w:t xml:space="preserve"> = .09</w:t>
      </w:r>
      <w:r w:rsidR="00014FDC">
        <w:t>0</w:t>
      </w:r>
      <w:r w:rsidRPr="00C24976">
        <w:t xml:space="preserve">, </w:t>
      </w:r>
      <w:r w:rsidRPr="00C24976">
        <w:rPr>
          <w:i/>
        </w:rPr>
        <w:t>p</w:t>
      </w:r>
      <w:r w:rsidR="005C2EA5" w:rsidRPr="00C24976">
        <w:t xml:space="preserve"> &lt; .00</w:t>
      </w:r>
      <w:r w:rsidRPr="00C24976">
        <w:t>1).</w:t>
      </w:r>
    </w:p>
    <w:p w14:paraId="3FC9DC14" w14:textId="781CFED1" w:rsidR="0041274C" w:rsidRDefault="009B489E" w:rsidP="0041274C">
      <w:pPr>
        <w:pStyle w:val="bulletblue1"/>
        <w:numPr>
          <w:ilvl w:val="0"/>
          <w:numId w:val="0"/>
        </w:numPr>
        <w:ind w:left="720"/>
      </w:pPr>
      <w:r>
        <w:t>This analysis address</w:t>
      </w:r>
      <w:r w:rsidR="008D4E67">
        <w:t>es the</w:t>
      </w:r>
      <w:r>
        <w:t xml:space="preserve"> potential concern that</w:t>
      </w:r>
      <w:r w:rsidR="0041274C" w:rsidRPr="00207CD8">
        <w:t xml:space="preserve"> missing data </w:t>
      </w:r>
      <w:r w:rsidR="0041274C">
        <w:t xml:space="preserve">in the pain items </w:t>
      </w:r>
      <w:r w:rsidR="0041274C" w:rsidRPr="00207CD8">
        <w:t>would lead to under-reporting residents in pain</w:t>
      </w:r>
      <w:r w:rsidR="00DD0C8B">
        <w:t>,</w:t>
      </w:r>
      <w:r w:rsidR="0041274C" w:rsidRPr="00207CD8">
        <w:t xml:space="preserve"> resulting in</w:t>
      </w:r>
      <w:r w:rsidR="0041274C">
        <w:t xml:space="preserve"> </w:t>
      </w:r>
      <w:r w:rsidR="0041274C" w:rsidRPr="00207CD8">
        <w:t xml:space="preserve">lower (better) scores on this measure. </w:t>
      </w:r>
      <w:r>
        <w:t xml:space="preserve">Our analysis demonstrated that this </w:t>
      </w:r>
      <w:r w:rsidR="001204A7">
        <w:t xml:space="preserve">is not an issue for </w:t>
      </w:r>
      <w:r>
        <w:t xml:space="preserve">this measure. </w:t>
      </w:r>
      <w:r w:rsidR="0041274C" w:rsidRPr="00207CD8">
        <w:t>The positive relationship between missing rate and</w:t>
      </w:r>
      <w:r w:rsidR="0041274C">
        <w:t xml:space="preserve"> </w:t>
      </w:r>
      <w:r w:rsidR="0041274C" w:rsidRPr="00207CD8">
        <w:t xml:space="preserve">percentage of residents who self-report pain suggests that facilities with poorer pain management may not do well in assessing and documenting pain. </w:t>
      </w:r>
    </w:p>
    <w:p w14:paraId="3E0CC03C" w14:textId="781DCE3A" w:rsidR="0041274C" w:rsidRPr="00841767" w:rsidRDefault="0041274C" w:rsidP="002B676C">
      <w:pPr>
        <w:pStyle w:val="Response"/>
        <w:numPr>
          <w:ilvl w:val="0"/>
          <w:numId w:val="12"/>
        </w:numPr>
      </w:pPr>
      <w:bookmarkStart w:id="32" w:name="_Hlk501443039"/>
      <w:r w:rsidRPr="00841767">
        <w:rPr>
          <w:b/>
          <w:i/>
          <w:iCs/>
        </w:rPr>
        <w:t xml:space="preserve">Table </w:t>
      </w:r>
      <w:r w:rsidR="007D3653" w:rsidRPr="00841767">
        <w:rPr>
          <w:b/>
          <w:i/>
          <w:iCs/>
        </w:rPr>
        <w:t>12</w:t>
      </w:r>
      <w:r w:rsidRPr="00841767">
        <w:t xml:space="preserve"> summarizes the results of RTI’s analysis of whether missing data varied across selected resident characteristics related to self-reported pain. </w:t>
      </w:r>
    </w:p>
    <w:p w14:paraId="0A3796E4" w14:textId="0D59F4D0" w:rsidR="0041274C" w:rsidRPr="00B46A91" w:rsidRDefault="0041274C" w:rsidP="0041274C">
      <w:pPr>
        <w:pStyle w:val="bulletblue1"/>
        <w:numPr>
          <w:ilvl w:val="0"/>
          <w:numId w:val="0"/>
        </w:numPr>
        <w:ind w:left="720"/>
      </w:pPr>
      <w:r w:rsidRPr="00841767">
        <w:t xml:space="preserve">Specifically, we analyzed whether missing data on pain items J0300, J0400, or J0600 varied systematically on the following characteristics: </w:t>
      </w:r>
      <w:r w:rsidRPr="00B46A91">
        <w:t>age greater than or equal to 85, gender,</w:t>
      </w:r>
      <w:r w:rsidR="007C0C04" w:rsidRPr="00B46A91">
        <w:t xml:space="preserve"> and</w:t>
      </w:r>
      <w:r w:rsidRPr="00B46A91">
        <w:t xml:space="preserve"> a </w:t>
      </w:r>
      <w:r w:rsidR="000D3540">
        <w:t xml:space="preserve">BIMS </w:t>
      </w:r>
      <w:r w:rsidRPr="00B46A91">
        <w:t xml:space="preserve">score </w:t>
      </w:r>
      <w:r w:rsidR="000D3540">
        <w:t>of</w:t>
      </w:r>
      <w:r w:rsidRPr="00B46A91">
        <w:t xml:space="preserve"> less than or equal to 12 (indicating cognitive impairment)</w:t>
      </w:r>
      <w:r w:rsidR="0010115B">
        <w:t xml:space="preserve">, </w:t>
      </w:r>
      <w:bookmarkStart w:id="33" w:name="_Hlk502328282"/>
      <w:r w:rsidR="0010115B">
        <w:rPr>
          <w:rFonts w:ascii="Calibri" w:eastAsia="MS Mincho" w:hAnsi="Calibri" w:cs="Calibri"/>
          <w:bCs/>
        </w:rPr>
        <w:t>and used Chi-Squared tests to determine whether these differences were statistically significant</w:t>
      </w:r>
      <w:r w:rsidRPr="00B46A91">
        <w:t xml:space="preserve">. </w:t>
      </w:r>
      <w:bookmarkEnd w:id="33"/>
      <w:r w:rsidRPr="00B46A91">
        <w:rPr>
          <w:b/>
          <w:bCs/>
          <w:i/>
          <w:iCs/>
        </w:rPr>
        <w:t xml:space="preserve">Table </w:t>
      </w:r>
      <w:r w:rsidR="007D3653" w:rsidRPr="00B46A91">
        <w:rPr>
          <w:b/>
          <w:bCs/>
          <w:i/>
          <w:iCs/>
        </w:rPr>
        <w:t>12</w:t>
      </w:r>
      <w:r w:rsidRPr="00B46A91">
        <w:t xml:space="preserve"> summarizes the results of this analysis. </w:t>
      </w:r>
    </w:p>
    <w:p w14:paraId="11A45B2F" w14:textId="7B75B774" w:rsidR="0041274C" w:rsidRPr="00F638D4" w:rsidRDefault="0041274C" w:rsidP="00E43CC5">
      <w:pPr>
        <w:pStyle w:val="TableTitle"/>
      </w:pPr>
      <w:r w:rsidRPr="00B46A91">
        <w:t xml:space="preserve">Table </w:t>
      </w:r>
      <w:r w:rsidR="007D3653" w:rsidRPr="00B46A91">
        <w:t>12</w:t>
      </w:r>
      <w:r w:rsidRPr="00F638D4">
        <w:br/>
      </w:r>
      <w:r w:rsidR="006E2805">
        <w:t xml:space="preserve"> Frequency of Missing Data by Select R</w:t>
      </w:r>
      <w:r w:rsidRPr="00F638D4">
        <w:t xml:space="preserve">esident </w:t>
      </w:r>
      <w:r w:rsidR="006E2805">
        <w:t>C</w:t>
      </w:r>
      <w:r w:rsidRPr="00F638D4">
        <w:t>haracteristics</w:t>
      </w:r>
      <w:r w:rsidR="006E2805">
        <w:t xml:space="preserve"> Among</w:t>
      </w:r>
      <w:r w:rsidRPr="00F638D4">
        <w:t xml:space="preserve"> </w:t>
      </w:r>
      <w:r w:rsidR="006E2805">
        <w:t>L</w:t>
      </w:r>
      <w:r>
        <w:t>ong</w:t>
      </w:r>
      <w:r w:rsidRPr="00F638D4">
        <w:t>-</w:t>
      </w:r>
      <w:r w:rsidR="006E2805">
        <w:t>S</w:t>
      </w:r>
      <w:r w:rsidRPr="00F638D4">
        <w:t xml:space="preserve">tay </w:t>
      </w:r>
      <w:r w:rsidR="006E2805">
        <w:t>Residents</w:t>
      </w:r>
    </w:p>
    <w:tbl>
      <w:tblPr>
        <w:tblW w:w="0" w:type="auto"/>
        <w:tblLook w:val="04A0" w:firstRow="1" w:lastRow="0" w:firstColumn="1" w:lastColumn="0" w:noHBand="0" w:noVBand="1"/>
      </w:tblPr>
      <w:tblGrid>
        <w:gridCol w:w="2932"/>
        <w:gridCol w:w="1061"/>
        <w:gridCol w:w="1061"/>
        <w:gridCol w:w="1071"/>
        <w:gridCol w:w="973"/>
        <w:gridCol w:w="1082"/>
        <w:gridCol w:w="1180"/>
      </w:tblGrid>
      <w:tr w:rsidR="00466217" w:rsidRPr="00CE3CEF" w14:paraId="32182574" w14:textId="77777777" w:rsidTr="004E0F1C">
        <w:trPr>
          <w:trHeight w:val="315"/>
        </w:trPr>
        <w:tc>
          <w:tcPr>
            <w:tcW w:w="0" w:type="auto"/>
            <w:vMerge w:val="restart"/>
            <w:tcBorders>
              <w:top w:val="single" w:sz="12" w:space="0" w:color="auto"/>
              <w:left w:val="nil"/>
              <w:bottom w:val="single" w:sz="12" w:space="0" w:color="000000"/>
              <w:right w:val="single" w:sz="12" w:space="0" w:color="auto"/>
            </w:tcBorders>
            <w:shd w:val="clear" w:color="auto" w:fill="auto"/>
            <w:vAlign w:val="center"/>
            <w:hideMark/>
          </w:tcPr>
          <w:p w14:paraId="109D09E7" w14:textId="3B1D39B5" w:rsidR="00CE3CEF" w:rsidRPr="00CE3CEF" w:rsidRDefault="00CE3CEF" w:rsidP="00CE3CEF">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A</w:t>
            </w:r>
            <w:r w:rsidRPr="00CE3CEF">
              <w:rPr>
                <w:rFonts w:ascii="Calibri" w:eastAsia="Times New Roman" w:hAnsi="Calibri" w:cs="Times New Roman"/>
                <w:color w:val="0000FF"/>
                <w:sz w:val="20"/>
                <w:szCs w:val="20"/>
              </w:rPr>
              <w:t>ny missing data on J0300, J0400, or J0600</w:t>
            </w:r>
          </w:p>
        </w:tc>
        <w:tc>
          <w:tcPr>
            <w:tcW w:w="0" w:type="auto"/>
            <w:gridSpan w:val="2"/>
            <w:tcBorders>
              <w:top w:val="single" w:sz="12" w:space="0" w:color="auto"/>
              <w:left w:val="nil"/>
              <w:bottom w:val="single" w:sz="4" w:space="0" w:color="auto"/>
              <w:right w:val="single" w:sz="8" w:space="0" w:color="auto"/>
            </w:tcBorders>
            <w:shd w:val="clear" w:color="auto" w:fill="auto"/>
            <w:vAlign w:val="center"/>
            <w:hideMark/>
          </w:tcPr>
          <w:p w14:paraId="7391A8D3" w14:textId="77777777" w:rsidR="00CE3CEF" w:rsidRPr="00CE3CEF" w:rsidRDefault="00CE3CEF" w:rsidP="00CE3CEF">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Age</w:t>
            </w:r>
          </w:p>
        </w:tc>
        <w:tc>
          <w:tcPr>
            <w:tcW w:w="2060" w:type="dxa"/>
            <w:gridSpan w:val="2"/>
            <w:tcBorders>
              <w:top w:val="single" w:sz="12" w:space="0" w:color="auto"/>
              <w:left w:val="single" w:sz="8" w:space="0" w:color="auto"/>
              <w:bottom w:val="single" w:sz="4" w:space="0" w:color="auto"/>
              <w:right w:val="single" w:sz="8" w:space="0" w:color="auto"/>
            </w:tcBorders>
            <w:shd w:val="clear" w:color="auto" w:fill="auto"/>
            <w:vAlign w:val="center"/>
            <w:hideMark/>
          </w:tcPr>
          <w:p w14:paraId="3606928D" w14:textId="77777777" w:rsidR="00CE3CEF" w:rsidRPr="00CE3CEF" w:rsidRDefault="00CE3CEF" w:rsidP="00CE3CEF">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Gender</w:t>
            </w:r>
          </w:p>
        </w:tc>
        <w:tc>
          <w:tcPr>
            <w:tcW w:w="2160" w:type="dxa"/>
            <w:gridSpan w:val="2"/>
            <w:tcBorders>
              <w:top w:val="single" w:sz="12" w:space="0" w:color="auto"/>
              <w:left w:val="single" w:sz="8" w:space="0" w:color="auto"/>
              <w:bottom w:val="single" w:sz="4" w:space="0" w:color="auto"/>
              <w:right w:val="nil"/>
            </w:tcBorders>
            <w:shd w:val="clear" w:color="auto" w:fill="auto"/>
            <w:vAlign w:val="center"/>
            <w:hideMark/>
          </w:tcPr>
          <w:p w14:paraId="3530F447" w14:textId="421F4394" w:rsidR="00CE3CEF" w:rsidRPr="00CE3CEF" w:rsidRDefault="00CE3CEF" w:rsidP="00CE3CEF">
            <w:pPr>
              <w:spacing w:after="0" w:line="240" w:lineRule="auto"/>
              <w:jc w:val="center"/>
              <w:rPr>
                <w:rFonts w:ascii="Calibri" w:eastAsia="Times New Roman" w:hAnsi="Calibri" w:cs="Times New Roman"/>
                <w:color w:val="0000FF"/>
                <w:sz w:val="20"/>
                <w:szCs w:val="20"/>
              </w:rPr>
            </w:pPr>
            <w:r>
              <w:rPr>
                <w:rFonts w:ascii="Calibri" w:eastAsia="Times New Roman" w:hAnsi="Calibri" w:cs="Times New Roman"/>
                <w:color w:val="0000FF"/>
                <w:sz w:val="20"/>
                <w:szCs w:val="20"/>
              </w:rPr>
              <w:t>BIMS Score</w:t>
            </w:r>
          </w:p>
        </w:tc>
      </w:tr>
      <w:tr w:rsidR="000D72F2" w:rsidRPr="00CE3CEF" w14:paraId="756C62FE" w14:textId="77777777" w:rsidTr="004E0F1C">
        <w:trPr>
          <w:trHeight w:val="330"/>
        </w:trPr>
        <w:tc>
          <w:tcPr>
            <w:tcW w:w="0" w:type="auto"/>
            <w:vMerge/>
            <w:tcBorders>
              <w:top w:val="nil"/>
              <w:left w:val="nil"/>
              <w:bottom w:val="single" w:sz="4" w:space="0" w:color="auto"/>
              <w:right w:val="single" w:sz="12" w:space="0" w:color="auto"/>
            </w:tcBorders>
            <w:vAlign w:val="center"/>
            <w:hideMark/>
          </w:tcPr>
          <w:p w14:paraId="6361AEED" w14:textId="77777777" w:rsidR="00CE3CEF" w:rsidRPr="00CE3CEF" w:rsidRDefault="00CE3CEF" w:rsidP="00CE3CEF">
            <w:pPr>
              <w:spacing w:after="0" w:line="240" w:lineRule="auto"/>
              <w:rPr>
                <w:rFonts w:ascii="Calibri" w:eastAsia="Times New Roman" w:hAnsi="Calibri" w:cs="Times New Roman"/>
                <w:color w:val="0000FF"/>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80A77E" w14:textId="77777777" w:rsidR="00CE3CEF" w:rsidRPr="00CE3CEF" w:rsidRDefault="00CE3CEF" w:rsidP="00B76851">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Age &lt; 85</w:t>
            </w:r>
          </w:p>
        </w:tc>
        <w:tc>
          <w:tcPr>
            <w:tcW w:w="0" w:type="auto"/>
            <w:tcBorders>
              <w:top w:val="single" w:sz="4" w:space="0" w:color="auto"/>
              <w:left w:val="nil"/>
              <w:bottom w:val="single" w:sz="4" w:space="0" w:color="auto"/>
              <w:right w:val="nil"/>
            </w:tcBorders>
            <w:shd w:val="clear" w:color="auto" w:fill="auto"/>
            <w:vAlign w:val="center"/>
            <w:hideMark/>
          </w:tcPr>
          <w:p w14:paraId="23A66E1B" w14:textId="77777777" w:rsidR="00CE3CEF" w:rsidRPr="00CE3CEF" w:rsidRDefault="00CE3CEF" w:rsidP="00B76851">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Age ≥ 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2DAD9C6" w14:textId="77777777" w:rsidR="00CE3CEF" w:rsidRPr="00CE3CEF" w:rsidRDefault="00CE3CEF" w:rsidP="00B76851">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Female</w:t>
            </w:r>
          </w:p>
        </w:tc>
        <w:tc>
          <w:tcPr>
            <w:tcW w:w="973" w:type="dxa"/>
            <w:tcBorders>
              <w:top w:val="single" w:sz="4" w:space="0" w:color="auto"/>
              <w:left w:val="nil"/>
              <w:bottom w:val="single" w:sz="4" w:space="0" w:color="auto"/>
              <w:right w:val="single" w:sz="4" w:space="0" w:color="auto"/>
            </w:tcBorders>
            <w:shd w:val="clear" w:color="auto" w:fill="auto"/>
            <w:vAlign w:val="center"/>
            <w:hideMark/>
          </w:tcPr>
          <w:p w14:paraId="60E16435" w14:textId="77777777" w:rsidR="00CE3CEF" w:rsidRPr="00CE3CEF" w:rsidRDefault="00CE3CEF" w:rsidP="00B76851">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Male</w:t>
            </w:r>
          </w:p>
        </w:tc>
        <w:tc>
          <w:tcPr>
            <w:tcW w:w="1082" w:type="dxa"/>
            <w:tcBorders>
              <w:top w:val="single" w:sz="4" w:space="0" w:color="auto"/>
              <w:left w:val="nil"/>
              <w:bottom w:val="single" w:sz="4" w:space="0" w:color="auto"/>
              <w:right w:val="single" w:sz="4" w:space="0" w:color="auto"/>
            </w:tcBorders>
            <w:shd w:val="clear" w:color="auto" w:fill="auto"/>
            <w:vAlign w:val="center"/>
            <w:hideMark/>
          </w:tcPr>
          <w:p w14:paraId="41CE38F2" w14:textId="77777777" w:rsidR="00CE3CEF" w:rsidRPr="00CE3CEF" w:rsidRDefault="00CE3CEF" w:rsidP="00B76851">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BIMS &gt; 12</w:t>
            </w:r>
          </w:p>
        </w:tc>
        <w:tc>
          <w:tcPr>
            <w:tcW w:w="0" w:type="auto"/>
            <w:tcBorders>
              <w:top w:val="single" w:sz="4" w:space="0" w:color="auto"/>
              <w:left w:val="nil"/>
              <w:bottom w:val="single" w:sz="4" w:space="0" w:color="auto"/>
              <w:right w:val="nil"/>
            </w:tcBorders>
            <w:shd w:val="clear" w:color="auto" w:fill="auto"/>
            <w:vAlign w:val="center"/>
            <w:hideMark/>
          </w:tcPr>
          <w:p w14:paraId="1F6B60C7" w14:textId="77777777" w:rsidR="00CE3CEF" w:rsidRPr="00CE3CEF" w:rsidRDefault="00CE3CEF" w:rsidP="00B76851">
            <w:pPr>
              <w:spacing w:after="0" w:line="240" w:lineRule="auto"/>
              <w:jc w:val="center"/>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BIMS ≤ 12</w:t>
            </w:r>
          </w:p>
        </w:tc>
      </w:tr>
      <w:tr w:rsidR="000D72F2" w:rsidRPr="00CE3CEF" w14:paraId="728B96E5" w14:textId="77777777" w:rsidTr="004E0F1C">
        <w:trPr>
          <w:trHeight w:val="315"/>
        </w:trPr>
        <w:tc>
          <w:tcPr>
            <w:tcW w:w="0" w:type="auto"/>
            <w:tcBorders>
              <w:top w:val="single" w:sz="4" w:space="0" w:color="auto"/>
              <w:left w:val="nil"/>
              <w:right w:val="single" w:sz="12" w:space="0" w:color="auto"/>
            </w:tcBorders>
            <w:shd w:val="clear" w:color="auto" w:fill="auto"/>
            <w:vAlign w:val="center"/>
          </w:tcPr>
          <w:p w14:paraId="5A1EAD06" w14:textId="721E3950" w:rsidR="000D72F2" w:rsidRPr="00CE3CEF" w:rsidRDefault="004E0F1C" w:rsidP="000D72F2">
            <w:pPr>
              <w:spacing w:after="0" w:line="240" w:lineRule="auto"/>
              <w:rPr>
                <w:rFonts w:ascii="Calibri" w:eastAsia="Times New Roman" w:hAnsi="Calibri" w:cs="Times New Roman"/>
                <w:color w:val="0000FF"/>
                <w:sz w:val="20"/>
                <w:szCs w:val="20"/>
              </w:rPr>
            </w:pPr>
            <w:r>
              <w:rPr>
                <w:rFonts w:ascii="Calibri" w:eastAsia="Times New Roman" w:hAnsi="Calibri" w:cs="Times New Roman"/>
                <w:color w:val="0000FF"/>
                <w:sz w:val="20"/>
                <w:szCs w:val="20"/>
              </w:rPr>
              <w:t>Percent of Resident</w:t>
            </w:r>
            <w:r w:rsidR="00A7413D">
              <w:rPr>
                <w:rFonts w:ascii="Calibri" w:eastAsia="Times New Roman" w:hAnsi="Calibri" w:cs="Times New Roman"/>
                <w:color w:val="0000FF"/>
                <w:sz w:val="20"/>
                <w:szCs w:val="20"/>
              </w:rPr>
              <w:t>s</w:t>
            </w:r>
            <w:r>
              <w:rPr>
                <w:rFonts w:ascii="Calibri" w:eastAsia="Times New Roman" w:hAnsi="Calibri" w:cs="Times New Roman"/>
                <w:color w:val="0000FF"/>
                <w:sz w:val="20"/>
                <w:szCs w:val="20"/>
              </w:rPr>
              <w:t xml:space="preserve"> (</w:t>
            </w:r>
            <w:r w:rsidR="000D72F2" w:rsidRPr="00CE3CEF">
              <w:rPr>
                <w:rFonts w:ascii="Calibri" w:eastAsia="Times New Roman" w:hAnsi="Calibri" w:cs="Times New Roman"/>
                <w:color w:val="0000FF"/>
                <w:sz w:val="20"/>
                <w:szCs w:val="20"/>
              </w:rPr>
              <w:t>%</w:t>
            </w:r>
            <w:r>
              <w:rPr>
                <w:rFonts w:ascii="Calibri" w:eastAsia="Times New Roman" w:hAnsi="Calibri" w:cs="Times New Roman"/>
                <w:color w:val="0000FF"/>
                <w:sz w:val="20"/>
                <w:szCs w:val="20"/>
              </w:rPr>
              <w:t>)</w:t>
            </w:r>
          </w:p>
        </w:tc>
        <w:tc>
          <w:tcPr>
            <w:tcW w:w="0" w:type="auto"/>
            <w:tcBorders>
              <w:top w:val="single" w:sz="4" w:space="0" w:color="auto"/>
              <w:left w:val="nil"/>
              <w:right w:val="single" w:sz="4" w:space="0" w:color="auto"/>
            </w:tcBorders>
            <w:shd w:val="clear" w:color="auto" w:fill="auto"/>
            <w:vAlign w:val="bottom"/>
          </w:tcPr>
          <w:p w14:paraId="65E097AB" w14:textId="34ACAC22" w:rsidR="000D72F2" w:rsidRPr="00CE3CEF" w:rsidRDefault="00811215" w:rsidP="000D72F2">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11.3</w:t>
            </w:r>
            <w:r w:rsidR="000D72F2" w:rsidRPr="00CE3CEF">
              <w:rPr>
                <w:rFonts w:ascii="Calibri" w:eastAsia="Times New Roman" w:hAnsi="Calibri" w:cs="Times New Roman"/>
                <w:color w:val="0000FF"/>
                <w:sz w:val="20"/>
                <w:szCs w:val="20"/>
              </w:rPr>
              <w:t>%</w:t>
            </w:r>
          </w:p>
        </w:tc>
        <w:tc>
          <w:tcPr>
            <w:tcW w:w="0" w:type="auto"/>
            <w:tcBorders>
              <w:top w:val="single" w:sz="4" w:space="0" w:color="auto"/>
              <w:left w:val="nil"/>
              <w:right w:val="single" w:sz="4" w:space="0" w:color="auto"/>
            </w:tcBorders>
            <w:shd w:val="clear" w:color="auto" w:fill="auto"/>
            <w:vAlign w:val="bottom"/>
          </w:tcPr>
          <w:p w14:paraId="742768D0" w14:textId="6886D91C" w:rsidR="000D72F2" w:rsidRPr="00CE3CEF" w:rsidRDefault="007B77CF" w:rsidP="00E2503B">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8.6</w:t>
            </w:r>
            <w:r w:rsidR="000D72F2" w:rsidRPr="00CE3CEF">
              <w:rPr>
                <w:rFonts w:ascii="Calibri" w:eastAsia="Times New Roman" w:hAnsi="Calibri" w:cs="Times New Roman"/>
                <w:color w:val="0000FF"/>
                <w:sz w:val="20"/>
                <w:szCs w:val="20"/>
              </w:rPr>
              <w:t>%</w:t>
            </w:r>
          </w:p>
        </w:tc>
        <w:tc>
          <w:tcPr>
            <w:tcW w:w="0" w:type="auto"/>
            <w:tcBorders>
              <w:top w:val="single" w:sz="4" w:space="0" w:color="auto"/>
              <w:left w:val="nil"/>
              <w:right w:val="single" w:sz="4" w:space="0" w:color="auto"/>
            </w:tcBorders>
            <w:shd w:val="clear" w:color="auto" w:fill="auto"/>
            <w:vAlign w:val="bottom"/>
          </w:tcPr>
          <w:p w14:paraId="26ECF0C5" w14:textId="750FFD63" w:rsidR="000D72F2" w:rsidRPr="00CE3CEF" w:rsidRDefault="007B77CF" w:rsidP="005D7DCC">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9.5</w:t>
            </w:r>
            <w:r w:rsidR="000D72F2" w:rsidRPr="00CE3CEF">
              <w:rPr>
                <w:rFonts w:ascii="Calibri" w:eastAsia="Times New Roman" w:hAnsi="Calibri" w:cs="Times New Roman"/>
                <w:color w:val="0000FF"/>
                <w:sz w:val="20"/>
                <w:szCs w:val="20"/>
              </w:rPr>
              <w:t>%</w:t>
            </w:r>
          </w:p>
        </w:tc>
        <w:tc>
          <w:tcPr>
            <w:tcW w:w="973" w:type="dxa"/>
            <w:tcBorders>
              <w:top w:val="single" w:sz="4" w:space="0" w:color="auto"/>
              <w:left w:val="nil"/>
              <w:right w:val="single" w:sz="4" w:space="0" w:color="auto"/>
            </w:tcBorders>
            <w:shd w:val="clear" w:color="auto" w:fill="auto"/>
            <w:vAlign w:val="bottom"/>
          </w:tcPr>
          <w:p w14:paraId="6ADD7D1F" w14:textId="3954C56E" w:rsidR="000D72F2" w:rsidRPr="00CE3CEF" w:rsidRDefault="007B77CF" w:rsidP="00F75A77">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11.5</w:t>
            </w:r>
            <w:r w:rsidR="000D72F2" w:rsidRPr="00CE3CEF">
              <w:rPr>
                <w:rFonts w:ascii="Calibri" w:eastAsia="Times New Roman" w:hAnsi="Calibri" w:cs="Times New Roman"/>
                <w:color w:val="0000FF"/>
                <w:sz w:val="20"/>
                <w:szCs w:val="20"/>
              </w:rPr>
              <w:t>%</w:t>
            </w:r>
          </w:p>
        </w:tc>
        <w:tc>
          <w:tcPr>
            <w:tcW w:w="1082" w:type="dxa"/>
            <w:tcBorders>
              <w:top w:val="single" w:sz="4" w:space="0" w:color="auto"/>
              <w:left w:val="nil"/>
              <w:right w:val="single" w:sz="4" w:space="0" w:color="auto"/>
            </w:tcBorders>
            <w:shd w:val="clear" w:color="auto" w:fill="auto"/>
            <w:vAlign w:val="bottom"/>
          </w:tcPr>
          <w:p w14:paraId="4E15FA02" w14:textId="3F1C7E24" w:rsidR="000D72F2" w:rsidRPr="00CE3CEF" w:rsidRDefault="007B77CF" w:rsidP="00F1239D">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2.</w:t>
            </w:r>
            <w:r w:rsidR="00FD7001">
              <w:rPr>
                <w:rFonts w:ascii="Calibri" w:eastAsia="Times New Roman" w:hAnsi="Calibri" w:cs="Times New Roman"/>
                <w:color w:val="0000FF"/>
                <w:sz w:val="20"/>
                <w:szCs w:val="20"/>
              </w:rPr>
              <w:t>1</w:t>
            </w:r>
            <w:r w:rsidR="000D72F2" w:rsidRPr="00CE3CEF">
              <w:rPr>
                <w:rFonts w:ascii="Calibri" w:eastAsia="Times New Roman" w:hAnsi="Calibri" w:cs="Times New Roman"/>
                <w:color w:val="0000FF"/>
                <w:sz w:val="20"/>
                <w:szCs w:val="20"/>
              </w:rPr>
              <w:t>%</w:t>
            </w:r>
          </w:p>
        </w:tc>
        <w:tc>
          <w:tcPr>
            <w:tcW w:w="0" w:type="auto"/>
            <w:tcBorders>
              <w:top w:val="single" w:sz="4" w:space="0" w:color="auto"/>
              <w:left w:val="nil"/>
              <w:right w:val="nil"/>
            </w:tcBorders>
            <w:shd w:val="clear" w:color="auto" w:fill="auto"/>
            <w:vAlign w:val="bottom"/>
          </w:tcPr>
          <w:p w14:paraId="3C25005C" w14:textId="1D263830" w:rsidR="000D72F2" w:rsidRPr="00CE3CEF" w:rsidRDefault="007B77CF" w:rsidP="00F1239D">
            <w:pPr>
              <w:spacing w:after="0" w:line="240" w:lineRule="auto"/>
              <w:jc w:val="right"/>
              <w:rPr>
                <w:rFonts w:ascii="Calibri" w:eastAsia="Times New Roman" w:hAnsi="Calibri" w:cs="Times New Roman"/>
                <w:color w:val="0000FF"/>
                <w:sz w:val="20"/>
                <w:szCs w:val="20"/>
              </w:rPr>
            </w:pPr>
            <w:r>
              <w:rPr>
                <w:rFonts w:ascii="Calibri" w:eastAsia="Times New Roman" w:hAnsi="Calibri" w:cs="Times New Roman"/>
                <w:color w:val="0000FF"/>
                <w:sz w:val="20"/>
                <w:szCs w:val="20"/>
              </w:rPr>
              <w:t>3.0</w:t>
            </w:r>
            <w:r w:rsidR="000D72F2" w:rsidRPr="00CE3CEF">
              <w:rPr>
                <w:rFonts w:ascii="Calibri" w:eastAsia="Times New Roman" w:hAnsi="Calibri" w:cs="Times New Roman"/>
                <w:color w:val="0000FF"/>
                <w:sz w:val="20"/>
                <w:szCs w:val="20"/>
              </w:rPr>
              <w:t>%</w:t>
            </w:r>
          </w:p>
        </w:tc>
      </w:tr>
      <w:tr w:rsidR="00A458F9" w:rsidRPr="00CE3CEF" w14:paraId="12125266" w14:textId="77777777" w:rsidTr="004E0F1C">
        <w:trPr>
          <w:trHeight w:val="315"/>
        </w:trPr>
        <w:tc>
          <w:tcPr>
            <w:tcW w:w="0" w:type="auto"/>
            <w:tcBorders>
              <w:top w:val="nil"/>
              <w:left w:val="nil"/>
              <w:bottom w:val="single" w:sz="4" w:space="0" w:color="auto"/>
              <w:right w:val="single" w:sz="12" w:space="0" w:color="auto"/>
            </w:tcBorders>
            <w:shd w:val="clear" w:color="auto" w:fill="auto"/>
            <w:vAlign w:val="center"/>
          </w:tcPr>
          <w:p w14:paraId="254D089F" w14:textId="51D7E51B" w:rsidR="00A458F9" w:rsidRPr="00CE3CEF" w:rsidRDefault="004E0F1C" w:rsidP="00A458F9">
            <w:pPr>
              <w:spacing w:after="0" w:line="240" w:lineRule="auto"/>
              <w:rPr>
                <w:rFonts w:ascii="Calibri" w:eastAsia="Times New Roman" w:hAnsi="Calibri" w:cs="Times New Roman"/>
                <w:color w:val="0000FF"/>
                <w:sz w:val="20"/>
                <w:szCs w:val="20"/>
              </w:rPr>
            </w:pPr>
            <w:r>
              <w:rPr>
                <w:rFonts w:ascii="Calibri" w:eastAsia="Times New Roman" w:hAnsi="Calibri" w:cs="Times New Roman"/>
                <w:color w:val="0000FF"/>
                <w:sz w:val="20"/>
                <w:szCs w:val="20"/>
              </w:rPr>
              <w:t>Frequency of Residents (</w:t>
            </w:r>
            <w:r w:rsidR="00A458F9" w:rsidRPr="00CE3CEF">
              <w:rPr>
                <w:rFonts w:ascii="Calibri" w:eastAsia="Times New Roman" w:hAnsi="Calibri" w:cs="Times New Roman"/>
                <w:color w:val="0000FF"/>
                <w:sz w:val="20"/>
                <w:szCs w:val="20"/>
              </w:rPr>
              <w:t>n</w:t>
            </w:r>
            <w:r>
              <w:rPr>
                <w:rFonts w:ascii="Calibri" w:eastAsia="Times New Roman" w:hAnsi="Calibri" w:cs="Times New Roman"/>
                <w:color w:val="0000FF"/>
                <w:sz w:val="20"/>
                <w:szCs w:val="20"/>
              </w:rPr>
              <w:t>)</w:t>
            </w:r>
          </w:p>
        </w:tc>
        <w:tc>
          <w:tcPr>
            <w:tcW w:w="0" w:type="auto"/>
            <w:tcBorders>
              <w:top w:val="nil"/>
              <w:left w:val="nil"/>
              <w:bottom w:val="single" w:sz="8" w:space="0" w:color="auto"/>
              <w:right w:val="single" w:sz="4" w:space="0" w:color="auto"/>
            </w:tcBorders>
            <w:shd w:val="clear" w:color="auto" w:fill="auto"/>
            <w:vAlign w:val="bottom"/>
          </w:tcPr>
          <w:p w14:paraId="17507D67" w14:textId="2C19F72F" w:rsidR="00A458F9" w:rsidRDefault="00A458F9" w:rsidP="00A458F9">
            <w:pPr>
              <w:spacing w:after="0" w:line="240" w:lineRule="auto"/>
              <w:jc w:val="right"/>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 xml:space="preserve">         64,418 </w:t>
            </w:r>
          </w:p>
        </w:tc>
        <w:tc>
          <w:tcPr>
            <w:tcW w:w="0" w:type="auto"/>
            <w:tcBorders>
              <w:top w:val="nil"/>
              <w:left w:val="nil"/>
              <w:bottom w:val="single" w:sz="8" w:space="0" w:color="auto"/>
              <w:right w:val="single" w:sz="4" w:space="0" w:color="auto"/>
            </w:tcBorders>
            <w:shd w:val="clear" w:color="auto" w:fill="auto"/>
            <w:vAlign w:val="bottom"/>
          </w:tcPr>
          <w:p w14:paraId="05E79065" w14:textId="7E278E5B" w:rsidR="00A458F9" w:rsidRDefault="00A458F9" w:rsidP="00A458F9">
            <w:pPr>
              <w:spacing w:after="0" w:line="240" w:lineRule="auto"/>
              <w:jc w:val="right"/>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 xml:space="preserve">         32,3</w:t>
            </w:r>
            <w:r w:rsidR="00865C52">
              <w:rPr>
                <w:rFonts w:ascii="Calibri" w:eastAsia="Times New Roman" w:hAnsi="Calibri" w:cs="Times New Roman"/>
                <w:color w:val="0000FF"/>
                <w:sz w:val="20"/>
                <w:szCs w:val="20"/>
              </w:rPr>
              <w:t>75</w:t>
            </w:r>
            <w:r w:rsidRPr="00CE3CEF">
              <w:rPr>
                <w:rFonts w:ascii="Calibri" w:eastAsia="Times New Roman" w:hAnsi="Calibri" w:cs="Times New Roman"/>
                <w:color w:val="0000FF"/>
                <w:sz w:val="20"/>
                <w:szCs w:val="20"/>
              </w:rPr>
              <w:t xml:space="preserve"> </w:t>
            </w:r>
          </w:p>
        </w:tc>
        <w:tc>
          <w:tcPr>
            <w:tcW w:w="0" w:type="auto"/>
            <w:tcBorders>
              <w:top w:val="nil"/>
              <w:left w:val="nil"/>
              <w:bottom w:val="single" w:sz="8" w:space="0" w:color="auto"/>
              <w:right w:val="single" w:sz="4" w:space="0" w:color="auto"/>
            </w:tcBorders>
            <w:shd w:val="clear" w:color="auto" w:fill="auto"/>
            <w:vAlign w:val="bottom"/>
          </w:tcPr>
          <w:p w14:paraId="1F9B1A1B" w14:textId="79280F60" w:rsidR="00A458F9" w:rsidRDefault="00A458F9" w:rsidP="00A458F9">
            <w:pPr>
              <w:spacing w:after="0" w:line="240" w:lineRule="auto"/>
              <w:jc w:val="right"/>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 xml:space="preserve">         58,050 </w:t>
            </w:r>
          </w:p>
        </w:tc>
        <w:tc>
          <w:tcPr>
            <w:tcW w:w="973" w:type="dxa"/>
            <w:tcBorders>
              <w:top w:val="nil"/>
              <w:left w:val="nil"/>
              <w:bottom w:val="single" w:sz="8" w:space="0" w:color="auto"/>
              <w:right w:val="single" w:sz="4" w:space="0" w:color="auto"/>
            </w:tcBorders>
            <w:shd w:val="clear" w:color="auto" w:fill="auto"/>
            <w:vAlign w:val="bottom"/>
          </w:tcPr>
          <w:p w14:paraId="1C45461E" w14:textId="197D0504" w:rsidR="00A458F9" w:rsidRDefault="00A458F9" w:rsidP="00A458F9">
            <w:pPr>
              <w:spacing w:after="0" w:line="240" w:lineRule="auto"/>
              <w:jc w:val="right"/>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 xml:space="preserve">         38,7</w:t>
            </w:r>
            <w:r w:rsidR="00B853F2">
              <w:rPr>
                <w:rFonts w:ascii="Calibri" w:eastAsia="Times New Roman" w:hAnsi="Calibri" w:cs="Times New Roman"/>
                <w:color w:val="0000FF"/>
                <w:sz w:val="20"/>
                <w:szCs w:val="20"/>
              </w:rPr>
              <w:t>43</w:t>
            </w:r>
            <w:r w:rsidRPr="00CE3CEF">
              <w:rPr>
                <w:rFonts w:ascii="Calibri" w:eastAsia="Times New Roman" w:hAnsi="Calibri" w:cs="Times New Roman"/>
                <w:color w:val="0000FF"/>
                <w:sz w:val="20"/>
                <w:szCs w:val="20"/>
              </w:rPr>
              <w:t xml:space="preserve"> </w:t>
            </w:r>
          </w:p>
        </w:tc>
        <w:tc>
          <w:tcPr>
            <w:tcW w:w="1082" w:type="dxa"/>
            <w:tcBorders>
              <w:top w:val="nil"/>
              <w:left w:val="nil"/>
              <w:bottom w:val="single" w:sz="8" w:space="0" w:color="auto"/>
              <w:right w:val="single" w:sz="4" w:space="0" w:color="auto"/>
            </w:tcBorders>
            <w:shd w:val="clear" w:color="auto" w:fill="auto"/>
            <w:vAlign w:val="bottom"/>
          </w:tcPr>
          <w:p w14:paraId="289FAB3E" w14:textId="69808BE8" w:rsidR="00A458F9" w:rsidRDefault="00A458F9" w:rsidP="00A458F9">
            <w:pPr>
              <w:spacing w:after="0" w:line="240" w:lineRule="auto"/>
              <w:jc w:val="right"/>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 xml:space="preserve">         6,910 </w:t>
            </w:r>
          </w:p>
        </w:tc>
        <w:tc>
          <w:tcPr>
            <w:tcW w:w="0" w:type="auto"/>
            <w:tcBorders>
              <w:top w:val="nil"/>
              <w:left w:val="nil"/>
              <w:bottom w:val="single" w:sz="8" w:space="0" w:color="auto"/>
              <w:right w:val="nil"/>
            </w:tcBorders>
            <w:shd w:val="clear" w:color="auto" w:fill="auto"/>
            <w:vAlign w:val="bottom"/>
          </w:tcPr>
          <w:p w14:paraId="107921CC" w14:textId="2BAE06A0" w:rsidR="00A458F9" w:rsidRDefault="00A458F9" w:rsidP="00A458F9">
            <w:pPr>
              <w:spacing w:after="0" w:line="240" w:lineRule="auto"/>
              <w:jc w:val="right"/>
              <w:rPr>
                <w:rFonts w:ascii="Calibri" w:eastAsia="Times New Roman" w:hAnsi="Calibri" w:cs="Times New Roman"/>
                <w:color w:val="0000FF"/>
                <w:sz w:val="20"/>
                <w:szCs w:val="20"/>
              </w:rPr>
            </w:pPr>
            <w:r w:rsidRPr="00CE3CEF">
              <w:rPr>
                <w:rFonts w:ascii="Calibri" w:eastAsia="Times New Roman" w:hAnsi="Calibri" w:cs="Times New Roman"/>
                <w:color w:val="0000FF"/>
                <w:sz w:val="20"/>
                <w:szCs w:val="20"/>
              </w:rPr>
              <w:t xml:space="preserve">         13,98</w:t>
            </w:r>
            <w:r w:rsidR="00B853F2">
              <w:rPr>
                <w:rFonts w:ascii="Calibri" w:eastAsia="Times New Roman" w:hAnsi="Calibri" w:cs="Times New Roman"/>
                <w:color w:val="0000FF"/>
                <w:sz w:val="20"/>
                <w:szCs w:val="20"/>
              </w:rPr>
              <w:t>7</w:t>
            </w:r>
            <w:r w:rsidRPr="00CE3CEF">
              <w:rPr>
                <w:rFonts w:ascii="Calibri" w:eastAsia="Times New Roman" w:hAnsi="Calibri" w:cs="Times New Roman"/>
                <w:color w:val="0000FF"/>
                <w:sz w:val="20"/>
                <w:szCs w:val="20"/>
              </w:rPr>
              <w:t xml:space="preserve"> </w:t>
            </w:r>
          </w:p>
        </w:tc>
      </w:tr>
      <w:tr w:rsidR="00A458F9" w:rsidRPr="00CE3CEF" w14:paraId="6452AB45" w14:textId="77777777" w:rsidTr="004E0F1C">
        <w:trPr>
          <w:trHeight w:val="315"/>
        </w:trPr>
        <w:tc>
          <w:tcPr>
            <w:tcW w:w="0" w:type="auto"/>
            <w:tcBorders>
              <w:top w:val="single" w:sz="4" w:space="0" w:color="auto"/>
              <w:left w:val="nil"/>
              <w:bottom w:val="single" w:sz="12" w:space="0" w:color="auto"/>
              <w:right w:val="single" w:sz="12" w:space="0" w:color="auto"/>
            </w:tcBorders>
            <w:shd w:val="clear" w:color="auto" w:fill="auto"/>
            <w:vAlign w:val="center"/>
          </w:tcPr>
          <w:p w14:paraId="29BEE68D" w14:textId="41564459" w:rsidR="00A458F9" w:rsidRPr="00CE3CEF" w:rsidRDefault="00A458F9" w:rsidP="00A458F9">
            <w:pPr>
              <w:spacing w:after="0" w:line="240" w:lineRule="auto"/>
              <w:rPr>
                <w:rFonts w:ascii="Calibri" w:eastAsia="Times New Roman" w:hAnsi="Calibri" w:cs="Times New Roman"/>
                <w:color w:val="0000FF"/>
                <w:sz w:val="20"/>
                <w:szCs w:val="20"/>
              </w:rPr>
            </w:pPr>
            <w:r>
              <w:rPr>
                <w:rFonts w:eastAsia="Times New Roman" w:cs="Times New Roman"/>
                <w:color w:val="0000FF"/>
                <w:sz w:val="18"/>
                <w:szCs w:val="18"/>
              </w:rPr>
              <w:t>Pearson chi</w:t>
            </w:r>
            <w:r>
              <w:rPr>
                <w:rFonts w:eastAsia="Times New Roman" w:cs="Times New Roman"/>
                <w:color w:val="0000FF"/>
                <w:sz w:val="18"/>
                <w:szCs w:val="18"/>
                <w:vertAlign w:val="superscript"/>
              </w:rPr>
              <w:t>2</w:t>
            </w:r>
            <w:r w:rsidRPr="003633C8">
              <w:rPr>
                <w:rFonts w:eastAsia="Times New Roman" w:cs="Times New Roman"/>
                <w:color w:val="0000FF"/>
                <w:sz w:val="18"/>
                <w:szCs w:val="18"/>
              </w:rPr>
              <w:t xml:space="preserve"> P-value</w:t>
            </w:r>
          </w:p>
        </w:tc>
        <w:tc>
          <w:tcPr>
            <w:tcW w:w="0" w:type="auto"/>
            <w:gridSpan w:val="2"/>
            <w:tcBorders>
              <w:top w:val="single" w:sz="8" w:space="0" w:color="auto"/>
              <w:left w:val="nil"/>
              <w:bottom w:val="single" w:sz="12" w:space="0" w:color="auto"/>
              <w:right w:val="single" w:sz="4" w:space="0" w:color="auto"/>
            </w:tcBorders>
            <w:shd w:val="clear" w:color="auto" w:fill="auto"/>
            <w:vAlign w:val="bottom"/>
          </w:tcPr>
          <w:p w14:paraId="52629C18" w14:textId="700EB37D" w:rsidR="00A458F9" w:rsidRPr="00CE3CEF" w:rsidRDefault="00A458F9" w:rsidP="00A458F9">
            <w:pPr>
              <w:spacing w:after="0" w:line="240" w:lineRule="auto"/>
              <w:jc w:val="center"/>
              <w:rPr>
                <w:rFonts w:ascii="Calibri" w:eastAsia="Times New Roman" w:hAnsi="Calibri" w:cs="Times New Roman"/>
                <w:color w:val="0000FF"/>
                <w:sz w:val="20"/>
                <w:szCs w:val="20"/>
              </w:rPr>
            </w:pPr>
            <w:r>
              <w:rPr>
                <w:rFonts w:eastAsia="Times New Roman" w:cs="Times New Roman"/>
                <w:color w:val="0000FF"/>
                <w:sz w:val="18"/>
                <w:szCs w:val="18"/>
              </w:rPr>
              <w:t>&lt;0.001</w:t>
            </w:r>
          </w:p>
        </w:tc>
        <w:tc>
          <w:tcPr>
            <w:tcW w:w="2060" w:type="dxa"/>
            <w:gridSpan w:val="2"/>
            <w:tcBorders>
              <w:top w:val="single" w:sz="8" w:space="0" w:color="auto"/>
              <w:left w:val="nil"/>
              <w:bottom w:val="single" w:sz="12" w:space="0" w:color="auto"/>
              <w:right w:val="single" w:sz="4" w:space="0" w:color="auto"/>
            </w:tcBorders>
            <w:shd w:val="clear" w:color="auto" w:fill="auto"/>
            <w:vAlign w:val="bottom"/>
          </w:tcPr>
          <w:p w14:paraId="45745985" w14:textId="1721659A" w:rsidR="00A458F9" w:rsidRPr="00CE3CEF" w:rsidRDefault="00A458F9" w:rsidP="00A458F9">
            <w:pPr>
              <w:spacing w:after="0" w:line="240" w:lineRule="auto"/>
              <w:jc w:val="center"/>
              <w:rPr>
                <w:rFonts w:ascii="Calibri" w:eastAsia="Times New Roman" w:hAnsi="Calibri" w:cs="Times New Roman"/>
                <w:color w:val="0000FF"/>
                <w:sz w:val="20"/>
                <w:szCs w:val="20"/>
              </w:rPr>
            </w:pPr>
            <w:r>
              <w:rPr>
                <w:rFonts w:eastAsia="Times New Roman" w:cs="Times New Roman"/>
                <w:color w:val="0000FF"/>
                <w:sz w:val="18"/>
                <w:szCs w:val="18"/>
              </w:rPr>
              <w:t>&lt;0.001</w:t>
            </w:r>
          </w:p>
        </w:tc>
        <w:tc>
          <w:tcPr>
            <w:tcW w:w="2160" w:type="dxa"/>
            <w:gridSpan w:val="2"/>
            <w:tcBorders>
              <w:top w:val="single" w:sz="8" w:space="0" w:color="auto"/>
              <w:left w:val="nil"/>
              <w:bottom w:val="single" w:sz="12" w:space="0" w:color="auto"/>
            </w:tcBorders>
            <w:shd w:val="clear" w:color="auto" w:fill="auto"/>
            <w:vAlign w:val="bottom"/>
          </w:tcPr>
          <w:p w14:paraId="2AC8618A" w14:textId="4EA921EF" w:rsidR="00A458F9" w:rsidRPr="00CE3CEF" w:rsidRDefault="00A458F9" w:rsidP="00A458F9">
            <w:pPr>
              <w:spacing w:after="0" w:line="240" w:lineRule="auto"/>
              <w:jc w:val="center"/>
              <w:rPr>
                <w:rFonts w:ascii="Calibri" w:eastAsia="Times New Roman" w:hAnsi="Calibri" w:cs="Times New Roman"/>
                <w:color w:val="0000FF"/>
                <w:sz w:val="20"/>
                <w:szCs w:val="20"/>
              </w:rPr>
            </w:pPr>
            <w:r>
              <w:rPr>
                <w:rFonts w:eastAsia="Times New Roman" w:cs="Times New Roman"/>
                <w:color w:val="0000FF"/>
                <w:sz w:val="18"/>
                <w:szCs w:val="18"/>
              </w:rPr>
              <w:t>&lt;0.001</w:t>
            </w:r>
          </w:p>
        </w:tc>
      </w:tr>
    </w:tbl>
    <w:p w14:paraId="6E2817E3" w14:textId="6184CD01" w:rsidR="0041274C" w:rsidRPr="003B5305" w:rsidRDefault="0041274C" w:rsidP="00584916">
      <w:pPr>
        <w:pStyle w:val="Response"/>
        <w:rPr>
          <w:sz w:val="20"/>
          <w:szCs w:val="20"/>
        </w:rPr>
      </w:pPr>
      <w:r w:rsidRPr="00E2503B">
        <w:rPr>
          <w:sz w:val="20"/>
          <w:szCs w:val="20"/>
        </w:rPr>
        <w:t>NOTES:</w:t>
      </w:r>
      <w:r w:rsidR="00584916" w:rsidRPr="0053595C">
        <w:rPr>
          <w:sz w:val="20"/>
          <w:szCs w:val="20"/>
        </w:rPr>
        <w:t xml:space="preserve"> </w:t>
      </w:r>
      <w:r w:rsidR="00766CBE" w:rsidRPr="00B24DA1">
        <w:rPr>
          <w:sz w:val="20"/>
          <w:szCs w:val="20"/>
        </w:rPr>
        <w:t>J0300 = Pain Presence; J0400</w:t>
      </w:r>
      <w:r w:rsidR="00766CBE" w:rsidRPr="00E81CF9">
        <w:rPr>
          <w:sz w:val="20"/>
          <w:szCs w:val="20"/>
        </w:rPr>
        <w:t xml:space="preserve"> = Pain Frequency; J0600 = Pain Intensity;</w:t>
      </w:r>
      <w:r w:rsidR="006343F5" w:rsidRPr="00E81CF9">
        <w:rPr>
          <w:sz w:val="20"/>
          <w:szCs w:val="20"/>
        </w:rPr>
        <w:t xml:space="preserve"> </w:t>
      </w:r>
      <w:r w:rsidR="006343F5" w:rsidRPr="00B76851">
        <w:rPr>
          <w:sz w:val="20"/>
          <w:szCs w:val="20"/>
        </w:rPr>
        <w:t xml:space="preserve">Please note </w:t>
      </w:r>
      <w:r w:rsidR="00677280" w:rsidRPr="00B76851">
        <w:rPr>
          <w:sz w:val="20"/>
          <w:szCs w:val="20"/>
        </w:rPr>
        <w:t xml:space="preserve">residents who were excluded because they were unable to participate in the pain assessment interview (i.e., they were rarely or never understood (J0200 = [0]) or they were unable to answer when asked, “Have you had pain or hurting at any time in the last 5 days? (J0300 = [9])) are not considered to have missing data and are not </w:t>
      </w:r>
      <w:r w:rsidR="00E10A7B">
        <w:rPr>
          <w:sz w:val="20"/>
          <w:szCs w:val="20"/>
        </w:rPr>
        <w:t>presented</w:t>
      </w:r>
      <w:r w:rsidR="00677280" w:rsidRPr="00B76851">
        <w:rPr>
          <w:sz w:val="20"/>
          <w:szCs w:val="20"/>
        </w:rPr>
        <w:t xml:space="preserve"> in this </w:t>
      </w:r>
      <w:r w:rsidR="00E10A7B">
        <w:rPr>
          <w:sz w:val="20"/>
          <w:szCs w:val="20"/>
        </w:rPr>
        <w:t>table</w:t>
      </w:r>
      <w:r w:rsidR="00DC5528" w:rsidRPr="00B76851">
        <w:rPr>
          <w:sz w:val="20"/>
          <w:szCs w:val="20"/>
        </w:rPr>
        <w:t>; rather we consider them excluded because they were unable to self-report</w:t>
      </w:r>
      <w:r w:rsidR="00677280" w:rsidRPr="00B76851">
        <w:rPr>
          <w:sz w:val="20"/>
          <w:szCs w:val="20"/>
        </w:rPr>
        <w:t>.</w:t>
      </w:r>
    </w:p>
    <w:p w14:paraId="3214B9CD" w14:textId="77777777" w:rsidR="0041274C" w:rsidRPr="003B5305" w:rsidRDefault="0041274C" w:rsidP="0041274C">
      <w:pPr>
        <w:pStyle w:val="Response"/>
        <w:rPr>
          <w:sz w:val="20"/>
          <w:szCs w:val="20"/>
        </w:rPr>
      </w:pPr>
      <w:r w:rsidRPr="003B5305">
        <w:rPr>
          <w:sz w:val="20"/>
          <w:szCs w:val="20"/>
        </w:rPr>
        <w:t>Analysis date: 12/5/2017</w:t>
      </w:r>
    </w:p>
    <w:p w14:paraId="6028C609" w14:textId="52530026" w:rsidR="0041274C" w:rsidRPr="003B5305" w:rsidRDefault="0041274C" w:rsidP="0041274C">
      <w:pPr>
        <w:pStyle w:val="Response"/>
        <w:rPr>
          <w:sz w:val="20"/>
          <w:szCs w:val="20"/>
        </w:rPr>
      </w:pPr>
      <w:r w:rsidRPr="003B5305">
        <w:rPr>
          <w:sz w:val="20"/>
          <w:szCs w:val="20"/>
        </w:rPr>
        <w:t>SOURCE: RTI analysis of Q2 2017</w:t>
      </w:r>
      <w:r w:rsidR="00872C8D">
        <w:rPr>
          <w:sz w:val="20"/>
          <w:szCs w:val="20"/>
        </w:rPr>
        <w:t xml:space="preserve"> </w:t>
      </w:r>
      <w:bookmarkStart w:id="34" w:name="_GoBack"/>
      <w:bookmarkEnd w:id="34"/>
      <w:r w:rsidRPr="003B5305">
        <w:rPr>
          <w:sz w:val="20"/>
          <w:szCs w:val="20"/>
        </w:rPr>
        <w:t xml:space="preserve">MDS 3.0 data (programming reference: </w:t>
      </w:r>
      <w:r w:rsidR="006363EC">
        <w:rPr>
          <w:sz w:val="20"/>
          <w:szCs w:val="20"/>
        </w:rPr>
        <w:t>rn16/</w:t>
      </w:r>
      <w:r w:rsidRPr="003B5305">
        <w:rPr>
          <w:sz w:val="20"/>
          <w:szCs w:val="20"/>
        </w:rPr>
        <w:t>rn16_request_ls.log)</w:t>
      </w:r>
    </w:p>
    <w:p w14:paraId="1E81441C" w14:textId="260E8531" w:rsidR="00B853F2" w:rsidRPr="00E10A7B" w:rsidRDefault="00A458F9" w:rsidP="0046429F">
      <w:pPr>
        <w:autoSpaceDE w:val="0"/>
        <w:autoSpaceDN w:val="0"/>
        <w:adjustRightInd w:val="0"/>
        <w:spacing w:after="0" w:line="240" w:lineRule="auto"/>
        <w:ind w:left="720"/>
        <w:rPr>
          <w:rFonts w:ascii="Calibri" w:eastAsia="MS Mincho" w:hAnsi="Calibri" w:cs="Calibri"/>
          <w:bCs/>
          <w:color w:val="0000FF"/>
        </w:rPr>
      </w:pPr>
      <w:r w:rsidRPr="00B47E53">
        <w:rPr>
          <w:rFonts w:ascii="Calibri" w:eastAsia="MS Mincho" w:hAnsi="Calibri" w:cs="Calibri"/>
          <w:b/>
          <w:bCs/>
          <w:i/>
          <w:color w:val="0000FF"/>
        </w:rPr>
        <w:t>Table 12</w:t>
      </w:r>
      <w:r>
        <w:rPr>
          <w:rFonts w:ascii="Calibri" w:eastAsia="MS Mincho" w:hAnsi="Calibri" w:cs="Calibri"/>
          <w:b/>
          <w:bCs/>
          <w:i/>
          <w:color w:val="0000FF"/>
        </w:rPr>
        <w:t xml:space="preserve"> </w:t>
      </w:r>
      <w:r w:rsidRPr="00A458F9">
        <w:rPr>
          <w:rFonts w:ascii="Calibri" w:eastAsia="MS Mincho" w:hAnsi="Calibri" w:cs="Calibri"/>
          <w:bCs/>
          <w:color w:val="0000FF"/>
        </w:rPr>
        <w:t xml:space="preserve">shows that, </w:t>
      </w:r>
      <w:r w:rsidR="00865C52">
        <w:rPr>
          <w:rFonts w:ascii="Calibri" w:eastAsia="MS Mincho" w:hAnsi="Calibri" w:cs="Calibri"/>
          <w:bCs/>
          <w:color w:val="0000FF"/>
        </w:rPr>
        <w:t xml:space="preserve">while all differences were statistically significant, </w:t>
      </w:r>
      <w:r w:rsidRPr="00A458F9">
        <w:rPr>
          <w:rFonts w:ascii="Calibri" w:eastAsia="MS Mincho" w:hAnsi="Calibri" w:cs="Calibri"/>
          <w:bCs/>
          <w:color w:val="0000FF"/>
        </w:rPr>
        <w:t xml:space="preserve">rates of missing data on pain items are not drastically different among individuals by age, gender and cognitive impairment.  </w:t>
      </w:r>
      <w:bookmarkStart w:id="35" w:name="_Hlk502328453"/>
      <w:r w:rsidR="00B853F2">
        <w:rPr>
          <w:rFonts w:ascii="Calibri" w:eastAsia="MS Mincho" w:hAnsi="Calibri" w:cs="Calibri"/>
          <w:bCs/>
          <w:color w:val="0000FF"/>
        </w:rPr>
        <w:t xml:space="preserve">For residents aged </w:t>
      </w:r>
      <w:r w:rsidR="0046429F">
        <w:rPr>
          <w:rFonts w:ascii="Calibri" w:eastAsia="MS Mincho" w:hAnsi="Calibri" w:cs="Calibri"/>
          <w:bCs/>
          <w:color w:val="0000FF"/>
        </w:rPr>
        <w:t>85 years or older, 8.6</w:t>
      </w:r>
      <w:r w:rsidR="00B853F2">
        <w:rPr>
          <w:rFonts w:ascii="Calibri" w:eastAsia="MS Mincho" w:hAnsi="Calibri" w:cs="Calibri"/>
          <w:bCs/>
          <w:color w:val="0000FF"/>
        </w:rPr>
        <w:t xml:space="preserve">% </w:t>
      </w:r>
      <w:r w:rsidR="0046429F">
        <w:rPr>
          <w:rFonts w:ascii="Calibri" w:eastAsia="MS Mincho" w:hAnsi="Calibri" w:cs="Calibri"/>
          <w:bCs/>
          <w:color w:val="0000FF"/>
        </w:rPr>
        <w:t xml:space="preserve">had missing data on J0300, J0400, or J0600, compared to 11.3% of younger residents </w:t>
      </w:r>
      <w:r w:rsidR="00B853F2">
        <w:rPr>
          <w:rFonts w:ascii="Calibri" w:eastAsia="MS Mincho" w:hAnsi="Calibri" w:cs="Calibri"/>
          <w:bCs/>
          <w:color w:val="0000FF"/>
        </w:rPr>
        <w:t>(</w:t>
      </w:r>
      <w:r w:rsidR="00B853F2" w:rsidRPr="00E55061">
        <w:rPr>
          <w:rFonts w:ascii="Calibri" w:eastAsia="MS Mincho" w:hAnsi="Calibri" w:cs="Calibri"/>
          <w:bCs/>
          <w:i/>
          <w:color w:val="0000FF"/>
        </w:rPr>
        <w:t>χ</w:t>
      </w:r>
      <w:r w:rsidR="00B853F2" w:rsidRPr="007B766A">
        <w:rPr>
          <w:rFonts w:ascii="Calibri" w:eastAsia="MS Mincho" w:hAnsi="Calibri" w:cs="Calibri"/>
          <w:bCs/>
          <w:color w:val="0000FF"/>
          <w:vertAlign w:val="superscript"/>
        </w:rPr>
        <w:t>2</w:t>
      </w:r>
      <w:r w:rsidR="0046429F">
        <w:rPr>
          <w:rFonts w:ascii="Calibri" w:eastAsia="MS Mincho" w:hAnsi="Calibri" w:cs="Calibri"/>
          <w:bCs/>
          <w:color w:val="0000FF"/>
        </w:rPr>
        <w:t>(1) = 3,3</w:t>
      </w:r>
      <w:r w:rsidR="00B853F2">
        <w:rPr>
          <w:rFonts w:ascii="Calibri" w:eastAsia="MS Mincho" w:hAnsi="Calibri" w:cs="Calibri"/>
          <w:bCs/>
          <w:color w:val="0000FF"/>
        </w:rPr>
        <w:t xml:space="preserve">00, </w:t>
      </w:r>
      <w:r w:rsidR="00B853F2">
        <w:rPr>
          <w:rFonts w:ascii="Calibri" w:eastAsia="MS Mincho" w:hAnsi="Calibri" w:cs="Calibri"/>
          <w:bCs/>
          <w:i/>
          <w:color w:val="0000FF"/>
        </w:rPr>
        <w:t>p</w:t>
      </w:r>
      <w:r w:rsidR="00B853F2">
        <w:rPr>
          <w:rFonts w:ascii="Calibri" w:eastAsia="MS Mincho" w:hAnsi="Calibri" w:cs="Calibri"/>
          <w:bCs/>
          <w:color w:val="0000FF"/>
        </w:rPr>
        <w:t xml:space="preserve"> &lt;</w:t>
      </w:r>
      <w:r w:rsidR="006E6550">
        <w:rPr>
          <w:rFonts w:ascii="Calibri" w:eastAsia="MS Mincho" w:hAnsi="Calibri" w:cs="Calibri"/>
          <w:bCs/>
          <w:color w:val="0000FF"/>
        </w:rPr>
        <w:t xml:space="preserve"> </w:t>
      </w:r>
      <w:r w:rsidR="00B853F2">
        <w:rPr>
          <w:rFonts w:ascii="Calibri" w:eastAsia="MS Mincho" w:hAnsi="Calibri" w:cs="Calibri"/>
          <w:bCs/>
          <w:color w:val="0000FF"/>
        </w:rPr>
        <w:t>.001)</w:t>
      </w:r>
      <w:r w:rsidR="0046429F">
        <w:rPr>
          <w:rFonts w:ascii="Calibri" w:eastAsia="MS Mincho" w:hAnsi="Calibri" w:cs="Calibri"/>
          <w:bCs/>
          <w:color w:val="0000FF"/>
        </w:rPr>
        <w:t>. Whereas 11.5</w:t>
      </w:r>
      <w:r w:rsidR="00B853F2">
        <w:rPr>
          <w:rFonts w:ascii="Calibri" w:eastAsia="MS Mincho" w:hAnsi="Calibri" w:cs="Calibri"/>
          <w:bCs/>
          <w:color w:val="0000FF"/>
        </w:rPr>
        <w:t xml:space="preserve">% of the male residents </w:t>
      </w:r>
      <w:r w:rsidR="0046429F">
        <w:rPr>
          <w:rFonts w:ascii="Calibri" w:eastAsia="MS Mincho" w:hAnsi="Calibri" w:cs="Calibri"/>
          <w:bCs/>
          <w:color w:val="0000FF"/>
        </w:rPr>
        <w:t>had missing data, 9.5</w:t>
      </w:r>
      <w:r w:rsidR="00B853F2">
        <w:rPr>
          <w:rFonts w:ascii="Calibri" w:eastAsia="MS Mincho" w:hAnsi="Calibri" w:cs="Calibri"/>
          <w:bCs/>
          <w:color w:val="0000FF"/>
        </w:rPr>
        <w:t>% of the female resid</w:t>
      </w:r>
      <w:r w:rsidR="0046429F">
        <w:rPr>
          <w:rFonts w:ascii="Calibri" w:eastAsia="MS Mincho" w:hAnsi="Calibri" w:cs="Calibri"/>
          <w:bCs/>
          <w:color w:val="0000FF"/>
        </w:rPr>
        <w:t xml:space="preserve">ents had missing data </w:t>
      </w:r>
      <w:r w:rsidR="00B853F2">
        <w:rPr>
          <w:rFonts w:ascii="Calibri" w:eastAsia="MS Mincho" w:hAnsi="Calibri" w:cs="Calibri"/>
          <w:bCs/>
          <w:color w:val="0000FF"/>
        </w:rPr>
        <w:t>(</w:t>
      </w:r>
      <w:r w:rsidR="00B853F2" w:rsidRPr="00E55061">
        <w:rPr>
          <w:rFonts w:ascii="Calibri" w:eastAsia="MS Mincho" w:hAnsi="Calibri" w:cs="Calibri"/>
          <w:bCs/>
          <w:i/>
          <w:color w:val="0000FF"/>
        </w:rPr>
        <w:t>χ</w:t>
      </w:r>
      <w:r w:rsidR="00B853F2" w:rsidRPr="007B766A">
        <w:rPr>
          <w:rFonts w:ascii="Calibri" w:eastAsia="MS Mincho" w:hAnsi="Calibri" w:cs="Calibri"/>
          <w:bCs/>
          <w:color w:val="0000FF"/>
          <w:vertAlign w:val="superscript"/>
        </w:rPr>
        <w:t>2</w:t>
      </w:r>
      <w:r w:rsidR="0046429F">
        <w:rPr>
          <w:rFonts w:ascii="Calibri" w:eastAsia="MS Mincho" w:hAnsi="Calibri" w:cs="Calibri"/>
          <w:bCs/>
          <w:color w:val="0000FF"/>
        </w:rPr>
        <w:t>(1) = 4,100</w:t>
      </w:r>
      <w:r w:rsidR="00B853F2">
        <w:rPr>
          <w:rFonts w:ascii="Calibri" w:eastAsia="MS Mincho" w:hAnsi="Calibri" w:cs="Calibri"/>
          <w:bCs/>
          <w:color w:val="0000FF"/>
        </w:rPr>
        <w:t xml:space="preserve">, </w:t>
      </w:r>
      <w:r w:rsidR="00B853F2">
        <w:rPr>
          <w:rFonts w:ascii="Calibri" w:eastAsia="MS Mincho" w:hAnsi="Calibri" w:cs="Calibri"/>
          <w:bCs/>
          <w:i/>
          <w:color w:val="0000FF"/>
        </w:rPr>
        <w:t>p</w:t>
      </w:r>
      <w:r w:rsidR="00B853F2">
        <w:rPr>
          <w:rFonts w:ascii="Calibri" w:eastAsia="MS Mincho" w:hAnsi="Calibri" w:cs="Calibri"/>
          <w:bCs/>
          <w:color w:val="0000FF"/>
        </w:rPr>
        <w:t xml:space="preserve"> &lt;</w:t>
      </w:r>
      <w:r w:rsidR="006E6550">
        <w:rPr>
          <w:rFonts w:ascii="Calibri" w:eastAsia="MS Mincho" w:hAnsi="Calibri" w:cs="Calibri"/>
          <w:bCs/>
          <w:color w:val="0000FF"/>
        </w:rPr>
        <w:t xml:space="preserve"> </w:t>
      </w:r>
      <w:r w:rsidR="00B853F2">
        <w:rPr>
          <w:rFonts w:ascii="Calibri" w:eastAsia="MS Mincho" w:hAnsi="Calibri" w:cs="Calibri"/>
          <w:bCs/>
          <w:color w:val="0000FF"/>
        </w:rPr>
        <w:t>.001).</w:t>
      </w:r>
      <w:r w:rsidR="0046429F">
        <w:rPr>
          <w:rFonts w:ascii="Calibri" w:eastAsia="MS Mincho" w:hAnsi="Calibri" w:cs="Calibri"/>
          <w:bCs/>
          <w:color w:val="0000FF"/>
        </w:rPr>
        <w:t xml:space="preserve">  In addition, </w:t>
      </w:r>
      <w:r w:rsidR="00FD7001">
        <w:rPr>
          <w:rFonts w:ascii="Calibri" w:eastAsia="MS Mincho" w:hAnsi="Calibri" w:cs="Calibri"/>
          <w:bCs/>
          <w:color w:val="0000FF"/>
        </w:rPr>
        <w:t>2.1</w:t>
      </w:r>
      <w:r w:rsidR="0046429F">
        <w:rPr>
          <w:rFonts w:ascii="Calibri" w:eastAsia="MS Mincho" w:hAnsi="Calibri" w:cs="Calibri"/>
          <w:bCs/>
          <w:color w:val="0000FF"/>
        </w:rPr>
        <w:t>% of residents with a BIMS score greater than 12 had missing data, and 3.0% of residents with a BIMS score ≤12 had missing data (</w:t>
      </w:r>
      <w:r w:rsidR="0046429F" w:rsidRPr="00E55061">
        <w:rPr>
          <w:rFonts w:ascii="Calibri" w:eastAsia="MS Mincho" w:hAnsi="Calibri" w:cs="Calibri"/>
          <w:bCs/>
          <w:i/>
          <w:color w:val="0000FF"/>
        </w:rPr>
        <w:t>χ</w:t>
      </w:r>
      <w:r w:rsidR="0046429F" w:rsidRPr="007B766A">
        <w:rPr>
          <w:rFonts w:ascii="Calibri" w:eastAsia="MS Mincho" w:hAnsi="Calibri" w:cs="Calibri"/>
          <w:bCs/>
          <w:color w:val="0000FF"/>
          <w:vertAlign w:val="superscript"/>
        </w:rPr>
        <w:t>2</w:t>
      </w:r>
      <w:r w:rsidR="0046429F">
        <w:rPr>
          <w:rFonts w:ascii="Calibri" w:eastAsia="MS Mincho" w:hAnsi="Calibri" w:cs="Calibri"/>
          <w:bCs/>
          <w:color w:val="0000FF"/>
        </w:rPr>
        <w:t xml:space="preserve">(1) = 16,000, </w:t>
      </w:r>
      <w:r w:rsidR="0046429F">
        <w:rPr>
          <w:rFonts w:ascii="Calibri" w:eastAsia="MS Mincho" w:hAnsi="Calibri" w:cs="Calibri"/>
          <w:bCs/>
          <w:i/>
          <w:color w:val="0000FF"/>
        </w:rPr>
        <w:t>p</w:t>
      </w:r>
      <w:r w:rsidR="0046429F">
        <w:rPr>
          <w:rFonts w:ascii="Calibri" w:eastAsia="MS Mincho" w:hAnsi="Calibri" w:cs="Calibri"/>
          <w:bCs/>
          <w:color w:val="0000FF"/>
        </w:rPr>
        <w:t xml:space="preserve"> &lt;</w:t>
      </w:r>
      <w:r w:rsidR="006E6550">
        <w:rPr>
          <w:rFonts w:ascii="Calibri" w:eastAsia="MS Mincho" w:hAnsi="Calibri" w:cs="Calibri"/>
          <w:bCs/>
          <w:color w:val="0000FF"/>
        </w:rPr>
        <w:t xml:space="preserve"> </w:t>
      </w:r>
      <w:r w:rsidR="0046429F">
        <w:rPr>
          <w:rFonts w:ascii="Calibri" w:eastAsia="MS Mincho" w:hAnsi="Calibri" w:cs="Calibri"/>
          <w:bCs/>
          <w:color w:val="0000FF"/>
        </w:rPr>
        <w:t xml:space="preserve">.001).   </w:t>
      </w:r>
      <w:bookmarkEnd w:id="35"/>
    </w:p>
    <w:p w14:paraId="2B0290A6" w14:textId="77777777" w:rsidR="00B853F2" w:rsidRPr="00E10A7B" w:rsidRDefault="00B853F2" w:rsidP="000C23AA">
      <w:pPr>
        <w:autoSpaceDE w:val="0"/>
        <w:autoSpaceDN w:val="0"/>
        <w:adjustRightInd w:val="0"/>
        <w:spacing w:after="0" w:line="240" w:lineRule="auto"/>
        <w:ind w:left="720"/>
        <w:rPr>
          <w:rFonts w:cstheme="minorHAnsi"/>
        </w:rPr>
      </w:pPr>
    </w:p>
    <w:bookmarkEnd w:id="32"/>
    <w:p w14:paraId="2272FE0A" w14:textId="77777777" w:rsidR="000549C9" w:rsidRDefault="000549C9" w:rsidP="0041274C">
      <w:pPr>
        <w:autoSpaceDE w:val="0"/>
        <w:autoSpaceDN w:val="0"/>
        <w:adjustRightInd w:val="0"/>
        <w:spacing w:after="0" w:line="240" w:lineRule="auto"/>
        <w:rPr>
          <w:rFonts w:cstheme="minorHAnsi"/>
          <w:b/>
          <w:bCs/>
        </w:rPr>
      </w:pPr>
    </w:p>
    <w:p w14:paraId="618E4CB7" w14:textId="477D0699" w:rsidR="0041274C" w:rsidRDefault="0041274C" w:rsidP="0041274C">
      <w:pPr>
        <w:autoSpaceDE w:val="0"/>
        <w:autoSpaceDN w:val="0"/>
        <w:adjustRightInd w:val="0"/>
        <w:spacing w:after="0" w:line="240" w:lineRule="auto"/>
        <w:rPr>
          <w:rFonts w:cstheme="minorHAnsi"/>
          <w:bCs/>
        </w:rPr>
      </w:pPr>
      <w:r>
        <w:rPr>
          <w:rFonts w:cstheme="minorHAnsi"/>
          <w:b/>
          <w:bCs/>
        </w:rPr>
        <w:t xml:space="preserve">2b6.3. </w:t>
      </w:r>
      <w:r w:rsidRPr="00A25024">
        <w:rPr>
          <w:rFonts w:cstheme="minorHAnsi"/>
          <w:b/>
          <w:bCs/>
        </w:rPr>
        <w:t>What is your interpretation of the results in terms of demonstrating</w:t>
      </w:r>
      <w:r>
        <w:rPr>
          <w:rFonts w:cstheme="minorHAnsi"/>
          <w:b/>
          <w:bCs/>
        </w:rPr>
        <w:t xml:space="preserve"> that </w:t>
      </w:r>
      <w:r w:rsidRPr="00A831B4">
        <w:rPr>
          <w:rFonts w:ascii="Calibri" w:eastAsia="Calibri" w:hAnsi="Calibri" w:cs="Calibri"/>
          <w:b/>
        </w:rPr>
        <w:t>performance results are not biased</w:t>
      </w:r>
      <w:r w:rsidRPr="006A028C">
        <w:rPr>
          <w:rFonts w:ascii="Calibri" w:eastAsia="Calibri" w:hAnsi="Calibri" w:cs="Calibri"/>
        </w:rPr>
        <w:t xml:space="preserve"> due to systematic missing data (or differences between responders and </w:t>
      </w:r>
      <w:proofErr w:type="spellStart"/>
      <w:r w:rsidRPr="006A028C">
        <w:rPr>
          <w:rFonts w:ascii="Calibri" w:eastAsia="Calibri" w:hAnsi="Calibri" w:cs="Calibri"/>
        </w:rPr>
        <w:t>nonresponders</w:t>
      </w:r>
      <w:proofErr w:type="spellEnd"/>
      <w:r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Pr="00FC5DE1">
        <w:rPr>
          <w:rFonts w:cstheme="minorHAnsi"/>
          <w:bCs/>
          <w:i/>
        </w:rPr>
        <w:t>in terms of supporting the selected approach for missing data</w:t>
      </w:r>
      <w:r w:rsidRPr="00A25024">
        <w:rPr>
          <w:rFonts w:cstheme="minorHAnsi"/>
          <w:bCs/>
          <w:i/>
        </w:rPr>
        <w:t xml:space="preserve"> and what are the norms for the test conducted</w:t>
      </w:r>
      <w:r>
        <w:rPr>
          <w:rFonts w:cstheme="minorHAnsi"/>
          <w:bCs/>
          <w:i/>
        </w:rPr>
        <w:t>;</w:t>
      </w:r>
      <w:r w:rsidRPr="00FC5DE1">
        <w:rPr>
          <w:rFonts w:cstheme="minorHAnsi"/>
          <w:bCs/>
          <w:i/>
        </w:rPr>
        <w:t xml:space="preserve"> </w:t>
      </w:r>
      <w:r w:rsidRPr="00FC5DE1">
        <w:rPr>
          <w:rFonts w:cstheme="minorHAnsi"/>
          <w:bCs/>
          <w:i/>
          <w:u w:val="single"/>
        </w:rPr>
        <w:t>if no empirical analysis</w:t>
      </w:r>
      <w:r w:rsidRPr="00FC5DE1">
        <w:rPr>
          <w:rFonts w:cstheme="minorHAnsi"/>
          <w:bCs/>
          <w:i/>
        </w:rPr>
        <w:t>, provide rationale for the selected approach for missing data</w:t>
      </w:r>
      <w:r w:rsidRPr="00A25024">
        <w:rPr>
          <w:rFonts w:cstheme="minorHAnsi"/>
          <w:bCs/>
        </w:rPr>
        <w:t>)</w:t>
      </w:r>
    </w:p>
    <w:p w14:paraId="7E144C1F" w14:textId="238F7848" w:rsidR="000C4347" w:rsidRDefault="000D72F2" w:rsidP="000C4347">
      <w:pPr>
        <w:pStyle w:val="ListBullet2"/>
        <w:numPr>
          <w:ilvl w:val="0"/>
          <w:numId w:val="0"/>
        </w:numPr>
        <w:ind w:left="360"/>
      </w:pPr>
      <w:r w:rsidRPr="002934E0">
        <w:t>Overall</w:t>
      </w:r>
      <w:r w:rsidR="006E6550">
        <w:t>,</w:t>
      </w:r>
      <w:r w:rsidRPr="002934E0">
        <w:t xml:space="preserve"> the </w:t>
      </w:r>
      <w:r w:rsidR="006B0EDC" w:rsidRPr="002934E0">
        <w:t xml:space="preserve">mean facility-level </w:t>
      </w:r>
      <w:r w:rsidRPr="002934E0">
        <w:t xml:space="preserve">missing data rate </w:t>
      </w:r>
      <w:r w:rsidR="006B0EDC" w:rsidRPr="002934E0">
        <w:t>for this measure was</w:t>
      </w:r>
      <w:r w:rsidRPr="002934E0">
        <w:t xml:space="preserve"> relatively low </w:t>
      </w:r>
      <w:r w:rsidR="00257726">
        <w:t>(</w:t>
      </w:r>
      <w:r w:rsidR="006B0EDC" w:rsidRPr="002934E0">
        <w:t>8</w:t>
      </w:r>
      <w:r w:rsidRPr="002934E0">
        <w:t>.</w:t>
      </w:r>
      <w:r w:rsidR="006B0EDC" w:rsidRPr="002934E0">
        <w:t>2</w:t>
      </w:r>
      <w:r w:rsidR="000A549A">
        <w:t>%</w:t>
      </w:r>
      <w:r w:rsidR="00257726">
        <w:t>),</w:t>
      </w:r>
      <w:r w:rsidR="000A549A">
        <w:t xml:space="preserve"> and</w:t>
      </w:r>
      <w:r w:rsidR="00D3079C" w:rsidRPr="002934E0">
        <w:t xml:space="preserve"> </w:t>
      </w:r>
      <w:r w:rsidR="006B0EDC" w:rsidRPr="002934E0">
        <w:t>only 10% of</w:t>
      </w:r>
      <w:r w:rsidR="00D3079C" w:rsidRPr="002934E0">
        <w:t xml:space="preserve"> facilitie</w:t>
      </w:r>
      <w:r w:rsidR="006B0EDC" w:rsidRPr="002934E0">
        <w:t xml:space="preserve">s had missing data rates </w:t>
      </w:r>
      <w:r w:rsidR="002934E0" w:rsidRPr="002934E0">
        <w:t xml:space="preserve">of </w:t>
      </w:r>
      <w:r w:rsidR="006B0EDC" w:rsidRPr="002934E0">
        <w:t>15.2</w:t>
      </w:r>
      <w:r w:rsidR="00D3079C" w:rsidRPr="002934E0">
        <w:t>%</w:t>
      </w:r>
      <w:r w:rsidR="002934E0" w:rsidRPr="002934E0">
        <w:t xml:space="preserve"> or higher</w:t>
      </w:r>
      <w:r w:rsidR="00D3079C" w:rsidRPr="002934E0">
        <w:t>.</w:t>
      </w:r>
      <w:r w:rsidR="000C4347">
        <w:t xml:space="preserve"> </w:t>
      </w:r>
    </w:p>
    <w:p w14:paraId="3510306E" w14:textId="77777777" w:rsidR="000C4347" w:rsidRDefault="000C4347" w:rsidP="000C4347">
      <w:pPr>
        <w:pStyle w:val="ListBullet2"/>
        <w:numPr>
          <w:ilvl w:val="0"/>
          <w:numId w:val="0"/>
        </w:numPr>
        <w:ind w:left="360"/>
      </w:pPr>
    </w:p>
    <w:p w14:paraId="066E95AF" w14:textId="745A5805" w:rsidR="000C4347" w:rsidRPr="00D829A1" w:rsidRDefault="000C4347" w:rsidP="000C4347">
      <w:pPr>
        <w:pStyle w:val="ListBullet2"/>
        <w:numPr>
          <w:ilvl w:val="0"/>
          <w:numId w:val="0"/>
        </w:numPr>
        <w:ind w:left="360"/>
      </w:pPr>
      <w:r w:rsidRPr="00D829A1">
        <w:t>Of the 8.6% of residents excluded from this measure due to missing data on the pain items (</w:t>
      </w:r>
      <w:r w:rsidRPr="00E10A7B">
        <w:rPr>
          <w:i/>
        </w:rPr>
        <w:t>n</w:t>
      </w:r>
      <w:r w:rsidRPr="00D829A1">
        <w:t xml:space="preserve"> = </w:t>
      </w:r>
      <w:r w:rsidRPr="00D829A1">
        <w:rPr>
          <w:bCs w:val="0"/>
        </w:rPr>
        <w:t>96,793)</w:t>
      </w:r>
      <w:r w:rsidR="00257726">
        <w:rPr>
          <w:bCs w:val="0"/>
        </w:rPr>
        <w:t>,</w:t>
      </w:r>
      <w:r w:rsidRPr="00D829A1">
        <w:rPr>
          <w:bCs w:val="0"/>
        </w:rPr>
        <w:t xml:space="preserve"> 65.0% (</w:t>
      </w:r>
      <w:r w:rsidRPr="00E10A7B">
        <w:rPr>
          <w:bCs w:val="0"/>
          <w:i/>
        </w:rPr>
        <w:t>n</w:t>
      </w:r>
      <w:r w:rsidRPr="00D829A1">
        <w:rPr>
          <w:bCs w:val="0"/>
        </w:rPr>
        <w:t xml:space="preserve"> = 62,942) had target assessments that were unplanned discharge assessments. If the unplanned discharge item set is used, the resident interview items are not present and </w:t>
      </w:r>
      <w:r w:rsidRPr="00D829A1">
        <w:t>there is no opportunity to conduct a resident</w:t>
      </w:r>
      <w:r w:rsidRPr="00D829A1">
        <w:rPr>
          <w:bCs w:val="0"/>
        </w:rPr>
        <w:t xml:space="preserve"> interview or staff assessment. In these cases, </w:t>
      </w:r>
      <w:r w:rsidRPr="00D829A1">
        <w:t>the MDS 3.0 RAI manual allows for the entry of dashes in lieu of pain data. This is</w:t>
      </w:r>
      <w:r w:rsidR="00257726">
        <w:t>,</w:t>
      </w:r>
      <w:r w:rsidRPr="00D829A1">
        <w:t xml:space="preserve"> therefore</w:t>
      </w:r>
      <w:r w:rsidR="00257726">
        <w:t>,</w:t>
      </w:r>
      <w:r w:rsidRPr="00D829A1">
        <w:t xml:space="preserve"> a logical reason to exclude those residents for which no data are available. </w:t>
      </w:r>
      <w:r w:rsidR="0041274C" w:rsidRPr="00D829A1">
        <w:t>Analyses</w:t>
      </w:r>
      <w:r w:rsidR="000A549A" w:rsidRPr="00D829A1">
        <w:t xml:space="preserve"> illustrate</w:t>
      </w:r>
      <w:r w:rsidR="0041274C" w:rsidRPr="00D829A1">
        <w:t xml:space="preserve"> that missing data are weakly associated with higher scores on this measure, indicating that the use of dashes does not lead to better measure scores for facilities</w:t>
      </w:r>
      <w:r w:rsidR="009B489E" w:rsidRPr="00D829A1">
        <w:t>, whi</w:t>
      </w:r>
      <w:r w:rsidR="001C078B" w:rsidRPr="00D829A1">
        <w:t>ch was a potential concern for</w:t>
      </w:r>
      <w:r w:rsidR="009B489E" w:rsidRPr="00D829A1">
        <w:t xml:space="preserve"> the measure</w:t>
      </w:r>
      <w:r w:rsidR="0041274C" w:rsidRPr="00D829A1">
        <w:t xml:space="preserve">. Thus, not only do missing data do little to bias scores for this measure, they tend to be associated with slight </w:t>
      </w:r>
      <w:r w:rsidR="0041274C" w:rsidRPr="00D829A1">
        <w:rPr>
          <w:i/>
          <w:iCs/>
        </w:rPr>
        <w:t>increases</w:t>
      </w:r>
      <w:r w:rsidR="003227E9" w:rsidRPr="00D829A1">
        <w:t xml:space="preserve"> in quality measure</w:t>
      </w:r>
      <w:r w:rsidR="0041274C" w:rsidRPr="00D829A1">
        <w:t xml:space="preserve"> scores, suggesting that facilities with missing data on assessments have not seen any quality rating benefit from missing data.</w:t>
      </w:r>
    </w:p>
    <w:p w14:paraId="7478515D" w14:textId="77777777" w:rsidR="000C4347" w:rsidRPr="00D829A1" w:rsidRDefault="000C4347" w:rsidP="000C4347">
      <w:pPr>
        <w:pStyle w:val="ListBullet2"/>
        <w:numPr>
          <w:ilvl w:val="0"/>
          <w:numId w:val="0"/>
        </w:numPr>
        <w:ind w:left="360"/>
      </w:pPr>
    </w:p>
    <w:p w14:paraId="533692A8" w14:textId="3DFDFF2E" w:rsidR="0041274C" w:rsidRPr="000C4347" w:rsidRDefault="007E414D" w:rsidP="000C4347">
      <w:pPr>
        <w:pStyle w:val="ListBullet2"/>
        <w:numPr>
          <w:ilvl w:val="0"/>
          <w:numId w:val="0"/>
        </w:numPr>
        <w:ind w:left="360"/>
        <w:rPr>
          <w:highlight w:val="yellow"/>
        </w:rPr>
      </w:pPr>
      <w:r w:rsidRPr="00D829A1">
        <w:rPr>
          <w:rFonts w:cstheme="minorHAnsi"/>
          <w:bCs w:val="0"/>
        </w:rPr>
        <w:t>F</w:t>
      </w:r>
      <w:r w:rsidR="00266035" w:rsidRPr="00D829A1">
        <w:rPr>
          <w:rFonts w:cstheme="minorHAnsi"/>
          <w:bCs w:val="0"/>
        </w:rPr>
        <w:t>inally, f</w:t>
      </w:r>
      <w:r w:rsidRPr="00D829A1">
        <w:rPr>
          <w:rFonts w:cstheme="minorHAnsi"/>
          <w:bCs w:val="0"/>
        </w:rPr>
        <w:t>or this measure, rates of missing data on pain items are not drastically</w:t>
      </w:r>
      <w:r w:rsidRPr="00266035">
        <w:rPr>
          <w:rFonts w:cstheme="minorHAnsi"/>
          <w:bCs w:val="0"/>
        </w:rPr>
        <w:t xml:space="preserve"> different among individuals </w:t>
      </w:r>
      <w:r w:rsidR="00266035" w:rsidRPr="00266035">
        <w:rPr>
          <w:rFonts w:cstheme="minorHAnsi"/>
          <w:bCs w:val="0"/>
        </w:rPr>
        <w:t>with selected characteristics related to pain (</w:t>
      </w:r>
      <w:r w:rsidRPr="00266035">
        <w:rPr>
          <w:rFonts w:cstheme="minorHAnsi"/>
          <w:bCs w:val="0"/>
        </w:rPr>
        <w:t>age, gender, cognitive impairment</w:t>
      </w:r>
      <w:r w:rsidR="00266035" w:rsidRPr="00266035">
        <w:rPr>
          <w:rFonts w:cstheme="minorHAnsi"/>
          <w:bCs w:val="0"/>
        </w:rPr>
        <w:t>)</w:t>
      </w:r>
      <w:r w:rsidR="00257726">
        <w:rPr>
          <w:rFonts w:cstheme="minorHAnsi"/>
          <w:bCs w:val="0"/>
        </w:rPr>
        <w:t>;</w:t>
      </w:r>
      <w:r w:rsidRPr="00266035">
        <w:rPr>
          <w:rFonts w:cstheme="minorHAnsi"/>
          <w:bCs w:val="0"/>
        </w:rPr>
        <w:t xml:space="preserve"> however, these small differences </w:t>
      </w:r>
      <w:r w:rsidR="00266035" w:rsidRPr="00266035">
        <w:rPr>
          <w:rFonts w:cstheme="minorHAnsi"/>
          <w:bCs w:val="0"/>
        </w:rPr>
        <w:t xml:space="preserve">are </w:t>
      </w:r>
      <w:r w:rsidRPr="00266035">
        <w:rPr>
          <w:rFonts w:cstheme="minorHAnsi"/>
          <w:bCs w:val="0"/>
        </w:rPr>
        <w:t>statistically significant.</w:t>
      </w:r>
    </w:p>
    <w:p w14:paraId="6FA5118B" w14:textId="77777777" w:rsidR="0041274C" w:rsidRDefault="0041274C" w:rsidP="0041274C">
      <w:pPr>
        <w:autoSpaceDE w:val="0"/>
        <w:autoSpaceDN w:val="0"/>
        <w:adjustRightInd w:val="0"/>
        <w:spacing w:after="0" w:line="240" w:lineRule="auto"/>
        <w:rPr>
          <w:rFonts w:cstheme="minorHAnsi"/>
          <w:bCs/>
        </w:rPr>
      </w:pPr>
    </w:p>
    <w:p w14:paraId="1A097EEC" w14:textId="6B0B37F6" w:rsidR="006E014F" w:rsidRPr="005560E7" w:rsidRDefault="006E014F" w:rsidP="00475C5B">
      <w:pPr>
        <w:rPr>
          <w:rFonts w:cstheme="minorHAnsi"/>
          <w:bCs/>
        </w:rPr>
      </w:pPr>
    </w:p>
    <w:sectPr w:rsidR="006E014F" w:rsidRPr="005560E7" w:rsidSect="008505D1">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BB718" w14:textId="77777777" w:rsidR="007076F8" w:rsidRDefault="007076F8" w:rsidP="005C73CA">
      <w:pPr>
        <w:spacing w:after="0" w:line="240" w:lineRule="auto"/>
      </w:pPr>
      <w:r>
        <w:separator/>
      </w:r>
    </w:p>
  </w:endnote>
  <w:endnote w:type="continuationSeparator" w:id="0">
    <w:p w14:paraId="68B3DD55" w14:textId="77777777" w:rsidR="007076F8" w:rsidRDefault="007076F8"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16E8A42F" w:rsidR="007076F8" w:rsidRDefault="007076F8">
    <w:pPr>
      <w:pStyle w:val="Footer"/>
    </w:pPr>
    <w:r>
      <w:t>Version 7.1 9/6/2017</w:t>
    </w:r>
    <w:r>
      <w:ptab w:relativeTo="margin" w:alignment="right" w:leader="none"/>
    </w:r>
    <w:r>
      <w:fldChar w:fldCharType="begin"/>
    </w:r>
    <w:r>
      <w:instrText xml:space="preserve"> PAGE   \* MERGEFORMAT </w:instrText>
    </w:r>
    <w:r>
      <w:fldChar w:fldCharType="separate"/>
    </w:r>
    <w:r>
      <w:rPr>
        <w:noProof/>
      </w:rPr>
      <w:t>39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A8121" w14:textId="77777777" w:rsidR="007076F8" w:rsidRDefault="007076F8" w:rsidP="005C73CA">
      <w:pPr>
        <w:spacing w:after="0" w:line="240" w:lineRule="auto"/>
      </w:pPr>
      <w:r>
        <w:separator/>
      </w:r>
    </w:p>
  </w:footnote>
  <w:footnote w:type="continuationSeparator" w:id="0">
    <w:p w14:paraId="3C02D382" w14:textId="77777777" w:rsidR="007076F8" w:rsidRDefault="007076F8"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7076F8" w:rsidRPr="00105D8B" w:rsidRDefault="007076F8"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852914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D3F97"/>
    <w:multiLevelType w:val="hybridMultilevel"/>
    <w:tmpl w:val="42B47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6F35CD"/>
    <w:multiLevelType w:val="hybridMultilevel"/>
    <w:tmpl w:val="C568B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6E3F8B"/>
    <w:multiLevelType w:val="hybridMultilevel"/>
    <w:tmpl w:val="C5F260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050385"/>
    <w:multiLevelType w:val="hybridMultilevel"/>
    <w:tmpl w:val="F3302C96"/>
    <w:lvl w:ilvl="0" w:tplc="DC904276">
      <w:start w:val="1"/>
      <w:numFmt w:val="bullet"/>
      <w:pStyle w:val="ListBullet2"/>
      <w:lvlText w:val="–"/>
      <w:lvlJc w:val="left"/>
      <w:pPr>
        <w:ind w:left="720" w:hanging="360"/>
      </w:pPr>
      <w:rPr>
        <w:rFonts w:ascii="Times New Roman" w:hAnsi="Times New Roman" w:cs="Times New Roman"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9F271B0"/>
    <w:multiLevelType w:val="hybridMultilevel"/>
    <w:tmpl w:val="49BC479A"/>
    <w:lvl w:ilvl="0" w:tplc="430EE34A">
      <w:start w:val="1"/>
      <w:numFmt w:val="bullet"/>
      <w:pStyle w:val="ListParagraph"/>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C29388B"/>
    <w:multiLevelType w:val="hybridMultilevel"/>
    <w:tmpl w:val="05E816A2"/>
    <w:lvl w:ilvl="0" w:tplc="BB4011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032480"/>
    <w:multiLevelType w:val="hybridMultilevel"/>
    <w:tmpl w:val="792A9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B15B1"/>
    <w:multiLevelType w:val="hybridMultilevel"/>
    <w:tmpl w:val="B57E4208"/>
    <w:lvl w:ilvl="0" w:tplc="C1AA15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F41178"/>
    <w:multiLevelType w:val="hybridMultilevel"/>
    <w:tmpl w:val="A9827B4A"/>
    <w:lvl w:ilvl="0" w:tplc="076AE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5765"/>
    <w:multiLevelType w:val="hybridMultilevel"/>
    <w:tmpl w:val="827A0B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063761"/>
    <w:multiLevelType w:val="hybridMultilevel"/>
    <w:tmpl w:val="792A9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8C7E45"/>
    <w:multiLevelType w:val="hybridMultilevel"/>
    <w:tmpl w:val="E8966AFC"/>
    <w:lvl w:ilvl="0" w:tplc="6EBA73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EC0A2E"/>
    <w:multiLevelType w:val="hybridMultilevel"/>
    <w:tmpl w:val="7C8445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14"/>
  </w:num>
  <w:num w:numId="3">
    <w:abstractNumId w:val="0"/>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5"/>
  </w:num>
  <w:num w:numId="8">
    <w:abstractNumId w:val="12"/>
  </w:num>
  <w:num w:numId="9">
    <w:abstractNumId w:val="8"/>
  </w:num>
  <w:num w:numId="10">
    <w:abstractNumId w:val="1"/>
  </w:num>
  <w:num w:numId="11">
    <w:abstractNumId w:val="7"/>
  </w:num>
  <w:num w:numId="12">
    <w:abstractNumId w:val="11"/>
  </w:num>
  <w:num w:numId="13">
    <w:abstractNumId w:val="6"/>
  </w:num>
  <w:num w:numId="14">
    <w:abstractNumId w:val="9"/>
  </w:num>
  <w:num w:numId="15">
    <w:abstractNumId w:val="10"/>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20"/>
  <w:characterSpacingControl w:val="doNotCompress"/>
  <w:hdrShapeDefaults>
    <o:shapedefaults v:ext="edit" spidmax="768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278"/>
    <w:rsid w:val="00000A8B"/>
    <w:rsid w:val="00001D73"/>
    <w:rsid w:val="00003004"/>
    <w:rsid w:val="00003469"/>
    <w:rsid w:val="0001094F"/>
    <w:rsid w:val="00011117"/>
    <w:rsid w:val="000115D2"/>
    <w:rsid w:val="00011D11"/>
    <w:rsid w:val="00012067"/>
    <w:rsid w:val="00014FDC"/>
    <w:rsid w:val="00015733"/>
    <w:rsid w:val="00021170"/>
    <w:rsid w:val="0002128B"/>
    <w:rsid w:val="00021AD6"/>
    <w:rsid w:val="00022D32"/>
    <w:rsid w:val="00024798"/>
    <w:rsid w:val="00024DFD"/>
    <w:rsid w:val="00027AB8"/>
    <w:rsid w:val="000309DD"/>
    <w:rsid w:val="00030C74"/>
    <w:rsid w:val="00031414"/>
    <w:rsid w:val="00033038"/>
    <w:rsid w:val="00033D63"/>
    <w:rsid w:val="0003436F"/>
    <w:rsid w:val="0003444F"/>
    <w:rsid w:val="00034502"/>
    <w:rsid w:val="000360D6"/>
    <w:rsid w:val="000414E8"/>
    <w:rsid w:val="0004593A"/>
    <w:rsid w:val="0004725B"/>
    <w:rsid w:val="00050308"/>
    <w:rsid w:val="00050A3E"/>
    <w:rsid w:val="00052A6F"/>
    <w:rsid w:val="00053F02"/>
    <w:rsid w:val="000549C9"/>
    <w:rsid w:val="000558F9"/>
    <w:rsid w:val="0005612B"/>
    <w:rsid w:val="000574AB"/>
    <w:rsid w:val="00057D59"/>
    <w:rsid w:val="000601AD"/>
    <w:rsid w:val="0006147A"/>
    <w:rsid w:val="00061C7D"/>
    <w:rsid w:val="0006234F"/>
    <w:rsid w:val="00062DFD"/>
    <w:rsid w:val="0006524A"/>
    <w:rsid w:val="0007150A"/>
    <w:rsid w:val="0007167C"/>
    <w:rsid w:val="00075F7F"/>
    <w:rsid w:val="000775F8"/>
    <w:rsid w:val="00080CF7"/>
    <w:rsid w:val="00081627"/>
    <w:rsid w:val="00082767"/>
    <w:rsid w:val="00082FEB"/>
    <w:rsid w:val="000850CD"/>
    <w:rsid w:val="000851B2"/>
    <w:rsid w:val="0008694E"/>
    <w:rsid w:val="00090373"/>
    <w:rsid w:val="0009186E"/>
    <w:rsid w:val="00091B37"/>
    <w:rsid w:val="00092566"/>
    <w:rsid w:val="000968F8"/>
    <w:rsid w:val="00097012"/>
    <w:rsid w:val="000978D6"/>
    <w:rsid w:val="000A0B69"/>
    <w:rsid w:val="000A1076"/>
    <w:rsid w:val="000A1F25"/>
    <w:rsid w:val="000A2E4F"/>
    <w:rsid w:val="000A4579"/>
    <w:rsid w:val="000A549A"/>
    <w:rsid w:val="000B032A"/>
    <w:rsid w:val="000B042E"/>
    <w:rsid w:val="000B1049"/>
    <w:rsid w:val="000B2DF7"/>
    <w:rsid w:val="000B3880"/>
    <w:rsid w:val="000B3E6A"/>
    <w:rsid w:val="000B676B"/>
    <w:rsid w:val="000B7A7D"/>
    <w:rsid w:val="000B7D57"/>
    <w:rsid w:val="000C036D"/>
    <w:rsid w:val="000C0FF8"/>
    <w:rsid w:val="000C23AA"/>
    <w:rsid w:val="000C40A3"/>
    <w:rsid w:val="000C4347"/>
    <w:rsid w:val="000C66BE"/>
    <w:rsid w:val="000C6B8A"/>
    <w:rsid w:val="000D2722"/>
    <w:rsid w:val="000D3540"/>
    <w:rsid w:val="000D5778"/>
    <w:rsid w:val="000D605A"/>
    <w:rsid w:val="000D68CE"/>
    <w:rsid w:val="000D72F2"/>
    <w:rsid w:val="000D7948"/>
    <w:rsid w:val="000D7B0F"/>
    <w:rsid w:val="000D7C84"/>
    <w:rsid w:val="000E1650"/>
    <w:rsid w:val="000E1805"/>
    <w:rsid w:val="000E4E13"/>
    <w:rsid w:val="000E6E91"/>
    <w:rsid w:val="000E78F6"/>
    <w:rsid w:val="000F034A"/>
    <w:rsid w:val="000F06B5"/>
    <w:rsid w:val="000F1B7A"/>
    <w:rsid w:val="000F39E9"/>
    <w:rsid w:val="000F79F9"/>
    <w:rsid w:val="001005EB"/>
    <w:rsid w:val="0010115B"/>
    <w:rsid w:val="00101356"/>
    <w:rsid w:val="00104B45"/>
    <w:rsid w:val="00105D8B"/>
    <w:rsid w:val="00106D1F"/>
    <w:rsid w:val="00112A88"/>
    <w:rsid w:val="0011342F"/>
    <w:rsid w:val="00114C11"/>
    <w:rsid w:val="0011718B"/>
    <w:rsid w:val="001202E9"/>
    <w:rsid w:val="001204A7"/>
    <w:rsid w:val="00121345"/>
    <w:rsid w:val="00121AAA"/>
    <w:rsid w:val="00123DB4"/>
    <w:rsid w:val="0012454F"/>
    <w:rsid w:val="001245F1"/>
    <w:rsid w:val="00125273"/>
    <w:rsid w:val="0012575E"/>
    <w:rsid w:val="0012754C"/>
    <w:rsid w:val="00127C06"/>
    <w:rsid w:val="00134A5F"/>
    <w:rsid w:val="001379F2"/>
    <w:rsid w:val="00145149"/>
    <w:rsid w:val="00145AC0"/>
    <w:rsid w:val="00145D4F"/>
    <w:rsid w:val="00145F4D"/>
    <w:rsid w:val="00146D7B"/>
    <w:rsid w:val="0014773C"/>
    <w:rsid w:val="00147B2B"/>
    <w:rsid w:val="00154610"/>
    <w:rsid w:val="00154D6A"/>
    <w:rsid w:val="00161834"/>
    <w:rsid w:val="00165ADB"/>
    <w:rsid w:val="001672F1"/>
    <w:rsid w:val="00170600"/>
    <w:rsid w:val="0017696D"/>
    <w:rsid w:val="00177E85"/>
    <w:rsid w:val="00182BEA"/>
    <w:rsid w:val="001831B9"/>
    <w:rsid w:val="001838E6"/>
    <w:rsid w:val="00183F39"/>
    <w:rsid w:val="001848FC"/>
    <w:rsid w:val="00190DCC"/>
    <w:rsid w:val="0019172D"/>
    <w:rsid w:val="00191A96"/>
    <w:rsid w:val="00193147"/>
    <w:rsid w:val="00193F21"/>
    <w:rsid w:val="001969C5"/>
    <w:rsid w:val="00197EF5"/>
    <w:rsid w:val="001A25CE"/>
    <w:rsid w:val="001A690E"/>
    <w:rsid w:val="001A6CDD"/>
    <w:rsid w:val="001B37E5"/>
    <w:rsid w:val="001C078B"/>
    <w:rsid w:val="001C12EE"/>
    <w:rsid w:val="001C20F9"/>
    <w:rsid w:val="001C4851"/>
    <w:rsid w:val="001C4DFB"/>
    <w:rsid w:val="001C5018"/>
    <w:rsid w:val="001C6C41"/>
    <w:rsid w:val="001C7B02"/>
    <w:rsid w:val="001D515C"/>
    <w:rsid w:val="001D6B52"/>
    <w:rsid w:val="001D7D36"/>
    <w:rsid w:val="001E2B98"/>
    <w:rsid w:val="001E4DD4"/>
    <w:rsid w:val="001E69DC"/>
    <w:rsid w:val="001E78EC"/>
    <w:rsid w:val="001E7E64"/>
    <w:rsid w:val="001F1188"/>
    <w:rsid w:val="001F169D"/>
    <w:rsid w:val="001F1DA1"/>
    <w:rsid w:val="001F2113"/>
    <w:rsid w:val="001F3ADD"/>
    <w:rsid w:val="001F5FC8"/>
    <w:rsid w:val="001F634A"/>
    <w:rsid w:val="001F6A8C"/>
    <w:rsid w:val="001F6F93"/>
    <w:rsid w:val="001F7A20"/>
    <w:rsid w:val="00201DCA"/>
    <w:rsid w:val="00206B06"/>
    <w:rsid w:val="002070F7"/>
    <w:rsid w:val="0021054A"/>
    <w:rsid w:val="0021195A"/>
    <w:rsid w:val="00213383"/>
    <w:rsid w:val="00216C9E"/>
    <w:rsid w:val="00220250"/>
    <w:rsid w:val="00222444"/>
    <w:rsid w:val="00224FE7"/>
    <w:rsid w:val="00224FF3"/>
    <w:rsid w:val="0022592C"/>
    <w:rsid w:val="0022691B"/>
    <w:rsid w:val="002310DB"/>
    <w:rsid w:val="00231335"/>
    <w:rsid w:val="00231DD1"/>
    <w:rsid w:val="00232163"/>
    <w:rsid w:val="00233039"/>
    <w:rsid w:val="00233B17"/>
    <w:rsid w:val="00236309"/>
    <w:rsid w:val="002376F8"/>
    <w:rsid w:val="002408E4"/>
    <w:rsid w:val="00241591"/>
    <w:rsid w:val="002419A9"/>
    <w:rsid w:val="00244514"/>
    <w:rsid w:val="00245A5A"/>
    <w:rsid w:val="00250B01"/>
    <w:rsid w:val="00250B4F"/>
    <w:rsid w:val="00251245"/>
    <w:rsid w:val="00253732"/>
    <w:rsid w:val="0025611C"/>
    <w:rsid w:val="0025762F"/>
    <w:rsid w:val="00257726"/>
    <w:rsid w:val="00260A00"/>
    <w:rsid w:val="00261BE6"/>
    <w:rsid w:val="00263B58"/>
    <w:rsid w:val="00266035"/>
    <w:rsid w:val="00266596"/>
    <w:rsid w:val="00274334"/>
    <w:rsid w:val="00275563"/>
    <w:rsid w:val="0028114D"/>
    <w:rsid w:val="00281560"/>
    <w:rsid w:val="002820BC"/>
    <w:rsid w:val="00282DAC"/>
    <w:rsid w:val="002855DA"/>
    <w:rsid w:val="00287649"/>
    <w:rsid w:val="00287E84"/>
    <w:rsid w:val="00287EC8"/>
    <w:rsid w:val="00290FF0"/>
    <w:rsid w:val="0029186D"/>
    <w:rsid w:val="0029286C"/>
    <w:rsid w:val="0029300E"/>
    <w:rsid w:val="002934E0"/>
    <w:rsid w:val="00293ACE"/>
    <w:rsid w:val="002A21CD"/>
    <w:rsid w:val="002A23FE"/>
    <w:rsid w:val="002A277D"/>
    <w:rsid w:val="002A4EFB"/>
    <w:rsid w:val="002A551F"/>
    <w:rsid w:val="002B0C3A"/>
    <w:rsid w:val="002B0E75"/>
    <w:rsid w:val="002B2116"/>
    <w:rsid w:val="002B2D9B"/>
    <w:rsid w:val="002B3701"/>
    <w:rsid w:val="002B3DD5"/>
    <w:rsid w:val="002B5016"/>
    <w:rsid w:val="002B676C"/>
    <w:rsid w:val="002B742C"/>
    <w:rsid w:val="002B7F4D"/>
    <w:rsid w:val="002C285C"/>
    <w:rsid w:val="002C3C4B"/>
    <w:rsid w:val="002C4825"/>
    <w:rsid w:val="002C7BE4"/>
    <w:rsid w:val="002D0776"/>
    <w:rsid w:val="002D27EC"/>
    <w:rsid w:val="002D417D"/>
    <w:rsid w:val="002D469F"/>
    <w:rsid w:val="002D5550"/>
    <w:rsid w:val="002D5E5D"/>
    <w:rsid w:val="002D5F59"/>
    <w:rsid w:val="002E645D"/>
    <w:rsid w:val="002E7060"/>
    <w:rsid w:val="002E747B"/>
    <w:rsid w:val="002E786D"/>
    <w:rsid w:val="002E78A0"/>
    <w:rsid w:val="002F167B"/>
    <w:rsid w:val="002F2524"/>
    <w:rsid w:val="002F2687"/>
    <w:rsid w:val="002F3251"/>
    <w:rsid w:val="002F3261"/>
    <w:rsid w:val="002F363D"/>
    <w:rsid w:val="002F48E1"/>
    <w:rsid w:val="002F4F3B"/>
    <w:rsid w:val="002F530A"/>
    <w:rsid w:val="002F5B93"/>
    <w:rsid w:val="002F6E46"/>
    <w:rsid w:val="002F739E"/>
    <w:rsid w:val="00300324"/>
    <w:rsid w:val="00301933"/>
    <w:rsid w:val="00303240"/>
    <w:rsid w:val="0030335C"/>
    <w:rsid w:val="00303E93"/>
    <w:rsid w:val="00304C86"/>
    <w:rsid w:val="003059EB"/>
    <w:rsid w:val="00307B55"/>
    <w:rsid w:val="003108FD"/>
    <w:rsid w:val="00310B41"/>
    <w:rsid w:val="003112F9"/>
    <w:rsid w:val="003116AC"/>
    <w:rsid w:val="00312CE6"/>
    <w:rsid w:val="00313113"/>
    <w:rsid w:val="00313199"/>
    <w:rsid w:val="00314977"/>
    <w:rsid w:val="00315567"/>
    <w:rsid w:val="003227E9"/>
    <w:rsid w:val="00322DB5"/>
    <w:rsid w:val="00326579"/>
    <w:rsid w:val="0032719D"/>
    <w:rsid w:val="00330144"/>
    <w:rsid w:val="00334329"/>
    <w:rsid w:val="0034087E"/>
    <w:rsid w:val="00340C92"/>
    <w:rsid w:val="003410E4"/>
    <w:rsid w:val="00345CBA"/>
    <w:rsid w:val="00346245"/>
    <w:rsid w:val="00353C16"/>
    <w:rsid w:val="00353C9B"/>
    <w:rsid w:val="0035614C"/>
    <w:rsid w:val="00356267"/>
    <w:rsid w:val="00356BAD"/>
    <w:rsid w:val="003605B4"/>
    <w:rsid w:val="003617A2"/>
    <w:rsid w:val="003627AC"/>
    <w:rsid w:val="00366335"/>
    <w:rsid w:val="00366914"/>
    <w:rsid w:val="003674F4"/>
    <w:rsid w:val="003704D2"/>
    <w:rsid w:val="00372301"/>
    <w:rsid w:val="00372825"/>
    <w:rsid w:val="00372FE3"/>
    <w:rsid w:val="003755CB"/>
    <w:rsid w:val="003761CE"/>
    <w:rsid w:val="00380B86"/>
    <w:rsid w:val="003815A2"/>
    <w:rsid w:val="00383516"/>
    <w:rsid w:val="00383F85"/>
    <w:rsid w:val="00387BA1"/>
    <w:rsid w:val="00392770"/>
    <w:rsid w:val="00393F4C"/>
    <w:rsid w:val="00394004"/>
    <w:rsid w:val="00395B3F"/>
    <w:rsid w:val="0039655A"/>
    <w:rsid w:val="0039741E"/>
    <w:rsid w:val="0039744A"/>
    <w:rsid w:val="003A306C"/>
    <w:rsid w:val="003A3645"/>
    <w:rsid w:val="003A4365"/>
    <w:rsid w:val="003A4B21"/>
    <w:rsid w:val="003A7DE7"/>
    <w:rsid w:val="003B068C"/>
    <w:rsid w:val="003B1006"/>
    <w:rsid w:val="003B38B4"/>
    <w:rsid w:val="003B3EBF"/>
    <w:rsid w:val="003B4D68"/>
    <w:rsid w:val="003B7D61"/>
    <w:rsid w:val="003C224E"/>
    <w:rsid w:val="003C5F11"/>
    <w:rsid w:val="003D294B"/>
    <w:rsid w:val="003D4A9E"/>
    <w:rsid w:val="003D4D9B"/>
    <w:rsid w:val="003D4E5E"/>
    <w:rsid w:val="003D57B2"/>
    <w:rsid w:val="003D5B35"/>
    <w:rsid w:val="003D6401"/>
    <w:rsid w:val="003E1863"/>
    <w:rsid w:val="003E2676"/>
    <w:rsid w:val="003E3251"/>
    <w:rsid w:val="003E4AA3"/>
    <w:rsid w:val="003F16C3"/>
    <w:rsid w:val="003F1A89"/>
    <w:rsid w:val="003F2ED7"/>
    <w:rsid w:val="003F4731"/>
    <w:rsid w:val="003F7C67"/>
    <w:rsid w:val="00400463"/>
    <w:rsid w:val="004026E5"/>
    <w:rsid w:val="004040FB"/>
    <w:rsid w:val="00410516"/>
    <w:rsid w:val="0041274C"/>
    <w:rsid w:val="004127D6"/>
    <w:rsid w:val="00413E14"/>
    <w:rsid w:val="0041606D"/>
    <w:rsid w:val="00416962"/>
    <w:rsid w:val="004206A8"/>
    <w:rsid w:val="00421C25"/>
    <w:rsid w:val="00423AF8"/>
    <w:rsid w:val="0042470B"/>
    <w:rsid w:val="00425F43"/>
    <w:rsid w:val="00430A5F"/>
    <w:rsid w:val="004328B0"/>
    <w:rsid w:val="004348CC"/>
    <w:rsid w:val="0044212B"/>
    <w:rsid w:val="0044405E"/>
    <w:rsid w:val="00444C0F"/>
    <w:rsid w:val="00446702"/>
    <w:rsid w:val="00450C58"/>
    <w:rsid w:val="00451196"/>
    <w:rsid w:val="004517B0"/>
    <w:rsid w:val="00454805"/>
    <w:rsid w:val="00454A15"/>
    <w:rsid w:val="00454A6F"/>
    <w:rsid w:val="0045641C"/>
    <w:rsid w:val="0046429F"/>
    <w:rsid w:val="004650BE"/>
    <w:rsid w:val="004651CF"/>
    <w:rsid w:val="004658FF"/>
    <w:rsid w:val="00466217"/>
    <w:rsid w:val="0047157F"/>
    <w:rsid w:val="00471AE2"/>
    <w:rsid w:val="00474D69"/>
    <w:rsid w:val="00474ED7"/>
    <w:rsid w:val="004756E1"/>
    <w:rsid w:val="00475C5B"/>
    <w:rsid w:val="00476155"/>
    <w:rsid w:val="0048008A"/>
    <w:rsid w:val="004818AC"/>
    <w:rsid w:val="00483E94"/>
    <w:rsid w:val="00484120"/>
    <w:rsid w:val="004853A0"/>
    <w:rsid w:val="004863C6"/>
    <w:rsid w:val="004960E1"/>
    <w:rsid w:val="00496B5F"/>
    <w:rsid w:val="004A1A9B"/>
    <w:rsid w:val="004A2E10"/>
    <w:rsid w:val="004A3572"/>
    <w:rsid w:val="004A3EB9"/>
    <w:rsid w:val="004A4903"/>
    <w:rsid w:val="004A75F0"/>
    <w:rsid w:val="004B17FF"/>
    <w:rsid w:val="004B1BA0"/>
    <w:rsid w:val="004B5640"/>
    <w:rsid w:val="004B6CEE"/>
    <w:rsid w:val="004B78F5"/>
    <w:rsid w:val="004C0213"/>
    <w:rsid w:val="004C215A"/>
    <w:rsid w:val="004C2443"/>
    <w:rsid w:val="004C498F"/>
    <w:rsid w:val="004C5345"/>
    <w:rsid w:val="004C5D29"/>
    <w:rsid w:val="004C681A"/>
    <w:rsid w:val="004C76FB"/>
    <w:rsid w:val="004D1E8D"/>
    <w:rsid w:val="004D31FF"/>
    <w:rsid w:val="004D34C3"/>
    <w:rsid w:val="004D4D8A"/>
    <w:rsid w:val="004E0F1C"/>
    <w:rsid w:val="004E0FFA"/>
    <w:rsid w:val="004E3BD2"/>
    <w:rsid w:val="004F151B"/>
    <w:rsid w:val="004F68EE"/>
    <w:rsid w:val="00500E37"/>
    <w:rsid w:val="005024F8"/>
    <w:rsid w:val="005038D5"/>
    <w:rsid w:val="00511565"/>
    <w:rsid w:val="00511BA4"/>
    <w:rsid w:val="00511F0E"/>
    <w:rsid w:val="005149E7"/>
    <w:rsid w:val="00520B0B"/>
    <w:rsid w:val="005232D6"/>
    <w:rsid w:val="005248DA"/>
    <w:rsid w:val="00524AAA"/>
    <w:rsid w:val="00525015"/>
    <w:rsid w:val="005302C4"/>
    <w:rsid w:val="00532906"/>
    <w:rsid w:val="005333CC"/>
    <w:rsid w:val="0053358A"/>
    <w:rsid w:val="0053595C"/>
    <w:rsid w:val="00535F8E"/>
    <w:rsid w:val="005363F1"/>
    <w:rsid w:val="005366F3"/>
    <w:rsid w:val="00537C1B"/>
    <w:rsid w:val="00543069"/>
    <w:rsid w:val="005451B1"/>
    <w:rsid w:val="0055007C"/>
    <w:rsid w:val="005504DF"/>
    <w:rsid w:val="0055244D"/>
    <w:rsid w:val="00552555"/>
    <w:rsid w:val="00554922"/>
    <w:rsid w:val="00555233"/>
    <w:rsid w:val="00555282"/>
    <w:rsid w:val="005560E7"/>
    <w:rsid w:val="00561191"/>
    <w:rsid w:val="005612CC"/>
    <w:rsid w:val="00563029"/>
    <w:rsid w:val="0056590D"/>
    <w:rsid w:val="00565946"/>
    <w:rsid w:val="00567D12"/>
    <w:rsid w:val="00571294"/>
    <w:rsid w:val="00572664"/>
    <w:rsid w:val="00574806"/>
    <w:rsid w:val="00576062"/>
    <w:rsid w:val="0058066B"/>
    <w:rsid w:val="005832A7"/>
    <w:rsid w:val="00583C8F"/>
    <w:rsid w:val="00584916"/>
    <w:rsid w:val="00586834"/>
    <w:rsid w:val="00590AC5"/>
    <w:rsid w:val="005938CC"/>
    <w:rsid w:val="0059559F"/>
    <w:rsid w:val="00595D8C"/>
    <w:rsid w:val="00596508"/>
    <w:rsid w:val="00596DAF"/>
    <w:rsid w:val="00597A8C"/>
    <w:rsid w:val="005A091B"/>
    <w:rsid w:val="005A2E03"/>
    <w:rsid w:val="005A49FF"/>
    <w:rsid w:val="005A7634"/>
    <w:rsid w:val="005B0AD4"/>
    <w:rsid w:val="005B667F"/>
    <w:rsid w:val="005B6F04"/>
    <w:rsid w:val="005C0447"/>
    <w:rsid w:val="005C24DD"/>
    <w:rsid w:val="005C2EA5"/>
    <w:rsid w:val="005C329A"/>
    <w:rsid w:val="005C3AEB"/>
    <w:rsid w:val="005C430F"/>
    <w:rsid w:val="005C739F"/>
    <w:rsid w:val="005C73CA"/>
    <w:rsid w:val="005D3370"/>
    <w:rsid w:val="005D4768"/>
    <w:rsid w:val="005D7DCC"/>
    <w:rsid w:val="005E067D"/>
    <w:rsid w:val="005E2CAB"/>
    <w:rsid w:val="005E3B93"/>
    <w:rsid w:val="005E429E"/>
    <w:rsid w:val="005E45BC"/>
    <w:rsid w:val="005E47C1"/>
    <w:rsid w:val="005E7983"/>
    <w:rsid w:val="005E7F0E"/>
    <w:rsid w:val="005E7FF5"/>
    <w:rsid w:val="005F014A"/>
    <w:rsid w:val="005F02E2"/>
    <w:rsid w:val="005F1CB0"/>
    <w:rsid w:val="005F46AF"/>
    <w:rsid w:val="005F55AB"/>
    <w:rsid w:val="005F581E"/>
    <w:rsid w:val="005F7FE9"/>
    <w:rsid w:val="00600847"/>
    <w:rsid w:val="00600E77"/>
    <w:rsid w:val="00601ED4"/>
    <w:rsid w:val="006030BC"/>
    <w:rsid w:val="00603137"/>
    <w:rsid w:val="006073B2"/>
    <w:rsid w:val="0061213A"/>
    <w:rsid w:val="00612866"/>
    <w:rsid w:val="00614D13"/>
    <w:rsid w:val="00614D6C"/>
    <w:rsid w:val="00616EB5"/>
    <w:rsid w:val="006203B7"/>
    <w:rsid w:val="00620CDE"/>
    <w:rsid w:val="006212DB"/>
    <w:rsid w:val="006240D2"/>
    <w:rsid w:val="0062484A"/>
    <w:rsid w:val="006255AB"/>
    <w:rsid w:val="006269D4"/>
    <w:rsid w:val="006327D8"/>
    <w:rsid w:val="006343F5"/>
    <w:rsid w:val="006363EC"/>
    <w:rsid w:val="00636400"/>
    <w:rsid w:val="0064070A"/>
    <w:rsid w:val="00643A01"/>
    <w:rsid w:val="00644250"/>
    <w:rsid w:val="00644375"/>
    <w:rsid w:val="00644832"/>
    <w:rsid w:val="00651D44"/>
    <w:rsid w:val="0065268E"/>
    <w:rsid w:val="006552D6"/>
    <w:rsid w:val="00655351"/>
    <w:rsid w:val="006574D2"/>
    <w:rsid w:val="006607CE"/>
    <w:rsid w:val="006627E4"/>
    <w:rsid w:val="0066318F"/>
    <w:rsid w:val="00663563"/>
    <w:rsid w:val="006676D4"/>
    <w:rsid w:val="00671945"/>
    <w:rsid w:val="00674523"/>
    <w:rsid w:val="0067481D"/>
    <w:rsid w:val="00675535"/>
    <w:rsid w:val="00676DC5"/>
    <w:rsid w:val="006771E5"/>
    <w:rsid w:val="00677280"/>
    <w:rsid w:val="00681359"/>
    <w:rsid w:val="00683A3D"/>
    <w:rsid w:val="006900F6"/>
    <w:rsid w:val="00690C71"/>
    <w:rsid w:val="0069157C"/>
    <w:rsid w:val="00696262"/>
    <w:rsid w:val="006A22B2"/>
    <w:rsid w:val="006A3FA3"/>
    <w:rsid w:val="006B0AF3"/>
    <w:rsid w:val="006B0EDC"/>
    <w:rsid w:val="006B6CC6"/>
    <w:rsid w:val="006C2168"/>
    <w:rsid w:val="006C3078"/>
    <w:rsid w:val="006C3A4F"/>
    <w:rsid w:val="006C4845"/>
    <w:rsid w:val="006D270F"/>
    <w:rsid w:val="006D2CA6"/>
    <w:rsid w:val="006D3689"/>
    <w:rsid w:val="006D3E1F"/>
    <w:rsid w:val="006D52C8"/>
    <w:rsid w:val="006D638B"/>
    <w:rsid w:val="006D6BC1"/>
    <w:rsid w:val="006E014F"/>
    <w:rsid w:val="006E051A"/>
    <w:rsid w:val="006E2805"/>
    <w:rsid w:val="006E2BFC"/>
    <w:rsid w:val="006E3E16"/>
    <w:rsid w:val="006E52AC"/>
    <w:rsid w:val="006E5C57"/>
    <w:rsid w:val="006E6550"/>
    <w:rsid w:val="006E758F"/>
    <w:rsid w:val="006F1F90"/>
    <w:rsid w:val="006F22A5"/>
    <w:rsid w:val="006F35B3"/>
    <w:rsid w:val="006F6113"/>
    <w:rsid w:val="00702C73"/>
    <w:rsid w:val="0070373B"/>
    <w:rsid w:val="00706568"/>
    <w:rsid w:val="007076F8"/>
    <w:rsid w:val="00707FD9"/>
    <w:rsid w:val="00710F15"/>
    <w:rsid w:val="0071223C"/>
    <w:rsid w:val="00713394"/>
    <w:rsid w:val="007138A8"/>
    <w:rsid w:val="00715234"/>
    <w:rsid w:val="007154B1"/>
    <w:rsid w:val="00724677"/>
    <w:rsid w:val="00725AC2"/>
    <w:rsid w:val="00727355"/>
    <w:rsid w:val="00732880"/>
    <w:rsid w:val="00733371"/>
    <w:rsid w:val="007343CB"/>
    <w:rsid w:val="00734690"/>
    <w:rsid w:val="00735D74"/>
    <w:rsid w:val="007413C8"/>
    <w:rsid w:val="007416B9"/>
    <w:rsid w:val="007422FD"/>
    <w:rsid w:val="00742D2E"/>
    <w:rsid w:val="00743E46"/>
    <w:rsid w:val="00747C45"/>
    <w:rsid w:val="00750B92"/>
    <w:rsid w:val="007514AE"/>
    <w:rsid w:val="00752C9E"/>
    <w:rsid w:val="00756FDB"/>
    <w:rsid w:val="00757C6D"/>
    <w:rsid w:val="007618EC"/>
    <w:rsid w:val="007629B6"/>
    <w:rsid w:val="007665BF"/>
    <w:rsid w:val="00766CBE"/>
    <w:rsid w:val="00771B2A"/>
    <w:rsid w:val="007739C7"/>
    <w:rsid w:val="007757CE"/>
    <w:rsid w:val="00775800"/>
    <w:rsid w:val="0077590D"/>
    <w:rsid w:val="00780688"/>
    <w:rsid w:val="007824FE"/>
    <w:rsid w:val="00783DDA"/>
    <w:rsid w:val="007868B1"/>
    <w:rsid w:val="00790C6E"/>
    <w:rsid w:val="007917C5"/>
    <w:rsid w:val="0079180E"/>
    <w:rsid w:val="00792DA9"/>
    <w:rsid w:val="0079372B"/>
    <w:rsid w:val="007950CC"/>
    <w:rsid w:val="0079538B"/>
    <w:rsid w:val="00795BED"/>
    <w:rsid w:val="007961B8"/>
    <w:rsid w:val="00797624"/>
    <w:rsid w:val="007A38C1"/>
    <w:rsid w:val="007A4828"/>
    <w:rsid w:val="007A4FE1"/>
    <w:rsid w:val="007B093D"/>
    <w:rsid w:val="007B2069"/>
    <w:rsid w:val="007B2BDE"/>
    <w:rsid w:val="007B37A9"/>
    <w:rsid w:val="007B40E5"/>
    <w:rsid w:val="007B4C08"/>
    <w:rsid w:val="007B63F5"/>
    <w:rsid w:val="007B77CF"/>
    <w:rsid w:val="007C04A1"/>
    <w:rsid w:val="007C0C04"/>
    <w:rsid w:val="007C1308"/>
    <w:rsid w:val="007C1C25"/>
    <w:rsid w:val="007C21FA"/>
    <w:rsid w:val="007C5BF2"/>
    <w:rsid w:val="007D13B1"/>
    <w:rsid w:val="007D2F4A"/>
    <w:rsid w:val="007D3293"/>
    <w:rsid w:val="007D3653"/>
    <w:rsid w:val="007D4351"/>
    <w:rsid w:val="007D7019"/>
    <w:rsid w:val="007E06D4"/>
    <w:rsid w:val="007E1164"/>
    <w:rsid w:val="007E1405"/>
    <w:rsid w:val="007E18DB"/>
    <w:rsid w:val="007E2DD8"/>
    <w:rsid w:val="007E3410"/>
    <w:rsid w:val="007E414D"/>
    <w:rsid w:val="007E5AF0"/>
    <w:rsid w:val="007E6F1C"/>
    <w:rsid w:val="007E7668"/>
    <w:rsid w:val="007F1092"/>
    <w:rsid w:val="007F1529"/>
    <w:rsid w:val="007F24BB"/>
    <w:rsid w:val="007F4EB2"/>
    <w:rsid w:val="007F649E"/>
    <w:rsid w:val="00800D2F"/>
    <w:rsid w:val="00804C69"/>
    <w:rsid w:val="00805500"/>
    <w:rsid w:val="0080711D"/>
    <w:rsid w:val="00810C93"/>
    <w:rsid w:val="00811215"/>
    <w:rsid w:val="00811D36"/>
    <w:rsid w:val="008124A4"/>
    <w:rsid w:val="008155CD"/>
    <w:rsid w:val="00815C8F"/>
    <w:rsid w:val="008177CF"/>
    <w:rsid w:val="0082172A"/>
    <w:rsid w:val="008252C7"/>
    <w:rsid w:val="00833325"/>
    <w:rsid w:val="00833461"/>
    <w:rsid w:val="00837533"/>
    <w:rsid w:val="00840652"/>
    <w:rsid w:val="00840A41"/>
    <w:rsid w:val="00841767"/>
    <w:rsid w:val="00842F3C"/>
    <w:rsid w:val="00846ECA"/>
    <w:rsid w:val="00847727"/>
    <w:rsid w:val="00847A1A"/>
    <w:rsid w:val="008505D1"/>
    <w:rsid w:val="008519AB"/>
    <w:rsid w:val="00853558"/>
    <w:rsid w:val="00855158"/>
    <w:rsid w:val="00856071"/>
    <w:rsid w:val="00857EE8"/>
    <w:rsid w:val="00860F75"/>
    <w:rsid w:val="00861A27"/>
    <w:rsid w:val="00861CEF"/>
    <w:rsid w:val="00861D87"/>
    <w:rsid w:val="008642F9"/>
    <w:rsid w:val="0086464B"/>
    <w:rsid w:val="008647FC"/>
    <w:rsid w:val="00864C21"/>
    <w:rsid w:val="00864CA8"/>
    <w:rsid w:val="00865C52"/>
    <w:rsid w:val="00865E2D"/>
    <w:rsid w:val="00867A70"/>
    <w:rsid w:val="00870733"/>
    <w:rsid w:val="00870E6C"/>
    <w:rsid w:val="0087277F"/>
    <w:rsid w:val="00872854"/>
    <w:rsid w:val="00872B90"/>
    <w:rsid w:val="00872C8D"/>
    <w:rsid w:val="008756BF"/>
    <w:rsid w:val="00875846"/>
    <w:rsid w:val="00876313"/>
    <w:rsid w:val="008808D8"/>
    <w:rsid w:val="00881748"/>
    <w:rsid w:val="00882D91"/>
    <w:rsid w:val="00882DF2"/>
    <w:rsid w:val="00884486"/>
    <w:rsid w:val="008871A9"/>
    <w:rsid w:val="00887F00"/>
    <w:rsid w:val="00890E97"/>
    <w:rsid w:val="008916BA"/>
    <w:rsid w:val="00892176"/>
    <w:rsid w:val="0089506C"/>
    <w:rsid w:val="00895C86"/>
    <w:rsid w:val="0089670A"/>
    <w:rsid w:val="008A1426"/>
    <w:rsid w:val="008A1DB7"/>
    <w:rsid w:val="008A403A"/>
    <w:rsid w:val="008A4C13"/>
    <w:rsid w:val="008B007F"/>
    <w:rsid w:val="008B145F"/>
    <w:rsid w:val="008B4229"/>
    <w:rsid w:val="008B604D"/>
    <w:rsid w:val="008B6859"/>
    <w:rsid w:val="008C1761"/>
    <w:rsid w:val="008C4FE9"/>
    <w:rsid w:val="008C54A9"/>
    <w:rsid w:val="008C7F87"/>
    <w:rsid w:val="008D196E"/>
    <w:rsid w:val="008D2B31"/>
    <w:rsid w:val="008D3207"/>
    <w:rsid w:val="008D4E67"/>
    <w:rsid w:val="008D5783"/>
    <w:rsid w:val="008D6782"/>
    <w:rsid w:val="008D6BEF"/>
    <w:rsid w:val="008E0690"/>
    <w:rsid w:val="008E1288"/>
    <w:rsid w:val="008E3918"/>
    <w:rsid w:val="008E65F9"/>
    <w:rsid w:val="008E67C3"/>
    <w:rsid w:val="008F466F"/>
    <w:rsid w:val="008F54EE"/>
    <w:rsid w:val="008F589F"/>
    <w:rsid w:val="008F76A9"/>
    <w:rsid w:val="008F7E67"/>
    <w:rsid w:val="00900DBF"/>
    <w:rsid w:val="00903A71"/>
    <w:rsid w:val="00903BE0"/>
    <w:rsid w:val="009048B9"/>
    <w:rsid w:val="00904E91"/>
    <w:rsid w:val="00904F8C"/>
    <w:rsid w:val="0090575B"/>
    <w:rsid w:val="00906F3D"/>
    <w:rsid w:val="009121CC"/>
    <w:rsid w:val="00915886"/>
    <w:rsid w:val="0092054C"/>
    <w:rsid w:val="009214DC"/>
    <w:rsid w:val="009239E7"/>
    <w:rsid w:val="00927027"/>
    <w:rsid w:val="00933F9F"/>
    <w:rsid w:val="0093410D"/>
    <w:rsid w:val="009344BA"/>
    <w:rsid w:val="009362D4"/>
    <w:rsid w:val="009415E3"/>
    <w:rsid w:val="00941601"/>
    <w:rsid w:val="009451D8"/>
    <w:rsid w:val="00946E61"/>
    <w:rsid w:val="00947F78"/>
    <w:rsid w:val="00947FE1"/>
    <w:rsid w:val="00952D3A"/>
    <w:rsid w:val="00953234"/>
    <w:rsid w:val="00953B9D"/>
    <w:rsid w:val="00960CAC"/>
    <w:rsid w:val="00961EAF"/>
    <w:rsid w:val="0096278F"/>
    <w:rsid w:val="00962C5C"/>
    <w:rsid w:val="009643B1"/>
    <w:rsid w:val="00965109"/>
    <w:rsid w:val="00965B86"/>
    <w:rsid w:val="009709D8"/>
    <w:rsid w:val="009726E1"/>
    <w:rsid w:val="00972A04"/>
    <w:rsid w:val="00972A89"/>
    <w:rsid w:val="00973FBC"/>
    <w:rsid w:val="00974685"/>
    <w:rsid w:val="00975542"/>
    <w:rsid w:val="009767E8"/>
    <w:rsid w:val="00976E39"/>
    <w:rsid w:val="00977591"/>
    <w:rsid w:val="00977D6E"/>
    <w:rsid w:val="00980E75"/>
    <w:rsid w:val="00982D2F"/>
    <w:rsid w:val="00983A16"/>
    <w:rsid w:val="00984463"/>
    <w:rsid w:val="0098457B"/>
    <w:rsid w:val="0098766B"/>
    <w:rsid w:val="009878F2"/>
    <w:rsid w:val="009902DA"/>
    <w:rsid w:val="009902EB"/>
    <w:rsid w:val="00993929"/>
    <w:rsid w:val="00994BE0"/>
    <w:rsid w:val="009957D6"/>
    <w:rsid w:val="009A0812"/>
    <w:rsid w:val="009A1374"/>
    <w:rsid w:val="009A25B1"/>
    <w:rsid w:val="009A43D9"/>
    <w:rsid w:val="009A4608"/>
    <w:rsid w:val="009A61A8"/>
    <w:rsid w:val="009A6836"/>
    <w:rsid w:val="009A6A57"/>
    <w:rsid w:val="009A6BAC"/>
    <w:rsid w:val="009A70BF"/>
    <w:rsid w:val="009A720E"/>
    <w:rsid w:val="009B1A15"/>
    <w:rsid w:val="009B1EDB"/>
    <w:rsid w:val="009B2293"/>
    <w:rsid w:val="009B3A5A"/>
    <w:rsid w:val="009B489E"/>
    <w:rsid w:val="009B767A"/>
    <w:rsid w:val="009C0852"/>
    <w:rsid w:val="009C13CA"/>
    <w:rsid w:val="009C1940"/>
    <w:rsid w:val="009C32C6"/>
    <w:rsid w:val="009C665F"/>
    <w:rsid w:val="009C7513"/>
    <w:rsid w:val="009D1425"/>
    <w:rsid w:val="009D2E8B"/>
    <w:rsid w:val="009D3882"/>
    <w:rsid w:val="009D3AD3"/>
    <w:rsid w:val="009D7E38"/>
    <w:rsid w:val="009E095B"/>
    <w:rsid w:val="009E1846"/>
    <w:rsid w:val="009E3FFE"/>
    <w:rsid w:val="009E65F2"/>
    <w:rsid w:val="009E78FF"/>
    <w:rsid w:val="009E7EB0"/>
    <w:rsid w:val="009F334D"/>
    <w:rsid w:val="009F5273"/>
    <w:rsid w:val="009F61DD"/>
    <w:rsid w:val="00A01494"/>
    <w:rsid w:val="00A1064A"/>
    <w:rsid w:val="00A13964"/>
    <w:rsid w:val="00A14EE8"/>
    <w:rsid w:val="00A16B6C"/>
    <w:rsid w:val="00A16B9B"/>
    <w:rsid w:val="00A20776"/>
    <w:rsid w:val="00A22476"/>
    <w:rsid w:val="00A22FA9"/>
    <w:rsid w:val="00A239FB"/>
    <w:rsid w:val="00A25024"/>
    <w:rsid w:val="00A27037"/>
    <w:rsid w:val="00A271F7"/>
    <w:rsid w:val="00A30452"/>
    <w:rsid w:val="00A35F8F"/>
    <w:rsid w:val="00A41377"/>
    <w:rsid w:val="00A4263D"/>
    <w:rsid w:val="00A4305E"/>
    <w:rsid w:val="00A438E2"/>
    <w:rsid w:val="00A458F9"/>
    <w:rsid w:val="00A50758"/>
    <w:rsid w:val="00A509B8"/>
    <w:rsid w:val="00A50F52"/>
    <w:rsid w:val="00A51237"/>
    <w:rsid w:val="00A52AB9"/>
    <w:rsid w:val="00A5671D"/>
    <w:rsid w:val="00A57EE0"/>
    <w:rsid w:val="00A6210B"/>
    <w:rsid w:val="00A62E1B"/>
    <w:rsid w:val="00A64078"/>
    <w:rsid w:val="00A64389"/>
    <w:rsid w:val="00A64EBF"/>
    <w:rsid w:val="00A66247"/>
    <w:rsid w:val="00A7010F"/>
    <w:rsid w:val="00A7115B"/>
    <w:rsid w:val="00A71200"/>
    <w:rsid w:val="00A72A2E"/>
    <w:rsid w:val="00A7323A"/>
    <w:rsid w:val="00A7361D"/>
    <w:rsid w:val="00A7413D"/>
    <w:rsid w:val="00A808CA"/>
    <w:rsid w:val="00A831B4"/>
    <w:rsid w:val="00A851DD"/>
    <w:rsid w:val="00A86A23"/>
    <w:rsid w:val="00A92D80"/>
    <w:rsid w:val="00A9612E"/>
    <w:rsid w:val="00A968BC"/>
    <w:rsid w:val="00A97798"/>
    <w:rsid w:val="00A97BBE"/>
    <w:rsid w:val="00A97DD2"/>
    <w:rsid w:val="00AA1FAB"/>
    <w:rsid w:val="00AA45F1"/>
    <w:rsid w:val="00AA4B58"/>
    <w:rsid w:val="00AA4DEC"/>
    <w:rsid w:val="00AA5213"/>
    <w:rsid w:val="00AA65A6"/>
    <w:rsid w:val="00AA6DFC"/>
    <w:rsid w:val="00AB394C"/>
    <w:rsid w:val="00AB60CB"/>
    <w:rsid w:val="00AC0A4E"/>
    <w:rsid w:val="00AC1D8E"/>
    <w:rsid w:val="00AC21BC"/>
    <w:rsid w:val="00AC48FA"/>
    <w:rsid w:val="00AC5DAF"/>
    <w:rsid w:val="00AC6682"/>
    <w:rsid w:val="00AD0240"/>
    <w:rsid w:val="00AD053B"/>
    <w:rsid w:val="00AD14E2"/>
    <w:rsid w:val="00AD3200"/>
    <w:rsid w:val="00AD4137"/>
    <w:rsid w:val="00AD62DD"/>
    <w:rsid w:val="00AE13B3"/>
    <w:rsid w:val="00AE1D21"/>
    <w:rsid w:val="00AE2025"/>
    <w:rsid w:val="00AE428A"/>
    <w:rsid w:val="00AE6B12"/>
    <w:rsid w:val="00AF076E"/>
    <w:rsid w:val="00AF2D68"/>
    <w:rsid w:val="00B01BF4"/>
    <w:rsid w:val="00B037BA"/>
    <w:rsid w:val="00B03D22"/>
    <w:rsid w:val="00B04728"/>
    <w:rsid w:val="00B126ED"/>
    <w:rsid w:val="00B12E4F"/>
    <w:rsid w:val="00B20139"/>
    <w:rsid w:val="00B20B7B"/>
    <w:rsid w:val="00B218DA"/>
    <w:rsid w:val="00B23707"/>
    <w:rsid w:val="00B23DD9"/>
    <w:rsid w:val="00B249B2"/>
    <w:rsid w:val="00B24DA1"/>
    <w:rsid w:val="00B312C1"/>
    <w:rsid w:val="00B3140E"/>
    <w:rsid w:val="00B3373D"/>
    <w:rsid w:val="00B342FA"/>
    <w:rsid w:val="00B358A0"/>
    <w:rsid w:val="00B36A07"/>
    <w:rsid w:val="00B37061"/>
    <w:rsid w:val="00B4226E"/>
    <w:rsid w:val="00B43BDE"/>
    <w:rsid w:val="00B459F1"/>
    <w:rsid w:val="00B46A91"/>
    <w:rsid w:val="00B47E53"/>
    <w:rsid w:val="00B51038"/>
    <w:rsid w:val="00B53E8B"/>
    <w:rsid w:val="00B57128"/>
    <w:rsid w:val="00B626C2"/>
    <w:rsid w:val="00B62D84"/>
    <w:rsid w:val="00B6438B"/>
    <w:rsid w:val="00B7005A"/>
    <w:rsid w:val="00B70136"/>
    <w:rsid w:val="00B7017E"/>
    <w:rsid w:val="00B70259"/>
    <w:rsid w:val="00B750F7"/>
    <w:rsid w:val="00B754B1"/>
    <w:rsid w:val="00B76851"/>
    <w:rsid w:val="00B76DB4"/>
    <w:rsid w:val="00B774D2"/>
    <w:rsid w:val="00B77B13"/>
    <w:rsid w:val="00B8015A"/>
    <w:rsid w:val="00B82A57"/>
    <w:rsid w:val="00B85118"/>
    <w:rsid w:val="00B853F2"/>
    <w:rsid w:val="00B86D42"/>
    <w:rsid w:val="00B933FE"/>
    <w:rsid w:val="00B94061"/>
    <w:rsid w:val="00B94095"/>
    <w:rsid w:val="00B940A1"/>
    <w:rsid w:val="00B945DD"/>
    <w:rsid w:val="00B96313"/>
    <w:rsid w:val="00B97D2C"/>
    <w:rsid w:val="00BA053B"/>
    <w:rsid w:val="00BA5D68"/>
    <w:rsid w:val="00BB2536"/>
    <w:rsid w:val="00BB2632"/>
    <w:rsid w:val="00BB35AE"/>
    <w:rsid w:val="00BB5570"/>
    <w:rsid w:val="00BB5708"/>
    <w:rsid w:val="00BC03A1"/>
    <w:rsid w:val="00BC0D25"/>
    <w:rsid w:val="00BC36B9"/>
    <w:rsid w:val="00BC66F6"/>
    <w:rsid w:val="00BD0DFC"/>
    <w:rsid w:val="00BD2505"/>
    <w:rsid w:val="00BD462E"/>
    <w:rsid w:val="00BD518C"/>
    <w:rsid w:val="00BD579C"/>
    <w:rsid w:val="00BD628D"/>
    <w:rsid w:val="00BE592D"/>
    <w:rsid w:val="00BE6BB1"/>
    <w:rsid w:val="00BE703E"/>
    <w:rsid w:val="00BF021F"/>
    <w:rsid w:val="00BF341C"/>
    <w:rsid w:val="00BF52B0"/>
    <w:rsid w:val="00BF5697"/>
    <w:rsid w:val="00BF72A7"/>
    <w:rsid w:val="00C01563"/>
    <w:rsid w:val="00C02DBE"/>
    <w:rsid w:val="00C032EB"/>
    <w:rsid w:val="00C10045"/>
    <w:rsid w:val="00C10177"/>
    <w:rsid w:val="00C12171"/>
    <w:rsid w:val="00C13B0D"/>
    <w:rsid w:val="00C14CCC"/>
    <w:rsid w:val="00C1695E"/>
    <w:rsid w:val="00C20799"/>
    <w:rsid w:val="00C22C1C"/>
    <w:rsid w:val="00C24976"/>
    <w:rsid w:val="00C276AB"/>
    <w:rsid w:val="00C33F2E"/>
    <w:rsid w:val="00C3416D"/>
    <w:rsid w:val="00C34936"/>
    <w:rsid w:val="00C34C14"/>
    <w:rsid w:val="00C355B9"/>
    <w:rsid w:val="00C358FE"/>
    <w:rsid w:val="00C37EF1"/>
    <w:rsid w:val="00C401C4"/>
    <w:rsid w:val="00C41680"/>
    <w:rsid w:val="00C455A9"/>
    <w:rsid w:val="00C45D57"/>
    <w:rsid w:val="00C47236"/>
    <w:rsid w:val="00C51F46"/>
    <w:rsid w:val="00C53BA4"/>
    <w:rsid w:val="00C57EBA"/>
    <w:rsid w:val="00C60510"/>
    <w:rsid w:val="00C60A25"/>
    <w:rsid w:val="00C61D4A"/>
    <w:rsid w:val="00C62F53"/>
    <w:rsid w:val="00C66081"/>
    <w:rsid w:val="00C6642E"/>
    <w:rsid w:val="00C665EF"/>
    <w:rsid w:val="00C67C27"/>
    <w:rsid w:val="00C708C0"/>
    <w:rsid w:val="00C71672"/>
    <w:rsid w:val="00C731C9"/>
    <w:rsid w:val="00C765C5"/>
    <w:rsid w:val="00C76CAB"/>
    <w:rsid w:val="00C775CE"/>
    <w:rsid w:val="00C813E3"/>
    <w:rsid w:val="00C82479"/>
    <w:rsid w:val="00C85118"/>
    <w:rsid w:val="00C867F0"/>
    <w:rsid w:val="00C91DDD"/>
    <w:rsid w:val="00C96AFA"/>
    <w:rsid w:val="00CA06D8"/>
    <w:rsid w:val="00CA1A6F"/>
    <w:rsid w:val="00CA20F2"/>
    <w:rsid w:val="00CA253C"/>
    <w:rsid w:val="00CA345A"/>
    <w:rsid w:val="00CA5EB0"/>
    <w:rsid w:val="00CA70D6"/>
    <w:rsid w:val="00CB0D4F"/>
    <w:rsid w:val="00CB23B4"/>
    <w:rsid w:val="00CB24E0"/>
    <w:rsid w:val="00CB49FF"/>
    <w:rsid w:val="00CC02CF"/>
    <w:rsid w:val="00CC086A"/>
    <w:rsid w:val="00CC389F"/>
    <w:rsid w:val="00CC55EB"/>
    <w:rsid w:val="00CC5FFA"/>
    <w:rsid w:val="00CC6ADD"/>
    <w:rsid w:val="00CD017B"/>
    <w:rsid w:val="00CD0228"/>
    <w:rsid w:val="00CD0E24"/>
    <w:rsid w:val="00CD0F66"/>
    <w:rsid w:val="00CD276C"/>
    <w:rsid w:val="00CD364B"/>
    <w:rsid w:val="00CD5382"/>
    <w:rsid w:val="00CE0354"/>
    <w:rsid w:val="00CE125B"/>
    <w:rsid w:val="00CE23B8"/>
    <w:rsid w:val="00CE284E"/>
    <w:rsid w:val="00CE3CEF"/>
    <w:rsid w:val="00CE50D7"/>
    <w:rsid w:val="00CF46AA"/>
    <w:rsid w:val="00CF4CBE"/>
    <w:rsid w:val="00D00344"/>
    <w:rsid w:val="00D02FDB"/>
    <w:rsid w:val="00D05795"/>
    <w:rsid w:val="00D06492"/>
    <w:rsid w:val="00D071E2"/>
    <w:rsid w:val="00D10DB0"/>
    <w:rsid w:val="00D1125D"/>
    <w:rsid w:val="00D1754D"/>
    <w:rsid w:val="00D20797"/>
    <w:rsid w:val="00D214AA"/>
    <w:rsid w:val="00D2223F"/>
    <w:rsid w:val="00D25A45"/>
    <w:rsid w:val="00D274A4"/>
    <w:rsid w:val="00D277AF"/>
    <w:rsid w:val="00D277BC"/>
    <w:rsid w:val="00D27940"/>
    <w:rsid w:val="00D3079C"/>
    <w:rsid w:val="00D309FA"/>
    <w:rsid w:val="00D31163"/>
    <w:rsid w:val="00D320B1"/>
    <w:rsid w:val="00D33AFD"/>
    <w:rsid w:val="00D36489"/>
    <w:rsid w:val="00D369E9"/>
    <w:rsid w:val="00D42195"/>
    <w:rsid w:val="00D424CC"/>
    <w:rsid w:val="00D42BED"/>
    <w:rsid w:val="00D47BE2"/>
    <w:rsid w:val="00D50704"/>
    <w:rsid w:val="00D53798"/>
    <w:rsid w:val="00D53C86"/>
    <w:rsid w:val="00D5760A"/>
    <w:rsid w:val="00D6073D"/>
    <w:rsid w:val="00D61410"/>
    <w:rsid w:val="00D61526"/>
    <w:rsid w:val="00D62E1E"/>
    <w:rsid w:val="00D63FD2"/>
    <w:rsid w:val="00D67D66"/>
    <w:rsid w:val="00D70E77"/>
    <w:rsid w:val="00D728B3"/>
    <w:rsid w:val="00D74713"/>
    <w:rsid w:val="00D74DF2"/>
    <w:rsid w:val="00D75747"/>
    <w:rsid w:val="00D8181D"/>
    <w:rsid w:val="00D81C40"/>
    <w:rsid w:val="00D829A1"/>
    <w:rsid w:val="00D839C3"/>
    <w:rsid w:val="00D83DDE"/>
    <w:rsid w:val="00D86CFA"/>
    <w:rsid w:val="00D8791A"/>
    <w:rsid w:val="00D90299"/>
    <w:rsid w:val="00D90C5E"/>
    <w:rsid w:val="00D9278E"/>
    <w:rsid w:val="00D968D8"/>
    <w:rsid w:val="00D975C5"/>
    <w:rsid w:val="00DA1863"/>
    <w:rsid w:val="00DA1CAD"/>
    <w:rsid w:val="00DA563D"/>
    <w:rsid w:val="00DA58D4"/>
    <w:rsid w:val="00DA7277"/>
    <w:rsid w:val="00DB0D95"/>
    <w:rsid w:val="00DB1772"/>
    <w:rsid w:val="00DB1C13"/>
    <w:rsid w:val="00DB3627"/>
    <w:rsid w:val="00DB40F3"/>
    <w:rsid w:val="00DB4724"/>
    <w:rsid w:val="00DB6944"/>
    <w:rsid w:val="00DC455F"/>
    <w:rsid w:val="00DC4746"/>
    <w:rsid w:val="00DC5528"/>
    <w:rsid w:val="00DD0C8B"/>
    <w:rsid w:val="00DD3AF0"/>
    <w:rsid w:val="00DD4147"/>
    <w:rsid w:val="00DE1935"/>
    <w:rsid w:val="00DE4B36"/>
    <w:rsid w:val="00DE5874"/>
    <w:rsid w:val="00DE7149"/>
    <w:rsid w:val="00DF14C1"/>
    <w:rsid w:val="00DF1884"/>
    <w:rsid w:val="00DF446A"/>
    <w:rsid w:val="00E00E1B"/>
    <w:rsid w:val="00E0314C"/>
    <w:rsid w:val="00E045DB"/>
    <w:rsid w:val="00E10A7B"/>
    <w:rsid w:val="00E1508F"/>
    <w:rsid w:val="00E205B6"/>
    <w:rsid w:val="00E20BDB"/>
    <w:rsid w:val="00E20D1E"/>
    <w:rsid w:val="00E23E6B"/>
    <w:rsid w:val="00E24089"/>
    <w:rsid w:val="00E2503B"/>
    <w:rsid w:val="00E261DF"/>
    <w:rsid w:val="00E26EB2"/>
    <w:rsid w:val="00E27240"/>
    <w:rsid w:val="00E27963"/>
    <w:rsid w:val="00E27EDD"/>
    <w:rsid w:val="00E30584"/>
    <w:rsid w:val="00E310B9"/>
    <w:rsid w:val="00E34323"/>
    <w:rsid w:val="00E34DA0"/>
    <w:rsid w:val="00E35BFC"/>
    <w:rsid w:val="00E37E1B"/>
    <w:rsid w:val="00E402FE"/>
    <w:rsid w:val="00E4121B"/>
    <w:rsid w:val="00E43CC5"/>
    <w:rsid w:val="00E51220"/>
    <w:rsid w:val="00E5171C"/>
    <w:rsid w:val="00E562C0"/>
    <w:rsid w:val="00E57BB5"/>
    <w:rsid w:val="00E57FAF"/>
    <w:rsid w:val="00E601D4"/>
    <w:rsid w:val="00E63DFA"/>
    <w:rsid w:val="00E672D6"/>
    <w:rsid w:val="00E67C5B"/>
    <w:rsid w:val="00E72835"/>
    <w:rsid w:val="00E76024"/>
    <w:rsid w:val="00E806DF"/>
    <w:rsid w:val="00E81CF9"/>
    <w:rsid w:val="00E84452"/>
    <w:rsid w:val="00E856A2"/>
    <w:rsid w:val="00E90F36"/>
    <w:rsid w:val="00E93AAC"/>
    <w:rsid w:val="00E950C6"/>
    <w:rsid w:val="00E95AED"/>
    <w:rsid w:val="00E96583"/>
    <w:rsid w:val="00E967AD"/>
    <w:rsid w:val="00E96884"/>
    <w:rsid w:val="00E96E31"/>
    <w:rsid w:val="00EA093C"/>
    <w:rsid w:val="00EA539E"/>
    <w:rsid w:val="00EA5435"/>
    <w:rsid w:val="00EA5F47"/>
    <w:rsid w:val="00EB09D8"/>
    <w:rsid w:val="00EB2876"/>
    <w:rsid w:val="00EB2C17"/>
    <w:rsid w:val="00EB455E"/>
    <w:rsid w:val="00EB5065"/>
    <w:rsid w:val="00EC2723"/>
    <w:rsid w:val="00EC79DE"/>
    <w:rsid w:val="00ED4AB9"/>
    <w:rsid w:val="00ED4ACE"/>
    <w:rsid w:val="00ED4C79"/>
    <w:rsid w:val="00ED706D"/>
    <w:rsid w:val="00EE102D"/>
    <w:rsid w:val="00EE174D"/>
    <w:rsid w:val="00EE1E34"/>
    <w:rsid w:val="00EE2951"/>
    <w:rsid w:val="00EE4734"/>
    <w:rsid w:val="00EE4D35"/>
    <w:rsid w:val="00EE766E"/>
    <w:rsid w:val="00EF00AC"/>
    <w:rsid w:val="00EF2DA7"/>
    <w:rsid w:val="00EF38E8"/>
    <w:rsid w:val="00EF439A"/>
    <w:rsid w:val="00EF6485"/>
    <w:rsid w:val="00EF6D96"/>
    <w:rsid w:val="00EF7257"/>
    <w:rsid w:val="00EF76A1"/>
    <w:rsid w:val="00F03124"/>
    <w:rsid w:val="00F03876"/>
    <w:rsid w:val="00F03DBF"/>
    <w:rsid w:val="00F04B4B"/>
    <w:rsid w:val="00F07565"/>
    <w:rsid w:val="00F11EC8"/>
    <w:rsid w:val="00F1239D"/>
    <w:rsid w:val="00F1412B"/>
    <w:rsid w:val="00F14C20"/>
    <w:rsid w:val="00F14DBF"/>
    <w:rsid w:val="00F15BFA"/>
    <w:rsid w:val="00F17905"/>
    <w:rsid w:val="00F233D5"/>
    <w:rsid w:val="00F278A5"/>
    <w:rsid w:val="00F30CA7"/>
    <w:rsid w:val="00F34B39"/>
    <w:rsid w:val="00F34FAB"/>
    <w:rsid w:val="00F356A8"/>
    <w:rsid w:val="00F36204"/>
    <w:rsid w:val="00F40033"/>
    <w:rsid w:val="00F41CCA"/>
    <w:rsid w:val="00F42BC0"/>
    <w:rsid w:val="00F435AA"/>
    <w:rsid w:val="00F44A07"/>
    <w:rsid w:val="00F450FE"/>
    <w:rsid w:val="00F459CC"/>
    <w:rsid w:val="00F5385D"/>
    <w:rsid w:val="00F56BC6"/>
    <w:rsid w:val="00F56C3E"/>
    <w:rsid w:val="00F56FF8"/>
    <w:rsid w:val="00F5738A"/>
    <w:rsid w:val="00F612D4"/>
    <w:rsid w:val="00F61D21"/>
    <w:rsid w:val="00F6580F"/>
    <w:rsid w:val="00F65D2B"/>
    <w:rsid w:val="00F71B18"/>
    <w:rsid w:val="00F7389E"/>
    <w:rsid w:val="00F759D0"/>
    <w:rsid w:val="00F75A76"/>
    <w:rsid w:val="00F75A77"/>
    <w:rsid w:val="00F765C9"/>
    <w:rsid w:val="00F76ABB"/>
    <w:rsid w:val="00F77F1D"/>
    <w:rsid w:val="00F806A1"/>
    <w:rsid w:val="00F80B53"/>
    <w:rsid w:val="00F80EE6"/>
    <w:rsid w:val="00F8100D"/>
    <w:rsid w:val="00F83824"/>
    <w:rsid w:val="00F87CCB"/>
    <w:rsid w:val="00F90869"/>
    <w:rsid w:val="00F93E8C"/>
    <w:rsid w:val="00F95354"/>
    <w:rsid w:val="00FA1D9D"/>
    <w:rsid w:val="00FA26C8"/>
    <w:rsid w:val="00FA2798"/>
    <w:rsid w:val="00FA313A"/>
    <w:rsid w:val="00FA48C7"/>
    <w:rsid w:val="00FA5E65"/>
    <w:rsid w:val="00FA7774"/>
    <w:rsid w:val="00FA7927"/>
    <w:rsid w:val="00FB15AF"/>
    <w:rsid w:val="00FB35FA"/>
    <w:rsid w:val="00FB4A55"/>
    <w:rsid w:val="00FB51FB"/>
    <w:rsid w:val="00FB73C1"/>
    <w:rsid w:val="00FC0948"/>
    <w:rsid w:val="00FC0FEA"/>
    <w:rsid w:val="00FC3839"/>
    <w:rsid w:val="00FC446D"/>
    <w:rsid w:val="00FC46FB"/>
    <w:rsid w:val="00FC4FFA"/>
    <w:rsid w:val="00FC5459"/>
    <w:rsid w:val="00FC6212"/>
    <w:rsid w:val="00FC6B00"/>
    <w:rsid w:val="00FC6B9B"/>
    <w:rsid w:val="00FC7A86"/>
    <w:rsid w:val="00FD011B"/>
    <w:rsid w:val="00FD0B09"/>
    <w:rsid w:val="00FD394F"/>
    <w:rsid w:val="00FD4BDC"/>
    <w:rsid w:val="00FD54C9"/>
    <w:rsid w:val="00FD6380"/>
    <w:rsid w:val="00FD7001"/>
    <w:rsid w:val="00FE0AB6"/>
    <w:rsid w:val="00FE3DBE"/>
    <w:rsid w:val="00FE73CC"/>
    <w:rsid w:val="00FF6155"/>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6801"/>
    <o:shapelayout v:ext="edit">
      <o:idmap v:ext="edit" data="1"/>
    </o:shapelayout>
  </w:shapeDefaults>
  <w:decimalSymbol w:val="."/>
  <w:listSeparator w:val=","/>
  <w14:docId w14:val="0CABCF53"/>
  <w15:docId w15:val="{FDCFC321-3B4E-4BAB-9F51-7DCAC20E5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3004"/>
  </w:style>
  <w:style w:type="paragraph" w:styleId="Heading1">
    <w:name w:val="heading 1"/>
    <w:basedOn w:val="Normal"/>
    <w:next w:val="Normal"/>
    <w:link w:val="Heading1Char"/>
    <w:uiPriority w:val="9"/>
    <w:qFormat/>
    <w:rsid w:val="00003004"/>
    <w:pPr>
      <w:spacing w:before="120" w:after="0" w:line="240" w:lineRule="auto"/>
      <w:outlineLvl w:val="0"/>
    </w:pPr>
    <w:rPr>
      <w:rFonts w:cstheme="minorHAnsi"/>
      <w:b/>
      <w:noProof/>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paragraph" w:styleId="Heading5">
    <w:name w:val="heading 5"/>
    <w:basedOn w:val="Normal"/>
    <w:link w:val="Heading5Char"/>
    <w:uiPriority w:val="9"/>
    <w:unhideWhenUsed/>
    <w:qFormat/>
    <w:rsid w:val="005F014A"/>
    <w:pPr>
      <w:keepNext/>
      <w:spacing w:before="240" w:after="240" w:line="240" w:lineRule="auto"/>
      <w:ind w:firstLine="432"/>
      <w:outlineLvl w:val="4"/>
    </w:pPr>
    <w:rPr>
      <w:rFonts w:ascii="Calibri" w:eastAsiaTheme="minorHAnsi" w:hAnsi="Calibri"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03004"/>
    <w:pPr>
      <w:numPr>
        <w:numId w:val="13"/>
      </w:numPr>
      <w:autoSpaceDE w:val="0"/>
      <w:autoSpaceDN w:val="0"/>
      <w:adjustRightInd w:val="0"/>
      <w:spacing w:before="240" w:after="240" w:line="240" w:lineRule="auto"/>
      <w:contextualSpacing/>
    </w:pPr>
    <w:rPr>
      <w:rFonts w:ascii="Calibri" w:eastAsia="MS Mincho" w:hAnsi="Calibri" w:cs="Calibri"/>
      <w:bCs/>
      <w:color w:val="0000FF"/>
    </w:r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003004"/>
    <w:rPr>
      <w:rFonts w:ascii="Calibri" w:eastAsia="MS Mincho" w:hAnsi="Calibri" w:cs="Calibri"/>
      <w:bCs/>
      <w:color w:val="0000FF"/>
    </w:rPr>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Response">
    <w:name w:val="Response"/>
    <w:basedOn w:val="Normal"/>
    <w:qFormat/>
    <w:rsid w:val="00F04B4B"/>
    <w:pPr>
      <w:autoSpaceDE w:val="0"/>
      <w:autoSpaceDN w:val="0"/>
      <w:adjustRightInd w:val="0"/>
      <w:spacing w:before="240" w:after="240" w:line="240" w:lineRule="auto"/>
    </w:pPr>
    <w:rPr>
      <w:rFonts w:cstheme="minorHAnsi"/>
      <w:bCs/>
      <w:color w:val="0000FF"/>
    </w:rPr>
  </w:style>
  <w:style w:type="character" w:customStyle="1" w:styleId="areply">
    <w:name w:val="areply"/>
    <w:basedOn w:val="DefaultParagraphFont"/>
    <w:uiPriority w:val="1"/>
    <w:qFormat/>
    <w:rsid w:val="00F04B4B"/>
  </w:style>
  <w:style w:type="paragraph" w:customStyle="1" w:styleId="TableText">
    <w:name w:val="Table Text"/>
    <w:basedOn w:val="Normal"/>
    <w:qFormat/>
    <w:rsid w:val="00F04B4B"/>
    <w:pPr>
      <w:keepNext/>
      <w:spacing w:after="0" w:line="240" w:lineRule="auto"/>
    </w:pPr>
    <w:rPr>
      <w:rFonts w:ascii="Calibri" w:eastAsia="Times New Roman" w:hAnsi="Calibri" w:cs="Times New Roman"/>
      <w:sz w:val="20"/>
      <w:szCs w:val="20"/>
    </w:rPr>
  </w:style>
  <w:style w:type="paragraph" w:customStyle="1" w:styleId="TableHeaders">
    <w:name w:val="Table Headers"/>
    <w:basedOn w:val="Normal"/>
    <w:qFormat/>
    <w:rsid w:val="00F04B4B"/>
    <w:pPr>
      <w:keepNext/>
      <w:spacing w:before="20" w:after="20" w:line="240" w:lineRule="exact"/>
      <w:jc w:val="center"/>
    </w:pPr>
    <w:rPr>
      <w:rFonts w:eastAsia="Times New Roman" w:cs="Times New Roman"/>
      <w:snapToGrid w:val="0"/>
    </w:rPr>
  </w:style>
  <w:style w:type="table" w:customStyle="1" w:styleId="CMSTable">
    <w:name w:val="CMS_Table"/>
    <w:basedOn w:val="TableNormal"/>
    <w:uiPriority w:val="99"/>
    <w:rsid w:val="00F04B4B"/>
    <w:pPr>
      <w:spacing w:after="0" w:line="240" w:lineRule="auto"/>
    </w:pPr>
    <w:rPr>
      <w:rFonts w:ascii="Calibri" w:eastAsia="Times New Roman" w:hAnsi="Calibri" w:cs="Times New Roman"/>
      <w:sz w:val="20"/>
      <w:szCs w:val="20"/>
    </w:rPr>
    <w:tblPr>
      <w:tblBorders>
        <w:top w:val="single" w:sz="12" w:space="0" w:color="auto"/>
      </w:tblBorders>
      <w:tblCellMar>
        <w:left w:w="43" w:type="dxa"/>
        <w:right w:w="43" w:type="dxa"/>
      </w:tblCellMar>
    </w:tblPr>
    <w:tblStylePr w:type="firstRow">
      <w:pPr>
        <w:jc w:val="center"/>
      </w:pPr>
      <w:tblPr/>
      <w:tcPr>
        <w:tcBorders>
          <w:top w:val="single" w:sz="12" w:space="0" w:color="auto"/>
          <w:bottom w:val="single" w:sz="6" w:space="0" w:color="auto"/>
        </w:tcBorders>
        <w:vAlign w:val="bottom"/>
      </w:tcPr>
    </w:tblStylePr>
    <w:tblStylePr w:type="lastRow">
      <w:tblPr/>
      <w:tcPr>
        <w:tcBorders>
          <w:bottom w:val="single" w:sz="12" w:space="0" w:color="auto"/>
        </w:tcBorders>
      </w:tcPr>
    </w:tblStylePr>
  </w:style>
  <w:style w:type="paragraph" w:styleId="ListBullet">
    <w:name w:val="List Bullet"/>
    <w:basedOn w:val="Normal"/>
    <w:uiPriority w:val="99"/>
    <w:unhideWhenUsed/>
    <w:rsid w:val="004C215A"/>
    <w:pPr>
      <w:numPr>
        <w:numId w:val="3"/>
      </w:numPr>
      <w:contextualSpacing/>
    </w:pPr>
  </w:style>
  <w:style w:type="paragraph" w:styleId="ListBullet2">
    <w:name w:val="List Bullet 2"/>
    <w:basedOn w:val="ListParagraph"/>
    <w:uiPriority w:val="99"/>
    <w:unhideWhenUsed/>
    <w:rsid w:val="004C215A"/>
    <w:pPr>
      <w:numPr>
        <w:numId w:val="4"/>
      </w:numPr>
      <w:spacing w:after="120"/>
    </w:pPr>
  </w:style>
  <w:style w:type="paragraph" w:customStyle="1" w:styleId="Tabletextdec">
    <w:name w:val="Table text_dec"/>
    <w:basedOn w:val="TableText"/>
    <w:qFormat/>
    <w:rsid w:val="004C215A"/>
    <w:pPr>
      <w:tabs>
        <w:tab w:val="decimal" w:pos="1009"/>
      </w:tabs>
    </w:pPr>
    <w:rPr>
      <w:color w:val="000000"/>
    </w:rPr>
  </w:style>
  <w:style w:type="paragraph" w:customStyle="1" w:styleId="TableText-cent">
    <w:name w:val="Table Text-cent"/>
    <w:basedOn w:val="TableText"/>
    <w:qFormat/>
    <w:rsid w:val="004C215A"/>
    <w:pPr>
      <w:jc w:val="center"/>
    </w:pPr>
  </w:style>
  <w:style w:type="paragraph" w:customStyle="1" w:styleId="bulletblue1">
    <w:name w:val="bullet_blue1"/>
    <w:basedOn w:val="ListBullet"/>
    <w:qFormat/>
    <w:rsid w:val="004C215A"/>
    <w:pPr>
      <w:tabs>
        <w:tab w:val="clear" w:pos="360"/>
      </w:tabs>
      <w:spacing w:line="240" w:lineRule="auto"/>
      <w:ind w:left="907"/>
    </w:pPr>
    <w:rPr>
      <w:color w:val="0000FF"/>
    </w:rPr>
  </w:style>
  <w:style w:type="paragraph" w:customStyle="1" w:styleId="bulletblue2">
    <w:name w:val="bullet_blue2"/>
    <w:basedOn w:val="ListBullet2"/>
    <w:qFormat/>
    <w:rsid w:val="004C215A"/>
    <w:pPr>
      <w:ind w:left="1267"/>
    </w:pPr>
  </w:style>
  <w:style w:type="paragraph" w:customStyle="1" w:styleId="FigureNObox">
    <w:name w:val="Figure_NObox"/>
    <w:basedOn w:val="Normal"/>
    <w:qFormat/>
    <w:rsid w:val="00590AC5"/>
    <w:pPr>
      <w:keepNext/>
      <w:spacing w:before="240" w:after="0" w:line="240" w:lineRule="auto"/>
      <w:jc w:val="center"/>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CB0D4F"/>
    <w:rPr>
      <w:color w:val="808080"/>
      <w:shd w:val="clear" w:color="auto" w:fill="E6E6E6"/>
    </w:rPr>
  </w:style>
  <w:style w:type="character" w:customStyle="1" w:styleId="Heading1Char">
    <w:name w:val="Heading 1 Char"/>
    <w:basedOn w:val="DefaultParagraphFont"/>
    <w:link w:val="Heading1"/>
    <w:uiPriority w:val="9"/>
    <w:rsid w:val="00003004"/>
    <w:rPr>
      <w:rFonts w:cstheme="minorHAnsi"/>
      <w:b/>
      <w:noProof/>
    </w:rPr>
  </w:style>
  <w:style w:type="paragraph" w:customStyle="1" w:styleId="TableTitle">
    <w:name w:val="TableTitle"/>
    <w:basedOn w:val="Response"/>
    <w:qFormat/>
    <w:rsid w:val="007154B1"/>
    <w:pPr>
      <w:keepNext/>
      <w:spacing w:before="0"/>
      <w:contextualSpacing/>
      <w:jc w:val="center"/>
    </w:pPr>
    <w:rPr>
      <w:b/>
    </w:rPr>
  </w:style>
  <w:style w:type="paragraph" w:customStyle="1" w:styleId="FigureTitle">
    <w:name w:val="FigureTitle"/>
    <w:basedOn w:val="TableTitle"/>
    <w:qFormat/>
    <w:rsid w:val="00003004"/>
  </w:style>
  <w:style w:type="character" w:customStyle="1" w:styleId="Heading5Char">
    <w:name w:val="Heading 5 Char"/>
    <w:basedOn w:val="DefaultParagraphFont"/>
    <w:link w:val="Heading5"/>
    <w:uiPriority w:val="9"/>
    <w:rsid w:val="005F014A"/>
    <w:rPr>
      <w:rFonts w:ascii="Calibri" w:eastAsiaTheme="minorHAnsi" w:hAnsi="Calibri" w:cs="Times New Roman"/>
      <w:b/>
      <w:bCs/>
    </w:rPr>
  </w:style>
  <w:style w:type="paragraph" w:styleId="BodyText">
    <w:name w:val="Body Text"/>
    <w:basedOn w:val="Normal"/>
    <w:link w:val="BodyTextChar"/>
    <w:uiPriority w:val="99"/>
    <w:unhideWhenUsed/>
    <w:rsid w:val="005F014A"/>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5F014A"/>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106599">
      <w:bodyDiv w:val="1"/>
      <w:marLeft w:val="0"/>
      <w:marRight w:val="0"/>
      <w:marTop w:val="0"/>
      <w:marBottom w:val="0"/>
      <w:divBdr>
        <w:top w:val="none" w:sz="0" w:space="0" w:color="auto"/>
        <w:left w:val="none" w:sz="0" w:space="0" w:color="auto"/>
        <w:bottom w:val="none" w:sz="0" w:space="0" w:color="auto"/>
        <w:right w:val="none" w:sz="0" w:space="0" w:color="auto"/>
      </w:divBdr>
    </w:div>
    <w:div w:id="260379844">
      <w:bodyDiv w:val="1"/>
      <w:marLeft w:val="0"/>
      <w:marRight w:val="0"/>
      <w:marTop w:val="0"/>
      <w:marBottom w:val="0"/>
      <w:divBdr>
        <w:top w:val="none" w:sz="0" w:space="0" w:color="auto"/>
        <w:left w:val="none" w:sz="0" w:space="0" w:color="auto"/>
        <w:bottom w:val="none" w:sz="0" w:space="0" w:color="auto"/>
        <w:right w:val="none" w:sz="0" w:space="0" w:color="auto"/>
      </w:divBdr>
    </w:div>
    <w:div w:id="452096663">
      <w:bodyDiv w:val="1"/>
      <w:marLeft w:val="0"/>
      <w:marRight w:val="0"/>
      <w:marTop w:val="0"/>
      <w:marBottom w:val="0"/>
      <w:divBdr>
        <w:top w:val="none" w:sz="0" w:space="0" w:color="auto"/>
        <w:left w:val="none" w:sz="0" w:space="0" w:color="auto"/>
        <w:bottom w:val="none" w:sz="0" w:space="0" w:color="auto"/>
        <w:right w:val="none" w:sz="0" w:space="0" w:color="auto"/>
      </w:divBdr>
    </w:div>
    <w:div w:id="49776710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73930170">
      <w:bodyDiv w:val="1"/>
      <w:marLeft w:val="0"/>
      <w:marRight w:val="0"/>
      <w:marTop w:val="0"/>
      <w:marBottom w:val="0"/>
      <w:divBdr>
        <w:top w:val="none" w:sz="0" w:space="0" w:color="auto"/>
        <w:left w:val="none" w:sz="0" w:space="0" w:color="auto"/>
        <w:bottom w:val="none" w:sz="0" w:space="0" w:color="auto"/>
        <w:right w:val="none" w:sz="0" w:space="0" w:color="auto"/>
      </w:divBdr>
    </w:div>
    <w:div w:id="820119776">
      <w:bodyDiv w:val="1"/>
      <w:marLeft w:val="0"/>
      <w:marRight w:val="0"/>
      <w:marTop w:val="0"/>
      <w:marBottom w:val="0"/>
      <w:divBdr>
        <w:top w:val="none" w:sz="0" w:space="0" w:color="auto"/>
        <w:left w:val="none" w:sz="0" w:space="0" w:color="auto"/>
        <w:bottom w:val="none" w:sz="0" w:space="0" w:color="auto"/>
        <w:right w:val="none" w:sz="0" w:space="0" w:color="auto"/>
      </w:divBdr>
    </w:div>
    <w:div w:id="1025212170">
      <w:bodyDiv w:val="1"/>
      <w:marLeft w:val="0"/>
      <w:marRight w:val="0"/>
      <w:marTop w:val="0"/>
      <w:marBottom w:val="0"/>
      <w:divBdr>
        <w:top w:val="none" w:sz="0" w:space="0" w:color="auto"/>
        <w:left w:val="none" w:sz="0" w:space="0" w:color="auto"/>
        <w:bottom w:val="none" w:sz="0" w:space="0" w:color="auto"/>
        <w:right w:val="none" w:sz="0" w:space="0" w:color="auto"/>
      </w:divBdr>
    </w:div>
    <w:div w:id="1091849855">
      <w:bodyDiv w:val="1"/>
      <w:marLeft w:val="0"/>
      <w:marRight w:val="0"/>
      <w:marTop w:val="0"/>
      <w:marBottom w:val="0"/>
      <w:divBdr>
        <w:top w:val="none" w:sz="0" w:space="0" w:color="auto"/>
        <w:left w:val="none" w:sz="0" w:space="0" w:color="auto"/>
        <w:bottom w:val="none" w:sz="0" w:space="0" w:color="auto"/>
        <w:right w:val="none" w:sz="0" w:space="0" w:color="auto"/>
      </w:divBdr>
    </w:div>
    <w:div w:id="1145395979">
      <w:bodyDiv w:val="1"/>
      <w:marLeft w:val="0"/>
      <w:marRight w:val="0"/>
      <w:marTop w:val="0"/>
      <w:marBottom w:val="0"/>
      <w:divBdr>
        <w:top w:val="none" w:sz="0" w:space="0" w:color="auto"/>
        <w:left w:val="none" w:sz="0" w:space="0" w:color="auto"/>
        <w:bottom w:val="none" w:sz="0" w:space="0" w:color="auto"/>
        <w:right w:val="none" w:sz="0" w:space="0" w:color="auto"/>
      </w:divBdr>
    </w:div>
    <w:div w:id="1172139783">
      <w:bodyDiv w:val="1"/>
      <w:marLeft w:val="0"/>
      <w:marRight w:val="0"/>
      <w:marTop w:val="0"/>
      <w:marBottom w:val="0"/>
      <w:divBdr>
        <w:top w:val="none" w:sz="0" w:space="0" w:color="auto"/>
        <w:left w:val="none" w:sz="0" w:space="0" w:color="auto"/>
        <w:bottom w:val="none" w:sz="0" w:space="0" w:color="auto"/>
        <w:right w:val="none" w:sz="0" w:space="0" w:color="auto"/>
      </w:divBdr>
    </w:div>
    <w:div w:id="136251016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26585288">
      <w:bodyDiv w:val="1"/>
      <w:marLeft w:val="0"/>
      <w:marRight w:val="0"/>
      <w:marTop w:val="0"/>
      <w:marBottom w:val="0"/>
      <w:divBdr>
        <w:top w:val="none" w:sz="0" w:space="0" w:color="auto"/>
        <w:left w:val="none" w:sz="0" w:space="0" w:color="auto"/>
        <w:bottom w:val="none" w:sz="0" w:space="0" w:color="auto"/>
        <w:right w:val="none" w:sz="0" w:space="0" w:color="auto"/>
      </w:divBdr>
    </w:div>
    <w:div w:id="20809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ms.hhs.gov/NursingHomeQualityInits/Downloads/MDS30FinalReport.pdf" TargetMode="External"/><Relationship Id="rId18" Type="http://schemas.openxmlformats.org/officeDocument/2006/relationships/hyperlink" Target="http://www.cms.hhs.gov/NursingHomeQualityInits/Downloads/MDS30FinalReport.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hart" Target="charts/chart2.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cms.hhs.gov/NursingHomeQualityInits/Downloads/MDS30FinalReport.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ms.hhs.gov/NursingHomeQualityInits/Downloads/MDS30FinalReport.pdf" TargetMode="External"/><Relationship Id="rId20" Type="http://schemas.openxmlformats.org/officeDocument/2006/relationships/chart" Target="charts/chart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yperlink" Target="http://www.cms.hhs.gov/NursingHomeQualityInits/Downloads/MDS30FinalReport.pdf" TargetMode="External"/><Relationship Id="rId23" Type="http://schemas.openxmlformats.org/officeDocument/2006/relationships/hyperlink" Target="file:///X:\004TES~1\Pgm\ykaganova\rn\rn01\db355_request_q2627_677.log"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cms.hhs.gov/NursingHomeQualityInits/Downloads/MDS30FinalReport.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hhs.gov/NursingHomeQualityInits/Downloads/MDS30FinalReport.pdf" TargetMode="External"/><Relationship Id="rId22" Type="http://schemas.openxmlformats.org/officeDocument/2006/relationships/chart" Target="charts/chart3.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Mean</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dLbls>
            <c:dLbl>
              <c:idx val="1"/>
              <c:delete val="1"/>
              <c:extLst>
                <c:ext xmlns:c15="http://schemas.microsoft.com/office/drawing/2012/chart" uri="{CE6537A1-D6FC-4f65-9D91-7224C49458BB}"/>
                <c:ext xmlns:c16="http://schemas.microsoft.com/office/drawing/2014/chart" uri="{C3380CC4-5D6E-409C-BE32-E72D297353CC}">
                  <c16:uniqueId val="{00000003-FC03-4495-A789-A76B566286B6}"/>
                </c:ext>
              </c:extLst>
            </c:dLbl>
            <c:dLbl>
              <c:idx val="2"/>
              <c:delete val="1"/>
              <c:extLst>
                <c:ext xmlns:c15="http://schemas.microsoft.com/office/drawing/2012/chart" uri="{CE6537A1-D6FC-4f65-9D91-7224C49458BB}"/>
                <c:ext xmlns:c16="http://schemas.microsoft.com/office/drawing/2014/chart" uri="{C3380CC4-5D6E-409C-BE32-E72D297353CC}">
                  <c16:uniqueId val="{00000004-FC03-4495-A789-A76B566286B6}"/>
                </c:ext>
              </c:extLst>
            </c:dLbl>
            <c:dLbl>
              <c:idx val="3"/>
              <c:delete val="1"/>
              <c:extLst>
                <c:ext xmlns:c15="http://schemas.microsoft.com/office/drawing/2012/chart" uri="{CE6537A1-D6FC-4f65-9D91-7224C49458BB}"/>
                <c:ext xmlns:c16="http://schemas.microsoft.com/office/drawing/2014/chart" uri="{C3380CC4-5D6E-409C-BE32-E72D297353CC}">
                  <c16:uniqueId val="{00000005-FC03-4495-A789-A76B566286B6}"/>
                </c:ext>
              </c:extLst>
            </c:dLbl>
            <c:dLbl>
              <c:idx val="4"/>
              <c:delete val="1"/>
              <c:extLst>
                <c:ext xmlns:c15="http://schemas.microsoft.com/office/drawing/2012/chart" uri="{CE6537A1-D6FC-4f65-9D91-7224C49458BB}"/>
                <c:ext xmlns:c16="http://schemas.microsoft.com/office/drawing/2014/chart" uri="{C3380CC4-5D6E-409C-BE32-E72D297353CC}">
                  <c16:uniqueId val="{00000006-FC03-4495-A789-A76B566286B6}"/>
                </c:ext>
              </c:extLst>
            </c:dLbl>
            <c:dLbl>
              <c:idx val="5"/>
              <c:delete val="1"/>
              <c:extLst>
                <c:ext xmlns:c15="http://schemas.microsoft.com/office/drawing/2012/chart" uri="{CE6537A1-D6FC-4f65-9D91-7224C49458BB}"/>
                <c:ext xmlns:c16="http://schemas.microsoft.com/office/drawing/2014/chart" uri="{C3380CC4-5D6E-409C-BE32-E72D297353CC}">
                  <c16:uniqueId val="{00000007-FC03-4495-A789-A76B566286B6}"/>
                </c:ext>
              </c:extLst>
            </c:dLbl>
            <c:dLbl>
              <c:idx val="6"/>
              <c:delete val="1"/>
              <c:extLst>
                <c:ext xmlns:c15="http://schemas.microsoft.com/office/drawing/2012/chart" uri="{CE6537A1-D6FC-4f65-9D91-7224C49458BB}"/>
                <c:ext xmlns:c16="http://schemas.microsoft.com/office/drawing/2014/chart" uri="{C3380CC4-5D6E-409C-BE32-E72D297353CC}">
                  <c16:uniqueId val="{00000008-FC03-4495-A789-A76B566286B6}"/>
                </c:ext>
              </c:extLst>
            </c:dLbl>
            <c:dLbl>
              <c:idx val="7"/>
              <c:delete val="1"/>
              <c:extLst>
                <c:ext xmlns:c15="http://schemas.microsoft.com/office/drawing/2012/chart" uri="{CE6537A1-D6FC-4f65-9D91-7224C49458BB}"/>
                <c:ext xmlns:c16="http://schemas.microsoft.com/office/drawing/2014/chart" uri="{C3380CC4-5D6E-409C-BE32-E72D297353CC}">
                  <c16:uniqueId val="{00000009-FC03-4495-A789-A76B566286B6}"/>
                </c:ext>
              </c:extLst>
            </c:dLbl>
            <c:dLbl>
              <c:idx val="8"/>
              <c:delete val="1"/>
              <c:extLst>
                <c:ext xmlns:c15="http://schemas.microsoft.com/office/drawing/2012/chart" uri="{CE6537A1-D6FC-4f65-9D91-7224C49458BB}"/>
                <c:ext xmlns:c16="http://schemas.microsoft.com/office/drawing/2014/chart" uri="{C3380CC4-5D6E-409C-BE32-E72D297353CC}">
                  <c16:uniqueId val="{0000000A-FC03-4495-A789-A76B566286B6}"/>
                </c:ext>
              </c:extLst>
            </c:dLbl>
            <c:dLbl>
              <c:idx val="9"/>
              <c:delete val="1"/>
              <c:extLst>
                <c:ext xmlns:c15="http://schemas.microsoft.com/office/drawing/2012/chart" uri="{CE6537A1-D6FC-4f65-9D91-7224C49458BB}"/>
                <c:ext xmlns:c16="http://schemas.microsoft.com/office/drawing/2014/chart" uri="{C3380CC4-5D6E-409C-BE32-E72D297353CC}">
                  <c16:uniqueId val="{0000000B-FC03-4495-A789-A76B566286B6}"/>
                </c:ext>
              </c:extLst>
            </c:dLbl>
            <c:dLbl>
              <c:idx val="10"/>
              <c:delete val="1"/>
              <c:extLst>
                <c:ext xmlns:c15="http://schemas.microsoft.com/office/drawing/2012/chart" uri="{CE6537A1-D6FC-4f65-9D91-7224C49458BB}"/>
                <c:ext xmlns:c16="http://schemas.microsoft.com/office/drawing/2014/chart" uri="{C3380CC4-5D6E-409C-BE32-E72D297353CC}">
                  <c16:uniqueId val="{0000000C-FC03-4495-A789-A76B566286B6}"/>
                </c:ext>
              </c:extLst>
            </c:dLbl>
            <c:dLbl>
              <c:idx val="11"/>
              <c:delete val="1"/>
              <c:extLst>
                <c:ext xmlns:c15="http://schemas.microsoft.com/office/drawing/2012/chart" uri="{CE6537A1-D6FC-4f65-9D91-7224C49458BB}"/>
                <c:ext xmlns:c16="http://schemas.microsoft.com/office/drawing/2014/chart" uri="{C3380CC4-5D6E-409C-BE32-E72D297353CC}">
                  <c16:uniqueId val="{0000000D-FC03-4495-A789-A76B566286B6}"/>
                </c:ext>
              </c:extLst>
            </c:dLbl>
            <c:dLbl>
              <c:idx val="12"/>
              <c:delete val="1"/>
              <c:extLst>
                <c:ext xmlns:c15="http://schemas.microsoft.com/office/drawing/2012/chart" uri="{CE6537A1-D6FC-4f65-9D91-7224C49458BB}"/>
                <c:ext xmlns:c16="http://schemas.microsoft.com/office/drawing/2014/chart" uri="{C3380CC4-5D6E-409C-BE32-E72D297353CC}">
                  <c16:uniqueId val="{0000000E-FC03-4495-A789-A76B566286B6}"/>
                </c:ext>
              </c:extLst>
            </c:dLbl>
            <c:dLbl>
              <c:idx val="13"/>
              <c:delete val="1"/>
              <c:extLst>
                <c:ext xmlns:c15="http://schemas.microsoft.com/office/drawing/2012/chart" uri="{CE6537A1-D6FC-4f65-9D91-7224C49458BB}"/>
                <c:ext xmlns:c16="http://schemas.microsoft.com/office/drawing/2014/chart" uri="{C3380CC4-5D6E-409C-BE32-E72D297353CC}">
                  <c16:uniqueId val="{0000000F-FC03-4495-A789-A76B566286B6}"/>
                </c:ext>
              </c:extLst>
            </c:dLbl>
            <c:dLbl>
              <c:idx val="14"/>
              <c:delete val="1"/>
              <c:extLst>
                <c:ext xmlns:c15="http://schemas.microsoft.com/office/drawing/2012/chart" uri="{CE6537A1-D6FC-4f65-9D91-7224C49458BB}"/>
                <c:ext xmlns:c16="http://schemas.microsoft.com/office/drawing/2014/chart" uri="{C3380CC4-5D6E-409C-BE32-E72D297353CC}">
                  <c16:uniqueId val="{00000010-FC03-4495-A789-A76B566286B6}"/>
                </c:ext>
              </c:extLst>
            </c:dLbl>
            <c:dLbl>
              <c:idx val="15"/>
              <c:delete val="1"/>
              <c:extLst>
                <c:ext xmlns:c15="http://schemas.microsoft.com/office/drawing/2012/chart" uri="{CE6537A1-D6FC-4f65-9D91-7224C49458BB}"/>
                <c:ext xmlns:c16="http://schemas.microsoft.com/office/drawing/2014/chart" uri="{C3380CC4-5D6E-409C-BE32-E72D297353CC}">
                  <c16:uniqueId val="{00000011-FC03-4495-A789-A76B566286B6}"/>
                </c:ext>
              </c:extLst>
            </c:dLbl>
            <c:dLbl>
              <c:idx val="16"/>
              <c:delete val="1"/>
              <c:extLst>
                <c:ext xmlns:c15="http://schemas.microsoft.com/office/drawing/2012/chart" uri="{CE6537A1-D6FC-4f65-9D91-7224C49458BB}"/>
                <c:ext xmlns:c16="http://schemas.microsoft.com/office/drawing/2014/chart" uri="{C3380CC4-5D6E-409C-BE32-E72D297353CC}">
                  <c16:uniqueId val="{00000012-FC03-4495-A789-A76B566286B6}"/>
                </c:ext>
              </c:extLst>
            </c:dLbl>
            <c:dLbl>
              <c:idx val="17"/>
              <c:delete val="1"/>
              <c:extLst>
                <c:ext xmlns:c15="http://schemas.microsoft.com/office/drawing/2012/chart" uri="{CE6537A1-D6FC-4f65-9D91-7224C49458BB}"/>
                <c:ext xmlns:c16="http://schemas.microsoft.com/office/drawing/2014/chart" uri="{C3380CC4-5D6E-409C-BE32-E72D297353CC}">
                  <c16:uniqueId val="{00000013-FC03-4495-A789-A76B566286B6}"/>
                </c:ext>
              </c:extLst>
            </c:dLbl>
            <c:dLbl>
              <c:idx val="18"/>
              <c:delete val="1"/>
              <c:extLst>
                <c:ext xmlns:c15="http://schemas.microsoft.com/office/drawing/2012/chart" uri="{CE6537A1-D6FC-4f65-9D91-7224C49458BB}"/>
                <c:ext xmlns:c16="http://schemas.microsoft.com/office/drawing/2014/chart" uri="{C3380CC4-5D6E-409C-BE32-E72D297353CC}">
                  <c16:uniqueId val="{00000001-B622-4FCA-B442-3CE7D63AA641}"/>
                </c:ext>
              </c:extLst>
            </c:dLbl>
            <c:dLbl>
              <c:idx val="19"/>
              <c:delete val="1"/>
              <c:extLst>
                <c:ext xmlns:c15="http://schemas.microsoft.com/office/drawing/2012/chart" uri="{CE6537A1-D6FC-4f65-9D91-7224C49458BB}"/>
                <c:ext xmlns:c16="http://schemas.microsoft.com/office/drawing/2014/chart" uri="{C3380CC4-5D6E-409C-BE32-E72D297353CC}">
                  <c16:uniqueId val="{00000000-B622-4FCA-B442-3CE7D63AA641}"/>
                </c:ext>
              </c:extLst>
            </c:dLbl>
            <c:dLbl>
              <c:idx val="20"/>
              <c:delete val="1"/>
              <c:extLst>
                <c:ext xmlns:c15="http://schemas.microsoft.com/office/drawing/2012/chart" uri="{CE6537A1-D6FC-4f65-9D91-7224C49458BB}"/>
                <c:ext xmlns:c16="http://schemas.microsoft.com/office/drawing/2014/chart" uri="{C3380CC4-5D6E-409C-BE32-E72D297353CC}">
                  <c16:uniqueId val="{00000004-B622-4FCA-B442-3CE7D63AA641}"/>
                </c:ext>
              </c:extLst>
            </c:dLbl>
            <c:dLbl>
              <c:idx val="21"/>
              <c:delete val="1"/>
              <c:extLst>
                <c:ext xmlns:c15="http://schemas.microsoft.com/office/drawing/2012/chart" uri="{CE6537A1-D6FC-4f65-9D91-7224C49458BB}"/>
                <c:ext xmlns:c16="http://schemas.microsoft.com/office/drawing/2014/chart" uri="{C3380CC4-5D6E-409C-BE32-E72D297353CC}">
                  <c16:uniqueId val="{00000006-B622-4FCA-B442-3CE7D63AA641}"/>
                </c:ext>
              </c:extLst>
            </c:dLbl>
            <c:dLbl>
              <c:idx val="22"/>
              <c:delete val="1"/>
              <c:extLst>
                <c:ext xmlns:c15="http://schemas.microsoft.com/office/drawing/2012/chart" uri="{CE6537A1-D6FC-4f65-9D91-7224C49458BB}"/>
                <c:ext xmlns:c16="http://schemas.microsoft.com/office/drawing/2014/chart" uri="{C3380CC4-5D6E-409C-BE32-E72D297353CC}">
                  <c16:uniqueId val="{00000008-B622-4FCA-B442-3CE7D63AA641}"/>
                </c:ext>
              </c:extLst>
            </c:dLbl>
            <c:dLbl>
              <c:idx val="23"/>
              <c:delete val="1"/>
              <c:extLst>
                <c:ext xmlns:c15="http://schemas.microsoft.com/office/drawing/2012/chart" uri="{CE6537A1-D6FC-4f65-9D91-7224C49458BB}"/>
                <c:ext xmlns:c16="http://schemas.microsoft.com/office/drawing/2014/chart" uri="{C3380CC4-5D6E-409C-BE32-E72D297353CC}">
                  <c16:uniqueId val="{0000000B-B622-4FCA-B442-3CE7D63AA641}"/>
                </c:ext>
              </c:extLst>
            </c:dLbl>
            <c:dLbl>
              <c:idx val="24"/>
              <c:delete val="1"/>
              <c:extLst>
                <c:ext xmlns:c15="http://schemas.microsoft.com/office/drawing/2012/chart" uri="{CE6537A1-D6FC-4f65-9D91-7224C49458BB}"/>
                <c:ext xmlns:c16="http://schemas.microsoft.com/office/drawing/2014/chart" uri="{C3380CC4-5D6E-409C-BE32-E72D297353CC}">
                  <c16:uniqueId val="{0000000C-B622-4FCA-B442-3CE7D63AA6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Sheet1!$A$2:$A$27</c:f>
              <c:strCache>
                <c:ptCount val="26"/>
                <c:pt idx="0">
                  <c:v>Q1 2011</c:v>
                </c:pt>
                <c:pt idx="1">
                  <c:v>Q2 2011</c:v>
                </c:pt>
                <c:pt idx="2">
                  <c:v>Q3 2011</c:v>
                </c:pt>
                <c:pt idx="3">
                  <c:v>Q4 2011</c:v>
                </c:pt>
                <c:pt idx="4">
                  <c:v>Q1 2012</c:v>
                </c:pt>
                <c:pt idx="5">
                  <c:v>Q2 2012</c:v>
                </c:pt>
                <c:pt idx="6">
                  <c:v>Q3 2012</c:v>
                </c:pt>
                <c:pt idx="7">
                  <c:v>Q4 2012</c:v>
                </c:pt>
                <c:pt idx="8">
                  <c:v>Q1 2013</c:v>
                </c:pt>
                <c:pt idx="9">
                  <c:v>Q2 2013</c:v>
                </c:pt>
                <c:pt idx="10">
                  <c:v>Q3 2013</c:v>
                </c:pt>
                <c:pt idx="11">
                  <c:v>Q4 2013</c:v>
                </c:pt>
                <c:pt idx="12">
                  <c:v>Q1 2014</c:v>
                </c:pt>
                <c:pt idx="13">
                  <c:v>Q2 2014</c:v>
                </c:pt>
                <c:pt idx="14">
                  <c:v>Q3 2014</c:v>
                </c:pt>
                <c:pt idx="15">
                  <c:v>Q4 2014</c:v>
                </c:pt>
                <c:pt idx="16">
                  <c:v>Q1 2015</c:v>
                </c:pt>
                <c:pt idx="17">
                  <c:v>Q2 2015</c:v>
                </c:pt>
                <c:pt idx="18">
                  <c:v>Q3 2015</c:v>
                </c:pt>
                <c:pt idx="19">
                  <c:v>Q4 2015</c:v>
                </c:pt>
                <c:pt idx="20">
                  <c:v>Q1 2016</c:v>
                </c:pt>
                <c:pt idx="21">
                  <c:v>Q2 2016</c:v>
                </c:pt>
                <c:pt idx="22">
                  <c:v>Q3 2016</c:v>
                </c:pt>
                <c:pt idx="23">
                  <c:v>Q4 2016</c:v>
                </c:pt>
                <c:pt idx="24">
                  <c:v>Q1 2017</c:v>
                </c:pt>
                <c:pt idx="25">
                  <c:v>Q2 2017</c:v>
                </c:pt>
              </c:strCache>
            </c:strRef>
          </c:cat>
          <c:val>
            <c:numRef>
              <c:f>Sheet1!$B$2:$B$27</c:f>
              <c:numCache>
                <c:formatCode>0.0%</c:formatCode>
                <c:ptCount val="26"/>
                <c:pt idx="0">
                  <c:v>0.13100000000000001</c:v>
                </c:pt>
                <c:pt idx="1">
                  <c:v>0.127</c:v>
                </c:pt>
                <c:pt idx="2">
                  <c:v>0.125</c:v>
                </c:pt>
                <c:pt idx="3">
                  <c:v>0.123</c:v>
                </c:pt>
                <c:pt idx="4">
                  <c:v>0.122</c:v>
                </c:pt>
                <c:pt idx="5">
                  <c:v>0.11799999999999999</c:v>
                </c:pt>
                <c:pt idx="6">
                  <c:v>0.1128551</c:v>
                </c:pt>
                <c:pt idx="7">
                  <c:v>0.107</c:v>
                </c:pt>
                <c:pt idx="8">
                  <c:v>0.104</c:v>
                </c:pt>
                <c:pt idx="9">
                  <c:v>0.10323060000000001</c:v>
                </c:pt>
                <c:pt idx="10">
                  <c:v>0.1027754</c:v>
                </c:pt>
                <c:pt idx="11">
                  <c:v>0.1</c:v>
                </c:pt>
                <c:pt idx="12">
                  <c:v>9.8000000000000004E-2</c:v>
                </c:pt>
                <c:pt idx="13">
                  <c:v>9.7000000000000003E-2</c:v>
                </c:pt>
                <c:pt idx="14">
                  <c:v>9.7000000000000003E-2</c:v>
                </c:pt>
                <c:pt idx="15">
                  <c:v>9.5000000000000001E-2</c:v>
                </c:pt>
                <c:pt idx="16">
                  <c:v>9.5000000000000001E-2</c:v>
                </c:pt>
                <c:pt idx="17">
                  <c:v>9.2999999999999999E-2</c:v>
                </c:pt>
                <c:pt idx="18">
                  <c:v>9.1999999999999998E-2</c:v>
                </c:pt>
                <c:pt idx="19">
                  <c:v>8.7999999999999995E-2</c:v>
                </c:pt>
                <c:pt idx="20">
                  <c:v>8.5000000000000006E-2</c:v>
                </c:pt>
                <c:pt idx="21">
                  <c:v>8.3000000000000004E-2</c:v>
                </c:pt>
                <c:pt idx="22">
                  <c:v>0.08</c:v>
                </c:pt>
                <c:pt idx="23">
                  <c:v>7.6999999999999999E-2</c:v>
                </c:pt>
                <c:pt idx="24">
                  <c:v>7.3999999999999996E-2</c:v>
                </c:pt>
                <c:pt idx="25">
                  <c:v>7.1999999999999995E-2</c:v>
                </c:pt>
              </c:numCache>
            </c:numRef>
          </c:val>
          <c:smooth val="0"/>
          <c:extLst>
            <c:ext xmlns:c16="http://schemas.microsoft.com/office/drawing/2014/chart" uri="{C3380CC4-5D6E-409C-BE32-E72D297353CC}">
              <c16:uniqueId val="{00000000-FC03-4495-A789-A76B566286B6}"/>
            </c:ext>
          </c:extLst>
        </c:ser>
        <c:ser>
          <c:idx val="1"/>
          <c:order val="1"/>
          <c:tx>
            <c:strRef>
              <c:f>Sheet1!$C$1</c:f>
              <c:strCache>
                <c:ptCount val="1"/>
                <c:pt idx="0">
                  <c:v>Median</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dLbls>
            <c:dLbl>
              <c:idx val="0"/>
              <c:layout>
                <c:manualLayout>
                  <c:x val="-3.1369354692732374E-2"/>
                  <c:y val="-3.76687289088863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5-FC03-4495-A789-A76B566286B6}"/>
                </c:ext>
              </c:extLst>
            </c:dLbl>
            <c:dLbl>
              <c:idx val="1"/>
              <c:delete val="1"/>
              <c:extLst>
                <c:ext xmlns:c15="http://schemas.microsoft.com/office/drawing/2012/chart" uri="{CE6537A1-D6FC-4f65-9D91-7224C49458BB}"/>
                <c:ext xmlns:c16="http://schemas.microsoft.com/office/drawing/2014/chart" uri="{C3380CC4-5D6E-409C-BE32-E72D297353CC}">
                  <c16:uniqueId val="{00000024-FC03-4495-A789-A76B566286B6}"/>
                </c:ext>
              </c:extLst>
            </c:dLbl>
            <c:dLbl>
              <c:idx val="2"/>
              <c:delete val="1"/>
              <c:extLst>
                <c:ext xmlns:c15="http://schemas.microsoft.com/office/drawing/2012/chart" uri="{CE6537A1-D6FC-4f65-9D91-7224C49458BB}"/>
                <c:ext xmlns:c16="http://schemas.microsoft.com/office/drawing/2014/chart" uri="{C3380CC4-5D6E-409C-BE32-E72D297353CC}">
                  <c16:uniqueId val="{00000023-FC03-4495-A789-A76B566286B6}"/>
                </c:ext>
              </c:extLst>
            </c:dLbl>
            <c:dLbl>
              <c:idx val="3"/>
              <c:delete val="1"/>
              <c:extLst>
                <c:ext xmlns:c15="http://schemas.microsoft.com/office/drawing/2012/chart" uri="{CE6537A1-D6FC-4f65-9D91-7224C49458BB}"/>
                <c:ext xmlns:c16="http://schemas.microsoft.com/office/drawing/2014/chart" uri="{C3380CC4-5D6E-409C-BE32-E72D297353CC}">
                  <c16:uniqueId val="{00000022-FC03-4495-A789-A76B566286B6}"/>
                </c:ext>
              </c:extLst>
            </c:dLbl>
            <c:dLbl>
              <c:idx val="4"/>
              <c:delete val="1"/>
              <c:extLst>
                <c:ext xmlns:c15="http://schemas.microsoft.com/office/drawing/2012/chart" uri="{CE6537A1-D6FC-4f65-9D91-7224C49458BB}"/>
                <c:ext xmlns:c16="http://schemas.microsoft.com/office/drawing/2014/chart" uri="{C3380CC4-5D6E-409C-BE32-E72D297353CC}">
                  <c16:uniqueId val="{00000021-FC03-4495-A789-A76B566286B6}"/>
                </c:ext>
              </c:extLst>
            </c:dLbl>
            <c:dLbl>
              <c:idx val="5"/>
              <c:delete val="1"/>
              <c:extLst>
                <c:ext xmlns:c15="http://schemas.microsoft.com/office/drawing/2012/chart" uri="{CE6537A1-D6FC-4f65-9D91-7224C49458BB}"/>
                <c:ext xmlns:c16="http://schemas.microsoft.com/office/drawing/2014/chart" uri="{C3380CC4-5D6E-409C-BE32-E72D297353CC}">
                  <c16:uniqueId val="{00000020-FC03-4495-A789-A76B566286B6}"/>
                </c:ext>
              </c:extLst>
            </c:dLbl>
            <c:dLbl>
              <c:idx val="6"/>
              <c:delete val="1"/>
              <c:extLst>
                <c:ext xmlns:c15="http://schemas.microsoft.com/office/drawing/2012/chart" uri="{CE6537A1-D6FC-4f65-9D91-7224C49458BB}"/>
                <c:ext xmlns:c16="http://schemas.microsoft.com/office/drawing/2014/chart" uri="{C3380CC4-5D6E-409C-BE32-E72D297353CC}">
                  <c16:uniqueId val="{0000001F-FC03-4495-A789-A76B566286B6}"/>
                </c:ext>
              </c:extLst>
            </c:dLbl>
            <c:dLbl>
              <c:idx val="7"/>
              <c:delete val="1"/>
              <c:extLst>
                <c:ext xmlns:c15="http://schemas.microsoft.com/office/drawing/2012/chart" uri="{CE6537A1-D6FC-4f65-9D91-7224C49458BB}"/>
                <c:ext xmlns:c16="http://schemas.microsoft.com/office/drawing/2014/chart" uri="{C3380CC4-5D6E-409C-BE32-E72D297353CC}">
                  <c16:uniqueId val="{0000001E-FC03-4495-A789-A76B566286B6}"/>
                </c:ext>
              </c:extLst>
            </c:dLbl>
            <c:dLbl>
              <c:idx val="8"/>
              <c:delete val="1"/>
              <c:extLst>
                <c:ext xmlns:c15="http://schemas.microsoft.com/office/drawing/2012/chart" uri="{CE6537A1-D6FC-4f65-9D91-7224C49458BB}"/>
                <c:ext xmlns:c16="http://schemas.microsoft.com/office/drawing/2014/chart" uri="{C3380CC4-5D6E-409C-BE32-E72D297353CC}">
                  <c16:uniqueId val="{0000001D-FC03-4495-A789-A76B566286B6}"/>
                </c:ext>
              </c:extLst>
            </c:dLbl>
            <c:dLbl>
              <c:idx val="9"/>
              <c:delete val="1"/>
              <c:extLst>
                <c:ext xmlns:c15="http://schemas.microsoft.com/office/drawing/2012/chart" uri="{CE6537A1-D6FC-4f65-9D91-7224C49458BB}"/>
                <c:ext xmlns:c16="http://schemas.microsoft.com/office/drawing/2014/chart" uri="{C3380CC4-5D6E-409C-BE32-E72D297353CC}">
                  <c16:uniqueId val="{0000001C-FC03-4495-A789-A76B566286B6}"/>
                </c:ext>
              </c:extLst>
            </c:dLbl>
            <c:dLbl>
              <c:idx val="10"/>
              <c:delete val="1"/>
              <c:extLst>
                <c:ext xmlns:c15="http://schemas.microsoft.com/office/drawing/2012/chart" uri="{CE6537A1-D6FC-4f65-9D91-7224C49458BB}"/>
                <c:ext xmlns:c16="http://schemas.microsoft.com/office/drawing/2014/chart" uri="{C3380CC4-5D6E-409C-BE32-E72D297353CC}">
                  <c16:uniqueId val="{0000001B-FC03-4495-A789-A76B566286B6}"/>
                </c:ext>
              </c:extLst>
            </c:dLbl>
            <c:dLbl>
              <c:idx val="11"/>
              <c:delete val="1"/>
              <c:extLst>
                <c:ext xmlns:c15="http://schemas.microsoft.com/office/drawing/2012/chart" uri="{CE6537A1-D6FC-4f65-9D91-7224C49458BB}"/>
                <c:ext xmlns:c16="http://schemas.microsoft.com/office/drawing/2014/chart" uri="{C3380CC4-5D6E-409C-BE32-E72D297353CC}">
                  <c16:uniqueId val="{0000001A-FC03-4495-A789-A76B566286B6}"/>
                </c:ext>
              </c:extLst>
            </c:dLbl>
            <c:dLbl>
              <c:idx val="12"/>
              <c:delete val="1"/>
              <c:extLst>
                <c:ext xmlns:c15="http://schemas.microsoft.com/office/drawing/2012/chart" uri="{CE6537A1-D6FC-4f65-9D91-7224C49458BB}"/>
                <c:ext xmlns:c16="http://schemas.microsoft.com/office/drawing/2014/chart" uri="{C3380CC4-5D6E-409C-BE32-E72D297353CC}">
                  <c16:uniqueId val="{00000019-FC03-4495-A789-A76B566286B6}"/>
                </c:ext>
              </c:extLst>
            </c:dLbl>
            <c:dLbl>
              <c:idx val="13"/>
              <c:delete val="1"/>
              <c:extLst>
                <c:ext xmlns:c15="http://schemas.microsoft.com/office/drawing/2012/chart" uri="{CE6537A1-D6FC-4f65-9D91-7224C49458BB}"/>
                <c:ext xmlns:c16="http://schemas.microsoft.com/office/drawing/2014/chart" uri="{C3380CC4-5D6E-409C-BE32-E72D297353CC}">
                  <c16:uniqueId val="{00000018-FC03-4495-A789-A76B566286B6}"/>
                </c:ext>
              </c:extLst>
            </c:dLbl>
            <c:dLbl>
              <c:idx val="14"/>
              <c:delete val="1"/>
              <c:extLst>
                <c:ext xmlns:c15="http://schemas.microsoft.com/office/drawing/2012/chart" uri="{CE6537A1-D6FC-4f65-9D91-7224C49458BB}"/>
                <c:ext xmlns:c16="http://schemas.microsoft.com/office/drawing/2014/chart" uri="{C3380CC4-5D6E-409C-BE32-E72D297353CC}">
                  <c16:uniqueId val="{00000017-FC03-4495-A789-A76B566286B6}"/>
                </c:ext>
              </c:extLst>
            </c:dLbl>
            <c:dLbl>
              <c:idx val="15"/>
              <c:delete val="1"/>
              <c:extLst>
                <c:ext xmlns:c15="http://schemas.microsoft.com/office/drawing/2012/chart" uri="{CE6537A1-D6FC-4f65-9D91-7224C49458BB}"/>
                <c:ext xmlns:c16="http://schemas.microsoft.com/office/drawing/2014/chart" uri="{C3380CC4-5D6E-409C-BE32-E72D297353CC}">
                  <c16:uniqueId val="{00000016-FC03-4495-A789-A76B566286B6}"/>
                </c:ext>
              </c:extLst>
            </c:dLbl>
            <c:dLbl>
              <c:idx val="16"/>
              <c:delete val="1"/>
              <c:extLst>
                <c:ext xmlns:c15="http://schemas.microsoft.com/office/drawing/2012/chart" uri="{CE6537A1-D6FC-4f65-9D91-7224C49458BB}"/>
                <c:ext xmlns:c16="http://schemas.microsoft.com/office/drawing/2014/chart" uri="{C3380CC4-5D6E-409C-BE32-E72D297353CC}">
                  <c16:uniqueId val="{00000015-FC03-4495-A789-A76B566286B6}"/>
                </c:ext>
              </c:extLst>
            </c:dLbl>
            <c:dLbl>
              <c:idx val="17"/>
              <c:delete val="1"/>
              <c:extLst>
                <c:ext xmlns:c15="http://schemas.microsoft.com/office/drawing/2012/chart" uri="{CE6537A1-D6FC-4f65-9D91-7224C49458BB}"/>
                <c:ext xmlns:c16="http://schemas.microsoft.com/office/drawing/2014/chart" uri="{C3380CC4-5D6E-409C-BE32-E72D297353CC}">
                  <c16:uniqueId val="{00000014-FC03-4495-A789-A76B566286B6}"/>
                </c:ext>
              </c:extLst>
            </c:dLbl>
            <c:dLbl>
              <c:idx val="18"/>
              <c:delete val="1"/>
              <c:extLst>
                <c:ext xmlns:c15="http://schemas.microsoft.com/office/drawing/2012/chart" uri="{CE6537A1-D6FC-4f65-9D91-7224C49458BB}"/>
                <c:ext xmlns:c16="http://schemas.microsoft.com/office/drawing/2014/chart" uri="{C3380CC4-5D6E-409C-BE32-E72D297353CC}">
                  <c16:uniqueId val="{00000002-B622-4FCA-B442-3CE7D63AA641}"/>
                </c:ext>
              </c:extLst>
            </c:dLbl>
            <c:dLbl>
              <c:idx val="19"/>
              <c:delete val="1"/>
              <c:extLst>
                <c:ext xmlns:c15="http://schemas.microsoft.com/office/drawing/2012/chart" uri="{CE6537A1-D6FC-4f65-9D91-7224C49458BB}"/>
                <c:ext xmlns:c16="http://schemas.microsoft.com/office/drawing/2014/chart" uri="{C3380CC4-5D6E-409C-BE32-E72D297353CC}">
                  <c16:uniqueId val="{00000003-B622-4FCA-B442-3CE7D63AA641}"/>
                </c:ext>
              </c:extLst>
            </c:dLbl>
            <c:dLbl>
              <c:idx val="20"/>
              <c:delete val="1"/>
              <c:extLst>
                <c:ext xmlns:c15="http://schemas.microsoft.com/office/drawing/2012/chart" uri="{CE6537A1-D6FC-4f65-9D91-7224C49458BB}"/>
                <c:ext xmlns:c16="http://schemas.microsoft.com/office/drawing/2014/chart" uri="{C3380CC4-5D6E-409C-BE32-E72D297353CC}">
                  <c16:uniqueId val="{00000005-B622-4FCA-B442-3CE7D63AA641}"/>
                </c:ext>
              </c:extLst>
            </c:dLbl>
            <c:dLbl>
              <c:idx val="21"/>
              <c:delete val="1"/>
              <c:extLst>
                <c:ext xmlns:c15="http://schemas.microsoft.com/office/drawing/2012/chart" uri="{CE6537A1-D6FC-4f65-9D91-7224C49458BB}"/>
                <c:ext xmlns:c16="http://schemas.microsoft.com/office/drawing/2014/chart" uri="{C3380CC4-5D6E-409C-BE32-E72D297353CC}">
                  <c16:uniqueId val="{00000007-B622-4FCA-B442-3CE7D63AA641}"/>
                </c:ext>
              </c:extLst>
            </c:dLbl>
            <c:dLbl>
              <c:idx val="22"/>
              <c:delete val="1"/>
              <c:extLst>
                <c:ext xmlns:c15="http://schemas.microsoft.com/office/drawing/2012/chart" uri="{CE6537A1-D6FC-4f65-9D91-7224C49458BB}"/>
                <c:ext xmlns:c16="http://schemas.microsoft.com/office/drawing/2014/chart" uri="{C3380CC4-5D6E-409C-BE32-E72D297353CC}">
                  <c16:uniqueId val="{00000009-B622-4FCA-B442-3CE7D63AA641}"/>
                </c:ext>
              </c:extLst>
            </c:dLbl>
            <c:dLbl>
              <c:idx val="23"/>
              <c:delete val="1"/>
              <c:extLst>
                <c:ext xmlns:c15="http://schemas.microsoft.com/office/drawing/2012/chart" uri="{CE6537A1-D6FC-4f65-9D91-7224C49458BB}"/>
                <c:ext xmlns:c16="http://schemas.microsoft.com/office/drawing/2014/chart" uri="{C3380CC4-5D6E-409C-BE32-E72D297353CC}">
                  <c16:uniqueId val="{0000000A-B622-4FCA-B442-3CE7D63AA641}"/>
                </c:ext>
              </c:extLst>
            </c:dLbl>
            <c:dLbl>
              <c:idx val="24"/>
              <c:delete val="1"/>
              <c:extLst>
                <c:ext xmlns:c15="http://schemas.microsoft.com/office/drawing/2012/chart" uri="{CE6537A1-D6FC-4f65-9D91-7224C49458BB}"/>
                <c:ext xmlns:c16="http://schemas.microsoft.com/office/drawing/2014/chart" uri="{C3380CC4-5D6E-409C-BE32-E72D297353CC}">
                  <c16:uniqueId val="{0000000D-B622-4FCA-B442-3CE7D63AA6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Sheet1!$A$2:$A$27</c:f>
              <c:strCache>
                <c:ptCount val="26"/>
                <c:pt idx="0">
                  <c:v>Q1 2011</c:v>
                </c:pt>
                <c:pt idx="1">
                  <c:v>Q2 2011</c:v>
                </c:pt>
                <c:pt idx="2">
                  <c:v>Q3 2011</c:v>
                </c:pt>
                <c:pt idx="3">
                  <c:v>Q4 2011</c:v>
                </c:pt>
                <c:pt idx="4">
                  <c:v>Q1 2012</c:v>
                </c:pt>
                <c:pt idx="5">
                  <c:v>Q2 2012</c:v>
                </c:pt>
                <c:pt idx="6">
                  <c:v>Q3 2012</c:v>
                </c:pt>
                <c:pt idx="7">
                  <c:v>Q4 2012</c:v>
                </c:pt>
                <c:pt idx="8">
                  <c:v>Q1 2013</c:v>
                </c:pt>
                <c:pt idx="9">
                  <c:v>Q2 2013</c:v>
                </c:pt>
                <c:pt idx="10">
                  <c:v>Q3 2013</c:v>
                </c:pt>
                <c:pt idx="11">
                  <c:v>Q4 2013</c:v>
                </c:pt>
                <c:pt idx="12">
                  <c:v>Q1 2014</c:v>
                </c:pt>
                <c:pt idx="13">
                  <c:v>Q2 2014</c:v>
                </c:pt>
                <c:pt idx="14">
                  <c:v>Q3 2014</c:v>
                </c:pt>
                <c:pt idx="15">
                  <c:v>Q4 2014</c:v>
                </c:pt>
                <c:pt idx="16">
                  <c:v>Q1 2015</c:v>
                </c:pt>
                <c:pt idx="17">
                  <c:v>Q2 2015</c:v>
                </c:pt>
                <c:pt idx="18">
                  <c:v>Q3 2015</c:v>
                </c:pt>
                <c:pt idx="19">
                  <c:v>Q4 2015</c:v>
                </c:pt>
                <c:pt idx="20">
                  <c:v>Q1 2016</c:v>
                </c:pt>
                <c:pt idx="21">
                  <c:v>Q2 2016</c:v>
                </c:pt>
                <c:pt idx="22">
                  <c:v>Q3 2016</c:v>
                </c:pt>
                <c:pt idx="23">
                  <c:v>Q4 2016</c:v>
                </c:pt>
                <c:pt idx="24">
                  <c:v>Q1 2017</c:v>
                </c:pt>
                <c:pt idx="25">
                  <c:v>Q2 2017</c:v>
                </c:pt>
              </c:strCache>
            </c:strRef>
          </c:cat>
          <c:val>
            <c:numRef>
              <c:f>Sheet1!$C$2:$C$27</c:f>
              <c:numCache>
                <c:formatCode>0.0%</c:formatCode>
                <c:ptCount val="26"/>
                <c:pt idx="0">
                  <c:v>0.11600000000000001</c:v>
                </c:pt>
                <c:pt idx="1">
                  <c:v>0.111</c:v>
                </c:pt>
                <c:pt idx="2">
                  <c:v>0.109</c:v>
                </c:pt>
                <c:pt idx="3">
                  <c:v>0.106</c:v>
                </c:pt>
                <c:pt idx="4">
                  <c:v>0.105</c:v>
                </c:pt>
                <c:pt idx="5">
                  <c:v>0.1</c:v>
                </c:pt>
                <c:pt idx="6">
                  <c:v>9.4178399999999995E-2</c:v>
                </c:pt>
                <c:pt idx="7">
                  <c:v>8.7999999999999995E-2</c:v>
                </c:pt>
                <c:pt idx="8">
                  <c:v>8.5000000000000006E-2</c:v>
                </c:pt>
                <c:pt idx="9">
                  <c:v>8.5365899999999995E-2</c:v>
                </c:pt>
                <c:pt idx="10">
                  <c:v>8.4210499999999994E-2</c:v>
                </c:pt>
                <c:pt idx="11">
                  <c:v>8.1000000000000003E-2</c:v>
                </c:pt>
                <c:pt idx="12">
                  <c:v>7.9000000000000001E-2</c:v>
                </c:pt>
                <c:pt idx="13">
                  <c:v>7.6999999999999999E-2</c:v>
                </c:pt>
                <c:pt idx="14">
                  <c:v>7.6999999999999999E-2</c:v>
                </c:pt>
                <c:pt idx="15">
                  <c:v>7.3999999999999996E-2</c:v>
                </c:pt>
                <c:pt idx="16">
                  <c:v>7.4999999999999997E-2</c:v>
                </c:pt>
                <c:pt idx="17">
                  <c:v>7.2999999999999995E-2</c:v>
                </c:pt>
                <c:pt idx="18">
                  <c:v>7.1999999999999995E-2</c:v>
                </c:pt>
                <c:pt idx="19">
                  <c:v>6.9000000000000006E-2</c:v>
                </c:pt>
                <c:pt idx="20">
                  <c:v>6.4000000000000001E-2</c:v>
                </c:pt>
                <c:pt idx="21">
                  <c:v>6.0999999999999999E-2</c:v>
                </c:pt>
                <c:pt idx="22">
                  <c:v>5.8999999999999997E-2</c:v>
                </c:pt>
                <c:pt idx="23">
                  <c:v>5.5E-2</c:v>
                </c:pt>
                <c:pt idx="24">
                  <c:v>5.0999999999999997E-2</c:v>
                </c:pt>
                <c:pt idx="25">
                  <c:v>4.9000000000000002E-2</c:v>
                </c:pt>
              </c:numCache>
            </c:numRef>
          </c:val>
          <c:smooth val="0"/>
          <c:extLst>
            <c:ext xmlns:c16="http://schemas.microsoft.com/office/drawing/2014/chart" uri="{C3380CC4-5D6E-409C-BE32-E72D297353CC}">
              <c16:uniqueId val="{00000001-FC03-4495-A789-A76B566286B6}"/>
            </c:ext>
          </c:extLst>
        </c:ser>
        <c:dLbls>
          <c:dLblPos val="t"/>
          <c:showLegendKey val="0"/>
          <c:showVal val="1"/>
          <c:showCatName val="0"/>
          <c:showSerName val="0"/>
          <c:showPercent val="0"/>
          <c:showBubbleSize val="0"/>
        </c:dLbls>
        <c:marker val="1"/>
        <c:smooth val="0"/>
        <c:axId val="502148536"/>
        <c:axId val="502151488"/>
      </c:lineChart>
      <c:catAx>
        <c:axId val="502148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502151488"/>
        <c:crosses val="autoZero"/>
        <c:auto val="1"/>
        <c:lblAlgn val="ctr"/>
        <c:lblOffset val="100"/>
        <c:noMultiLvlLbl val="0"/>
      </c:catAx>
      <c:valAx>
        <c:axId val="502151488"/>
        <c:scaling>
          <c:orientation val="minMax"/>
        </c:scaling>
        <c:delete val="0"/>
        <c:axPos val="l"/>
        <c:numFmt formatCode="0.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21485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Percentage of Facilities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Within 1 Decile</c:v>
                </c:pt>
                <c:pt idx="1">
                  <c:v>Between 1 &amp; 2 Deciles</c:v>
                </c:pt>
                <c:pt idx="2">
                  <c:v>Between 2 &amp; 3 Deciles</c:v>
                </c:pt>
                <c:pt idx="3">
                  <c:v>More than 3 Deciles</c:v>
                </c:pt>
              </c:strCache>
            </c:strRef>
          </c:cat>
          <c:val>
            <c:numRef>
              <c:f>Sheet1!$B$2:$B$5</c:f>
              <c:numCache>
                <c:formatCode>0.00%</c:formatCode>
                <c:ptCount val="4"/>
                <c:pt idx="0">
                  <c:v>0.60060000000000002</c:v>
                </c:pt>
                <c:pt idx="1">
                  <c:v>0.18329999999999999</c:v>
                </c:pt>
                <c:pt idx="2">
                  <c:v>0.1053</c:v>
                </c:pt>
                <c:pt idx="3">
                  <c:v>0.1109</c:v>
                </c:pt>
              </c:numCache>
            </c:numRef>
          </c:val>
          <c:extLst>
            <c:ext xmlns:c16="http://schemas.microsoft.com/office/drawing/2014/chart" uri="{C3380CC4-5D6E-409C-BE32-E72D297353CC}">
              <c16:uniqueId val="{00000000-EFFD-4F27-B35A-607CF761B233}"/>
            </c:ext>
          </c:extLst>
        </c:ser>
        <c:dLbls>
          <c:dLblPos val="outEnd"/>
          <c:showLegendKey val="0"/>
          <c:showVal val="1"/>
          <c:showCatName val="0"/>
          <c:showSerName val="0"/>
          <c:showPercent val="0"/>
          <c:showBubbleSize val="0"/>
        </c:dLbls>
        <c:gapWidth val="219"/>
        <c:overlap val="-27"/>
        <c:axId val="220278832"/>
        <c:axId val="220279160"/>
      </c:barChart>
      <c:catAx>
        <c:axId val="220278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0279160"/>
        <c:crosses val="autoZero"/>
        <c:auto val="1"/>
        <c:lblAlgn val="ctr"/>
        <c:lblOffset val="100"/>
        <c:noMultiLvlLbl val="0"/>
      </c:catAx>
      <c:valAx>
        <c:axId val="220279160"/>
        <c:scaling>
          <c:orientation val="minMax"/>
          <c:max val="1"/>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0278832"/>
        <c:crosses val="autoZero"/>
        <c:crossBetween val="between"/>
        <c:min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Percentage of Facilities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Within 1 SD</c:v>
                </c:pt>
                <c:pt idx="1">
                  <c:v>Between 1 &amp; 2 SD</c:v>
                </c:pt>
                <c:pt idx="2">
                  <c:v>Between 2 &amp; 3 SD</c:v>
                </c:pt>
                <c:pt idx="3">
                  <c:v>More than 3 SD</c:v>
                </c:pt>
              </c:strCache>
            </c:strRef>
          </c:cat>
          <c:val>
            <c:numRef>
              <c:f>Sheet1!$B$2:$B$5</c:f>
              <c:numCache>
                <c:formatCode>0.00%</c:formatCode>
                <c:ptCount val="4"/>
                <c:pt idx="0">
                  <c:v>0.77210000000000001</c:v>
                </c:pt>
                <c:pt idx="1">
                  <c:v>0.16869999999999999</c:v>
                </c:pt>
                <c:pt idx="2">
                  <c:v>4.3400000000000001E-2</c:v>
                </c:pt>
                <c:pt idx="3">
                  <c:v>1.5800000000000002E-2</c:v>
                </c:pt>
              </c:numCache>
            </c:numRef>
          </c:val>
          <c:extLst>
            <c:ext xmlns:c16="http://schemas.microsoft.com/office/drawing/2014/chart" uri="{C3380CC4-5D6E-409C-BE32-E72D297353CC}">
              <c16:uniqueId val="{00000000-1637-43B8-AD98-99EB195D7772}"/>
            </c:ext>
          </c:extLst>
        </c:ser>
        <c:dLbls>
          <c:dLblPos val="outEnd"/>
          <c:showLegendKey val="0"/>
          <c:showVal val="1"/>
          <c:showCatName val="0"/>
          <c:showSerName val="0"/>
          <c:showPercent val="0"/>
          <c:showBubbleSize val="0"/>
        </c:dLbls>
        <c:gapWidth val="219"/>
        <c:overlap val="-27"/>
        <c:axId val="445407064"/>
        <c:axId val="445407392"/>
      </c:barChart>
      <c:catAx>
        <c:axId val="445407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5407392"/>
        <c:crosses val="autoZero"/>
        <c:auto val="1"/>
        <c:lblAlgn val="ctr"/>
        <c:lblOffset val="100"/>
        <c:noMultiLvlLbl val="0"/>
      </c:catAx>
      <c:valAx>
        <c:axId val="445407392"/>
        <c:scaling>
          <c:orientation val="minMax"/>
          <c:max val="1"/>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5407064"/>
        <c:crosses val="autoZero"/>
        <c:crossBetween val="between"/>
        <c:min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12D21"/>
    <w:rsid w:val="00017A4C"/>
    <w:rsid w:val="00021F89"/>
    <w:rsid w:val="0009127E"/>
    <w:rsid w:val="000A6B25"/>
    <w:rsid w:val="00127222"/>
    <w:rsid w:val="00143CDD"/>
    <w:rsid w:val="00172973"/>
    <w:rsid w:val="001736D7"/>
    <w:rsid w:val="001848F4"/>
    <w:rsid w:val="00190AF4"/>
    <w:rsid w:val="001C7321"/>
    <w:rsid w:val="001E20CB"/>
    <w:rsid w:val="00223FA3"/>
    <w:rsid w:val="0023662E"/>
    <w:rsid w:val="00266C34"/>
    <w:rsid w:val="002935B5"/>
    <w:rsid w:val="002A288F"/>
    <w:rsid w:val="002C65A7"/>
    <w:rsid w:val="002F052A"/>
    <w:rsid w:val="00307F71"/>
    <w:rsid w:val="0031016B"/>
    <w:rsid w:val="00350176"/>
    <w:rsid w:val="003840F0"/>
    <w:rsid w:val="003F37D4"/>
    <w:rsid w:val="00420FF5"/>
    <w:rsid w:val="00437537"/>
    <w:rsid w:val="004A5680"/>
    <w:rsid w:val="004C624F"/>
    <w:rsid w:val="004D785E"/>
    <w:rsid w:val="004E3CBB"/>
    <w:rsid w:val="00513FC9"/>
    <w:rsid w:val="005245D2"/>
    <w:rsid w:val="0053654E"/>
    <w:rsid w:val="005B74BC"/>
    <w:rsid w:val="005C604C"/>
    <w:rsid w:val="005F728B"/>
    <w:rsid w:val="00610196"/>
    <w:rsid w:val="00613377"/>
    <w:rsid w:val="00632A7E"/>
    <w:rsid w:val="00632AB6"/>
    <w:rsid w:val="00655EF6"/>
    <w:rsid w:val="00676B40"/>
    <w:rsid w:val="006D7917"/>
    <w:rsid w:val="006E0911"/>
    <w:rsid w:val="007006D6"/>
    <w:rsid w:val="00723E05"/>
    <w:rsid w:val="00730B33"/>
    <w:rsid w:val="007436C4"/>
    <w:rsid w:val="00772B2A"/>
    <w:rsid w:val="00776E5E"/>
    <w:rsid w:val="007B4DBC"/>
    <w:rsid w:val="007C672A"/>
    <w:rsid w:val="007D4368"/>
    <w:rsid w:val="00822666"/>
    <w:rsid w:val="00823ECC"/>
    <w:rsid w:val="00826796"/>
    <w:rsid w:val="00833548"/>
    <w:rsid w:val="00834566"/>
    <w:rsid w:val="00866C97"/>
    <w:rsid w:val="0087566B"/>
    <w:rsid w:val="009017AE"/>
    <w:rsid w:val="00957E2C"/>
    <w:rsid w:val="009C542D"/>
    <w:rsid w:val="009E27E0"/>
    <w:rsid w:val="00A01A18"/>
    <w:rsid w:val="00A13BE6"/>
    <w:rsid w:val="00A660B3"/>
    <w:rsid w:val="00A94D71"/>
    <w:rsid w:val="00A95183"/>
    <w:rsid w:val="00AB4085"/>
    <w:rsid w:val="00AB4AF7"/>
    <w:rsid w:val="00AD7C4F"/>
    <w:rsid w:val="00B445F5"/>
    <w:rsid w:val="00B64737"/>
    <w:rsid w:val="00B72F66"/>
    <w:rsid w:val="00BD40CB"/>
    <w:rsid w:val="00C162CB"/>
    <w:rsid w:val="00C362A2"/>
    <w:rsid w:val="00C462B7"/>
    <w:rsid w:val="00C50829"/>
    <w:rsid w:val="00C71B47"/>
    <w:rsid w:val="00C8379D"/>
    <w:rsid w:val="00C90121"/>
    <w:rsid w:val="00C96E73"/>
    <w:rsid w:val="00CA1FE8"/>
    <w:rsid w:val="00CA344F"/>
    <w:rsid w:val="00CA660C"/>
    <w:rsid w:val="00CA6C8C"/>
    <w:rsid w:val="00CE49A1"/>
    <w:rsid w:val="00D1676E"/>
    <w:rsid w:val="00D376CC"/>
    <w:rsid w:val="00DB5B2F"/>
    <w:rsid w:val="00DB7E7D"/>
    <w:rsid w:val="00DC0246"/>
    <w:rsid w:val="00DF50B9"/>
    <w:rsid w:val="00E27518"/>
    <w:rsid w:val="00E4029E"/>
    <w:rsid w:val="00E47E03"/>
    <w:rsid w:val="00E57291"/>
    <w:rsid w:val="00E6518A"/>
    <w:rsid w:val="00F4151F"/>
    <w:rsid w:val="00F4265E"/>
    <w:rsid w:val="00F540AB"/>
    <w:rsid w:val="00F915BA"/>
    <w:rsid w:val="00F9179C"/>
    <w:rsid w:val="00FA7FB4"/>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7F71"/>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0F62A12F-BB39-43A6-BC01-1A1EA5925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37</Pages>
  <Words>15478</Words>
  <Characters>88229</Characters>
  <Application>Microsoft Office Word</Application>
  <DocSecurity>0</DocSecurity>
  <Lines>735</Lines>
  <Paragraphs>206</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103501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dc:description/>
  <cp:lastModifiedBy>RTI</cp:lastModifiedBy>
  <cp:revision>17</cp:revision>
  <cp:lastPrinted>2017-12-18T18:05:00Z</cp:lastPrinted>
  <dcterms:created xsi:type="dcterms:W3CDTF">2018-04-13T20:06:00Z</dcterms:created>
  <dcterms:modified xsi:type="dcterms:W3CDTF">2018-04-16T16:13:00Z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