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551079"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7665CB0B" w14:textId="77777777" w:rsidR="00797624" w:rsidRDefault="00797624" w:rsidP="00105D8B">
      <w:pPr>
        <w:contextualSpacing/>
        <w:rPr>
          <w:rFonts w:cstheme="minorHAnsi"/>
          <w:b/>
          <w:noProof/>
        </w:rPr>
      </w:pPr>
    </w:p>
    <w:p w14:paraId="3A2B6413" w14:textId="7777777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14:paraId="2DAB0924" w14:textId="77777777"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5D3450">
            <w:rPr>
              <w:rStyle w:val="Style1"/>
              <w:rFonts w:cstheme="minorHAnsi"/>
            </w:rPr>
            <w:t xml:space="preserve">Rheumatoid Arthritis: </w:t>
          </w:r>
          <w:r w:rsidR="000232B3">
            <w:rPr>
              <w:rStyle w:val="Style1"/>
              <w:rFonts w:cstheme="minorHAnsi"/>
            </w:rPr>
            <w:t>Assessment of Functional Status</w:t>
          </w:r>
        </w:sdtContent>
      </w:sdt>
    </w:p>
    <w:p w14:paraId="158A748F" w14:textId="77777777"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showingPlcHdr/>
          <w:date>
            <w:dateFormat w:val="M/d/yyyy"/>
            <w:lid w:val="en-US"/>
            <w:storeMappedDataAs w:val="dateTime"/>
            <w:calendar w:val="gregorian"/>
          </w:date>
        </w:sdtPr>
        <w:sdtEndPr>
          <w:rPr>
            <w:rStyle w:val="DefaultParagraphFont"/>
            <w:noProof/>
            <w:color w:val="auto"/>
            <w:u w:val="none"/>
          </w:rPr>
        </w:sdtEndPr>
        <w:sdtContent>
          <w:r w:rsidRPr="00A25024">
            <w:rPr>
              <w:rStyle w:val="PlaceholderText"/>
              <w:rFonts w:cstheme="minorHAnsi"/>
              <w:color w:val="A6A6A6" w:themeColor="background1" w:themeShade="A6"/>
            </w:rPr>
            <w:t>Click here to enter a date</w:t>
          </w:r>
        </w:sdtContent>
      </w:sdt>
    </w:p>
    <w:p w14:paraId="7BA65A8D" w14:textId="77777777"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1D9117E9" w14:textId="77777777" w:rsidTr="000B3880">
        <w:trPr>
          <w:jc w:val="center"/>
        </w:trPr>
        <w:tc>
          <w:tcPr>
            <w:tcW w:w="2547" w:type="pct"/>
          </w:tcPr>
          <w:p w14:paraId="37ECD3CD" w14:textId="77777777" w:rsidR="00CD364B" w:rsidRPr="00B82A57" w:rsidRDefault="009422B4"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13862DA0" w14:textId="77777777" w:rsidR="00CD364B" w:rsidRPr="00B82A57" w:rsidRDefault="009422B4"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59F50B72" w14:textId="77777777" w:rsidTr="000B3880">
        <w:trPr>
          <w:jc w:val="center"/>
        </w:trPr>
        <w:tc>
          <w:tcPr>
            <w:tcW w:w="2547" w:type="pct"/>
          </w:tcPr>
          <w:p w14:paraId="624F15BE" w14:textId="77777777" w:rsidR="00CD364B" w:rsidRPr="00B82A57" w:rsidRDefault="009422B4"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0F01FA89" w14:textId="77777777" w:rsidR="00CD364B" w:rsidRPr="00B82A57" w:rsidRDefault="009422B4"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r w:rsidR="002F2740">
              <w:rPr>
                <w:rFonts w:eastAsia="MS Gothic" w:cstheme="minorHAnsi"/>
                <w:bCs/>
              </w:rPr>
              <w:t xml:space="preserve">  </w:t>
            </w:r>
            <w:r w:rsidR="002F2740" w:rsidRPr="002F2740">
              <w:rPr>
                <w:rFonts w:eastAsia="MS Gothic" w:cstheme="minorHAnsi"/>
                <w:b/>
                <w:bCs/>
              </w:rPr>
              <w:t>(Structured assessment of outcome)</w:t>
            </w:r>
          </w:p>
        </w:tc>
      </w:tr>
      <w:tr w:rsidR="00CD364B" w:rsidRPr="00B82A57" w14:paraId="1A1530F8" w14:textId="77777777" w:rsidTr="000B3880">
        <w:trPr>
          <w:jc w:val="center"/>
        </w:trPr>
        <w:tc>
          <w:tcPr>
            <w:tcW w:w="2547" w:type="pct"/>
          </w:tcPr>
          <w:p w14:paraId="28C4FEAA" w14:textId="77777777" w:rsidR="00CD364B" w:rsidRPr="00B82A57" w:rsidRDefault="009422B4"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286A88F7" w14:textId="77777777" w:rsidR="00CD364B" w:rsidRPr="00B82A57" w:rsidRDefault="009422B4"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3A044747"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4DE25D13" w14:textId="77777777" w:rsidTr="00145149">
        <w:trPr>
          <w:jc w:val="center"/>
        </w:trPr>
        <w:tc>
          <w:tcPr>
            <w:tcW w:w="9576" w:type="dxa"/>
          </w:tcPr>
          <w:p w14:paraId="512F3693" w14:textId="77777777" w:rsidR="00B53E8B" w:rsidRPr="00B53E8B" w:rsidRDefault="00B53E8B" w:rsidP="00B53E8B">
            <w:pPr>
              <w:rPr>
                <w:rFonts w:cstheme="minorHAnsi"/>
                <w:b/>
                <w:noProof/>
              </w:rPr>
            </w:pPr>
            <w:r w:rsidRPr="00B53E8B">
              <w:rPr>
                <w:rFonts w:cstheme="minorHAnsi"/>
                <w:b/>
                <w:noProof/>
              </w:rPr>
              <w:t>Instructions</w:t>
            </w:r>
          </w:p>
          <w:p w14:paraId="1B4D7FB2"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7287E6C"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3786B5E6"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45FD0907"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17502E88"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7A15DAD7"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3379563A"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50EDCD1B"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14:paraId="00197AB2"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525E534F" w14:textId="77777777" w:rsidTr="00145149">
        <w:trPr>
          <w:jc w:val="center"/>
        </w:trPr>
        <w:tc>
          <w:tcPr>
            <w:tcW w:w="9576" w:type="dxa"/>
          </w:tcPr>
          <w:p w14:paraId="6C84BB81"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3B1A3096" w14:textId="77777777" w:rsidR="00B53E8B" w:rsidRPr="00A831B4" w:rsidRDefault="00B53E8B" w:rsidP="00702C73">
            <w:pPr>
              <w:rPr>
                <w:rFonts w:cstheme="minorHAnsi"/>
                <w:b/>
                <w:bCs/>
                <w:sz w:val="20"/>
                <w:szCs w:val="20"/>
              </w:rPr>
            </w:pPr>
          </w:p>
          <w:p w14:paraId="76C6C12E"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41EE07FC" w14:textId="77777777" w:rsidR="00145149" w:rsidRPr="000F034A" w:rsidRDefault="00145149" w:rsidP="00145149">
            <w:pPr>
              <w:autoSpaceDE w:val="0"/>
              <w:autoSpaceDN w:val="0"/>
              <w:adjustRightInd w:val="0"/>
              <w:rPr>
                <w:rFonts w:cstheme="minorHAnsi"/>
                <w:b/>
                <w:iCs/>
              </w:rPr>
            </w:pPr>
          </w:p>
          <w:p w14:paraId="63B51534"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34FB50BF" w14:textId="77777777" w:rsidR="00145149" w:rsidRPr="000F034A" w:rsidRDefault="00145149" w:rsidP="00145149">
            <w:pPr>
              <w:rPr>
                <w:rFonts w:cstheme="minorHAnsi"/>
              </w:rPr>
            </w:pPr>
            <w:bookmarkStart w:id="0" w:name="_Toc256067249"/>
          </w:p>
          <w:p w14:paraId="28557599"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718D299F" w14:textId="77777777" w:rsidR="00145149" w:rsidRPr="000F034A" w:rsidRDefault="00145149" w:rsidP="00145149">
            <w:pPr>
              <w:rPr>
                <w:rFonts w:cstheme="minorHAnsi"/>
                <w:b/>
              </w:rPr>
            </w:pPr>
            <w:r w:rsidRPr="000F034A">
              <w:rPr>
                <w:rFonts w:cstheme="minorHAnsi"/>
                <w:b/>
              </w:rPr>
              <w:t xml:space="preserve">AND </w:t>
            </w:r>
          </w:p>
          <w:p w14:paraId="4F82BE0F"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65C224AE" w14:textId="77777777" w:rsidR="00145149" w:rsidRPr="000F034A" w:rsidRDefault="00145149" w:rsidP="00145149">
            <w:pPr>
              <w:rPr>
                <w:rFonts w:cstheme="minorHAnsi"/>
                <w:b/>
                <w:bCs/>
              </w:rPr>
            </w:pPr>
          </w:p>
          <w:p w14:paraId="6406223E" w14:textId="77777777"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5A5C881A"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2ADE36A5" w14:textId="77777777" w:rsidR="00145149" w:rsidRPr="000F034A" w:rsidRDefault="00145149" w:rsidP="00145149">
            <w:pPr>
              <w:rPr>
                <w:rFonts w:cstheme="minorHAnsi"/>
                <w:b/>
              </w:rPr>
            </w:pPr>
            <w:r w:rsidRPr="000F034A">
              <w:rPr>
                <w:rFonts w:cstheme="minorHAnsi"/>
                <w:b/>
              </w:rPr>
              <w:t>OR</w:t>
            </w:r>
          </w:p>
          <w:p w14:paraId="29E332AE"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0C1C15C8" w14:textId="77777777" w:rsidR="00145149" w:rsidRPr="000F034A" w:rsidRDefault="00145149" w:rsidP="00145149">
            <w:pPr>
              <w:rPr>
                <w:rFonts w:cstheme="minorHAnsi"/>
                <w:b/>
                <w:bCs/>
              </w:rPr>
            </w:pPr>
          </w:p>
          <w:bookmarkEnd w:id="1"/>
          <w:p w14:paraId="2C7C4198"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35ED36F1" w14:textId="77777777" w:rsidR="00145149" w:rsidRPr="000F034A" w:rsidRDefault="00145149" w:rsidP="00145149">
            <w:pPr>
              <w:rPr>
                <w:rFonts w:cstheme="minorHAnsi"/>
              </w:rPr>
            </w:pPr>
            <w:r w:rsidRPr="000F034A">
              <w:rPr>
                <w:rFonts w:cstheme="minorHAnsi"/>
                <w:b/>
              </w:rPr>
              <w:t>OR</w:t>
            </w:r>
          </w:p>
          <w:p w14:paraId="68618368"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7FFB0E09" w14:textId="77777777" w:rsidR="00145149" w:rsidRPr="000F034A" w:rsidRDefault="00145149" w:rsidP="00145149">
            <w:pPr>
              <w:rPr>
                <w:rFonts w:cstheme="minorHAnsi"/>
                <w:b/>
                <w:bCs/>
              </w:rPr>
            </w:pPr>
          </w:p>
          <w:p w14:paraId="5D5666A1"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56AC15F7" w14:textId="77777777" w:rsidR="00E30584" w:rsidRPr="000F034A" w:rsidRDefault="00E30584" w:rsidP="00145149">
            <w:pPr>
              <w:rPr>
                <w:rFonts w:cstheme="minorHAnsi"/>
              </w:rPr>
            </w:pPr>
          </w:p>
          <w:p w14:paraId="22D378A7"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14:paraId="25C862EE" w14:textId="77777777" w:rsidR="00145149" w:rsidRPr="00A831B4" w:rsidRDefault="00145149" w:rsidP="00145149">
            <w:pPr>
              <w:rPr>
                <w:rFonts w:cstheme="minorHAnsi"/>
                <w:b/>
                <w:bCs/>
                <w:sz w:val="20"/>
                <w:szCs w:val="20"/>
              </w:rPr>
            </w:pPr>
          </w:p>
          <w:p w14:paraId="13880A26"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64FA046E"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6688EBBE"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2DC8B490"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14:paraId="07C3B84E"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7A824074" w14:textId="77777777"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71EFA437" w14:textId="77777777"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117BB869" w14:textId="77777777"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7AEDC43" w14:textId="77777777" w:rsidR="00BC0D25" w:rsidRDefault="00BC0D25" w:rsidP="00702C73">
      <w:pPr>
        <w:spacing w:after="0" w:line="240" w:lineRule="auto"/>
        <w:rPr>
          <w:rFonts w:cstheme="minorHAnsi"/>
          <w:noProof/>
        </w:rPr>
      </w:pPr>
    </w:p>
    <w:p w14:paraId="5A44B2A8" w14:textId="77777777" w:rsidR="00702C73" w:rsidRPr="00702C73" w:rsidRDefault="00702C73" w:rsidP="00702C73">
      <w:pPr>
        <w:spacing w:after="0" w:line="240" w:lineRule="auto"/>
        <w:rPr>
          <w:rFonts w:cstheme="minorHAnsi"/>
          <w:noProof/>
        </w:rPr>
      </w:pPr>
    </w:p>
    <w:p w14:paraId="1886B957"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380FE13"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69FCC9D" w14:textId="77777777" w:rsidR="000574AB" w:rsidRPr="00A25024" w:rsidRDefault="000574AB" w:rsidP="008A403A">
      <w:pPr>
        <w:spacing w:after="0" w:line="240" w:lineRule="auto"/>
        <w:rPr>
          <w:rFonts w:cstheme="minorHAnsi"/>
          <w:noProof/>
        </w:rPr>
      </w:pPr>
    </w:p>
    <w:p w14:paraId="3B794EDE"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35FCD503" w14:textId="77777777" w:rsidTr="0014773C">
        <w:trPr>
          <w:jc w:val="center"/>
        </w:trPr>
        <w:tc>
          <w:tcPr>
            <w:tcW w:w="5208" w:type="dxa"/>
            <w:shd w:val="clear" w:color="auto" w:fill="D9D9D9" w:themeFill="background1" w:themeFillShade="D9"/>
          </w:tcPr>
          <w:p w14:paraId="37D37E74"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47A6FFE2"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6CB34F7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6F1E36E2" w14:textId="77777777" w:rsidTr="0014773C">
        <w:trPr>
          <w:jc w:val="center"/>
        </w:trPr>
        <w:tc>
          <w:tcPr>
            <w:tcW w:w="5208" w:type="dxa"/>
          </w:tcPr>
          <w:p w14:paraId="3F8497E6" w14:textId="77777777" w:rsidR="00A01494" w:rsidRPr="00A01494" w:rsidRDefault="009422B4"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5CC43B27" w14:textId="77777777" w:rsidR="00A01494" w:rsidRPr="00A01494" w:rsidRDefault="009422B4"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1B44ABAA" w14:textId="77777777" w:rsidTr="0014773C">
        <w:trPr>
          <w:jc w:val="center"/>
        </w:trPr>
        <w:tc>
          <w:tcPr>
            <w:tcW w:w="5208" w:type="dxa"/>
          </w:tcPr>
          <w:p w14:paraId="752C75A2" w14:textId="77777777" w:rsidR="00A01494" w:rsidRPr="00A01494" w:rsidRDefault="009422B4"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45A9B9AB" w14:textId="77777777" w:rsidR="00A01494" w:rsidRPr="00A01494" w:rsidRDefault="009422B4"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32D90D7C" w14:textId="77777777" w:rsidTr="0014773C">
        <w:trPr>
          <w:jc w:val="center"/>
        </w:trPr>
        <w:tc>
          <w:tcPr>
            <w:tcW w:w="5208" w:type="dxa"/>
          </w:tcPr>
          <w:p w14:paraId="347A6ABB" w14:textId="77777777" w:rsidR="00A01494" w:rsidRPr="00A01494" w:rsidRDefault="009422B4"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575D56D5" w14:textId="77777777" w:rsidR="00A01494" w:rsidRPr="00A01494" w:rsidRDefault="009422B4"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69ECF778" w14:textId="77777777" w:rsidTr="0014773C">
        <w:trPr>
          <w:jc w:val="center"/>
        </w:trPr>
        <w:tc>
          <w:tcPr>
            <w:tcW w:w="5208" w:type="dxa"/>
          </w:tcPr>
          <w:p w14:paraId="4BE71B4C" w14:textId="77777777" w:rsidR="00A01494" w:rsidRPr="00A01494" w:rsidRDefault="009422B4"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7C0F16DC" w14:textId="77777777" w:rsidR="00A01494" w:rsidRPr="00A01494" w:rsidRDefault="009422B4"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41BB1">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0E1B17C5" w14:textId="77777777" w:rsidTr="0014773C">
        <w:trPr>
          <w:jc w:val="center"/>
        </w:trPr>
        <w:tc>
          <w:tcPr>
            <w:tcW w:w="5208" w:type="dxa"/>
          </w:tcPr>
          <w:p w14:paraId="42DEB90B" w14:textId="77777777" w:rsidR="00A01494" w:rsidRPr="00A01494" w:rsidRDefault="009422B4" w:rsidP="00B82A57">
            <w:pPr>
              <w:autoSpaceDE w:val="0"/>
              <w:autoSpaceDN w:val="0"/>
              <w:adjustRightInd w:val="0"/>
              <w:rPr>
                <w:rFonts w:cstheme="minorHAnsi"/>
                <w:bCs/>
              </w:rPr>
            </w:pPr>
            <w:sdt>
              <w:sdtPr>
                <w:rPr>
                  <w:rFonts w:cstheme="minorHAnsi"/>
                  <w:bCs/>
                  <w:color w:val="0000FF"/>
                </w:rPr>
                <w:id w:val="615648267"/>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756DBDE6" w14:textId="749D756B" w:rsidR="00A01494" w:rsidRPr="00A01494" w:rsidRDefault="009422B4" w:rsidP="00DB3627">
            <w:pPr>
              <w:autoSpaceDE w:val="0"/>
              <w:autoSpaceDN w:val="0"/>
              <w:adjustRightInd w:val="0"/>
              <w:rPr>
                <w:rFonts w:cstheme="minorHAnsi"/>
                <w:bCs/>
              </w:rPr>
            </w:pPr>
            <w:sdt>
              <w:sdtPr>
                <w:rPr>
                  <w:rFonts w:cstheme="minorHAnsi"/>
                  <w:bCs/>
                  <w:color w:val="0000FF"/>
                </w:rPr>
                <w:id w:val="498854310"/>
                <w14:checkbox>
                  <w14:checked w14:val="1"/>
                  <w14:checkedState w14:val="2612" w14:font="MS Gothic"/>
                  <w14:uncheckedState w14:val="2610" w14:font="MS Gothic"/>
                </w14:checkbox>
              </w:sdtPr>
              <w:sdtEndPr/>
              <w:sdtContent>
                <w:r w:rsidR="00354180">
                  <w:rPr>
                    <w:rFonts w:ascii="MS Gothic" w:eastAsia="MS Gothic" w:hAnsi="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48B340F3" w14:textId="77777777" w:rsidTr="0014773C">
        <w:trPr>
          <w:jc w:val="center"/>
        </w:trPr>
        <w:tc>
          <w:tcPr>
            <w:tcW w:w="5208" w:type="dxa"/>
          </w:tcPr>
          <w:p w14:paraId="406B93BE" w14:textId="77777777" w:rsidR="00A01494" w:rsidRPr="00A01494" w:rsidRDefault="009422B4"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7A0FBC2F" w14:textId="41F02030" w:rsidR="00A01494" w:rsidRPr="00A01494" w:rsidRDefault="009422B4" w:rsidP="00354180">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other</w:t>
            </w:r>
            <w:sdt>
              <w:sdtPr>
                <w:id w:val="1976178076"/>
                <w:showingPlcHdr/>
                <w:text/>
              </w:sdtPr>
              <w:sdtEndPr/>
              <w:sdtContent>
                <w:r w:rsidR="00354180">
                  <w:t xml:space="preserve">     </w:t>
                </w:r>
              </w:sdtContent>
            </w:sdt>
          </w:p>
        </w:tc>
      </w:tr>
    </w:tbl>
    <w:p w14:paraId="1FCF7715"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75181B12" w14:textId="77777777"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38D37574" w14:textId="77777777" w:rsidR="00C355B9" w:rsidRDefault="00C355B9" w:rsidP="00DB3627">
      <w:pPr>
        <w:autoSpaceDE w:val="0"/>
        <w:autoSpaceDN w:val="0"/>
        <w:adjustRightInd w:val="0"/>
        <w:spacing w:after="0" w:line="240" w:lineRule="auto"/>
        <w:rPr>
          <w:rFonts w:cstheme="minorHAnsi"/>
          <w:bCs/>
        </w:rPr>
      </w:pPr>
    </w:p>
    <w:p w14:paraId="234DBCFB" w14:textId="77777777" w:rsidR="009E1846" w:rsidRDefault="009E1846" w:rsidP="00DB3627">
      <w:pPr>
        <w:autoSpaceDE w:val="0"/>
        <w:autoSpaceDN w:val="0"/>
        <w:adjustRightInd w:val="0"/>
        <w:spacing w:after="0" w:line="240" w:lineRule="auto"/>
        <w:rPr>
          <w:rFonts w:cstheme="minorHAnsi"/>
          <w:b/>
        </w:rPr>
      </w:pPr>
    </w:p>
    <w:p w14:paraId="7857BADA"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5D3450">
            <w:rPr>
              <w:rStyle w:val="Style1"/>
            </w:rPr>
            <w:t>1/2013 to 12/2013</w:t>
          </w:r>
        </w:sdtContent>
      </w:sdt>
    </w:p>
    <w:p w14:paraId="58A83CF2" w14:textId="77777777" w:rsidR="000574AB" w:rsidRDefault="000574AB" w:rsidP="00DB3627">
      <w:pPr>
        <w:autoSpaceDE w:val="0"/>
        <w:autoSpaceDN w:val="0"/>
        <w:adjustRightInd w:val="0"/>
        <w:spacing w:after="0" w:line="240" w:lineRule="auto"/>
        <w:rPr>
          <w:rFonts w:cstheme="minorHAnsi"/>
          <w:bCs/>
        </w:rPr>
      </w:pPr>
    </w:p>
    <w:p w14:paraId="49370494"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73C2FA5D" w14:textId="77777777" w:rsidTr="000414E8">
        <w:trPr>
          <w:jc w:val="center"/>
        </w:trPr>
        <w:tc>
          <w:tcPr>
            <w:tcW w:w="5027" w:type="dxa"/>
            <w:shd w:val="clear" w:color="auto" w:fill="D9D9D9" w:themeFill="background1" w:themeFillShade="D9"/>
          </w:tcPr>
          <w:p w14:paraId="5EB7747C"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3EFCA744"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7DA9BCF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7D490577" w14:textId="77777777" w:rsidTr="000414E8">
        <w:trPr>
          <w:jc w:val="center"/>
        </w:trPr>
        <w:tc>
          <w:tcPr>
            <w:tcW w:w="5027" w:type="dxa"/>
          </w:tcPr>
          <w:p w14:paraId="1A0BA944" w14:textId="77777777" w:rsidR="000414E8" w:rsidRPr="00A01494" w:rsidRDefault="009422B4"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4C694356" w14:textId="77777777" w:rsidR="000414E8" w:rsidRPr="00A01494" w:rsidRDefault="009422B4"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667BD06A" w14:textId="77777777" w:rsidTr="000414E8">
        <w:trPr>
          <w:jc w:val="center"/>
        </w:trPr>
        <w:tc>
          <w:tcPr>
            <w:tcW w:w="5027" w:type="dxa"/>
          </w:tcPr>
          <w:p w14:paraId="7563B484" w14:textId="77777777" w:rsidR="000414E8" w:rsidRPr="00A01494" w:rsidRDefault="009422B4"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D1129C3" w14:textId="77777777" w:rsidR="000414E8" w:rsidRPr="00A01494" w:rsidRDefault="009422B4"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3C4ED7C0" w14:textId="77777777" w:rsidTr="000414E8">
        <w:trPr>
          <w:jc w:val="center"/>
        </w:trPr>
        <w:tc>
          <w:tcPr>
            <w:tcW w:w="5027" w:type="dxa"/>
          </w:tcPr>
          <w:p w14:paraId="36F763A7" w14:textId="77777777" w:rsidR="000414E8" w:rsidRPr="00A01494" w:rsidRDefault="009422B4"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4BB6BBC8" w14:textId="77777777" w:rsidR="000414E8" w:rsidRPr="00A01494" w:rsidRDefault="009422B4"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4E18474D" w14:textId="77777777" w:rsidTr="000414E8">
        <w:trPr>
          <w:jc w:val="center"/>
        </w:trPr>
        <w:tc>
          <w:tcPr>
            <w:tcW w:w="5027" w:type="dxa"/>
          </w:tcPr>
          <w:p w14:paraId="37B7B066" w14:textId="77777777" w:rsidR="000414E8" w:rsidRPr="00A01494" w:rsidRDefault="009422B4"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1CF7161E" w14:textId="77777777" w:rsidR="000414E8" w:rsidRPr="00A01494" w:rsidRDefault="009422B4"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12C90B86" w14:textId="77777777" w:rsidTr="000414E8">
        <w:trPr>
          <w:jc w:val="center"/>
        </w:trPr>
        <w:tc>
          <w:tcPr>
            <w:tcW w:w="5027" w:type="dxa"/>
          </w:tcPr>
          <w:p w14:paraId="14743CFA" w14:textId="77777777" w:rsidR="000414E8" w:rsidRPr="00A01494" w:rsidRDefault="009422B4"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4A53FACB" w14:textId="77777777" w:rsidR="000414E8" w:rsidRPr="00A01494" w:rsidRDefault="009422B4"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45CBDBFC" w14:textId="77777777" w:rsidR="000414E8" w:rsidRPr="00A25024" w:rsidRDefault="000414E8" w:rsidP="00DB3627">
      <w:pPr>
        <w:autoSpaceDE w:val="0"/>
        <w:autoSpaceDN w:val="0"/>
        <w:adjustRightInd w:val="0"/>
        <w:spacing w:after="0" w:line="240" w:lineRule="auto"/>
        <w:rPr>
          <w:rFonts w:cstheme="minorHAnsi"/>
          <w:bCs/>
        </w:rPr>
      </w:pPr>
    </w:p>
    <w:p w14:paraId="38C33740" w14:textId="77777777" w:rsidR="002119AB"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342B70E3" w14:textId="77777777" w:rsidR="00221A04" w:rsidRDefault="00221A04" w:rsidP="00221A04">
      <w:pPr>
        <w:autoSpaceDE w:val="0"/>
        <w:autoSpaceDN w:val="0"/>
        <w:adjustRightInd w:val="0"/>
        <w:spacing w:after="0" w:line="240" w:lineRule="auto"/>
        <w:rPr>
          <w:rFonts w:cstheme="minorHAnsi"/>
          <w:bCs/>
          <w:highlight w:val="yellow"/>
        </w:rPr>
      </w:pPr>
    </w:p>
    <w:p w14:paraId="019677C1" w14:textId="77777777" w:rsidR="00975A68" w:rsidRDefault="00975A68" w:rsidP="00975A68">
      <w:pPr>
        <w:autoSpaceDE w:val="0"/>
        <w:autoSpaceDN w:val="0"/>
        <w:adjustRightInd w:val="0"/>
        <w:spacing w:after="0" w:line="240" w:lineRule="auto"/>
        <w:rPr>
          <w:rFonts w:cstheme="minorHAnsi"/>
          <w:bCs/>
        </w:rPr>
      </w:pPr>
      <w:r>
        <w:rPr>
          <w:rFonts w:cstheme="minorHAnsi"/>
          <w:bCs/>
        </w:rPr>
        <w:t xml:space="preserve">We recruited </w:t>
      </w:r>
      <w:r w:rsidRPr="00C10577">
        <w:rPr>
          <w:rFonts w:cstheme="minorHAnsi"/>
          <w:bCs/>
        </w:rPr>
        <w:t>three</w:t>
      </w:r>
      <w:r>
        <w:rPr>
          <w:rFonts w:cstheme="minorHAnsi"/>
          <w:bCs/>
        </w:rPr>
        <w:t xml:space="preserve"> testing sites that were geographically dispersed, included racial/ethnically diverse patient populations, and that used different electronic health record systems for collection of RA functional status measures.  We have summarized the geographic location and characteristics of the sites in Table 1 below. </w:t>
      </w:r>
    </w:p>
    <w:p w14:paraId="047CDEF0" w14:textId="77777777" w:rsidR="00975A68" w:rsidRDefault="00975A68" w:rsidP="00975A68">
      <w:pPr>
        <w:autoSpaceDE w:val="0"/>
        <w:autoSpaceDN w:val="0"/>
        <w:adjustRightInd w:val="0"/>
        <w:spacing w:after="0" w:line="240" w:lineRule="auto"/>
        <w:rPr>
          <w:rFonts w:cstheme="minorHAnsi"/>
          <w:b/>
          <w:bCs/>
        </w:rPr>
      </w:pPr>
    </w:p>
    <w:p w14:paraId="45815D07" w14:textId="77777777" w:rsidR="00975A68" w:rsidRPr="004B66C9" w:rsidRDefault="00975A68" w:rsidP="00975A68">
      <w:pPr>
        <w:autoSpaceDE w:val="0"/>
        <w:autoSpaceDN w:val="0"/>
        <w:adjustRightInd w:val="0"/>
        <w:spacing w:after="0" w:line="240" w:lineRule="auto"/>
        <w:rPr>
          <w:rFonts w:cstheme="minorHAnsi"/>
          <w:b/>
          <w:bCs/>
        </w:rPr>
      </w:pPr>
      <w:r w:rsidRPr="004B66C9">
        <w:rPr>
          <w:rFonts w:cstheme="minorHAnsi"/>
          <w:b/>
          <w:bCs/>
        </w:rPr>
        <w:lastRenderedPageBreak/>
        <w:t>Table 1.  Geographic location, site characteristics and data sources used for rheumatoid arthritis disease activity quality measure.</w:t>
      </w:r>
    </w:p>
    <w:p w14:paraId="0EDAB197" w14:textId="77777777" w:rsidR="00975A68" w:rsidRDefault="00975A68" w:rsidP="00975A68">
      <w:pPr>
        <w:autoSpaceDE w:val="0"/>
        <w:autoSpaceDN w:val="0"/>
        <w:adjustRightInd w:val="0"/>
        <w:spacing w:after="0" w:line="240" w:lineRule="auto"/>
        <w:rPr>
          <w:rFonts w:cstheme="minorHAnsi"/>
          <w:bCs/>
        </w:rPr>
      </w:pPr>
    </w:p>
    <w:tbl>
      <w:tblPr>
        <w:tblStyle w:val="TableGrid"/>
        <w:tblW w:w="0" w:type="auto"/>
        <w:tblLook w:val="04A0" w:firstRow="1" w:lastRow="0" w:firstColumn="1" w:lastColumn="0" w:noHBand="0" w:noVBand="1"/>
      </w:tblPr>
      <w:tblGrid>
        <w:gridCol w:w="2808"/>
        <w:gridCol w:w="3151"/>
        <w:gridCol w:w="3617"/>
      </w:tblGrid>
      <w:tr w:rsidR="00975A68" w14:paraId="26D76891" w14:textId="77777777" w:rsidTr="00975A68">
        <w:tc>
          <w:tcPr>
            <w:tcW w:w="2808" w:type="dxa"/>
            <w:shd w:val="clear" w:color="auto" w:fill="F2F2F2" w:themeFill="background1" w:themeFillShade="F2"/>
          </w:tcPr>
          <w:p w14:paraId="76DBB27D" w14:textId="77777777" w:rsidR="00975A68" w:rsidRDefault="00975A68" w:rsidP="00975A68">
            <w:pPr>
              <w:autoSpaceDE w:val="0"/>
              <w:autoSpaceDN w:val="0"/>
              <w:adjustRightInd w:val="0"/>
              <w:rPr>
                <w:rFonts w:cstheme="minorHAnsi"/>
                <w:bCs/>
              </w:rPr>
            </w:pPr>
            <w:r>
              <w:rPr>
                <w:rFonts w:cstheme="minorHAnsi"/>
                <w:bCs/>
              </w:rPr>
              <w:t xml:space="preserve">Geographic Location </w:t>
            </w:r>
          </w:p>
        </w:tc>
        <w:tc>
          <w:tcPr>
            <w:tcW w:w="3151" w:type="dxa"/>
            <w:shd w:val="clear" w:color="auto" w:fill="F2F2F2" w:themeFill="background1" w:themeFillShade="F2"/>
          </w:tcPr>
          <w:p w14:paraId="655B4DEF" w14:textId="77777777" w:rsidR="00975A68" w:rsidRDefault="00975A68" w:rsidP="00975A68">
            <w:pPr>
              <w:autoSpaceDE w:val="0"/>
              <w:autoSpaceDN w:val="0"/>
              <w:adjustRightInd w:val="0"/>
              <w:jc w:val="center"/>
              <w:rPr>
                <w:rFonts w:cstheme="minorHAnsi"/>
                <w:bCs/>
              </w:rPr>
            </w:pPr>
            <w:r>
              <w:rPr>
                <w:rFonts w:cstheme="minorHAnsi"/>
                <w:bCs/>
              </w:rPr>
              <w:t>Site Characteristics</w:t>
            </w:r>
          </w:p>
        </w:tc>
        <w:tc>
          <w:tcPr>
            <w:tcW w:w="3617" w:type="dxa"/>
            <w:shd w:val="clear" w:color="auto" w:fill="F2F2F2" w:themeFill="background1" w:themeFillShade="F2"/>
          </w:tcPr>
          <w:p w14:paraId="7AC9B2A5" w14:textId="77777777" w:rsidR="00975A68" w:rsidRDefault="00975A68" w:rsidP="00975A68">
            <w:pPr>
              <w:autoSpaceDE w:val="0"/>
              <w:autoSpaceDN w:val="0"/>
              <w:adjustRightInd w:val="0"/>
              <w:jc w:val="center"/>
              <w:rPr>
                <w:rFonts w:cstheme="minorHAnsi"/>
                <w:bCs/>
              </w:rPr>
            </w:pPr>
            <w:r>
              <w:rPr>
                <w:rFonts w:cstheme="minorHAnsi"/>
                <w:bCs/>
              </w:rPr>
              <w:t>Data Source</w:t>
            </w:r>
          </w:p>
        </w:tc>
      </w:tr>
      <w:tr w:rsidR="00975A68" w14:paraId="3347F17A" w14:textId="77777777" w:rsidTr="00975A68">
        <w:trPr>
          <w:trHeight w:val="170"/>
        </w:trPr>
        <w:tc>
          <w:tcPr>
            <w:tcW w:w="2808" w:type="dxa"/>
          </w:tcPr>
          <w:p w14:paraId="30D349A2" w14:textId="77777777" w:rsidR="00975A68" w:rsidRDefault="00975A68" w:rsidP="00975A68">
            <w:pPr>
              <w:autoSpaceDE w:val="0"/>
              <w:autoSpaceDN w:val="0"/>
              <w:adjustRightInd w:val="0"/>
              <w:rPr>
                <w:rFonts w:cstheme="minorHAnsi"/>
                <w:bCs/>
              </w:rPr>
            </w:pPr>
            <w:r w:rsidRPr="006E7643">
              <w:rPr>
                <w:rFonts w:cstheme="minorHAnsi"/>
                <w:b/>
                <w:bCs/>
              </w:rPr>
              <w:t>Northeast</w:t>
            </w:r>
            <w:r>
              <w:rPr>
                <w:rFonts w:cstheme="minorHAnsi"/>
                <w:bCs/>
              </w:rPr>
              <w:t xml:space="preserve"> United States</w:t>
            </w:r>
          </w:p>
        </w:tc>
        <w:tc>
          <w:tcPr>
            <w:tcW w:w="3151" w:type="dxa"/>
          </w:tcPr>
          <w:p w14:paraId="34BCA637" w14:textId="77777777" w:rsidR="00975A68" w:rsidRDefault="00975A68" w:rsidP="00975A68">
            <w:pPr>
              <w:autoSpaceDE w:val="0"/>
              <w:autoSpaceDN w:val="0"/>
              <w:adjustRightInd w:val="0"/>
              <w:rPr>
                <w:rFonts w:cstheme="minorHAnsi"/>
                <w:bCs/>
              </w:rPr>
            </w:pPr>
            <w:r>
              <w:rPr>
                <w:rFonts w:cstheme="minorHAnsi"/>
                <w:bCs/>
              </w:rPr>
              <w:t xml:space="preserve">Large health system serving a largely </w:t>
            </w:r>
            <w:r w:rsidRPr="00C10577">
              <w:rPr>
                <w:rFonts w:cstheme="minorHAnsi"/>
                <w:bCs/>
                <w:i/>
              </w:rPr>
              <w:t>rural</w:t>
            </w:r>
            <w:r>
              <w:rPr>
                <w:rFonts w:cstheme="minorHAnsi"/>
                <w:bCs/>
              </w:rPr>
              <w:t xml:space="preserve"> population of over 2.6 million over 44 counties.  The rheumatology clinics have over 24,000 patient visits per year.  Within this system, rheumatology clinical encounters were analyzed. </w:t>
            </w:r>
          </w:p>
        </w:tc>
        <w:tc>
          <w:tcPr>
            <w:tcW w:w="3617" w:type="dxa"/>
          </w:tcPr>
          <w:p w14:paraId="44416811" w14:textId="77777777" w:rsidR="00975A68" w:rsidRPr="002B61D1" w:rsidRDefault="00975A68" w:rsidP="00975A68">
            <w:pPr>
              <w:autoSpaceDE w:val="0"/>
              <w:autoSpaceDN w:val="0"/>
              <w:adjustRightInd w:val="0"/>
              <w:rPr>
                <w:rFonts w:cstheme="minorHAnsi"/>
                <w:bCs/>
                <w:i/>
              </w:rPr>
            </w:pPr>
            <w:r w:rsidRPr="002B61D1">
              <w:rPr>
                <w:rFonts w:cstheme="minorHAnsi"/>
                <w:bCs/>
                <w:i/>
              </w:rPr>
              <w:t>Rheum-PACER (Patient Centric</w:t>
            </w:r>
          </w:p>
          <w:p w14:paraId="1C423715" w14:textId="77777777" w:rsidR="00975A68" w:rsidRDefault="00975A68" w:rsidP="00975A68">
            <w:pPr>
              <w:autoSpaceDE w:val="0"/>
              <w:autoSpaceDN w:val="0"/>
              <w:adjustRightInd w:val="0"/>
              <w:rPr>
                <w:rFonts w:cstheme="minorHAnsi"/>
                <w:bCs/>
              </w:rPr>
            </w:pPr>
            <w:r w:rsidRPr="002B61D1">
              <w:rPr>
                <w:rFonts w:cstheme="minorHAnsi"/>
                <w:bCs/>
                <w:i/>
              </w:rPr>
              <w:t>Electronic Redesign).</w:t>
            </w:r>
            <w:r>
              <w:rPr>
                <w:rFonts w:cstheme="minorHAnsi"/>
                <w:bCs/>
              </w:rPr>
              <w:t xml:space="preserve">  This electronic, web-based platform pulls </w:t>
            </w:r>
            <w:r w:rsidRPr="00D23C66">
              <w:rPr>
                <w:rFonts w:cstheme="minorHAnsi"/>
                <w:bCs/>
              </w:rPr>
              <w:t xml:space="preserve">data from </w:t>
            </w:r>
            <w:r>
              <w:rPr>
                <w:rFonts w:cstheme="minorHAnsi"/>
                <w:bCs/>
              </w:rPr>
              <w:t>the health system’s</w:t>
            </w:r>
            <w:r w:rsidRPr="00D23C66">
              <w:rPr>
                <w:rFonts w:cstheme="minorHAnsi"/>
                <w:bCs/>
              </w:rPr>
              <w:t xml:space="preserve"> separate EMR </w:t>
            </w:r>
            <w:r>
              <w:rPr>
                <w:rFonts w:cstheme="minorHAnsi"/>
                <w:bCs/>
              </w:rPr>
              <w:t>as well as a</w:t>
            </w:r>
            <w:r w:rsidRPr="00D23C66">
              <w:rPr>
                <w:rFonts w:cstheme="minorHAnsi"/>
                <w:bCs/>
              </w:rPr>
              <w:t xml:space="preserve"> patient touchscreen questionnaire completed at the start of each </w:t>
            </w:r>
            <w:r>
              <w:rPr>
                <w:rFonts w:cstheme="minorHAnsi"/>
                <w:bCs/>
              </w:rPr>
              <w:t xml:space="preserve">rheumatology </w:t>
            </w:r>
            <w:r w:rsidRPr="00D23C66">
              <w:rPr>
                <w:rFonts w:cstheme="minorHAnsi"/>
                <w:bCs/>
              </w:rPr>
              <w:t xml:space="preserve">visit, </w:t>
            </w:r>
            <w:r>
              <w:rPr>
                <w:rFonts w:cstheme="minorHAnsi"/>
                <w:bCs/>
              </w:rPr>
              <w:t xml:space="preserve">and provides both clinical staff and patients access to outcome measures at the point of care.  </w:t>
            </w:r>
          </w:p>
        </w:tc>
      </w:tr>
      <w:tr w:rsidR="00975A68" w14:paraId="23791E64" w14:textId="77777777" w:rsidTr="00975A68">
        <w:tc>
          <w:tcPr>
            <w:tcW w:w="2808" w:type="dxa"/>
          </w:tcPr>
          <w:p w14:paraId="6A07AEC8" w14:textId="77777777" w:rsidR="00975A68" w:rsidRDefault="00975A68" w:rsidP="00975A68">
            <w:pPr>
              <w:autoSpaceDE w:val="0"/>
              <w:autoSpaceDN w:val="0"/>
              <w:adjustRightInd w:val="0"/>
              <w:rPr>
                <w:rFonts w:cstheme="minorHAnsi"/>
                <w:bCs/>
              </w:rPr>
            </w:pPr>
            <w:r w:rsidRPr="006E7643">
              <w:rPr>
                <w:rFonts w:cstheme="minorHAnsi"/>
                <w:b/>
                <w:bCs/>
              </w:rPr>
              <w:t>Western</w:t>
            </w:r>
            <w:r>
              <w:rPr>
                <w:rFonts w:cstheme="minorHAnsi"/>
                <w:bCs/>
              </w:rPr>
              <w:t xml:space="preserve"> United States</w:t>
            </w:r>
          </w:p>
        </w:tc>
        <w:tc>
          <w:tcPr>
            <w:tcW w:w="3151" w:type="dxa"/>
          </w:tcPr>
          <w:p w14:paraId="43C92A37" w14:textId="77777777" w:rsidR="00975A68" w:rsidRDefault="00975A68" w:rsidP="00975A68">
            <w:pPr>
              <w:autoSpaceDE w:val="0"/>
              <w:autoSpaceDN w:val="0"/>
              <w:adjustRightInd w:val="0"/>
              <w:rPr>
                <w:rFonts w:cstheme="minorHAnsi"/>
                <w:bCs/>
              </w:rPr>
            </w:pPr>
            <w:r>
              <w:rPr>
                <w:rFonts w:cstheme="minorHAnsi"/>
                <w:bCs/>
              </w:rPr>
              <w:t xml:space="preserve">Academic medical center located in an </w:t>
            </w:r>
            <w:r w:rsidRPr="00C10577">
              <w:rPr>
                <w:rFonts w:cstheme="minorHAnsi"/>
                <w:bCs/>
                <w:i/>
              </w:rPr>
              <w:t>urban</w:t>
            </w:r>
            <w:r>
              <w:rPr>
                <w:rFonts w:cstheme="minorHAnsi"/>
                <w:bCs/>
              </w:rPr>
              <w:t xml:space="preserve"> area that serves as a referral center in a geographic region of approximately 1 million residents.   The rheumatology clinics have approximately 3000 patients visits per year.</w:t>
            </w:r>
          </w:p>
        </w:tc>
        <w:tc>
          <w:tcPr>
            <w:tcW w:w="3617" w:type="dxa"/>
          </w:tcPr>
          <w:p w14:paraId="1765479D" w14:textId="77777777" w:rsidR="00975A68" w:rsidRDefault="00975A68" w:rsidP="00975A68">
            <w:pPr>
              <w:autoSpaceDE w:val="0"/>
              <w:autoSpaceDN w:val="0"/>
              <w:adjustRightInd w:val="0"/>
              <w:rPr>
                <w:rFonts w:cstheme="minorHAnsi"/>
                <w:bCs/>
              </w:rPr>
            </w:pPr>
            <w:r w:rsidRPr="002B61D1">
              <w:rPr>
                <w:rFonts w:cstheme="minorHAnsi"/>
                <w:bCs/>
                <w:i/>
              </w:rPr>
              <w:t>Epic-based electronic h</w:t>
            </w:r>
            <w:r>
              <w:rPr>
                <w:rFonts w:cstheme="minorHAnsi"/>
                <w:bCs/>
                <w:i/>
              </w:rPr>
              <w:t>ealth record</w:t>
            </w:r>
            <w:r w:rsidRPr="002B61D1">
              <w:rPr>
                <w:rFonts w:cstheme="minorHAnsi"/>
                <w:bCs/>
                <w:i/>
              </w:rPr>
              <w:t>.</w:t>
            </w:r>
            <w:r>
              <w:rPr>
                <w:rFonts w:cstheme="minorHAnsi"/>
                <w:bCs/>
              </w:rPr>
              <w:t xml:space="preserve">  Documentation </w:t>
            </w:r>
            <w:proofErr w:type="spellStart"/>
            <w:r>
              <w:rPr>
                <w:rFonts w:cstheme="minorHAnsi"/>
                <w:bCs/>
              </w:rPr>
              <w:t>flowsheets</w:t>
            </w:r>
            <w:proofErr w:type="spellEnd"/>
            <w:r>
              <w:rPr>
                <w:rFonts w:cstheme="minorHAnsi"/>
                <w:bCs/>
              </w:rPr>
              <w:t xml:space="preserve"> were constructed within the Epic-based electronic record for collection of disease activity measures during routine rheumatology clinical care.  Outcome measure data is available to both patients and clinicians in real-time within the electronic record.</w:t>
            </w:r>
          </w:p>
        </w:tc>
      </w:tr>
      <w:tr w:rsidR="00975A68" w14:paraId="19D3B207" w14:textId="77777777" w:rsidTr="00975A68">
        <w:tc>
          <w:tcPr>
            <w:tcW w:w="2808" w:type="dxa"/>
          </w:tcPr>
          <w:p w14:paraId="788F9953" w14:textId="77777777" w:rsidR="00975A68" w:rsidRPr="002B61D1" w:rsidRDefault="00975A68" w:rsidP="00975A68">
            <w:pPr>
              <w:autoSpaceDE w:val="0"/>
              <w:autoSpaceDN w:val="0"/>
              <w:adjustRightInd w:val="0"/>
              <w:rPr>
                <w:rFonts w:cstheme="minorHAnsi"/>
                <w:bCs/>
              </w:rPr>
            </w:pPr>
            <w:r w:rsidRPr="002B61D1">
              <w:rPr>
                <w:rFonts w:cstheme="minorHAnsi"/>
                <w:b/>
                <w:bCs/>
              </w:rPr>
              <w:t>Southeastern</w:t>
            </w:r>
            <w:r w:rsidRPr="002B61D1">
              <w:rPr>
                <w:rFonts w:cstheme="minorHAnsi"/>
                <w:bCs/>
              </w:rPr>
              <w:t xml:space="preserve"> United States</w:t>
            </w:r>
          </w:p>
        </w:tc>
        <w:tc>
          <w:tcPr>
            <w:tcW w:w="3151" w:type="dxa"/>
          </w:tcPr>
          <w:p w14:paraId="37F9EB6E" w14:textId="77777777" w:rsidR="00975A68" w:rsidRDefault="00975A68" w:rsidP="00975A68">
            <w:pPr>
              <w:autoSpaceDE w:val="0"/>
              <w:autoSpaceDN w:val="0"/>
              <w:adjustRightInd w:val="0"/>
              <w:rPr>
                <w:rFonts w:cstheme="minorHAnsi"/>
                <w:bCs/>
              </w:rPr>
            </w:pPr>
            <w:r>
              <w:rPr>
                <w:rFonts w:cstheme="minorHAnsi"/>
                <w:bCs/>
              </w:rPr>
              <w:t xml:space="preserve">Large community health system that serves both a </w:t>
            </w:r>
            <w:r w:rsidRPr="002B1BD5">
              <w:rPr>
                <w:rFonts w:cstheme="minorHAnsi"/>
                <w:bCs/>
                <w:i/>
              </w:rPr>
              <w:t>rural and urban</w:t>
            </w:r>
            <w:r>
              <w:rPr>
                <w:rFonts w:cstheme="minorHAnsi"/>
                <w:bCs/>
              </w:rPr>
              <w:t xml:space="preserve"> population in a statewide geographic region.  The rheumatology clinics register over 20,000 visits annually.</w:t>
            </w:r>
          </w:p>
        </w:tc>
        <w:tc>
          <w:tcPr>
            <w:tcW w:w="3617" w:type="dxa"/>
          </w:tcPr>
          <w:p w14:paraId="09C9B28E" w14:textId="77777777" w:rsidR="00975A68" w:rsidRDefault="00975A68" w:rsidP="00975A68">
            <w:pPr>
              <w:autoSpaceDE w:val="0"/>
              <w:autoSpaceDN w:val="0"/>
              <w:adjustRightInd w:val="0"/>
              <w:rPr>
                <w:rFonts w:cstheme="minorHAnsi"/>
                <w:bCs/>
              </w:rPr>
            </w:pPr>
            <w:r w:rsidRPr="002B1BD5">
              <w:rPr>
                <w:rFonts w:cstheme="minorHAnsi"/>
                <w:bCs/>
                <w:i/>
              </w:rPr>
              <w:t>Cerner-based electronic health record</w:t>
            </w:r>
            <w:r>
              <w:rPr>
                <w:rFonts w:cstheme="minorHAnsi"/>
                <w:bCs/>
              </w:rPr>
              <w:t xml:space="preserve">.  Structured fields within the electronic record created to interface with an iPad-based patient data collection system.  Use is being pilot-tested, preliminary data from automated electronic reports and also front-end electronic record reviews are provided. </w:t>
            </w:r>
          </w:p>
        </w:tc>
      </w:tr>
    </w:tbl>
    <w:p w14:paraId="6961721C" w14:textId="77777777" w:rsidR="002B5016" w:rsidRPr="00A25024" w:rsidRDefault="002B5016" w:rsidP="00DB3627">
      <w:pPr>
        <w:autoSpaceDE w:val="0"/>
        <w:autoSpaceDN w:val="0"/>
        <w:adjustRightInd w:val="0"/>
        <w:spacing w:after="0" w:line="240" w:lineRule="auto"/>
        <w:rPr>
          <w:rFonts w:cstheme="minorHAnsi"/>
          <w:bCs/>
        </w:rPr>
      </w:pPr>
    </w:p>
    <w:p w14:paraId="5A638585" w14:textId="77777777" w:rsidR="000232B3"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370627FE" w14:textId="77777777" w:rsidR="002119AB" w:rsidRDefault="002119AB" w:rsidP="00DB3627">
      <w:pPr>
        <w:autoSpaceDE w:val="0"/>
        <w:autoSpaceDN w:val="0"/>
        <w:adjustRightInd w:val="0"/>
        <w:spacing w:after="0" w:line="240" w:lineRule="auto"/>
        <w:rPr>
          <w:rFonts w:cstheme="minorHAnsi"/>
          <w:bCs/>
        </w:rPr>
      </w:pPr>
    </w:p>
    <w:p w14:paraId="02390B9A" w14:textId="77777777" w:rsidR="00221A04" w:rsidRDefault="00221A04" w:rsidP="00221A04">
      <w:pPr>
        <w:autoSpaceDE w:val="0"/>
        <w:autoSpaceDN w:val="0"/>
        <w:adjustRightInd w:val="0"/>
        <w:spacing w:after="0" w:line="240" w:lineRule="auto"/>
        <w:rPr>
          <w:rFonts w:cstheme="minorHAnsi"/>
          <w:bCs/>
        </w:rPr>
      </w:pPr>
    </w:p>
    <w:p w14:paraId="617EBBA1" w14:textId="77777777" w:rsidR="00975A68" w:rsidRDefault="00975A68" w:rsidP="00975A68">
      <w:pPr>
        <w:autoSpaceDE w:val="0"/>
        <w:autoSpaceDN w:val="0"/>
        <w:adjustRightInd w:val="0"/>
        <w:spacing w:after="0" w:line="240" w:lineRule="auto"/>
        <w:rPr>
          <w:rFonts w:cstheme="minorHAnsi"/>
          <w:bCs/>
        </w:rPr>
      </w:pPr>
      <w:r>
        <w:rPr>
          <w:rFonts w:cstheme="minorHAnsi"/>
          <w:bCs/>
        </w:rPr>
        <w:t xml:space="preserve">Data were analyzed at the individual patient level.  </w:t>
      </w:r>
      <w:r w:rsidRPr="005E2B0A">
        <w:rPr>
          <w:rFonts w:cstheme="minorHAnsi"/>
          <w:bCs/>
          <w:i/>
        </w:rPr>
        <w:t>All</w:t>
      </w:r>
      <w:r>
        <w:rPr>
          <w:rFonts w:cstheme="minorHAnsi"/>
          <w:bCs/>
        </w:rPr>
        <w:t xml:space="preserve"> patients receiving care in rheumatology clinics in the Northeastern and Western health systems were eligible for the denominator population if they met inclusion criteria, including </w:t>
      </w:r>
      <w:r>
        <w:rPr>
          <w:rFonts w:ascii="Calibri" w:hAnsi="Calibri" w:cstheme="minorHAnsi"/>
          <w:bCs/>
        </w:rPr>
        <w:t>≥</w:t>
      </w:r>
      <w:r>
        <w:rPr>
          <w:rFonts w:cstheme="minorHAnsi"/>
          <w:bCs/>
        </w:rPr>
        <w:t xml:space="preserve">2 encounters for RA, being over age 18 years, and meeting these criteria over the measurement period of January 2013-December 2013.  For the Southeastern site, only patients who were seen by the 2 providers participating in the site’s pilot project were included.  </w:t>
      </w:r>
    </w:p>
    <w:p w14:paraId="55F10188" w14:textId="77777777" w:rsidR="00221A04" w:rsidRDefault="00221A04" w:rsidP="00221A04">
      <w:pPr>
        <w:jc w:val="both"/>
        <w:rPr>
          <w:rFonts w:eastAsia="Times New Roman"/>
          <w:color w:val="000000"/>
          <w:sz w:val="21"/>
          <w:szCs w:val="21"/>
        </w:rPr>
      </w:pPr>
    </w:p>
    <w:p w14:paraId="19D49A6C" w14:textId="77777777" w:rsidR="00975A68" w:rsidRDefault="00975A68" w:rsidP="00975A68">
      <w:pPr>
        <w:autoSpaceDE w:val="0"/>
        <w:autoSpaceDN w:val="0"/>
        <w:adjustRightInd w:val="0"/>
        <w:spacing w:after="0" w:line="240" w:lineRule="auto"/>
        <w:rPr>
          <w:rFonts w:cstheme="minorHAnsi"/>
          <w:bCs/>
        </w:rPr>
      </w:pPr>
      <w:r>
        <w:rPr>
          <w:rFonts w:cstheme="minorHAnsi"/>
          <w:bCs/>
        </w:rPr>
        <w:t xml:space="preserve">For the front-end chart abstraction, a </w:t>
      </w:r>
      <w:r w:rsidRPr="00041147">
        <w:rPr>
          <w:rFonts w:cstheme="minorHAnsi"/>
          <w:bCs/>
          <w:i/>
        </w:rPr>
        <w:t>simple random sample</w:t>
      </w:r>
      <w:r>
        <w:rPr>
          <w:rFonts w:cstheme="minorHAnsi"/>
          <w:bCs/>
        </w:rPr>
        <w:t xml:space="preserve"> was constructed for the Northeastern and Western sites.  For the Southeastern site, the front-end chart abstraction included the entire </w:t>
      </w:r>
      <w:r>
        <w:rPr>
          <w:rFonts w:cstheme="minorHAnsi"/>
          <w:bCs/>
        </w:rPr>
        <w:lastRenderedPageBreak/>
        <w:t xml:space="preserve">denominator examined.  The </w:t>
      </w:r>
      <w:proofErr w:type="gramStart"/>
      <w:r>
        <w:rPr>
          <w:rFonts w:cstheme="minorHAnsi"/>
          <w:bCs/>
        </w:rPr>
        <w:t>number of patients involved in the testing projects are</w:t>
      </w:r>
      <w:proofErr w:type="gramEnd"/>
      <w:r>
        <w:rPr>
          <w:rFonts w:cstheme="minorHAnsi"/>
          <w:bCs/>
        </w:rPr>
        <w:t xml:space="preserve"> included in Table 2 below.</w:t>
      </w:r>
    </w:p>
    <w:p w14:paraId="0C34D6D0" w14:textId="77777777" w:rsidR="00842CE0" w:rsidRDefault="00842CE0" w:rsidP="00975A68">
      <w:pPr>
        <w:autoSpaceDE w:val="0"/>
        <w:autoSpaceDN w:val="0"/>
        <w:adjustRightInd w:val="0"/>
        <w:spacing w:after="0" w:line="240" w:lineRule="auto"/>
        <w:rPr>
          <w:rFonts w:cstheme="minorHAnsi"/>
          <w:bCs/>
        </w:rPr>
      </w:pPr>
    </w:p>
    <w:p w14:paraId="6221982B" w14:textId="77777777" w:rsidR="00842CE0" w:rsidRPr="00C86EDE" w:rsidRDefault="00842CE0" w:rsidP="00842CE0">
      <w:pPr>
        <w:spacing w:line="240" w:lineRule="auto"/>
        <w:jc w:val="both"/>
        <w:rPr>
          <w:rFonts w:eastAsia="Times New Roman"/>
          <w:b/>
          <w:color w:val="000000"/>
          <w:sz w:val="21"/>
          <w:szCs w:val="21"/>
        </w:rPr>
      </w:pPr>
      <w:r w:rsidRPr="00C86EDE">
        <w:rPr>
          <w:rFonts w:eastAsia="Times New Roman"/>
          <w:b/>
          <w:color w:val="000000"/>
          <w:sz w:val="21"/>
          <w:szCs w:val="21"/>
        </w:rPr>
        <w:t xml:space="preserve">Table 2. </w:t>
      </w:r>
      <w:r>
        <w:rPr>
          <w:rFonts w:eastAsia="Times New Roman"/>
          <w:b/>
          <w:color w:val="000000"/>
          <w:sz w:val="21"/>
          <w:szCs w:val="21"/>
        </w:rPr>
        <w:t>Patient characteristics of individuals with rheumatoid arthritis, by site, for quality measure testing studies.</w:t>
      </w:r>
    </w:p>
    <w:tbl>
      <w:tblPr>
        <w:tblStyle w:val="TableGrid"/>
        <w:tblW w:w="8460" w:type="dxa"/>
        <w:tblLook w:val="04A0" w:firstRow="1" w:lastRow="0" w:firstColumn="1" w:lastColumn="0" w:noHBand="0" w:noVBand="1"/>
      </w:tblPr>
      <w:tblGrid>
        <w:gridCol w:w="2666"/>
        <w:gridCol w:w="1562"/>
        <w:gridCol w:w="2272"/>
        <w:gridCol w:w="1960"/>
      </w:tblGrid>
      <w:tr w:rsidR="00BD6BD0" w14:paraId="74639889" w14:textId="77777777" w:rsidTr="00BD6BD0">
        <w:tc>
          <w:tcPr>
            <w:tcW w:w="2666" w:type="dxa"/>
            <w:shd w:val="clear" w:color="auto" w:fill="F2F2F2" w:themeFill="background1" w:themeFillShade="F2"/>
          </w:tcPr>
          <w:p w14:paraId="3DD782B6" w14:textId="77777777" w:rsidR="00BD6BD0" w:rsidRPr="003321D9" w:rsidRDefault="00BD6BD0" w:rsidP="00842CE0">
            <w:pPr>
              <w:jc w:val="center"/>
              <w:rPr>
                <w:rFonts w:eastAsia="Times New Roman"/>
                <w:color w:val="000000"/>
                <w:sz w:val="21"/>
                <w:szCs w:val="21"/>
              </w:rPr>
            </w:pPr>
            <w:r w:rsidRPr="003321D9">
              <w:rPr>
                <w:rFonts w:eastAsia="Times New Roman"/>
                <w:color w:val="000000"/>
                <w:sz w:val="21"/>
                <w:szCs w:val="21"/>
              </w:rPr>
              <w:t>Site</w:t>
            </w:r>
          </w:p>
        </w:tc>
        <w:tc>
          <w:tcPr>
            <w:tcW w:w="1562" w:type="dxa"/>
            <w:shd w:val="clear" w:color="auto" w:fill="F2F2F2" w:themeFill="background1" w:themeFillShade="F2"/>
          </w:tcPr>
          <w:p w14:paraId="0FBE58D6" w14:textId="77777777" w:rsidR="00BD6BD0" w:rsidRDefault="00BD6BD0" w:rsidP="00842CE0">
            <w:pPr>
              <w:jc w:val="center"/>
              <w:rPr>
                <w:rFonts w:eastAsia="Times New Roman"/>
                <w:color w:val="000000"/>
                <w:sz w:val="21"/>
                <w:szCs w:val="21"/>
              </w:rPr>
            </w:pPr>
            <w:r>
              <w:rPr>
                <w:rFonts w:eastAsia="Times New Roman"/>
                <w:color w:val="000000"/>
                <w:sz w:val="21"/>
                <w:szCs w:val="21"/>
              </w:rPr>
              <w:t>Total E</w:t>
            </w:r>
            <w:r w:rsidRPr="003321D9">
              <w:rPr>
                <w:rFonts w:eastAsia="Times New Roman"/>
                <w:color w:val="000000"/>
                <w:sz w:val="21"/>
                <w:szCs w:val="21"/>
              </w:rPr>
              <w:t>-</w:t>
            </w:r>
            <w:r>
              <w:rPr>
                <w:rFonts w:eastAsia="Times New Roman"/>
                <w:color w:val="000000"/>
                <w:sz w:val="21"/>
                <w:szCs w:val="21"/>
              </w:rPr>
              <w:t>measure P</w:t>
            </w:r>
            <w:r w:rsidRPr="003321D9">
              <w:rPr>
                <w:rFonts w:eastAsia="Times New Roman"/>
                <w:color w:val="000000"/>
                <w:sz w:val="21"/>
                <w:szCs w:val="21"/>
              </w:rPr>
              <w:t>opulation</w:t>
            </w:r>
          </w:p>
          <w:p w14:paraId="1462BF9E" w14:textId="77777777" w:rsidR="00BD6BD0" w:rsidRPr="003321D9" w:rsidRDefault="00BD6BD0" w:rsidP="00842CE0">
            <w:pPr>
              <w:jc w:val="center"/>
              <w:rPr>
                <w:rFonts w:eastAsia="Times New Roman"/>
                <w:color w:val="000000"/>
                <w:sz w:val="21"/>
                <w:szCs w:val="21"/>
              </w:rPr>
            </w:pPr>
            <w:r>
              <w:rPr>
                <w:rFonts w:eastAsia="Times New Roman"/>
                <w:color w:val="000000"/>
                <w:sz w:val="21"/>
                <w:szCs w:val="21"/>
              </w:rPr>
              <w:t>(N)</w:t>
            </w:r>
          </w:p>
        </w:tc>
        <w:tc>
          <w:tcPr>
            <w:tcW w:w="2272" w:type="dxa"/>
            <w:shd w:val="clear" w:color="auto" w:fill="F2F2F2" w:themeFill="background1" w:themeFillShade="F2"/>
          </w:tcPr>
          <w:p w14:paraId="2B5DDAE1" w14:textId="77777777" w:rsidR="00BD6BD0" w:rsidRDefault="00BD6BD0" w:rsidP="00842CE0">
            <w:pPr>
              <w:jc w:val="center"/>
              <w:rPr>
                <w:rFonts w:eastAsia="Times New Roman"/>
                <w:color w:val="000000"/>
                <w:sz w:val="21"/>
                <w:szCs w:val="21"/>
              </w:rPr>
            </w:pPr>
            <w:r w:rsidRPr="003321D9">
              <w:rPr>
                <w:rFonts w:eastAsia="Times New Roman"/>
                <w:color w:val="000000"/>
                <w:sz w:val="21"/>
                <w:szCs w:val="21"/>
              </w:rPr>
              <w:t>Random Sample</w:t>
            </w:r>
            <w:r>
              <w:rPr>
                <w:rFonts w:eastAsia="Times New Roman"/>
                <w:color w:val="000000"/>
                <w:sz w:val="21"/>
                <w:szCs w:val="21"/>
              </w:rPr>
              <w:t xml:space="preserve"> for Front-end EHR review</w:t>
            </w:r>
          </w:p>
          <w:p w14:paraId="4AA2B258" w14:textId="77777777" w:rsidR="00BD6BD0" w:rsidRPr="003321D9" w:rsidRDefault="00BD6BD0" w:rsidP="00842CE0">
            <w:pPr>
              <w:jc w:val="center"/>
              <w:rPr>
                <w:rFonts w:eastAsia="Times New Roman"/>
                <w:color w:val="000000"/>
                <w:sz w:val="21"/>
                <w:szCs w:val="21"/>
              </w:rPr>
            </w:pPr>
            <w:r>
              <w:rPr>
                <w:rFonts w:eastAsia="Times New Roman"/>
                <w:color w:val="000000"/>
                <w:sz w:val="21"/>
                <w:szCs w:val="21"/>
              </w:rPr>
              <w:t>(N)</w:t>
            </w:r>
          </w:p>
        </w:tc>
        <w:tc>
          <w:tcPr>
            <w:tcW w:w="1960" w:type="dxa"/>
            <w:shd w:val="clear" w:color="auto" w:fill="F2F2F2" w:themeFill="background1" w:themeFillShade="F2"/>
          </w:tcPr>
          <w:p w14:paraId="20929EDB" w14:textId="77777777" w:rsidR="00BD6BD0" w:rsidRDefault="00BD6BD0" w:rsidP="00842CE0">
            <w:pPr>
              <w:jc w:val="center"/>
              <w:rPr>
                <w:rFonts w:eastAsia="Times New Roman"/>
                <w:color w:val="000000"/>
                <w:sz w:val="21"/>
                <w:szCs w:val="21"/>
              </w:rPr>
            </w:pPr>
            <w:r>
              <w:rPr>
                <w:rFonts w:eastAsia="Times New Roman"/>
                <w:color w:val="000000"/>
                <w:sz w:val="21"/>
                <w:szCs w:val="21"/>
              </w:rPr>
              <w:t>Sex</w:t>
            </w:r>
          </w:p>
          <w:p w14:paraId="33E507A8" w14:textId="77777777" w:rsidR="00BD6BD0" w:rsidRPr="003321D9" w:rsidRDefault="00BD6BD0" w:rsidP="00842CE0">
            <w:pPr>
              <w:jc w:val="center"/>
              <w:rPr>
                <w:rFonts w:eastAsia="Times New Roman"/>
                <w:color w:val="000000"/>
                <w:sz w:val="21"/>
                <w:szCs w:val="21"/>
              </w:rPr>
            </w:pPr>
            <w:r>
              <w:rPr>
                <w:rFonts w:eastAsia="Times New Roman"/>
                <w:color w:val="000000"/>
                <w:sz w:val="21"/>
                <w:szCs w:val="21"/>
              </w:rPr>
              <w:t>(% female)</w:t>
            </w:r>
          </w:p>
        </w:tc>
      </w:tr>
      <w:tr w:rsidR="00BD6BD0" w14:paraId="3DC41C24" w14:textId="77777777" w:rsidTr="00BD6BD0">
        <w:tc>
          <w:tcPr>
            <w:tcW w:w="2666" w:type="dxa"/>
          </w:tcPr>
          <w:p w14:paraId="2BDFBE2D" w14:textId="77777777" w:rsidR="00BD6BD0" w:rsidRDefault="00BD6BD0" w:rsidP="00842CE0">
            <w:pPr>
              <w:jc w:val="both"/>
              <w:rPr>
                <w:rFonts w:eastAsia="Times New Roman"/>
                <w:color w:val="000000"/>
                <w:sz w:val="21"/>
                <w:szCs w:val="21"/>
              </w:rPr>
            </w:pPr>
            <w:r>
              <w:rPr>
                <w:rFonts w:eastAsia="Times New Roman"/>
                <w:color w:val="000000"/>
                <w:sz w:val="21"/>
                <w:szCs w:val="21"/>
              </w:rPr>
              <w:t>Northeastern site</w:t>
            </w:r>
          </w:p>
        </w:tc>
        <w:tc>
          <w:tcPr>
            <w:tcW w:w="1562" w:type="dxa"/>
            <w:shd w:val="clear" w:color="auto" w:fill="FFFF00"/>
          </w:tcPr>
          <w:p w14:paraId="418F884F" w14:textId="340FB312" w:rsidR="00BD6BD0" w:rsidRDefault="00BD6BD0" w:rsidP="00842CE0">
            <w:pPr>
              <w:jc w:val="center"/>
              <w:rPr>
                <w:rFonts w:eastAsia="Times New Roman"/>
                <w:color w:val="000000"/>
                <w:sz w:val="21"/>
                <w:szCs w:val="21"/>
              </w:rPr>
            </w:pPr>
            <w:r>
              <w:rPr>
                <w:rFonts w:eastAsia="Times New Roman"/>
                <w:color w:val="000000"/>
                <w:sz w:val="21"/>
                <w:szCs w:val="21"/>
              </w:rPr>
              <w:t>1206</w:t>
            </w:r>
          </w:p>
        </w:tc>
        <w:tc>
          <w:tcPr>
            <w:tcW w:w="2272" w:type="dxa"/>
            <w:shd w:val="clear" w:color="auto" w:fill="FFFF00"/>
          </w:tcPr>
          <w:p w14:paraId="3A6D0EE0" w14:textId="77777777" w:rsidR="00BD6BD0" w:rsidRDefault="00BD6BD0" w:rsidP="00842CE0">
            <w:pPr>
              <w:jc w:val="center"/>
              <w:rPr>
                <w:rFonts w:eastAsia="Times New Roman"/>
                <w:color w:val="000000"/>
                <w:sz w:val="21"/>
                <w:szCs w:val="21"/>
              </w:rPr>
            </w:pPr>
            <w:r>
              <w:rPr>
                <w:rFonts w:eastAsia="Times New Roman"/>
                <w:color w:val="000000"/>
                <w:sz w:val="21"/>
                <w:szCs w:val="21"/>
              </w:rPr>
              <w:t>70</w:t>
            </w:r>
          </w:p>
        </w:tc>
        <w:tc>
          <w:tcPr>
            <w:tcW w:w="1960" w:type="dxa"/>
            <w:shd w:val="clear" w:color="auto" w:fill="FFFF00"/>
          </w:tcPr>
          <w:p w14:paraId="30155755" w14:textId="59558704" w:rsidR="00BD6BD0" w:rsidRDefault="00BD6BD0" w:rsidP="00842CE0">
            <w:pPr>
              <w:jc w:val="center"/>
              <w:rPr>
                <w:rFonts w:eastAsia="Times New Roman"/>
                <w:color w:val="000000"/>
                <w:sz w:val="21"/>
                <w:szCs w:val="21"/>
              </w:rPr>
            </w:pPr>
            <w:r>
              <w:rPr>
                <w:rFonts w:eastAsia="Times New Roman"/>
                <w:color w:val="000000"/>
                <w:sz w:val="21"/>
                <w:szCs w:val="21"/>
              </w:rPr>
              <w:t>74%</w:t>
            </w:r>
          </w:p>
        </w:tc>
      </w:tr>
      <w:tr w:rsidR="00BD6BD0" w14:paraId="19A136BC" w14:textId="77777777" w:rsidTr="00BD6BD0">
        <w:tc>
          <w:tcPr>
            <w:tcW w:w="2666" w:type="dxa"/>
          </w:tcPr>
          <w:p w14:paraId="277856C3" w14:textId="77777777" w:rsidR="00BD6BD0" w:rsidRDefault="00BD6BD0" w:rsidP="00842CE0">
            <w:pPr>
              <w:jc w:val="both"/>
              <w:rPr>
                <w:rFonts w:eastAsia="Times New Roman"/>
                <w:color w:val="000000"/>
                <w:sz w:val="21"/>
                <w:szCs w:val="21"/>
              </w:rPr>
            </w:pPr>
            <w:r>
              <w:rPr>
                <w:rFonts w:eastAsia="Times New Roman"/>
                <w:color w:val="000000"/>
                <w:sz w:val="21"/>
                <w:szCs w:val="21"/>
              </w:rPr>
              <w:t>Western site</w:t>
            </w:r>
          </w:p>
        </w:tc>
        <w:tc>
          <w:tcPr>
            <w:tcW w:w="1562" w:type="dxa"/>
            <w:shd w:val="clear" w:color="auto" w:fill="FFFF00"/>
          </w:tcPr>
          <w:p w14:paraId="4EA54DD5" w14:textId="77777777" w:rsidR="00BD6BD0" w:rsidRDefault="00BD6BD0" w:rsidP="00842CE0">
            <w:pPr>
              <w:jc w:val="center"/>
              <w:rPr>
                <w:rFonts w:eastAsia="Times New Roman"/>
                <w:color w:val="000000"/>
                <w:sz w:val="21"/>
                <w:szCs w:val="21"/>
              </w:rPr>
            </w:pPr>
            <w:r>
              <w:rPr>
                <w:rFonts w:eastAsia="Times New Roman"/>
                <w:color w:val="000000"/>
                <w:sz w:val="21"/>
                <w:szCs w:val="21"/>
              </w:rPr>
              <w:t>400</w:t>
            </w:r>
          </w:p>
        </w:tc>
        <w:tc>
          <w:tcPr>
            <w:tcW w:w="2272" w:type="dxa"/>
            <w:shd w:val="clear" w:color="auto" w:fill="FFFF00"/>
          </w:tcPr>
          <w:p w14:paraId="36A7B9CC" w14:textId="77777777" w:rsidR="00BD6BD0" w:rsidRDefault="00BD6BD0" w:rsidP="00842CE0">
            <w:pPr>
              <w:jc w:val="center"/>
              <w:rPr>
                <w:rFonts w:eastAsia="Times New Roman"/>
                <w:color w:val="000000"/>
                <w:sz w:val="21"/>
                <w:szCs w:val="21"/>
              </w:rPr>
            </w:pPr>
            <w:r>
              <w:rPr>
                <w:rFonts w:eastAsia="Times New Roman"/>
                <w:color w:val="000000"/>
                <w:sz w:val="21"/>
                <w:szCs w:val="21"/>
              </w:rPr>
              <w:t>119</w:t>
            </w:r>
          </w:p>
        </w:tc>
        <w:tc>
          <w:tcPr>
            <w:tcW w:w="1960" w:type="dxa"/>
            <w:shd w:val="clear" w:color="auto" w:fill="FFFF00"/>
          </w:tcPr>
          <w:p w14:paraId="3085D74B" w14:textId="37A3D705" w:rsidR="00BD6BD0" w:rsidRDefault="0024230E" w:rsidP="00842CE0">
            <w:pPr>
              <w:jc w:val="center"/>
              <w:rPr>
                <w:rFonts w:eastAsia="Times New Roman"/>
                <w:color w:val="000000"/>
                <w:sz w:val="21"/>
                <w:szCs w:val="21"/>
              </w:rPr>
            </w:pPr>
            <w:r>
              <w:rPr>
                <w:rFonts w:eastAsia="Times New Roman"/>
                <w:color w:val="000000"/>
                <w:sz w:val="21"/>
                <w:szCs w:val="21"/>
              </w:rPr>
              <w:t>83%</w:t>
            </w:r>
            <w:bookmarkStart w:id="11" w:name="_GoBack"/>
            <w:bookmarkEnd w:id="11"/>
          </w:p>
        </w:tc>
      </w:tr>
      <w:tr w:rsidR="00BD6BD0" w14:paraId="5E4429C0" w14:textId="77777777" w:rsidTr="00BD6BD0">
        <w:tc>
          <w:tcPr>
            <w:tcW w:w="2666" w:type="dxa"/>
          </w:tcPr>
          <w:p w14:paraId="58BD7FA5" w14:textId="77777777" w:rsidR="00BD6BD0" w:rsidRDefault="00BD6BD0" w:rsidP="00842CE0">
            <w:pPr>
              <w:rPr>
                <w:rFonts w:eastAsia="Times New Roman"/>
                <w:color w:val="000000"/>
                <w:sz w:val="21"/>
                <w:szCs w:val="21"/>
              </w:rPr>
            </w:pPr>
            <w:r>
              <w:rPr>
                <w:rFonts w:eastAsia="Times New Roman"/>
                <w:color w:val="000000"/>
                <w:sz w:val="21"/>
                <w:szCs w:val="21"/>
              </w:rPr>
              <w:t>Southeastern site</w:t>
            </w:r>
          </w:p>
        </w:tc>
        <w:tc>
          <w:tcPr>
            <w:tcW w:w="1562" w:type="dxa"/>
            <w:shd w:val="clear" w:color="auto" w:fill="FFFF00"/>
          </w:tcPr>
          <w:p w14:paraId="78D6C35E" w14:textId="77777777" w:rsidR="00BD6BD0" w:rsidRDefault="00BD6BD0" w:rsidP="00842CE0">
            <w:pPr>
              <w:jc w:val="center"/>
              <w:rPr>
                <w:rFonts w:eastAsia="Times New Roman"/>
                <w:color w:val="000000"/>
                <w:sz w:val="21"/>
                <w:szCs w:val="21"/>
              </w:rPr>
            </w:pPr>
          </w:p>
        </w:tc>
        <w:tc>
          <w:tcPr>
            <w:tcW w:w="2272" w:type="dxa"/>
            <w:shd w:val="clear" w:color="auto" w:fill="FFFF00"/>
          </w:tcPr>
          <w:p w14:paraId="6211D299" w14:textId="77777777" w:rsidR="00BD6BD0" w:rsidRDefault="00BD6BD0" w:rsidP="00842CE0">
            <w:pPr>
              <w:jc w:val="center"/>
              <w:rPr>
                <w:rFonts w:eastAsia="Times New Roman"/>
                <w:color w:val="000000"/>
                <w:sz w:val="21"/>
                <w:szCs w:val="21"/>
              </w:rPr>
            </w:pPr>
            <w:r>
              <w:rPr>
                <w:rFonts w:eastAsia="Times New Roman"/>
                <w:color w:val="000000"/>
                <w:sz w:val="21"/>
                <w:szCs w:val="21"/>
              </w:rPr>
              <w:t>34</w:t>
            </w:r>
          </w:p>
        </w:tc>
        <w:tc>
          <w:tcPr>
            <w:tcW w:w="1960" w:type="dxa"/>
            <w:shd w:val="clear" w:color="auto" w:fill="FFFF00"/>
          </w:tcPr>
          <w:p w14:paraId="221D6F51" w14:textId="77777777" w:rsidR="00BD6BD0" w:rsidRDefault="00BD6BD0" w:rsidP="00842CE0">
            <w:pPr>
              <w:jc w:val="center"/>
              <w:rPr>
                <w:rFonts w:eastAsia="Times New Roman"/>
                <w:color w:val="000000"/>
                <w:sz w:val="21"/>
                <w:szCs w:val="21"/>
              </w:rPr>
            </w:pPr>
          </w:p>
        </w:tc>
      </w:tr>
    </w:tbl>
    <w:p w14:paraId="780294D8" w14:textId="77777777" w:rsidR="00193581" w:rsidRDefault="00193581" w:rsidP="00DB3627">
      <w:pPr>
        <w:autoSpaceDE w:val="0"/>
        <w:autoSpaceDN w:val="0"/>
        <w:adjustRightInd w:val="0"/>
        <w:spacing w:after="0" w:line="240" w:lineRule="auto"/>
        <w:rPr>
          <w:rFonts w:cstheme="minorHAnsi"/>
          <w:bCs/>
        </w:rPr>
      </w:pPr>
    </w:p>
    <w:p w14:paraId="16152A77" w14:textId="77777777"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450AE4C8"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4DF7A66B"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30B847F0"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28AC9FB3" w14:textId="77777777" w:rsidR="008C54A9" w:rsidRPr="00A25024" w:rsidRDefault="008C54A9" w:rsidP="00DB3627">
      <w:pPr>
        <w:autoSpaceDE w:val="0"/>
        <w:autoSpaceDN w:val="0"/>
        <w:adjustRightInd w:val="0"/>
        <w:spacing w:after="0" w:line="240" w:lineRule="auto"/>
        <w:rPr>
          <w:rFonts w:cstheme="minorHAnsi"/>
          <w:b/>
          <w:bCs/>
        </w:rPr>
      </w:pPr>
    </w:p>
    <w:p w14:paraId="017763E2" w14:textId="4AC4D340"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BD6BD0">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5C3F7E03" w14:textId="77777777" w:rsidR="00641BB1" w:rsidRDefault="00641BB1" w:rsidP="00641BB1">
      <w:pPr>
        <w:autoSpaceDE w:val="0"/>
        <w:autoSpaceDN w:val="0"/>
        <w:adjustRightInd w:val="0"/>
        <w:spacing w:after="0" w:line="240" w:lineRule="auto"/>
      </w:pPr>
      <w:r w:rsidRPr="0075002C">
        <w:t>Please see section “2b2. VALIDITY TESTING” for testing results.</w:t>
      </w:r>
    </w:p>
    <w:p w14:paraId="0AD219AD" w14:textId="77777777" w:rsidR="00221A04" w:rsidRDefault="00221A04" w:rsidP="00221A04">
      <w:pPr>
        <w:autoSpaceDE w:val="0"/>
        <w:autoSpaceDN w:val="0"/>
        <w:adjustRightInd w:val="0"/>
        <w:spacing w:after="0" w:line="240" w:lineRule="auto"/>
        <w:rPr>
          <w:highlight w:val="magenta"/>
        </w:rPr>
      </w:pPr>
    </w:p>
    <w:p w14:paraId="7E2505C4" w14:textId="6AF5E6B4"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BD6BD0" w:rsidRPr="0075002C">
        <w:t xml:space="preserve">Please see section “2b2. </w:t>
      </w:r>
      <w:proofErr w:type="gramStart"/>
      <w:r w:rsidR="00BD6BD0" w:rsidRPr="0075002C">
        <w:t>VALIDITY TESTING” for testing results</w:t>
      </w:r>
      <w:r w:rsidR="00BD6BD0">
        <w:t>.</w:t>
      </w:r>
      <w:proofErr w:type="gramEnd"/>
    </w:p>
    <w:p w14:paraId="4C6EBEC5" w14:textId="77777777" w:rsidR="00BD6BD0" w:rsidRDefault="00BD6BD0" w:rsidP="00842CE0">
      <w:pPr>
        <w:spacing w:after="0"/>
      </w:pPr>
    </w:p>
    <w:p w14:paraId="6D5B2B4F" w14:textId="36934FF2" w:rsidR="00842CE0" w:rsidRPr="00A75BC5" w:rsidRDefault="00842CE0" w:rsidP="00842CE0">
      <w:pPr>
        <w:spacing w:after="0"/>
      </w:pPr>
      <w:r w:rsidRPr="00B6496D">
        <w:t>As noted</w:t>
      </w:r>
      <w:r>
        <w:t xml:space="preserve"> above, because this is an e-measure, data is by definition reliable.  The focus of testing was on data element and overall score validity</w:t>
      </w:r>
      <w:r w:rsidR="00BD6BD0">
        <w:t xml:space="preserve">. </w:t>
      </w:r>
      <w:r>
        <w:t>See more detailed information under validity below.</w:t>
      </w:r>
    </w:p>
    <w:p w14:paraId="5D996052" w14:textId="77777777" w:rsidR="00221A04" w:rsidRDefault="00221A04" w:rsidP="00DB3627">
      <w:pPr>
        <w:autoSpaceDE w:val="0"/>
        <w:autoSpaceDN w:val="0"/>
        <w:adjustRightInd w:val="0"/>
        <w:spacing w:after="0" w:line="240" w:lineRule="auto"/>
        <w:rPr>
          <w:rFonts w:cstheme="minorHAnsi"/>
          <w:b/>
          <w:bCs/>
        </w:rPr>
      </w:pPr>
    </w:p>
    <w:p w14:paraId="601115E9" w14:textId="77777777"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0A82699C" w14:textId="77777777" w:rsidR="00842CE0" w:rsidRDefault="00842CE0" w:rsidP="00842CE0">
      <w:pPr>
        <w:autoSpaceDE w:val="0"/>
        <w:autoSpaceDN w:val="0"/>
        <w:adjustRightInd w:val="0"/>
        <w:spacing w:after="0" w:line="240" w:lineRule="auto"/>
        <w:rPr>
          <w:rFonts w:cstheme="minorHAnsi"/>
          <w:bCs/>
        </w:rPr>
      </w:pPr>
      <w:r w:rsidRPr="00B6496D">
        <w:t>Data elements for this quality measure were extracted from EHRs using computer programming, and therefore by virtue of automation this process is repeatable (reliable); however, because data can be incorrect, testing focused on validity.</w:t>
      </w:r>
      <w:r>
        <w:t xml:space="preserve">  Validity testing is outlined in detail below.</w:t>
      </w:r>
      <w:r>
        <w:rPr>
          <w:rFonts w:cstheme="minorHAnsi"/>
          <w:bCs/>
        </w:rPr>
        <w:t xml:space="preserve">  Briefly, according to </w:t>
      </w:r>
      <w:proofErr w:type="spellStart"/>
      <w:r>
        <w:rPr>
          <w:rFonts w:cstheme="minorHAnsi"/>
          <w:bCs/>
        </w:rPr>
        <w:t>cutpoints</w:t>
      </w:r>
      <w:proofErr w:type="spellEnd"/>
      <w:r>
        <w:rPr>
          <w:rFonts w:cstheme="minorHAnsi"/>
          <w:bCs/>
        </w:rPr>
        <w:t xml:space="preserve"> that are commonly accepted (</w:t>
      </w:r>
      <w:r w:rsidRPr="00A75BC5">
        <w:rPr>
          <w:rFonts w:cstheme="minorHAnsi"/>
          <w:bCs/>
          <w:i/>
        </w:rPr>
        <w:t xml:space="preserve">Landis J, Koch G, The measurement of observer agreement for </w:t>
      </w:r>
      <w:r w:rsidRPr="00A75BC5">
        <w:rPr>
          <w:rFonts w:cstheme="minorHAnsi"/>
          <w:bCs/>
          <w:i/>
        </w:rPr>
        <w:lastRenderedPageBreak/>
        <w:t>categorical data, Biometrics, 1977;33:159-174.)</w:t>
      </w:r>
      <w:r>
        <w:rPr>
          <w:rFonts w:cstheme="minorHAnsi"/>
          <w:bCs/>
        </w:rPr>
        <w:t>, the overall Kappa in this study falls into the “near perfect” category.  Validity testing results are discussed in more detail below.</w:t>
      </w:r>
    </w:p>
    <w:p w14:paraId="481A309B" w14:textId="77777777" w:rsidR="00221A04" w:rsidRDefault="00221A04" w:rsidP="00DB3627">
      <w:pPr>
        <w:autoSpaceDE w:val="0"/>
        <w:autoSpaceDN w:val="0"/>
        <w:adjustRightInd w:val="0"/>
        <w:spacing w:after="0" w:line="240" w:lineRule="auto"/>
        <w:rPr>
          <w:rFonts w:cstheme="minorHAnsi"/>
          <w:bCs/>
        </w:rPr>
      </w:pPr>
    </w:p>
    <w:p w14:paraId="5EDB58A7"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1FE4F9DA"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2E51EB5A" w14:textId="77777777"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17BE964B" w14:textId="77777777" w:rsidR="00696262" w:rsidRPr="00A25024" w:rsidRDefault="009422B4"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5987060" w14:textId="77777777" w:rsidR="000574AB" w:rsidRPr="00A25024" w:rsidRDefault="009422B4"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5D3450">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441BBE09" w14:textId="77777777" w:rsidR="00CA06D8" w:rsidRPr="00A25024" w:rsidRDefault="00CA06D8" w:rsidP="00DB3627">
      <w:pPr>
        <w:autoSpaceDE w:val="0"/>
        <w:autoSpaceDN w:val="0"/>
        <w:adjustRightInd w:val="0"/>
        <w:spacing w:after="0" w:line="240" w:lineRule="auto"/>
        <w:rPr>
          <w:rFonts w:cstheme="minorHAnsi"/>
        </w:rPr>
      </w:pPr>
    </w:p>
    <w:p w14:paraId="77562AB8" w14:textId="77777777" w:rsidR="00D50704" w:rsidRPr="00A25024" w:rsidRDefault="00D50704" w:rsidP="00DB3627">
      <w:pPr>
        <w:autoSpaceDE w:val="0"/>
        <w:autoSpaceDN w:val="0"/>
        <w:adjustRightInd w:val="0"/>
        <w:spacing w:after="0" w:line="240" w:lineRule="auto"/>
        <w:rPr>
          <w:rFonts w:cstheme="minorHAnsi"/>
          <w:bCs/>
        </w:rPr>
      </w:pPr>
    </w:p>
    <w:p w14:paraId="3FB1D1AD" w14:textId="77777777" w:rsidR="00221A04" w:rsidRDefault="00092566" w:rsidP="00DB3627">
      <w:pPr>
        <w:autoSpaceDE w:val="0"/>
        <w:autoSpaceDN w:val="0"/>
        <w:adjustRightInd w:val="0"/>
        <w:spacing w:after="0" w:line="240" w:lineRule="auto"/>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23C5A501" w14:textId="77777777" w:rsidR="00833C77" w:rsidRDefault="00833C77" w:rsidP="00833C77">
      <w:pPr>
        <w:autoSpaceDE w:val="0"/>
        <w:autoSpaceDN w:val="0"/>
        <w:adjustRightInd w:val="0"/>
        <w:spacing w:after="0" w:line="240" w:lineRule="auto"/>
      </w:pPr>
      <w:r>
        <w:t>Below, we discuss 3 different aspects of validity that are relevant to the proposed measure.  These include:  1</w:t>
      </w:r>
      <w:proofErr w:type="gramStart"/>
      <w:r>
        <w:t>)  Validity</w:t>
      </w:r>
      <w:proofErr w:type="gramEnd"/>
      <w:r>
        <w:t xml:space="preserve"> of the performance measure score, obtained through comparison of automated e-measure data compared to a front-end total EHR data abstraction and 2)  Validity of critical data elements, and 3) Systematic assessment of face validity using the ACR’s quality measure development process.  </w:t>
      </w:r>
      <w:r w:rsidRPr="00BA05D7">
        <w:rPr>
          <w:i/>
        </w:rPr>
        <w:t>Reviewers are referred to materials elsewhere in the application that discuss the scientific literature supporting extensive validity studies of the measurement tools themselves, including their content and construct validity, responsiveness and comparability.</w:t>
      </w:r>
    </w:p>
    <w:p w14:paraId="7057D1F4" w14:textId="77777777" w:rsidR="00833C77" w:rsidRDefault="00833C77" w:rsidP="00DB3627">
      <w:pPr>
        <w:autoSpaceDE w:val="0"/>
        <w:autoSpaceDN w:val="0"/>
        <w:adjustRightInd w:val="0"/>
        <w:spacing w:after="0" w:line="240" w:lineRule="auto"/>
      </w:pPr>
    </w:p>
    <w:p w14:paraId="741E7F7D" w14:textId="77777777" w:rsidR="00833C77" w:rsidRDefault="00833C77" w:rsidP="00833C77">
      <w:pPr>
        <w:autoSpaceDE w:val="0"/>
        <w:autoSpaceDN w:val="0"/>
        <w:adjustRightInd w:val="0"/>
        <w:spacing w:after="0" w:line="240" w:lineRule="auto"/>
      </w:pPr>
      <w:r>
        <w:rPr>
          <w:b/>
          <w:u w:val="single"/>
        </w:rPr>
        <w:t xml:space="preserve">1.  </w:t>
      </w:r>
      <w:r w:rsidRPr="00E54DA3">
        <w:rPr>
          <w:b/>
          <w:u w:val="single"/>
        </w:rPr>
        <w:t>Performance measure score validity</w:t>
      </w:r>
      <w:r>
        <w:t xml:space="preserve">.  </w:t>
      </w:r>
      <w:r w:rsidRPr="0075002C">
        <w:t>Data abstracted from randomly sampled patient records were used to calculate parallel forms reliability for the measure.  Patient charts for abstraction were selected from visits for rheumatoid arthritis for</w:t>
      </w:r>
      <w:r>
        <w:t xml:space="preserve"> adult</w:t>
      </w:r>
      <w:r w:rsidRPr="0075002C">
        <w:t xml:space="preserve"> patients with two or more face-to-face encounters for rheumatoid arthritis during the measurement period.</w:t>
      </w:r>
    </w:p>
    <w:p w14:paraId="510DD65F" w14:textId="77777777" w:rsidR="00833C77" w:rsidRDefault="00833C77" w:rsidP="00833C77">
      <w:pPr>
        <w:autoSpaceDE w:val="0"/>
        <w:autoSpaceDN w:val="0"/>
        <w:adjustRightInd w:val="0"/>
        <w:spacing w:after="0" w:line="240" w:lineRule="auto"/>
        <w:rPr>
          <w:rFonts w:cstheme="minorHAnsi"/>
          <w:bCs/>
        </w:rPr>
      </w:pPr>
    </w:p>
    <w:p w14:paraId="1AE5CD03" w14:textId="77777777" w:rsidR="00833C77" w:rsidRDefault="00833C77" w:rsidP="00833C77">
      <w:pPr>
        <w:autoSpaceDE w:val="0"/>
        <w:autoSpaceDN w:val="0"/>
        <w:adjustRightInd w:val="0"/>
        <w:spacing w:after="0" w:line="240" w:lineRule="auto"/>
        <w:rPr>
          <w:rFonts w:cstheme="minorHAnsi"/>
          <w:bCs/>
        </w:rPr>
      </w:pPr>
      <w:r w:rsidRPr="00E54DA3">
        <w:rPr>
          <w:rFonts w:cstheme="minorHAnsi"/>
          <w:bCs/>
        </w:rPr>
        <w:t>We examined whether EHR specifications and data exported electronically from the EHR were valid when compared to a front-end chart abstraction of the entire EHR by trained reviewers.  From the population in which the e-measure was applied, we either reviewed all patient records</w:t>
      </w:r>
      <w:r>
        <w:rPr>
          <w:rFonts w:cstheme="minorHAnsi"/>
          <w:bCs/>
        </w:rPr>
        <w:t xml:space="preserve"> (Southeastern site)</w:t>
      </w:r>
      <w:r w:rsidRPr="00E54DA3">
        <w:rPr>
          <w:rFonts w:cstheme="minorHAnsi"/>
          <w:bCs/>
        </w:rPr>
        <w:t xml:space="preserve"> or created a simple random sample</w:t>
      </w:r>
      <w:r>
        <w:rPr>
          <w:rFonts w:cstheme="minorHAnsi"/>
          <w:bCs/>
        </w:rPr>
        <w:t xml:space="preserve"> (Northeastern and Western sites)</w:t>
      </w:r>
      <w:r w:rsidRPr="00E54DA3">
        <w:rPr>
          <w:rFonts w:cstheme="minorHAnsi"/>
          <w:bCs/>
        </w:rPr>
        <w:t xml:space="preserve"> for front-end abstraction.  </w:t>
      </w:r>
      <w:r>
        <w:rPr>
          <w:rFonts w:cstheme="minorHAnsi"/>
          <w:bCs/>
        </w:rPr>
        <w:t xml:space="preserve">For the characteristics of sampled patients, please see Table 2 above.  </w:t>
      </w:r>
    </w:p>
    <w:p w14:paraId="7CF69F0A" w14:textId="77777777" w:rsidR="00833C77" w:rsidRDefault="00833C77" w:rsidP="00833C77">
      <w:pPr>
        <w:autoSpaceDE w:val="0"/>
        <w:autoSpaceDN w:val="0"/>
        <w:adjustRightInd w:val="0"/>
        <w:spacing w:after="0" w:line="240" w:lineRule="auto"/>
        <w:rPr>
          <w:rFonts w:cstheme="minorHAnsi"/>
          <w:bCs/>
        </w:rPr>
      </w:pPr>
    </w:p>
    <w:p w14:paraId="1C403041" w14:textId="77777777" w:rsidR="00833C77" w:rsidRDefault="00833C77" w:rsidP="00833C77">
      <w:pPr>
        <w:autoSpaceDE w:val="0"/>
        <w:autoSpaceDN w:val="0"/>
        <w:adjustRightInd w:val="0"/>
        <w:spacing w:after="0" w:line="240" w:lineRule="auto"/>
        <w:rPr>
          <w:rFonts w:cstheme="minorHAnsi"/>
          <w:bCs/>
        </w:rPr>
      </w:pPr>
      <w:r w:rsidRPr="00E54DA3">
        <w:rPr>
          <w:rFonts w:cstheme="minorHAnsi"/>
          <w:bCs/>
        </w:rPr>
        <w:t xml:space="preserve">Reviewers recorded relevant data elements </w:t>
      </w:r>
      <w:r>
        <w:rPr>
          <w:rFonts w:cstheme="minorHAnsi"/>
          <w:bCs/>
        </w:rPr>
        <w:t>using a structured data entry process</w:t>
      </w:r>
      <w:r w:rsidRPr="00E54DA3">
        <w:rPr>
          <w:rFonts w:cstheme="minorHAnsi"/>
          <w:bCs/>
        </w:rPr>
        <w:t>.</w:t>
      </w:r>
      <w:r>
        <w:rPr>
          <w:rFonts w:cstheme="minorHAnsi"/>
          <w:bCs/>
        </w:rPr>
        <w:t xml:space="preserve"> </w:t>
      </w:r>
      <w:r w:rsidRPr="00E54DA3">
        <w:rPr>
          <w:rFonts w:cstheme="minorHAnsi"/>
          <w:bCs/>
        </w:rPr>
        <w:t xml:space="preserve"> Overall performance rates using the automatically exported data as specified by the e-measure were compared to the front-end abstraction results by calculating a kappa coefficient, a statistical measure of inter-rater agreement.</w:t>
      </w:r>
    </w:p>
    <w:p w14:paraId="6587FD8F" w14:textId="77777777" w:rsidR="00833C77" w:rsidRDefault="00833C77" w:rsidP="00833C77">
      <w:pPr>
        <w:autoSpaceDE w:val="0"/>
        <w:autoSpaceDN w:val="0"/>
        <w:adjustRightInd w:val="0"/>
        <w:spacing w:after="0" w:line="240" w:lineRule="auto"/>
        <w:rPr>
          <w:rFonts w:cstheme="minorHAnsi"/>
          <w:bCs/>
        </w:rPr>
      </w:pPr>
    </w:p>
    <w:p w14:paraId="2D174FE3" w14:textId="77777777" w:rsidR="00833C77" w:rsidRDefault="00833C77" w:rsidP="00833C77">
      <w:pPr>
        <w:autoSpaceDE w:val="0"/>
        <w:autoSpaceDN w:val="0"/>
        <w:adjustRightInd w:val="0"/>
        <w:spacing w:after="0" w:line="240" w:lineRule="auto"/>
        <w:rPr>
          <w:rFonts w:cstheme="minorHAnsi"/>
          <w:bCs/>
        </w:rPr>
      </w:pPr>
      <w:r>
        <w:rPr>
          <w:rFonts w:cstheme="minorHAnsi"/>
          <w:bCs/>
        </w:rPr>
        <w:t xml:space="preserve">To ensure data integrity, additional measures were taken.  For example, one site was instructed to blind reviewers to the results of the automated report.  Each record underwent front-end review by two separate reviewers, and conflicts in this front-end data abstraction were adjudicated by the project lead investigator (conflicts N=0 out of 119, front-end inter-rater reliability kappa=1.0).  </w:t>
      </w:r>
    </w:p>
    <w:p w14:paraId="72607162" w14:textId="77777777" w:rsidR="00833C77" w:rsidRDefault="00833C77" w:rsidP="00DB3627">
      <w:pPr>
        <w:autoSpaceDE w:val="0"/>
        <w:autoSpaceDN w:val="0"/>
        <w:adjustRightInd w:val="0"/>
        <w:spacing w:after="0" w:line="240" w:lineRule="auto"/>
      </w:pPr>
    </w:p>
    <w:p w14:paraId="78EAA619" w14:textId="77777777" w:rsidR="00833C77" w:rsidRDefault="00833C77" w:rsidP="00833C77">
      <w:pPr>
        <w:autoSpaceDE w:val="0"/>
        <w:autoSpaceDN w:val="0"/>
        <w:adjustRightInd w:val="0"/>
        <w:spacing w:after="0" w:line="240" w:lineRule="auto"/>
        <w:rPr>
          <w:rFonts w:cstheme="minorHAnsi"/>
          <w:b/>
          <w:bCs/>
          <w:u w:val="single"/>
        </w:rPr>
      </w:pPr>
      <w:r w:rsidRPr="0026439D">
        <w:rPr>
          <w:rFonts w:cstheme="minorHAnsi"/>
          <w:b/>
          <w:bCs/>
          <w:u w:val="single"/>
        </w:rPr>
        <w:t>2.  Critical data element validity.</w:t>
      </w:r>
    </w:p>
    <w:p w14:paraId="5CF303B1" w14:textId="77777777" w:rsidR="00833C77" w:rsidRDefault="00833C77" w:rsidP="00833C77">
      <w:pPr>
        <w:autoSpaceDE w:val="0"/>
        <w:autoSpaceDN w:val="0"/>
        <w:adjustRightInd w:val="0"/>
        <w:spacing w:after="0" w:line="240" w:lineRule="auto"/>
        <w:rPr>
          <w:rFonts w:cstheme="minorHAnsi"/>
          <w:b/>
          <w:bCs/>
          <w:u w:val="single"/>
        </w:rPr>
      </w:pPr>
    </w:p>
    <w:p w14:paraId="71E18BD1" w14:textId="77777777" w:rsidR="00833C77" w:rsidRPr="00537403" w:rsidRDefault="00833C77" w:rsidP="00833C77">
      <w:pPr>
        <w:autoSpaceDE w:val="0"/>
        <w:autoSpaceDN w:val="0"/>
        <w:adjustRightInd w:val="0"/>
        <w:spacing w:after="0" w:line="240" w:lineRule="auto"/>
        <w:rPr>
          <w:rFonts w:cstheme="minorHAnsi"/>
          <w:bCs/>
        </w:rPr>
      </w:pPr>
      <w:r w:rsidRPr="00293A24">
        <w:rPr>
          <w:rFonts w:cstheme="minorHAnsi"/>
          <w:b/>
          <w:bCs/>
        </w:rPr>
        <w:t>For the QDM data element “Diagnosis: Rheumatoid Arthritis”</w:t>
      </w:r>
      <w:r w:rsidRPr="0026439D">
        <w:rPr>
          <w:rFonts w:cstheme="minorHAnsi"/>
          <w:bCs/>
        </w:rPr>
        <w:t xml:space="preserve"> </w:t>
      </w:r>
      <w:r>
        <w:rPr>
          <w:rFonts w:cstheme="minorHAnsi"/>
          <w:bCs/>
        </w:rPr>
        <w:t xml:space="preserve">front-end chart review found </w:t>
      </w:r>
      <w:r w:rsidRPr="0026439D">
        <w:rPr>
          <w:rFonts w:cstheme="minorHAnsi"/>
          <w:bCs/>
        </w:rPr>
        <w:t>disagreement in 1.8%</w:t>
      </w:r>
      <w:r>
        <w:rPr>
          <w:rFonts w:cstheme="minorHAnsi"/>
          <w:bCs/>
        </w:rPr>
        <w:t xml:space="preserve"> of cases compared to the automated report</w:t>
      </w:r>
      <w:r w:rsidRPr="0026439D">
        <w:rPr>
          <w:rFonts w:cstheme="minorHAnsi"/>
          <w:bCs/>
        </w:rPr>
        <w:t xml:space="preserve">. </w:t>
      </w:r>
      <w:r>
        <w:rPr>
          <w:rFonts w:cstheme="minorHAnsi"/>
          <w:bCs/>
        </w:rPr>
        <w:t xml:space="preserve"> </w:t>
      </w:r>
      <w:r w:rsidRPr="0026439D">
        <w:rPr>
          <w:rFonts w:cstheme="minorHAnsi"/>
          <w:bCs/>
        </w:rPr>
        <w:t xml:space="preserve">These instances resulted from the provider improperly coding the </w:t>
      </w:r>
      <w:r>
        <w:rPr>
          <w:rFonts w:cstheme="minorHAnsi"/>
          <w:bCs/>
        </w:rPr>
        <w:t xml:space="preserve">patient’s </w:t>
      </w:r>
      <w:r w:rsidRPr="0026439D">
        <w:rPr>
          <w:rFonts w:cstheme="minorHAnsi"/>
          <w:bCs/>
        </w:rPr>
        <w:t>diagnosis as RA</w:t>
      </w:r>
      <w:r>
        <w:rPr>
          <w:rFonts w:cstheme="minorHAnsi"/>
          <w:bCs/>
        </w:rPr>
        <w:t>, when in fact the patient had another diagnosis, often with an inflammatory arthritis component (e.g. mixed connective tissue disease).  These data are consistent with the scientific literature in which the validity of case definitions for RA using related automated algorithms have been examined (</w:t>
      </w:r>
      <w:r w:rsidRPr="00537403">
        <w:rPr>
          <w:rFonts w:cstheme="minorHAnsi"/>
          <w:bCs/>
          <w:i/>
        </w:rPr>
        <w:t>Chung CP, A systematic review of validated methods for identifying patients with rheumatoid arthritis using administrative or claims data.  Vaccine. 2013 Dec 30</w:t>
      </w:r>
      <w:proofErr w:type="gramStart"/>
      <w:r w:rsidRPr="00537403">
        <w:rPr>
          <w:rFonts w:cstheme="minorHAnsi"/>
          <w:bCs/>
          <w:i/>
        </w:rPr>
        <w:t>;31</w:t>
      </w:r>
      <w:proofErr w:type="gramEnd"/>
      <w:r w:rsidRPr="00537403">
        <w:rPr>
          <w:rFonts w:cstheme="minorHAnsi"/>
          <w:bCs/>
          <w:i/>
        </w:rPr>
        <w:t xml:space="preserve"> </w:t>
      </w:r>
      <w:proofErr w:type="spellStart"/>
      <w:r w:rsidRPr="00537403">
        <w:rPr>
          <w:rFonts w:cstheme="minorHAnsi"/>
          <w:bCs/>
          <w:i/>
        </w:rPr>
        <w:t>Suppl</w:t>
      </w:r>
      <w:proofErr w:type="spellEnd"/>
      <w:r w:rsidRPr="00537403">
        <w:rPr>
          <w:rFonts w:cstheme="minorHAnsi"/>
          <w:bCs/>
          <w:i/>
        </w:rPr>
        <w:t xml:space="preserve"> 10:K41-61; Carroll RJ et al.  </w:t>
      </w:r>
      <w:proofErr w:type="gramStart"/>
      <w:r w:rsidRPr="00537403">
        <w:rPr>
          <w:rFonts w:cstheme="minorHAnsi"/>
          <w:bCs/>
          <w:i/>
        </w:rPr>
        <w:t>Portability of an algorithm to identify rheumatoid arthritis in electronic health records.</w:t>
      </w:r>
      <w:proofErr w:type="gramEnd"/>
      <w:r w:rsidRPr="00537403">
        <w:rPr>
          <w:rFonts w:cstheme="minorHAnsi"/>
          <w:bCs/>
          <w:i/>
        </w:rPr>
        <w:t xml:space="preserve">  J Am Med Inform Assoc. 2012 Jun</w:t>
      </w:r>
      <w:proofErr w:type="gramStart"/>
      <w:r w:rsidRPr="00537403">
        <w:rPr>
          <w:rFonts w:cstheme="minorHAnsi"/>
          <w:bCs/>
          <w:i/>
        </w:rPr>
        <w:t>;19</w:t>
      </w:r>
      <w:proofErr w:type="gramEnd"/>
      <w:r w:rsidRPr="00537403">
        <w:rPr>
          <w:rFonts w:cstheme="minorHAnsi"/>
          <w:bCs/>
          <w:i/>
        </w:rPr>
        <w:t>(e1):e162-9</w:t>
      </w:r>
      <w:r>
        <w:rPr>
          <w:rFonts w:cstheme="minorHAnsi"/>
          <w:bCs/>
        </w:rPr>
        <w:t xml:space="preserve">; </w:t>
      </w:r>
      <w:r w:rsidRPr="00537403">
        <w:rPr>
          <w:rFonts w:cstheme="minorHAnsi"/>
          <w:bCs/>
          <w:i/>
        </w:rPr>
        <w:t>Liao KP, Electronic medical records for discovery research in rheumatoid arthritis.  Arthritis Care Res. 2010 Aug</w:t>
      </w:r>
      <w:proofErr w:type="gramStart"/>
      <w:r w:rsidRPr="00537403">
        <w:rPr>
          <w:rFonts w:cstheme="minorHAnsi"/>
          <w:bCs/>
          <w:i/>
        </w:rPr>
        <w:t>;62</w:t>
      </w:r>
      <w:proofErr w:type="gramEnd"/>
      <w:r w:rsidRPr="00537403">
        <w:rPr>
          <w:rFonts w:cstheme="minorHAnsi"/>
          <w:bCs/>
          <w:i/>
        </w:rPr>
        <w:t>(8):1120-7</w:t>
      </w:r>
      <w:r>
        <w:rPr>
          <w:rFonts w:cstheme="minorHAnsi"/>
          <w:bCs/>
        </w:rPr>
        <w:t>).  Conclusions from this literature are that algorithms, such as the one used here, in which more than one code for RA is required, including a diagnosis from a rheumatologist, have good sensitivity and specificity.</w:t>
      </w:r>
    </w:p>
    <w:p w14:paraId="74BDCE0E" w14:textId="77777777" w:rsidR="00833C77" w:rsidRPr="0026439D" w:rsidRDefault="00833C77" w:rsidP="00833C77">
      <w:pPr>
        <w:autoSpaceDE w:val="0"/>
        <w:autoSpaceDN w:val="0"/>
        <w:adjustRightInd w:val="0"/>
        <w:spacing w:after="0" w:line="240" w:lineRule="auto"/>
        <w:rPr>
          <w:rFonts w:cstheme="minorHAnsi"/>
          <w:bCs/>
        </w:rPr>
      </w:pPr>
    </w:p>
    <w:p w14:paraId="3096D61D" w14:textId="77777777" w:rsidR="00833C77" w:rsidRPr="0026439D" w:rsidRDefault="00FE33A3" w:rsidP="00833C77">
      <w:pPr>
        <w:autoSpaceDE w:val="0"/>
        <w:autoSpaceDN w:val="0"/>
        <w:adjustRightInd w:val="0"/>
        <w:spacing w:after="0" w:line="240" w:lineRule="auto"/>
        <w:rPr>
          <w:rFonts w:cstheme="minorHAnsi"/>
          <w:bCs/>
        </w:rPr>
      </w:pPr>
      <w:r w:rsidRPr="00FE33A3">
        <w:rPr>
          <w:rFonts w:cstheme="minorHAnsi"/>
          <w:b/>
          <w:bCs/>
        </w:rPr>
        <w:t xml:space="preserve">For the QDM data element “Intervention Performed: Rheumatoid Arthritis Functional Status Assessment” </w:t>
      </w:r>
      <w:r w:rsidRPr="00FE33A3">
        <w:rPr>
          <w:rFonts w:cstheme="minorHAnsi"/>
          <w:bCs/>
        </w:rPr>
        <w:t>disagreement was found</w:t>
      </w:r>
      <w:r>
        <w:rPr>
          <w:rFonts w:cstheme="minorHAnsi"/>
          <w:bCs/>
        </w:rPr>
        <w:t xml:space="preserve"> between the automated report and the front-end abstraction</w:t>
      </w:r>
      <w:r w:rsidRPr="00FE33A3">
        <w:rPr>
          <w:rFonts w:cstheme="minorHAnsi"/>
          <w:bCs/>
        </w:rPr>
        <w:t xml:space="preserve"> in 7.6% of the testing sample. These instances </w:t>
      </w:r>
      <w:r>
        <w:rPr>
          <w:rFonts w:cstheme="minorHAnsi"/>
          <w:bCs/>
        </w:rPr>
        <w:t>were</w:t>
      </w:r>
      <w:r w:rsidRPr="00FE33A3">
        <w:rPr>
          <w:rFonts w:cstheme="minorHAnsi"/>
          <w:bCs/>
        </w:rPr>
        <w:t xml:space="preserve"> due to data not being captured by the automated EHR report</w:t>
      </w:r>
      <w:r w:rsidR="007C5630">
        <w:rPr>
          <w:rFonts w:cstheme="minorHAnsi"/>
          <w:bCs/>
        </w:rPr>
        <w:t xml:space="preserve"> because they did not reside in structured fields</w:t>
      </w:r>
      <w:r w:rsidRPr="00FE33A3">
        <w:rPr>
          <w:rFonts w:cstheme="minorHAnsi"/>
          <w:bCs/>
        </w:rPr>
        <w:t>.</w:t>
      </w:r>
      <w:r w:rsidR="007C5630">
        <w:rPr>
          <w:rFonts w:cstheme="minorHAnsi"/>
          <w:bCs/>
        </w:rPr>
        <w:t xml:space="preserve">  </w:t>
      </w:r>
    </w:p>
    <w:p w14:paraId="25A0E716" w14:textId="77777777" w:rsidR="00833C77" w:rsidRDefault="00833C77" w:rsidP="00DB3627">
      <w:pPr>
        <w:autoSpaceDE w:val="0"/>
        <w:autoSpaceDN w:val="0"/>
        <w:adjustRightInd w:val="0"/>
        <w:spacing w:after="0" w:line="240" w:lineRule="auto"/>
      </w:pPr>
    </w:p>
    <w:p w14:paraId="28CDF496" w14:textId="20D8F726" w:rsidR="007C5630" w:rsidRPr="00E54DA3" w:rsidRDefault="007C5630" w:rsidP="007C5630">
      <w:pPr>
        <w:autoSpaceDE w:val="0"/>
        <w:autoSpaceDN w:val="0"/>
        <w:adjustRightInd w:val="0"/>
        <w:spacing w:after="0" w:line="240" w:lineRule="auto"/>
        <w:rPr>
          <w:rFonts w:cstheme="minorHAnsi"/>
          <w:bCs/>
        </w:rPr>
      </w:pPr>
      <w:r>
        <w:rPr>
          <w:rFonts w:cstheme="minorHAnsi"/>
          <w:b/>
          <w:bCs/>
          <w:u w:val="single"/>
        </w:rPr>
        <w:t xml:space="preserve">3.  </w:t>
      </w:r>
      <w:r w:rsidRPr="005B21EB">
        <w:rPr>
          <w:rFonts w:cstheme="minorHAnsi"/>
          <w:b/>
          <w:bCs/>
          <w:u w:val="single"/>
        </w:rPr>
        <w:t>Systematic assessment of face validity</w:t>
      </w:r>
      <w:r>
        <w:rPr>
          <w:rFonts w:cstheme="minorHAnsi"/>
          <w:bCs/>
        </w:rPr>
        <w:t>.  Systematic assessment of face validity was performed using a multi-stakeholder expert panel</w:t>
      </w:r>
      <w:r w:rsidR="00BD6BD0">
        <w:rPr>
          <w:rFonts w:cstheme="minorHAnsi"/>
          <w:bCs/>
        </w:rPr>
        <w:t xml:space="preserve"> </w:t>
      </w:r>
      <w:r>
        <w:rPr>
          <w:rFonts w:cstheme="minorHAnsi"/>
          <w:bCs/>
        </w:rPr>
        <w:t xml:space="preserve">that formally rated validity of the proposed measure using a scale based on the RAND Appropriateness Method.  </w:t>
      </w:r>
      <w:r w:rsidRPr="00761C42">
        <w:rPr>
          <w:rFonts w:cstheme="minorHAnsi"/>
          <w:bCs/>
          <w:i/>
        </w:rPr>
        <w:t>Panelists participated in an open and transparent process in which they were specifically asked to address whether the scores obtained from the measure as specified will provide an accurate reflection of quality and can be used to distinguish good and poor quality</w:t>
      </w:r>
      <w:r>
        <w:rPr>
          <w:rFonts w:cstheme="minorHAnsi"/>
          <w:bCs/>
        </w:rPr>
        <w:t xml:space="preserve">.  </w:t>
      </w:r>
    </w:p>
    <w:p w14:paraId="002CDDD0" w14:textId="77777777" w:rsidR="007C5630" w:rsidRPr="003321D9" w:rsidRDefault="007C5630" w:rsidP="007C5630">
      <w:pPr>
        <w:autoSpaceDE w:val="0"/>
        <w:autoSpaceDN w:val="0"/>
        <w:adjustRightInd w:val="0"/>
        <w:spacing w:after="0" w:line="240" w:lineRule="auto"/>
        <w:rPr>
          <w:rFonts w:cstheme="minorHAnsi"/>
          <w:bCs/>
          <w:highlight w:val="magenta"/>
        </w:rPr>
      </w:pPr>
    </w:p>
    <w:p w14:paraId="54461455" w14:textId="77777777" w:rsidR="007C5630" w:rsidRDefault="007C5630" w:rsidP="007C5630">
      <w:pPr>
        <w:autoSpaceDE w:val="0"/>
        <w:autoSpaceDN w:val="0"/>
        <w:adjustRightInd w:val="0"/>
        <w:spacing w:after="0" w:line="240" w:lineRule="auto"/>
        <w:rPr>
          <w:rFonts w:cstheme="minorHAnsi"/>
          <w:bCs/>
        </w:rPr>
      </w:pPr>
      <w:r>
        <w:rPr>
          <w:rFonts w:cstheme="minorHAnsi"/>
          <w:bCs/>
        </w:rPr>
        <w:t xml:space="preserve">The American College of Rheumatology has worked for the last several years to develop a rigorous measure development process that leverages the considerable investment in producing guidelines and also input from stakeholders throughout the health care system in the area of rheumatoid arthritis (RA).  </w:t>
      </w:r>
      <w:r>
        <w:rPr>
          <w:rFonts w:cstheme="minorHAnsi"/>
          <w:bCs/>
          <w:i/>
        </w:rPr>
        <w:t>The following</w:t>
      </w:r>
      <w:r w:rsidRPr="00761C42">
        <w:rPr>
          <w:rFonts w:cstheme="minorHAnsi"/>
          <w:bCs/>
          <w:i/>
        </w:rPr>
        <w:t xml:space="preserve"> information is provided to place the Expert Panel ratings, used to assess face validity, in context</w:t>
      </w:r>
      <w:r>
        <w:rPr>
          <w:rFonts w:cstheme="minorHAnsi"/>
          <w:bCs/>
        </w:rPr>
        <w:t>.  The major elements of the measure development process are listed here.  Reviewers are referred to materials in the supplemental appendix for further details.</w:t>
      </w:r>
    </w:p>
    <w:p w14:paraId="1F86DB52" w14:textId="6412280F" w:rsidR="007C5630" w:rsidRDefault="007C5630" w:rsidP="007C5630">
      <w:pPr>
        <w:pStyle w:val="ListParagraph"/>
        <w:numPr>
          <w:ilvl w:val="0"/>
          <w:numId w:val="27"/>
        </w:numPr>
        <w:autoSpaceDE w:val="0"/>
        <w:autoSpaceDN w:val="0"/>
        <w:adjustRightInd w:val="0"/>
        <w:spacing w:after="0" w:line="240" w:lineRule="auto"/>
        <w:rPr>
          <w:rFonts w:cstheme="minorHAnsi"/>
          <w:bCs/>
        </w:rPr>
      </w:pPr>
      <w:r w:rsidRPr="008A2A8A">
        <w:rPr>
          <w:rFonts w:cstheme="minorHAnsi"/>
          <w:bCs/>
        </w:rPr>
        <w:t xml:space="preserve">First, the ACR assembled a </w:t>
      </w:r>
      <w:r w:rsidRPr="008A2A8A">
        <w:rPr>
          <w:rFonts w:cstheme="minorHAnsi"/>
          <w:b/>
          <w:bCs/>
        </w:rPr>
        <w:t>Working Group</w:t>
      </w:r>
      <w:r w:rsidRPr="008A2A8A">
        <w:rPr>
          <w:rFonts w:cstheme="minorHAnsi"/>
          <w:bCs/>
        </w:rPr>
        <w:t xml:space="preserve"> of </w:t>
      </w:r>
      <w:r w:rsidR="00BD6BD0">
        <w:rPr>
          <w:rFonts w:cstheme="minorHAnsi"/>
          <w:bCs/>
        </w:rPr>
        <w:t xml:space="preserve">7 </w:t>
      </w:r>
      <w:r w:rsidRPr="008A2A8A">
        <w:rPr>
          <w:rFonts w:cstheme="minorHAnsi"/>
          <w:bCs/>
        </w:rPr>
        <w:t>experts in RA, quality measurement, and health services research meeting its conflict of interest policies (requiring that a majority of group members, including the principal investigator, have no links to any company or commercial entity that makes a drug, devi</w:t>
      </w:r>
      <w:r>
        <w:rPr>
          <w:rFonts w:cstheme="minorHAnsi"/>
          <w:bCs/>
        </w:rPr>
        <w:t>ce or product in the area of RA</w:t>
      </w:r>
      <w:r w:rsidRPr="008A2A8A">
        <w:rPr>
          <w:rFonts w:cstheme="minorHAnsi"/>
          <w:bCs/>
        </w:rPr>
        <w:t>).  The Work Group was tasked with drafting potential quality measures based on 2012 ACR Guidelines for the management of RA</w:t>
      </w:r>
      <w:r>
        <w:rPr>
          <w:rFonts w:cstheme="minorHAnsi"/>
          <w:bCs/>
        </w:rPr>
        <w:t xml:space="preserve"> (</w:t>
      </w:r>
      <w:r w:rsidRPr="008A2A8A">
        <w:rPr>
          <w:rFonts w:cstheme="minorHAnsi"/>
          <w:bCs/>
          <w:i/>
        </w:rPr>
        <w:t xml:space="preserve">Singh JA, </w:t>
      </w:r>
      <w:proofErr w:type="spellStart"/>
      <w:r w:rsidRPr="008A2A8A">
        <w:rPr>
          <w:rFonts w:cstheme="minorHAnsi"/>
          <w:bCs/>
          <w:i/>
        </w:rPr>
        <w:t>Furst</w:t>
      </w:r>
      <w:proofErr w:type="spellEnd"/>
      <w:r w:rsidRPr="008A2A8A">
        <w:rPr>
          <w:rFonts w:cstheme="minorHAnsi"/>
          <w:bCs/>
          <w:i/>
        </w:rPr>
        <w:t xml:space="preserve"> DE, Bharat A et al.  2012 update of the 2008 American College of Rheumatology recommendations for the use of disease-modifying </w:t>
      </w:r>
      <w:proofErr w:type="spellStart"/>
      <w:r w:rsidRPr="008A2A8A">
        <w:rPr>
          <w:rFonts w:cstheme="minorHAnsi"/>
          <w:bCs/>
          <w:i/>
        </w:rPr>
        <w:t>antirheumatic</w:t>
      </w:r>
      <w:proofErr w:type="spellEnd"/>
      <w:r w:rsidRPr="008A2A8A">
        <w:rPr>
          <w:rFonts w:cstheme="minorHAnsi"/>
          <w:bCs/>
          <w:i/>
        </w:rPr>
        <w:t xml:space="preserve"> drugs and biologic agents in the treatment of rheumatoid arthritis.  Arthritis Care Res (Hoboken). 2012 May</w:t>
      </w:r>
      <w:proofErr w:type="gramStart"/>
      <w:r w:rsidRPr="008A2A8A">
        <w:rPr>
          <w:rFonts w:cstheme="minorHAnsi"/>
          <w:bCs/>
          <w:i/>
        </w:rPr>
        <w:t>;64</w:t>
      </w:r>
      <w:proofErr w:type="gramEnd"/>
      <w:r w:rsidRPr="008A2A8A">
        <w:rPr>
          <w:rFonts w:cstheme="minorHAnsi"/>
          <w:bCs/>
          <w:i/>
        </w:rPr>
        <w:t>(5):625-39</w:t>
      </w:r>
      <w:r>
        <w:rPr>
          <w:rFonts w:cstheme="minorHAnsi"/>
          <w:bCs/>
        </w:rPr>
        <w:t>).</w:t>
      </w:r>
      <w:r w:rsidRPr="008A2A8A">
        <w:rPr>
          <w:rFonts w:cstheme="minorHAnsi"/>
          <w:bCs/>
        </w:rPr>
        <w:t xml:space="preserve">  Measures were drafted in an iterative fashion over a period of six months.  </w:t>
      </w:r>
    </w:p>
    <w:p w14:paraId="1398A3DF" w14:textId="3E8E40BA" w:rsidR="007C5630" w:rsidRPr="00CA3371" w:rsidRDefault="007C5630" w:rsidP="007C5630">
      <w:pPr>
        <w:pStyle w:val="ListParagraph"/>
        <w:numPr>
          <w:ilvl w:val="0"/>
          <w:numId w:val="27"/>
        </w:numPr>
        <w:autoSpaceDE w:val="0"/>
        <w:autoSpaceDN w:val="0"/>
        <w:adjustRightInd w:val="0"/>
        <w:spacing w:after="0" w:line="240" w:lineRule="auto"/>
        <w:rPr>
          <w:rFonts w:cstheme="minorHAnsi"/>
          <w:b/>
          <w:bCs/>
        </w:rPr>
      </w:pPr>
      <w:r w:rsidRPr="008A2A8A">
        <w:rPr>
          <w:rFonts w:cstheme="minorHAnsi"/>
          <w:bCs/>
        </w:rPr>
        <w:t xml:space="preserve">Preliminary measures were presented to a separate multi-stakeholder </w:t>
      </w:r>
      <w:r w:rsidRPr="008A2A8A">
        <w:rPr>
          <w:rFonts w:cstheme="minorHAnsi"/>
          <w:b/>
          <w:bCs/>
        </w:rPr>
        <w:t>Expert Panel</w:t>
      </w:r>
      <w:r w:rsidRPr="008A2A8A">
        <w:rPr>
          <w:rFonts w:cstheme="minorHAnsi"/>
          <w:bCs/>
        </w:rPr>
        <w:t xml:space="preserve"> </w:t>
      </w:r>
      <w:r w:rsidR="00BD6BD0">
        <w:rPr>
          <w:rFonts w:cstheme="minorHAnsi"/>
          <w:bCs/>
        </w:rPr>
        <w:t xml:space="preserve">of 16 </w:t>
      </w:r>
      <w:r w:rsidRPr="008A2A8A">
        <w:rPr>
          <w:rFonts w:cstheme="minorHAnsi"/>
          <w:bCs/>
        </w:rPr>
        <w:t>for formal ratings.  The group w</w:t>
      </w:r>
      <w:r>
        <w:rPr>
          <w:rFonts w:cstheme="minorHAnsi"/>
          <w:bCs/>
        </w:rPr>
        <w:t>as comprised of</w:t>
      </w:r>
      <w:r w:rsidRPr="008A2A8A">
        <w:rPr>
          <w:rFonts w:cstheme="minorHAnsi"/>
          <w:bCs/>
        </w:rPr>
        <w:t xml:space="preserve"> patient</w:t>
      </w:r>
      <w:r>
        <w:rPr>
          <w:rFonts w:cstheme="minorHAnsi"/>
          <w:bCs/>
        </w:rPr>
        <w:t>s</w:t>
      </w:r>
      <w:r w:rsidRPr="008A2A8A">
        <w:rPr>
          <w:rFonts w:cstheme="minorHAnsi"/>
          <w:bCs/>
        </w:rPr>
        <w:t xml:space="preserve"> with RA, practicing rheumatologists whose primary responsibility is patient care, an orthopedic surgeon nominated by the American Academy of Orthopedic Surgery, an Internal Medicine specialist nominated by the American College of Physicians, a member of the American Rheumatology Health Professional’s Association, a payer representative (a Medical Director for a large public payer program), and </w:t>
      </w:r>
      <w:r w:rsidRPr="008A2A8A">
        <w:rPr>
          <w:rFonts w:cstheme="minorHAnsi"/>
          <w:bCs/>
        </w:rPr>
        <w:lastRenderedPageBreak/>
        <w:t>methodological experts with expertise in quality measure development.  For each measure, the panel was asked to review the scientific evidence and vote prior to meeting.  These results were then presented to the panel and a facilitated discussion</w:t>
      </w:r>
      <w:r>
        <w:rPr>
          <w:rFonts w:cstheme="minorHAnsi"/>
          <w:bCs/>
        </w:rPr>
        <w:t xml:space="preserve"> using initial ratings was undertaken</w:t>
      </w:r>
      <w:r w:rsidRPr="008A2A8A">
        <w:rPr>
          <w:rFonts w:cstheme="minorHAnsi"/>
          <w:bCs/>
        </w:rPr>
        <w:t xml:space="preserve"> during a meeting.  Members </w:t>
      </w:r>
      <w:r>
        <w:rPr>
          <w:rFonts w:cstheme="minorHAnsi"/>
          <w:bCs/>
        </w:rPr>
        <w:t>voted</w:t>
      </w:r>
      <w:r w:rsidRPr="008A2A8A">
        <w:rPr>
          <w:rFonts w:cstheme="minorHAnsi"/>
          <w:bCs/>
        </w:rPr>
        <w:t xml:space="preserve"> again after </w:t>
      </w:r>
      <w:r>
        <w:rPr>
          <w:rFonts w:cstheme="minorHAnsi"/>
          <w:bCs/>
        </w:rPr>
        <w:t>deliberating</w:t>
      </w:r>
      <w:r w:rsidRPr="008A2A8A">
        <w:rPr>
          <w:rFonts w:cstheme="minorHAnsi"/>
          <w:bCs/>
        </w:rPr>
        <w:t>.  Results were analyzed according</w:t>
      </w:r>
      <w:r>
        <w:rPr>
          <w:rFonts w:cstheme="minorHAnsi"/>
          <w:bCs/>
        </w:rPr>
        <w:t xml:space="preserve"> to</w:t>
      </w:r>
      <w:r w:rsidRPr="008A2A8A">
        <w:rPr>
          <w:rFonts w:cstheme="minorHAnsi"/>
          <w:bCs/>
        </w:rPr>
        <w:t xml:space="preserve"> the RAND Appropriateness Method (mean scores of 7-9 indicate good agreement if criteria for disagreement are absent; </w:t>
      </w:r>
      <w:r w:rsidRPr="008A2A8A">
        <w:rPr>
          <w:rFonts w:cstheme="minorHAnsi"/>
          <w:bCs/>
          <w:i/>
        </w:rPr>
        <w:t>see Brook RH. The RAND/UCLA appropriateness method. In:  McCormick KA, Moore SR, Siegel RA, editors. Methodology perspectives. Rockville (MD): US Department of Health and Human Services; 1994. p. 59–70</w:t>
      </w:r>
      <w:r w:rsidRPr="008A2A8A">
        <w:rPr>
          <w:rFonts w:cstheme="minorHAnsi"/>
          <w:bCs/>
        </w:rPr>
        <w:t>).</w:t>
      </w:r>
      <w:r>
        <w:rPr>
          <w:rFonts w:cstheme="minorHAnsi"/>
          <w:bCs/>
        </w:rPr>
        <w:t xml:space="preserve">  Panel ratings on the measure are provided below.  Table 3 summarizes the results of the rating procedure.  </w:t>
      </w:r>
      <w:r w:rsidRPr="00CA3371">
        <w:rPr>
          <w:rFonts w:cstheme="minorHAnsi"/>
          <w:b/>
          <w:bCs/>
          <w:i/>
        </w:rPr>
        <w:t>The</w:t>
      </w:r>
      <w:r>
        <w:rPr>
          <w:rFonts w:cstheme="minorHAnsi"/>
          <w:b/>
          <w:bCs/>
          <w:i/>
        </w:rPr>
        <w:t xml:space="preserve"> median score for validity was 8</w:t>
      </w:r>
      <w:r w:rsidRPr="00CA3371">
        <w:rPr>
          <w:rFonts w:cstheme="minorHAnsi"/>
          <w:b/>
          <w:bCs/>
          <w:i/>
        </w:rPr>
        <w:t xml:space="preserve"> (indicating excellent validity).</w:t>
      </w:r>
    </w:p>
    <w:p w14:paraId="61D355A3" w14:textId="77777777" w:rsidR="007C5630" w:rsidRDefault="007C5630" w:rsidP="007C5630">
      <w:pPr>
        <w:autoSpaceDE w:val="0"/>
        <w:autoSpaceDN w:val="0"/>
        <w:adjustRightInd w:val="0"/>
        <w:spacing w:after="0" w:line="240" w:lineRule="auto"/>
        <w:rPr>
          <w:rFonts w:cstheme="minorHAnsi"/>
          <w:bCs/>
        </w:rPr>
      </w:pPr>
    </w:p>
    <w:p w14:paraId="03892DD4" w14:textId="77777777" w:rsidR="007C5630" w:rsidRPr="00B20EF1" w:rsidRDefault="007C5630" w:rsidP="007C5630">
      <w:pPr>
        <w:autoSpaceDE w:val="0"/>
        <w:autoSpaceDN w:val="0"/>
        <w:adjustRightInd w:val="0"/>
        <w:spacing w:after="0" w:line="240" w:lineRule="auto"/>
        <w:rPr>
          <w:rFonts w:cstheme="minorHAnsi"/>
          <w:b/>
          <w:bCs/>
        </w:rPr>
      </w:pPr>
      <w:r w:rsidRPr="00B20EF1">
        <w:rPr>
          <w:rFonts w:cstheme="minorHAnsi"/>
          <w:b/>
          <w:bCs/>
        </w:rPr>
        <w:t xml:space="preserve">Table 3.  Data from the American College of Rheumatology’s Rheumatoid Arthritis Quality Measures Project </w:t>
      </w:r>
      <w:r>
        <w:rPr>
          <w:rFonts w:cstheme="minorHAnsi"/>
          <w:b/>
          <w:bCs/>
        </w:rPr>
        <w:t>Expert Panel Rating Process for Functional Status Measure.</w:t>
      </w:r>
      <w:r>
        <w:rPr>
          <w:rFonts w:cstheme="minorHAnsi"/>
          <w:b/>
          <w:bCs/>
          <w:vertAlign w:val="superscript"/>
        </w:rPr>
        <w:t>1</w:t>
      </w:r>
      <w:proofErr w:type="gramStart"/>
      <w:r>
        <w:rPr>
          <w:rFonts w:cstheme="minorHAnsi"/>
          <w:b/>
          <w:bCs/>
          <w:vertAlign w:val="superscript"/>
        </w:rPr>
        <w:t>,2</w:t>
      </w:r>
      <w:proofErr w:type="gramEnd"/>
    </w:p>
    <w:p w14:paraId="40AFC8CD" w14:textId="77777777" w:rsidR="007C5630" w:rsidRDefault="007C5630" w:rsidP="007C5630">
      <w:pPr>
        <w:autoSpaceDE w:val="0"/>
        <w:autoSpaceDN w:val="0"/>
        <w:adjustRightInd w:val="0"/>
        <w:spacing w:after="0" w:line="240" w:lineRule="auto"/>
        <w:rPr>
          <w:rFonts w:cstheme="minorHAnsi"/>
          <w:bCs/>
        </w:rPr>
      </w:pPr>
    </w:p>
    <w:tbl>
      <w:tblPr>
        <w:tblStyle w:val="TableGrid"/>
        <w:tblW w:w="9492" w:type="dxa"/>
        <w:tblInd w:w="108" w:type="dxa"/>
        <w:tblLook w:val="0600" w:firstRow="0" w:lastRow="0" w:firstColumn="0" w:lastColumn="0" w:noHBand="1" w:noVBand="1"/>
      </w:tblPr>
      <w:tblGrid>
        <w:gridCol w:w="1582"/>
        <w:gridCol w:w="1582"/>
        <w:gridCol w:w="1582"/>
        <w:gridCol w:w="1582"/>
        <w:gridCol w:w="1582"/>
        <w:gridCol w:w="1582"/>
      </w:tblGrid>
      <w:tr w:rsidR="007C5630" w:rsidRPr="00B20EF1" w14:paraId="53EDA37A" w14:textId="77777777" w:rsidTr="007C5630">
        <w:trPr>
          <w:trHeight w:val="863"/>
        </w:trPr>
        <w:tc>
          <w:tcPr>
            <w:tcW w:w="1582" w:type="dxa"/>
            <w:shd w:val="clear" w:color="auto" w:fill="F2F2F2" w:themeFill="background1" w:themeFillShade="F2"/>
            <w:hideMark/>
          </w:tcPr>
          <w:p w14:paraId="32B72F73" w14:textId="77777777" w:rsidR="007C5630" w:rsidRPr="00B20EF1" w:rsidRDefault="007C5630" w:rsidP="007C5630">
            <w:pPr>
              <w:autoSpaceDE w:val="0"/>
              <w:autoSpaceDN w:val="0"/>
              <w:adjustRightInd w:val="0"/>
              <w:rPr>
                <w:rFonts w:cstheme="minorHAnsi"/>
                <w:bCs/>
              </w:rPr>
            </w:pPr>
            <w:r w:rsidRPr="00B20EF1">
              <w:rPr>
                <w:rFonts w:cstheme="minorHAnsi"/>
                <w:bCs/>
              </w:rPr>
              <w:t>Median score for validity</w:t>
            </w:r>
          </w:p>
        </w:tc>
        <w:tc>
          <w:tcPr>
            <w:tcW w:w="1582" w:type="dxa"/>
            <w:shd w:val="clear" w:color="auto" w:fill="F2F2F2" w:themeFill="background1" w:themeFillShade="F2"/>
            <w:hideMark/>
          </w:tcPr>
          <w:p w14:paraId="38A4137D" w14:textId="77777777" w:rsidR="007C5630" w:rsidRPr="00B20EF1" w:rsidRDefault="007C5630" w:rsidP="007C5630">
            <w:pPr>
              <w:autoSpaceDE w:val="0"/>
              <w:autoSpaceDN w:val="0"/>
              <w:adjustRightInd w:val="0"/>
              <w:rPr>
                <w:rFonts w:cstheme="minorHAnsi"/>
                <w:bCs/>
              </w:rPr>
            </w:pPr>
            <w:r w:rsidRPr="00B20EF1">
              <w:rPr>
                <w:rFonts w:cstheme="minorHAnsi"/>
                <w:bCs/>
              </w:rPr>
              <w:t>Median score for feasibility</w:t>
            </w:r>
          </w:p>
        </w:tc>
        <w:tc>
          <w:tcPr>
            <w:tcW w:w="1582" w:type="dxa"/>
            <w:shd w:val="clear" w:color="auto" w:fill="F2F2F2" w:themeFill="background1" w:themeFillShade="F2"/>
            <w:hideMark/>
          </w:tcPr>
          <w:p w14:paraId="098C6B8B" w14:textId="77777777" w:rsidR="007C5630" w:rsidRPr="00B20EF1" w:rsidRDefault="007C5630" w:rsidP="007C5630">
            <w:pPr>
              <w:autoSpaceDE w:val="0"/>
              <w:autoSpaceDN w:val="0"/>
              <w:adjustRightInd w:val="0"/>
              <w:rPr>
                <w:rFonts w:cstheme="minorHAnsi"/>
                <w:bCs/>
              </w:rPr>
            </w:pPr>
            <w:r w:rsidRPr="00B20EF1">
              <w:rPr>
                <w:rFonts w:cstheme="minorHAnsi"/>
                <w:bCs/>
              </w:rPr>
              <w:t># of raters</w:t>
            </w:r>
            <w:r w:rsidRPr="00B20EF1">
              <w:rPr>
                <w:rFonts w:cstheme="minorHAnsi"/>
                <w:bCs/>
              </w:rPr>
              <w:br/>
              <w:t xml:space="preserve"> with validity score ≤ 3</w:t>
            </w:r>
          </w:p>
        </w:tc>
        <w:tc>
          <w:tcPr>
            <w:tcW w:w="1582" w:type="dxa"/>
            <w:shd w:val="clear" w:color="auto" w:fill="F2F2F2" w:themeFill="background1" w:themeFillShade="F2"/>
            <w:hideMark/>
          </w:tcPr>
          <w:p w14:paraId="6B0671C2" w14:textId="77777777" w:rsidR="007C5630" w:rsidRPr="00B20EF1" w:rsidRDefault="007C5630" w:rsidP="007C5630">
            <w:pPr>
              <w:autoSpaceDE w:val="0"/>
              <w:autoSpaceDN w:val="0"/>
              <w:adjustRightInd w:val="0"/>
              <w:rPr>
                <w:rFonts w:cstheme="minorHAnsi"/>
                <w:bCs/>
              </w:rPr>
            </w:pPr>
            <w:r w:rsidRPr="00B20EF1">
              <w:rPr>
                <w:rFonts w:cstheme="minorHAnsi"/>
                <w:bCs/>
              </w:rPr>
              <w:t xml:space="preserve"># of raters </w:t>
            </w:r>
            <w:r w:rsidRPr="00B20EF1">
              <w:rPr>
                <w:rFonts w:cstheme="minorHAnsi"/>
                <w:bCs/>
              </w:rPr>
              <w:br/>
              <w:t>with validity score ≥ 7</w:t>
            </w:r>
          </w:p>
        </w:tc>
        <w:tc>
          <w:tcPr>
            <w:tcW w:w="1582" w:type="dxa"/>
            <w:shd w:val="clear" w:color="auto" w:fill="F2F2F2" w:themeFill="background1" w:themeFillShade="F2"/>
            <w:hideMark/>
          </w:tcPr>
          <w:p w14:paraId="71471D81" w14:textId="77777777" w:rsidR="007C5630" w:rsidRPr="00B20EF1" w:rsidRDefault="007C5630" w:rsidP="007C5630">
            <w:pPr>
              <w:autoSpaceDE w:val="0"/>
              <w:autoSpaceDN w:val="0"/>
              <w:adjustRightInd w:val="0"/>
              <w:rPr>
                <w:rFonts w:cstheme="minorHAnsi"/>
                <w:bCs/>
              </w:rPr>
            </w:pPr>
            <w:r w:rsidRPr="00B20EF1">
              <w:rPr>
                <w:rFonts w:cstheme="minorHAnsi"/>
                <w:bCs/>
              </w:rPr>
              <w:t xml:space="preserve"># of raters </w:t>
            </w:r>
            <w:r w:rsidRPr="00B20EF1">
              <w:rPr>
                <w:rFonts w:cstheme="minorHAnsi"/>
                <w:bCs/>
              </w:rPr>
              <w:br/>
              <w:t>total</w:t>
            </w:r>
          </w:p>
        </w:tc>
        <w:tc>
          <w:tcPr>
            <w:tcW w:w="1582" w:type="dxa"/>
            <w:shd w:val="clear" w:color="auto" w:fill="F2F2F2" w:themeFill="background1" w:themeFillShade="F2"/>
            <w:hideMark/>
          </w:tcPr>
          <w:p w14:paraId="5043CBC8" w14:textId="77777777" w:rsidR="007C5630" w:rsidRPr="00B20EF1" w:rsidRDefault="007C5630" w:rsidP="007C5630">
            <w:pPr>
              <w:autoSpaceDE w:val="0"/>
              <w:autoSpaceDN w:val="0"/>
              <w:adjustRightInd w:val="0"/>
              <w:rPr>
                <w:rFonts w:cstheme="minorHAnsi"/>
                <w:bCs/>
              </w:rPr>
            </w:pPr>
            <w:r w:rsidRPr="00B20EF1">
              <w:rPr>
                <w:rFonts w:cstheme="minorHAnsi"/>
                <w:bCs/>
              </w:rPr>
              <w:t>% invalid (score ≤ 3)</w:t>
            </w:r>
          </w:p>
        </w:tc>
      </w:tr>
      <w:tr w:rsidR="007C5630" w:rsidRPr="00B20EF1" w14:paraId="01856B5F" w14:textId="77777777" w:rsidTr="007C5630">
        <w:trPr>
          <w:trHeight w:val="260"/>
        </w:trPr>
        <w:tc>
          <w:tcPr>
            <w:tcW w:w="1582" w:type="dxa"/>
            <w:hideMark/>
          </w:tcPr>
          <w:p w14:paraId="5EA567C5" w14:textId="77777777" w:rsidR="007C5630" w:rsidRPr="00B20EF1" w:rsidRDefault="007C5630" w:rsidP="007C5630">
            <w:pPr>
              <w:autoSpaceDE w:val="0"/>
              <w:autoSpaceDN w:val="0"/>
              <w:adjustRightInd w:val="0"/>
              <w:jc w:val="center"/>
              <w:rPr>
                <w:rFonts w:cstheme="minorHAnsi"/>
                <w:bCs/>
              </w:rPr>
            </w:pPr>
            <w:r>
              <w:rPr>
                <w:rFonts w:cstheme="minorHAnsi"/>
                <w:bCs/>
              </w:rPr>
              <w:t>8</w:t>
            </w:r>
          </w:p>
        </w:tc>
        <w:tc>
          <w:tcPr>
            <w:tcW w:w="1582" w:type="dxa"/>
            <w:hideMark/>
          </w:tcPr>
          <w:p w14:paraId="0A8AD25A" w14:textId="77777777" w:rsidR="007C5630" w:rsidRPr="00B20EF1" w:rsidRDefault="007C5630" w:rsidP="007C5630">
            <w:pPr>
              <w:autoSpaceDE w:val="0"/>
              <w:autoSpaceDN w:val="0"/>
              <w:adjustRightInd w:val="0"/>
              <w:jc w:val="center"/>
              <w:rPr>
                <w:rFonts w:cstheme="minorHAnsi"/>
                <w:bCs/>
              </w:rPr>
            </w:pPr>
            <w:r>
              <w:rPr>
                <w:rFonts w:cstheme="minorHAnsi"/>
                <w:bCs/>
              </w:rPr>
              <w:t>8</w:t>
            </w:r>
          </w:p>
        </w:tc>
        <w:tc>
          <w:tcPr>
            <w:tcW w:w="1582" w:type="dxa"/>
            <w:hideMark/>
          </w:tcPr>
          <w:p w14:paraId="0AB47BC0" w14:textId="77777777" w:rsidR="007C5630" w:rsidRPr="00B20EF1" w:rsidRDefault="007C5630" w:rsidP="007C5630">
            <w:pPr>
              <w:autoSpaceDE w:val="0"/>
              <w:autoSpaceDN w:val="0"/>
              <w:adjustRightInd w:val="0"/>
              <w:jc w:val="center"/>
              <w:rPr>
                <w:rFonts w:cstheme="minorHAnsi"/>
                <w:bCs/>
              </w:rPr>
            </w:pPr>
            <w:r w:rsidRPr="00B20EF1">
              <w:rPr>
                <w:rFonts w:cstheme="minorHAnsi"/>
                <w:bCs/>
              </w:rPr>
              <w:t>1</w:t>
            </w:r>
          </w:p>
        </w:tc>
        <w:tc>
          <w:tcPr>
            <w:tcW w:w="1582" w:type="dxa"/>
            <w:hideMark/>
          </w:tcPr>
          <w:p w14:paraId="48FC18F1" w14:textId="77777777" w:rsidR="007C5630" w:rsidRPr="00B20EF1" w:rsidRDefault="007C5630" w:rsidP="007C5630">
            <w:pPr>
              <w:autoSpaceDE w:val="0"/>
              <w:autoSpaceDN w:val="0"/>
              <w:adjustRightInd w:val="0"/>
              <w:jc w:val="center"/>
              <w:rPr>
                <w:rFonts w:cstheme="minorHAnsi"/>
                <w:bCs/>
              </w:rPr>
            </w:pPr>
            <w:r w:rsidRPr="00B20EF1">
              <w:rPr>
                <w:rFonts w:cstheme="minorHAnsi"/>
                <w:bCs/>
              </w:rPr>
              <w:t>11</w:t>
            </w:r>
          </w:p>
        </w:tc>
        <w:tc>
          <w:tcPr>
            <w:tcW w:w="1582" w:type="dxa"/>
            <w:hideMark/>
          </w:tcPr>
          <w:p w14:paraId="0A55A521" w14:textId="77777777" w:rsidR="007C5630" w:rsidRPr="00B20EF1" w:rsidRDefault="007C5630" w:rsidP="007C5630">
            <w:pPr>
              <w:autoSpaceDE w:val="0"/>
              <w:autoSpaceDN w:val="0"/>
              <w:adjustRightInd w:val="0"/>
              <w:jc w:val="center"/>
              <w:rPr>
                <w:rFonts w:cstheme="minorHAnsi"/>
                <w:bCs/>
              </w:rPr>
            </w:pPr>
            <w:r w:rsidRPr="00B20EF1">
              <w:rPr>
                <w:rFonts w:cstheme="minorHAnsi"/>
                <w:bCs/>
              </w:rPr>
              <w:t>14</w:t>
            </w:r>
          </w:p>
        </w:tc>
        <w:tc>
          <w:tcPr>
            <w:tcW w:w="1582" w:type="dxa"/>
            <w:hideMark/>
          </w:tcPr>
          <w:p w14:paraId="12AC92B8" w14:textId="77777777" w:rsidR="007C5630" w:rsidRPr="00B20EF1" w:rsidRDefault="007C5630" w:rsidP="007C5630">
            <w:pPr>
              <w:autoSpaceDE w:val="0"/>
              <w:autoSpaceDN w:val="0"/>
              <w:adjustRightInd w:val="0"/>
              <w:jc w:val="center"/>
              <w:rPr>
                <w:rFonts w:cstheme="minorHAnsi"/>
                <w:bCs/>
              </w:rPr>
            </w:pPr>
            <w:r w:rsidRPr="00B20EF1">
              <w:rPr>
                <w:rFonts w:cstheme="minorHAnsi"/>
                <w:bCs/>
              </w:rPr>
              <w:t>7.14%</w:t>
            </w:r>
          </w:p>
        </w:tc>
      </w:tr>
    </w:tbl>
    <w:p w14:paraId="7674DCC5" w14:textId="77777777" w:rsidR="007C5630" w:rsidRPr="0026439D" w:rsidRDefault="007C5630" w:rsidP="007C5630">
      <w:pPr>
        <w:autoSpaceDE w:val="0"/>
        <w:autoSpaceDN w:val="0"/>
        <w:adjustRightInd w:val="0"/>
        <w:spacing w:after="0" w:line="240" w:lineRule="auto"/>
        <w:rPr>
          <w:rFonts w:cstheme="minorHAnsi"/>
          <w:bCs/>
          <w:sz w:val="18"/>
          <w:szCs w:val="18"/>
        </w:rPr>
      </w:pPr>
      <w:r w:rsidRPr="0026439D">
        <w:rPr>
          <w:rFonts w:cstheme="minorHAnsi"/>
          <w:bCs/>
          <w:sz w:val="18"/>
          <w:szCs w:val="18"/>
          <w:vertAlign w:val="superscript"/>
        </w:rPr>
        <w:t>1.</w:t>
      </w:r>
      <w:r w:rsidRPr="0026439D">
        <w:rPr>
          <w:rFonts w:cstheme="minorHAnsi"/>
          <w:bCs/>
          <w:sz w:val="18"/>
          <w:szCs w:val="18"/>
        </w:rPr>
        <w:t xml:space="preserve">  </w:t>
      </w:r>
      <w:r w:rsidRPr="0026439D">
        <w:rPr>
          <w:rFonts w:cstheme="minorHAnsi"/>
          <w:bCs/>
          <w:i/>
          <w:sz w:val="18"/>
          <w:szCs w:val="18"/>
        </w:rPr>
        <w:t>Panelists were provided with the following instructions</w:t>
      </w:r>
      <w:r w:rsidRPr="0026439D">
        <w:rPr>
          <w:rFonts w:cstheme="minorHAnsi"/>
          <w:bCs/>
          <w:sz w:val="18"/>
          <w:szCs w:val="18"/>
        </w:rPr>
        <w:t>:  “Your validity ratings should reflect whether you believe that the measure can be used to reflect the quality of care for RA. Questions to consider in determining your validity ratings should include:</w:t>
      </w:r>
    </w:p>
    <w:p w14:paraId="7C4679C9" w14:textId="77777777" w:rsidR="007C5630" w:rsidRPr="0026439D" w:rsidRDefault="007C5630" w:rsidP="007C5630">
      <w:pPr>
        <w:autoSpaceDE w:val="0"/>
        <w:autoSpaceDN w:val="0"/>
        <w:adjustRightInd w:val="0"/>
        <w:spacing w:after="0" w:line="240" w:lineRule="auto"/>
        <w:rPr>
          <w:rFonts w:cstheme="minorHAnsi"/>
          <w:bCs/>
          <w:sz w:val="18"/>
          <w:szCs w:val="18"/>
        </w:rPr>
      </w:pPr>
      <w:r w:rsidRPr="0026439D">
        <w:rPr>
          <w:rFonts w:cstheme="minorHAnsi"/>
          <w:bCs/>
          <w:sz w:val="18"/>
          <w:szCs w:val="18"/>
        </w:rPr>
        <w:t>a. Is there adequate scientific evidence or professional consensus to support the indicator?</w:t>
      </w:r>
    </w:p>
    <w:p w14:paraId="36BB01F1" w14:textId="77777777" w:rsidR="007C5630" w:rsidRPr="0026439D" w:rsidRDefault="007C5630" w:rsidP="007C5630">
      <w:pPr>
        <w:autoSpaceDE w:val="0"/>
        <w:autoSpaceDN w:val="0"/>
        <w:adjustRightInd w:val="0"/>
        <w:spacing w:after="0" w:line="240" w:lineRule="auto"/>
        <w:rPr>
          <w:rFonts w:cstheme="minorHAnsi"/>
          <w:bCs/>
          <w:sz w:val="18"/>
          <w:szCs w:val="18"/>
        </w:rPr>
      </w:pPr>
      <w:r w:rsidRPr="0026439D">
        <w:rPr>
          <w:rFonts w:cstheme="minorHAnsi"/>
          <w:bCs/>
          <w:sz w:val="18"/>
          <w:szCs w:val="18"/>
        </w:rPr>
        <w:t>b. Are there identifiable health benefits to patients who receive care specified by the indicator?</w:t>
      </w:r>
    </w:p>
    <w:p w14:paraId="3F464002" w14:textId="77777777" w:rsidR="007C5630" w:rsidRPr="0026439D" w:rsidRDefault="007C5630" w:rsidP="007C5630">
      <w:pPr>
        <w:autoSpaceDE w:val="0"/>
        <w:autoSpaceDN w:val="0"/>
        <w:adjustRightInd w:val="0"/>
        <w:spacing w:after="0" w:line="240" w:lineRule="auto"/>
        <w:rPr>
          <w:rFonts w:cstheme="minorHAnsi"/>
          <w:bCs/>
          <w:sz w:val="18"/>
          <w:szCs w:val="18"/>
        </w:rPr>
      </w:pPr>
      <w:r w:rsidRPr="0026439D">
        <w:rPr>
          <w:rFonts w:cstheme="minorHAnsi"/>
          <w:bCs/>
          <w:sz w:val="18"/>
          <w:szCs w:val="18"/>
        </w:rPr>
        <w:t>c. Based on your professional experience, would you consider providers with significantly higher rates of adherence to the indicator higher quality providers?</w:t>
      </w:r>
    </w:p>
    <w:p w14:paraId="0512752E" w14:textId="77777777" w:rsidR="007C5630" w:rsidRPr="0026439D" w:rsidRDefault="007C5630" w:rsidP="007C5630">
      <w:pPr>
        <w:autoSpaceDE w:val="0"/>
        <w:autoSpaceDN w:val="0"/>
        <w:adjustRightInd w:val="0"/>
        <w:spacing w:after="0" w:line="240" w:lineRule="auto"/>
        <w:rPr>
          <w:rFonts w:cstheme="minorHAnsi"/>
          <w:bCs/>
          <w:sz w:val="18"/>
          <w:szCs w:val="18"/>
        </w:rPr>
      </w:pPr>
      <w:r w:rsidRPr="0026439D">
        <w:rPr>
          <w:rFonts w:cstheme="minorHAnsi"/>
          <w:bCs/>
          <w:sz w:val="18"/>
          <w:szCs w:val="18"/>
        </w:rPr>
        <w:t>d. Are the majority of factors that determine adherence to the indicator under the control of the physician or health care system?”</w:t>
      </w:r>
    </w:p>
    <w:p w14:paraId="30262121" w14:textId="77777777" w:rsidR="007C5630" w:rsidRPr="0026439D" w:rsidRDefault="007C5630" w:rsidP="007C5630">
      <w:pPr>
        <w:autoSpaceDE w:val="0"/>
        <w:autoSpaceDN w:val="0"/>
        <w:adjustRightInd w:val="0"/>
        <w:spacing w:after="0" w:line="240" w:lineRule="auto"/>
        <w:rPr>
          <w:rFonts w:cstheme="minorHAnsi"/>
          <w:bCs/>
          <w:sz w:val="18"/>
          <w:szCs w:val="18"/>
        </w:rPr>
      </w:pPr>
      <w:r w:rsidRPr="0026439D">
        <w:rPr>
          <w:rFonts w:cstheme="minorHAnsi"/>
          <w:bCs/>
          <w:sz w:val="18"/>
          <w:szCs w:val="18"/>
          <w:vertAlign w:val="superscript"/>
        </w:rPr>
        <w:t>2.</w:t>
      </w:r>
      <w:r w:rsidRPr="0026439D">
        <w:rPr>
          <w:rFonts w:cstheme="minorHAnsi"/>
          <w:bCs/>
          <w:sz w:val="18"/>
          <w:szCs w:val="18"/>
        </w:rPr>
        <w:t xml:space="preserve">  </w:t>
      </w:r>
      <w:r w:rsidRPr="0026439D">
        <w:rPr>
          <w:rFonts w:cstheme="minorHAnsi"/>
          <w:bCs/>
          <w:i/>
          <w:sz w:val="18"/>
          <w:szCs w:val="18"/>
        </w:rPr>
        <w:t>Measure scale definitions</w:t>
      </w:r>
      <w:r>
        <w:rPr>
          <w:rFonts w:cstheme="minorHAnsi"/>
          <w:bCs/>
          <w:sz w:val="18"/>
          <w:szCs w:val="18"/>
        </w:rPr>
        <w:t xml:space="preserve">:  </w:t>
      </w:r>
      <w:r w:rsidRPr="0026439D">
        <w:rPr>
          <w:rFonts w:cstheme="minorHAnsi"/>
          <w:bCs/>
          <w:sz w:val="18"/>
          <w:szCs w:val="18"/>
        </w:rPr>
        <w:t xml:space="preserve">For validity, 1=definitely NOT valid to 9=definitely valid; for feasibility, 1=definitely NOT </w:t>
      </w:r>
      <w:r>
        <w:rPr>
          <w:rFonts w:cstheme="minorHAnsi"/>
          <w:bCs/>
          <w:sz w:val="18"/>
          <w:szCs w:val="18"/>
        </w:rPr>
        <w:t>feasible; 9=definitely feasible.</w:t>
      </w:r>
    </w:p>
    <w:p w14:paraId="41D1CA67" w14:textId="77777777" w:rsidR="007C5630" w:rsidRDefault="007C5630" w:rsidP="007C5630">
      <w:pPr>
        <w:autoSpaceDE w:val="0"/>
        <w:autoSpaceDN w:val="0"/>
        <w:adjustRightInd w:val="0"/>
        <w:spacing w:after="0" w:line="240" w:lineRule="auto"/>
        <w:rPr>
          <w:rFonts w:cstheme="minorHAnsi"/>
          <w:bCs/>
        </w:rPr>
      </w:pPr>
    </w:p>
    <w:p w14:paraId="284E9BF9" w14:textId="77777777" w:rsidR="007C5630" w:rsidRDefault="007C5630" w:rsidP="007C5630">
      <w:pPr>
        <w:pStyle w:val="ListParagraph"/>
        <w:numPr>
          <w:ilvl w:val="0"/>
          <w:numId w:val="28"/>
        </w:numPr>
        <w:autoSpaceDE w:val="0"/>
        <w:autoSpaceDN w:val="0"/>
        <w:adjustRightInd w:val="0"/>
        <w:spacing w:after="0" w:line="240" w:lineRule="auto"/>
        <w:rPr>
          <w:rFonts w:cstheme="minorHAnsi"/>
          <w:bCs/>
        </w:rPr>
      </w:pPr>
      <w:r w:rsidRPr="0026439D">
        <w:rPr>
          <w:rFonts w:cstheme="minorHAnsi"/>
          <w:bCs/>
        </w:rPr>
        <w:t xml:space="preserve">In addition to the formal validity assessment by experts, additional vetting was performed in several ways.  First, the ACR requested </w:t>
      </w:r>
      <w:r w:rsidRPr="0026439D">
        <w:rPr>
          <w:rFonts w:cstheme="minorHAnsi"/>
          <w:b/>
          <w:bCs/>
        </w:rPr>
        <w:t>public comment</w:t>
      </w:r>
      <w:r w:rsidRPr="0026439D">
        <w:rPr>
          <w:rFonts w:cstheme="minorHAnsi"/>
          <w:bCs/>
        </w:rPr>
        <w:t xml:space="preserve"> on the measure, publicizing the comment period through email communication with ACR members and communicating with the leadership of other stakeholder groups.  Public comments </w:t>
      </w:r>
      <w:r>
        <w:rPr>
          <w:rFonts w:cstheme="minorHAnsi"/>
          <w:bCs/>
        </w:rPr>
        <w:t xml:space="preserve">were reviewed and </w:t>
      </w:r>
      <w:r w:rsidRPr="0026439D">
        <w:rPr>
          <w:rFonts w:cstheme="minorHAnsi"/>
          <w:bCs/>
        </w:rPr>
        <w:t xml:space="preserve">did not identify any </w:t>
      </w:r>
      <w:r>
        <w:rPr>
          <w:rFonts w:cstheme="minorHAnsi"/>
          <w:bCs/>
        </w:rPr>
        <w:t xml:space="preserve">additional </w:t>
      </w:r>
      <w:r w:rsidRPr="0026439D">
        <w:rPr>
          <w:rFonts w:cstheme="minorHAnsi"/>
          <w:bCs/>
        </w:rPr>
        <w:t xml:space="preserve">issues </w:t>
      </w:r>
      <w:r>
        <w:rPr>
          <w:rFonts w:cstheme="minorHAnsi"/>
          <w:bCs/>
        </w:rPr>
        <w:t xml:space="preserve">concerns </w:t>
      </w:r>
      <w:r w:rsidRPr="0026439D">
        <w:rPr>
          <w:rFonts w:cstheme="minorHAnsi"/>
          <w:bCs/>
        </w:rPr>
        <w:t xml:space="preserve">with the measure.  </w:t>
      </w:r>
    </w:p>
    <w:p w14:paraId="6AC26F07" w14:textId="77777777" w:rsidR="007C5630" w:rsidRPr="0026439D" w:rsidRDefault="007C5630" w:rsidP="007C5630">
      <w:pPr>
        <w:pStyle w:val="ListParagraph"/>
        <w:numPr>
          <w:ilvl w:val="0"/>
          <w:numId w:val="28"/>
        </w:numPr>
        <w:autoSpaceDE w:val="0"/>
        <w:autoSpaceDN w:val="0"/>
        <w:adjustRightInd w:val="0"/>
        <w:spacing w:after="0" w:line="240" w:lineRule="auto"/>
        <w:rPr>
          <w:rFonts w:cstheme="minorHAnsi"/>
          <w:bCs/>
        </w:rPr>
      </w:pPr>
      <w:r w:rsidRPr="00CA3371">
        <w:rPr>
          <w:rFonts w:cstheme="minorHAnsi"/>
          <w:bCs/>
        </w:rPr>
        <w:t>Finally, the</w:t>
      </w:r>
      <w:r w:rsidRPr="00CA3371">
        <w:rPr>
          <w:rFonts w:cstheme="minorHAnsi"/>
          <w:b/>
          <w:bCs/>
        </w:rPr>
        <w:t xml:space="preserve"> </w:t>
      </w:r>
      <w:r>
        <w:rPr>
          <w:rFonts w:cstheme="minorHAnsi"/>
          <w:b/>
          <w:bCs/>
        </w:rPr>
        <w:t xml:space="preserve">ACR </w:t>
      </w:r>
      <w:r w:rsidRPr="00CA3371">
        <w:rPr>
          <w:rFonts w:cstheme="minorHAnsi"/>
          <w:b/>
          <w:bCs/>
        </w:rPr>
        <w:t xml:space="preserve">Quality Measures Subcommittee, </w:t>
      </w:r>
      <w:r>
        <w:rPr>
          <w:rFonts w:cstheme="minorHAnsi"/>
          <w:b/>
          <w:bCs/>
        </w:rPr>
        <w:t xml:space="preserve">ACR </w:t>
      </w:r>
      <w:r w:rsidRPr="00CA3371">
        <w:rPr>
          <w:rFonts w:cstheme="minorHAnsi"/>
          <w:b/>
          <w:bCs/>
        </w:rPr>
        <w:t xml:space="preserve">Quality of Care Committee </w:t>
      </w:r>
      <w:r w:rsidRPr="00CA3371">
        <w:rPr>
          <w:rFonts w:cstheme="minorHAnsi"/>
          <w:bCs/>
        </w:rPr>
        <w:t>and</w:t>
      </w:r>
      <w:r w:rsidRPr="00CA3371">
        <w:rPr>
          <w:rFonts w:cstheme="minorHAnsi"/>
          <w:b/>
          <w:bCs/>
        </w:rPr>
        <w:t xml:space="preserve"> ACR Board of Directors </w:t>
      </w:r>
      <w:r w:rsidRPr="00CA3371">
        <w:rPr>
          <w:rFonts w:cstheme="minorHAnsi"/>
          <w:bCs/>
        </w:rPr>
        <w:t>approved the measures</w:t>
      </w:r>
      <w:r w:rsidRPr="0026439D">
        <w:rPr>
          <w:rFonts w:cstheme="minorHAnsi"/>
          <w:bCs/>
        </w:rPr>
        <w:t>.</w:t>
      </w:r>
    </w:p>
    <w:p w14:paraId="402A5C00" w14:textId="77777777" w:rsidR="007C5630" w:rsidRPr="003321D9" w:rsidRDefault="007C5630" w:rsidP="007C5630">
      <w:pPr>
        <w:autoSpaceDE w:val="0"/>
        <w:autoSpaceDN w:val="0"/>
        <w:adjustRightInd w:val="0"/>
        <w:spacing w:after="0" w:line="240" w:lineRule="auto"/>
        <w:rPr>
          <w:rFonts w:cstheme="minorHAnsi"/>
          <w:bCs/>
        </w:rPr>
      </w:pPr>
    </w:p>
    <w:p w14:paraId="34183A87" w14:textId="77777777" w:rsidR="00833325" w:rsidRPr="00A25024" w:rsidRDefault="00833325" w:rsidP="00DB3627">
      <w:pPr>
        <w:autoSpaceDE w:val="0"/>
        <w:autoSpaceDN w:val="0"/>
        <w:adjustRightInd w:val="0"/>
        <w:spacing w:after="0" w:line="240" w:lineRule="auto"/>
        <w:rPr>
          <w:rFonts w:cstheme="minorHAnsi"/>
          <w:bCs/>
        </w:rPr>
      </w:pPr>
    </w:p>
    <w:p w14:paraId="208A0E4F" w14:textId="77777777" w:rsidR="00221A04"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6B53A831" w14:textId="77777777" w:rsidR="00C4095B" w:rsidRDefault="00C4095B" w:rsidP="007C5630">
      <w:pPr>
        <w:autoSpaceDE w:val="0"/>
        <w:autoSpaceDN w:val="0"/>
        <w:adjustRightInd w:val="0"/>
        <w:spacing w:after="0" w:line="240" w:lineRule="auto"/>
        <w:rPr>
          <w:b/>
          <w:u w:val="single"/>
        </w:rPr>
      </w:pPr>
    </w:p>
    <w:p w14:paraId="03684230" w14:textId="77777777" w:rsidR="007C5630" w:rsidRDefault="007C5630" w:rsidP="007C5630">
      <w:pPr>
        <w:autoSpaceDE w:val="0"/>
        <w:autoSpaceDN w:val="0"/>
        <w:adjustRightInd w:val="0"/>
        <w:spacing w:after="0" w:line="240" w:lineRule="auto"/>
        <w:rPr>
          <w:rFonts w:cstheme="minorHAnsi"/>
          <w:bCs/>
          <w:highlight w:val="magenta"/>
        </w:rPr>
      </w:pPr>
      <w:r>
        <w:rPr>
          <w:b/>
          <w:u w:val="single"/>
        </w:rPr>
        <w:t xml:space="preserve">1.  </w:t>
      </w:r>
      <w:r w:rsidRPr="00E54DA3">
        <w:rPr>
          <w:b/>
          <w:u w:val="single"/>
        </w:rPr>
        <w:t>Performance measure score validity</w:t>
      </w:r>
      <w:r>
        <w:rPr>
          <w:b/>
          <w:u w:val="single"/>
        </w:rPr>
        <w:t xml:space="preserve"> results</w:t>
      </w:r>
    </w:p>
    <w:p w14:paraId="51BFCB95" w14:textId="77777777" w:rsidR="007C5630" w:rsidRDefault="007C5630" w:rsidP="007C5630">
      <w:pPr>
        <w:autoSpaceDE w:val="0"/>
        <w:autoSpaceDN w:val="0"/>
        <w:adjustRightInd w:val="0"/>
        <w:spacing w:after="0" w:line="240" w:lineRule="auto"/>
        <w:rPr>
          <w:rFonts w:cstheme="minorHAnsi"/>
          <w:bCs/>
          <w:highlight w:val="magenta"/>
        </w:rPr>
      </w:pPr>
    </w:p>
    <w:p w14:paraId="45F1EA0C" w14:textId="77777777" w:rsidR="00C4095B" w:rsidRPr="00C4095B" w:rsidRDefault="00C4095B" w:rsidP="00C4095B">
      <w:pPr>
        <w:spacing w:after="0"/>
      </w:pPr>
      <w:r w:rsidRPr="00C4095B">
        <w:t>Sample Size: 223</w:t>
      </w:r>
    </w:p>
    <w:p w14:paraId="6CAC9CCF" w14:textId="77777777" w:rsidR="00C4095B" w:rsidRPr="00C4095B" w:rsidRDefault="00C4095B" w:rsidP="00C4095B">
      <w:pPr>
        <w:autoSpaceDE w:val="0"/>
        <w:autoSpaceDN w:val="0"/>
        <w:adjustRightInd w:val="0"/>
        <w:spacing w:after="0" w:line="240" w:lineRule="auto"/>
        <w:rPr>
          <w:rFonts w:cstheme="minorHAnsi"/>
          <w:bCs/>
        </w:rPr>
      </w:pPr>
      <w:r w:rsidRPr="00C4095B">
        <w:t>Kappa Ov</w:t>
      </w:r>
      <w:r>
        <w:t>erall, Range, % Agreement: 0.95, 0.91</w:t>
      </w:r>
      <w:r w:rsidRPr="00C4095B">
        <w:t xml:space="preserve"> </w:t>
      </w:r>
      <w:r>
        <w:t xml:space="preserve">to 0.99, </w:t>
      </w:r>
      <w:proofErr w:type="gramStart"/>
      <w:r>
        <w:t>97.3</w:t>
      </w:r>
      <w:proofErr w:type="gramEnd"/>
      <w:r w:rsidRPr="00C4095B">
        <w:t>%</w:t>
      </w:r>
    </w:p>
    <w:p w14:paraId="350891DC" w14:textId="77777777" w:rsidR="00C4095B" w:rsidRPr="00C4095B" w:rsidRDefault="00C4095B" w:rsidP="00C4095B">
      <w:pPr>
        <w:spacing w:after="0"/>
      </w:pPr>
      <w:r w:rsidRPr="00C4095B">
        <w:t>Kappa, Range, % Agreement Denominator: 0</w:t>
      </w:r>
      <w:r w:rsidR="007639E2">
        <w:t>, 0 to</w:t>
      </w:r>
      <w:r w:rsidRPr="00C4095B">
        <w:t xml:space="preserve"> </w:t>
      </w:r>
      <w:r w:rsidR="007639E2">
        <w:t>0.97, 98.2</w:t>
      </w:r>
      <w:r w:rsidRPr="00C4095B">
        <w:t>%</w:t>
      </w:r>
    </w:p>
    <w:p w14:paraId="24D064B0" w14:textId="77777777" w:rsidR="00C4095B" w:rsidRPr="00C4095B" w:rsidRDefault="00C4095B" w:rsidP="00C4095B">
      <w:pPr>
        <w:spacing w:after="0"/>
      </w:pPr>
      <w:r w:rsidRPr="00C4095B">
        <w:t>Kappa, Ra</w:t>
      </w:r>
      <w:r w:rsidR="007639E2">
        <w:t>nge, % Agreement Numerator: 0.96, 0</w:t>
      </w:r>
      <w:r w:rsidRPr="00C4095B">
        <w:t>.</w:t>
      </w:r>
      <w:r w:rsidR="007639E2">
        <w:t>92 to 1.0) 98.2</w:t>
      </w:r>
      <w:r w:rsidRPr="00C4095B">
        <w:t>%</w:t>
      </w:r>
    </w:p>
    <w:p w14:paraId="69B37D84" w14:textId="3B0E61D9" w:rsidR="00C4095B" w:rsidRDefault="00C4095B" w:rsidP="00C4095B">
      <w:pPr>
        <w:autoSpaceDE w:val="0"/>
        <w:autoSpaceDN w:val="0"/>
        <w:adjustRightInd w:val="0"/>
        <w:spacing w:after="0" w:line="240" w:lineRule="auto"/>
        <w:rPr>
          <w:rFonts w:cstheme="minorHAnsi"/>
          <w:bCs/>
        </w:rPr>
      </w:pPr>
      <w:r w:rsidRPr="00CA3371">
        <w:rPr>
          <w:rFonts w:cstheme="minorHAnsi"/>
          <w:bCs/>
        </w:rPr>
        <w:t>Kappa, Range, % Agreement Exceptions</w:t>
      </w:r>
      <w:r w:rsidRPr="00E87F1F">
        <w:rPr>
          <w:rFonts w:cstheme="minorHAnsi"/>
          <w:bCs/>
        </w:rPr>
        <w:t>: 1.00</w:t>
      </w:r>
      <w:r w:rsidRPr="00CA3371">
        <w:rPr>
          <w:rFonts w:cstheme="minorHAnsi"/>
          <w:bCs/>
        </w:rPr>
        <w:t xml:space="preserve"> </w:t>
      </w:r>
      <w:r>
        <w:rPr>
          <w:rFonts w:cstheme="minorHAnsi"/>
          <w:bCs/>
        </w:rPr>
        <w:t>(1.0 to</w:t>
      </w:r>
      <w:r w:rsidRPr="00CA3371">
        <w:rPr>
          <w:rFonts w:cstheme="minorHAnsi"/>
          <w:bCs/>
        </w:rPr>
        <w:t xml:space="preserve"> 1</w:t>
      </w:r>
      <w:r>
        <w:rPr>
          <w:rFonts w:cstheme="minorHAnsi"/>
          <w:bCs/>
        </w:rPr>
        <w:t>.0</w:t>
      </w:r>
      <w:r w:rsidRPr="00CA3371">
        <w:rPr>
          <w:rFonts w:cstheme="minorHAnsi"/>
          <w:bCs/>
        </w:rPr>
        <w:t>)</w:t>
      </w:r>
      <w:r>
        <w:rPr>
          <w:rFonts w:cstheme="minorHAnsi"/>
          <w:bCs/>
        </w:rPr>
        <w:t>,</w:t>
      </w:r>
      <w:r w:rsidRPr="00CA3371">
        <w:rPr>
          <w:rFonts w:cstheme="minorHAnsi"/>
          <w:bCs/>
        </w:rPr>
        <w:t xml:space="preserve"> 100%</w:t>
      </w:r>
      <w:r w:rsidR="00E87F1F">
        <w:rPr>
          <w:rFonts w:cstheme="minorHAnsi"/>
          <w:bCs/>
        </w:rPr>
        <w:t>*</w:t>
      </w:r>
    </w:p>
    <w:p w14:paraId="1E082F61" w14:textId="1004581A" w:rsidR="00E87F1F" w:rsidRDefault="00E87F1F" w:rsidP="00C4095B">
      <w:pPr>
        <w:autoSpaceDE w:val="0"/>
        <w:autoSpaceDN w:val="0"/>
        <w:adjustRightInd w:val="0"/>
        <w:spacing w:after="0" w:line="240" w:lineRule="auto"/>
        <w:rPr>
          <w:rFonts w:cstheme="minorHAnsi"/>
          <w:bCs/>
          <w:sz w:val="18"/>
          <w:szCs w:val="18"/>
        </w:rPr>
      </w:pPr>
      <w:r w:rsidRPr="00E87F1F">
        <w:rPr>
          <w:rFonts w:cstheme="minorHAnsi"/>
          <w:bCs/>
          <w:sz w:val="18"/>
          <w:szCs w:val="18"/>
        </w:rPr>
        <w:t>*100% agreement that there are no exceptions</w:t>
      </w:r>
    </w:p>
    <w:p w14:paraId="10F1C952" w14:textId="77777777" w:rsidR="006D1DC6" w:rsidRPr="00912E88" w:rsidRDefault="006D1DC6" w:rsidP="006D1DC6">
      <w:pPr>
        <w:autoSpaceDE w:val="0"/>
        <w:autoSpaceDN w:val="0"/>
        <w:adjustRightInd w:val="0"/>
        <w:spacing w:after="0" w:line="240" w:lineRule="auto"/>
        <w:rPr>
          <w:rFonts w:cstheme="minorHAnsi"/>
          <w:bCs/>
          <w:sz w:val="18"/>
          <w:szCs w:val="18"/>
        </w:rPr>
      </w:pPr>
      <w:r>
        <w:rPr>
          <w:rFonts w:cstheme="minorHAnsi"/>
          <w:bCs/>
          <w:sz w:val="18"/>
          <w:szCs w:val="18"/>
        </w:rPr>
        <w:lastRenderedPageBreak/>
        <w:t>R</w:t>
      </w:r>
      <w:r w:rsidRPr="00912E88">
        <w:rPr>
          <w:rFonts w:cstheme="minorHAnsi"/>
          <w:bCs/>
          <w:sz w:val="18"/>
          <w:szCs w:val="18"/>
        </w:rPr>
        <w:t>ecommended guidelines for interpreting Kappa values from the National Quality Forum’s Guidance for Measure Testing and Evaluating Scientific Acceptability of Measure Properties</w:t>
      </w:r>
    </w:p>
    <w:p w14:paraId="57486FB1" w14:textId="77777777" w:rsidR="006D1DC6" w:rsidRDefault="006D1DC6" w:rsidP="00C4095B">
      <w:pPr>
        <w:autoSpaceDE w:val="0"/>
        <w:autoSpaceDN w:val="0"/>
        <w:adjustRightInd w:val="0"/>
        <w:spacing w:after="0" w:line="240" w:lineRule="auto"/>
        <w:rPr>
          <w:rFonts w:cstheme="minorHAnsi"/>
          <w:bCs/>
          <w:sz w:val="18"/>
          <w:szCs w:val="18"/>
        </w:rPr>
      </w:pPr>
    </w:p>
    <w:p w14:paraId="2797C4CE" w14:textId="56D2802A" w:rsidR="00BD6BD0" w:rsidRDefault="00BD6BD0" w:rsidP="00C4095B">
      <w:pPr>
        <w:autoSpaceDE w:val="0"/>
        <w:autoSpaceDN w:val="0"/>
        <w:adjustRightInd w:val="0"/>
        <w:spacing w:after="0" w:line="240" w:lineRule="auto"/>
        <w:rPr>
          <w:rFonts w:cstheme="minorHAnsi"/>
          <w:bCs/>
          <w:sz w:val="18"/>
          <w:szCs w:val="18"/>
        </w:rPr>
      </w:pPr>
      <w:r>
        <w:rPr>
          <w:noProof/>
        </w:rPr>
        <w:drawing>
          <wp:inline distT="0" distB="0" distL="0" distR="0" wp14:anchorId="648BB1AF" wp14:editId="46F07D19">
            <wp:extent cx="5943600" cy="975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975360"/>
                    </a:xfrm>
                    <a:prstGeom prst="rect">
                      <a:avLst/>
                    </a:prstGeom>
                  </pic:spPr>
                </pic:pic>
              </a:graphicData>
            </a:graphic>
          </wp:inline>
        </w:drawing>
      </w:r>
    </w:p>
    <w:p w14:paraId="472B3196" w14:textId="77777777" w:rsidR="00BD6BD0" w:rsidRDefault="00BD6BD0" w:rsidP="00BD6BD0">
      <w:pPr>
        <w:autoSpaceDE w:val="0"/>
        <w:autoSpaceDN w:val="0"/>
        <w:adjustRightInd w:val="0"/>
        <w:spacing w:after="0" w:line="240" w:lineRule="auto"/>
        <w:rPr>
          <w:rFonts w:cstheme="minorHAnsi"/>
          <w:bCs/>
        </w:rPr>
      </w:pPr>
      <w:r>
        <w:rPr>
          <w:rFonts w:cstheme="minorHAnsi"/>
          <w:bCs/>
        </w:rPr>
        <w:t>B</w:t>
      </w:r>
      <w:r w:rsidRPr="005E0F91">
        <w:rPr>
          <w:rFonts w:cstheme="minorHAnsi"/>
          <w:bCs/>
        </w:rPr>
        <w:t>ecause instances of agreement dominated, the denominator Kappa was zero.  The instance of 0 for the denominator is an example of the limitation of the Kappa statistic. A kappa of zero can be obtained even though agreement is very high due to one classification category dominating.</w:t>
      </w:r>
    </w:p>
    <w:p w14:paraId="5F1A247A" w14:textId="77777777" w:rsidR="00BD6BD0" w:rsidRPr="005E0F91" w:rsidRDefault="00BD6BD0" w:rsidP="00BD6BD0">
      <w:pPr>
        <w:autoSpaceDE w:val="0"/>
        <w:autoSpaceDN w:val="0"/>
        <w:adjustRightInd w:val="0"/>
        <w:spacing w:after="0" w:line="240" w:lineRule="auto"/>
        <w:rPr>
          <w:rFonts w:cstheme="minorHAnsi"/>
          <w:bCs/>
        </w:rPr>
      </w:pPr>
    </w:p>
    <w:p w14:paraId="08F6461F" w14:textId="77777777" w:rsidR="00BD6BD0" w:rsidRDefault="00BD6BD0" w:rsidP="00BD6BD0">
      <w:pPr>
        <w:autoSpaceDE w:val="0"/>
        <w:autoSpaceDN w:val="0"/>
        <w:adjustRightInd w:val="0"/>
        <w:spacing w:after="0" w:line="240" w:lineRule="auto"/>
        <w:rPr>
          <w:rFonts w:cstheme="minorHAnsi"/>
          <w:bCs/>
        </w:rPr>
      </w:pPr>
      <w:r w:rsidRPr="005E0F91">
        <w:rPr>
          <w:rFonts w:cstheme="minorHAnsi"/>
          <w:bCs/>
        </w:rPr>
        <w:t>(See http://www.ajronline.org/doi/abs/10.2214/ajr.1</w:t>
      </w:r>
      <w:r>
        <w:rPr>
          <w:rFonts w:cstheme="minorHAnsi"/>
          <w:bCs/>
        </w:rPr>
        <w:t>84.5.01841391 for full details).</w:t>
      </w:r>
    </w:p>
    <w:p w14:paraId="25E31908" w14:textId="77777777" w:rsidR="007C5630" w:rsidRPr="00CA3371" w:rsidRDefault="007C5630" w:rsidP="007C5630">
      <w:pPr>
        <w:autoSpaceDE w:val="0"/>
        <w:autoSpaceDN w:val="0"/>
        <w:adjustRightInd w:val="0"/>
        <w:spacing w:after="0" w:line="240" w:lineRule="auto"/>
        <w:rPr>
          <w:rFonts w:cstheme="minorHAnsi"/>
          <w:bCs/>
        </w:rPr>
      </w:pPr>
    </w:p>
    <w:p w14:paraId="144406D9" w14:textId="77777777" w:rsidR="007C5630" w:rsidRDefault="007C5630" w:rsidP="007C5630">
      <w:pPr>
        <w:autoSpaceDE w:val="0"/>
        <w:autoSpaceDN w:val="0"/>
        <w:adjustRightInd w:val="0"/>
        <w:spacing w:after="0" w:line="240" w:lineRule="auto"/>
        <w:rPr>
          <w:rFonts w:cstheme="minorHAnsi"/>
          <w:b/>
          <w:bCs/>
          <w:u w:val="single"/>
        </w:rPr>
      </w:pPr>
      <w:r w:rsidRPr="0026439D">
        <w:rPr>
          <w:rFonts w:cstheme="minorHAnsi"/>
          <w:b/>
          <w:bCs/>
          <w:u w:val="single"/>
        </w:rPr>
        <w:t>2.  Critical data element validity.</w:t>
      </w:r>
      <w:r w:rsidRPr="00A7053C">
        <w:rPr>
          <w:rFonts w:cstheme="minorHAnsi"/>
          <w:b/>
          <w:bCs/>
        </w:rPr>
        <w:t xml:space="preserve">  </w:t>
      </w:r>
      <w:r w:rsidRPr="00A7053C">
        <w:rPr>
          <w:rFonts w:cstheme="minorHAnsi"/>
          <w:bCs/>
        </w:rPr>
        <w:t>Please see above section for details of validity testing results.</w:t>
      </w:r>
    </w:p>
    <w:p w14:paraId="10C77C7D" w14:textId="77777777" w:rsidR="007C5630" w:rsidRDefault="007C5630" w:rsidP="007C5630">
      <w:pPr>
        <w:autoSpaceDE w:val="0"/>
        <w:autoSpaceDN w:val="0"/>
        <w:adjustRightInd w:val="0"/>
        <w:spacing w:after="0" w:line="240" w:lineRule="auto"/>
        <w:rPr>
          <w:rFonts w:cstheme="minorHAnsi"/>
          <w:bCs/>
          <w:highlight w:val="magenta"/>
        </w:rPr>
      </w:pPr>
    </w:p>
    <w:p w14:paraId="4FFF9017" w14:textId="77777777" w:rsidR="007C5630" w:rsidRDefault="007C5630" w:rsidP="007C5630">
      <w:pPr>
        <w:autoSpaceDE w:val="0"/>
        <w:autoSpaceDN w:val="0"/>
        <w:adjustRightInd w:val="0"/>
        <w:spacing w:after="0" w:line="240" w:lineRule="auto"/>
        <w:rPr>
          <w:rFonts w:cstheme="minorHAnsi"/>
          <w:bCs/>
        </w:rPr>
      </w:pPr>
      <w:r>
        <w:rPr>
          <w:rFonts w:cstheme="minorHAnsi"/>
          <w:b/>
          <w:bCs/>
          <w:u w:val="single"/>
        </w:rPr>
        <w:t xml:space="preserve">3.  </w:t>
      </w:r>
      <w:r w:rsidRPr="005B21EB">
        <w:rPr>
          <w:rFonts w:cstheme="minorHAnsi"/>
          <w:b/>
          <w:bCs/>
          <w:u w:val="single"/>
        </w:rPr>
        <w:t>Systematic assessment of face validity</w:t>
      </w:r>
      <w:r>
        <w:rPr>
          <w:rFonts w:cstheme="minorHAnsi"/>
          <w:bCs/>
        </w:rPr>
        <w:t xml:space="preserve">.  </w:t>
      </w:r>
    </w:p>
    <w:p w14:paraId="1A47A38A" w14:textId="77777777" w:rsidR="007C5630" w:rsidRDefault="007C5630" w:rsidP="007C5630">
      <w:pPr>
        <w:autoSpaceDE w:val="0"/>
        <w:autoSpaceDN w:val="0"/>
        <w:adjustRightInd w:val="0"/>
        <w:spacing w:after="0" w:line="240" w:lineRule="auto"/>
        <w:rPr>
          <w:rFonts w:cstheme="minorHAnsi"/>
          <w:bCs/>
        </w:rPr>
      </w:pPr>
    </w:p>
    <w:p w14:paraId="4959AF29" w14:textId="77777777" w:rsidR="007C5630" w:rsidRPr="00B20EF1" w:rsidRDefault="007C5630" w:rsidP="007C5630">
      <w:pPr>
        <w:autoSpaceDE w:val="0"/>
        <w:autoSpaceDN w:val="0"/>
        <w:adjustRightInd w:val="0"/>
        <w:spacing w:after="0" w:line="240" w:lineRule="auto"/>
        <w:rPr>
          <w:rFonts w:cstheme="minorHAnsi"/>
          <w:b/>
          <w:bCs/>
        </w:rPr>
      </w:pPr>
      <w:r w:rsidRPr="00B20EF1">
        <w:rPr>
          <w:rFonts w:cstheme="minorHAnsi"/>
          <w:b/>
          <w:bCs/>
        </w:rPr>
        <w:t xml:space="preserve">Table 3.  Data from the American College of Rheumatology’s Rheumatoid Arthritis Quality Measures Project </w:t>
      </w:r>
      <w:r>
        <w:rPr>
          <w:rFonts w:cstheme="minorHAnsi"/>
          <w:b/>
          <w:bCs/>
        </w:rPr>
        <w:t xml:space="preserve">Expert Panel Rating Process for </w:t>
      </w:r>
      <w:r w:rsidR="007639E2">
        <w:rPr>
          <w:rFonts w:cstheme="minorHAnsi"/>
          <w:b/>
          <w:bCs/>
        </w:rPr>
        <w:t>Functional Status</w:t>
      </w:r>
      <w:r>
        <w:rPr>
          <w:rFonts w:cstheme="minorHAnsi"/>
          <w:b/>
          <w:bCs/>
        </w:rPr>
        <w:t xml:space="preserve"> Measure.</w:t>
      </w:r>
      <w:r>
        <w:rPr>
          <w:rFonts w:cstheme="minorHAnsi"/>
          <w:b/>
          <w:bCs/>
          <w:vertAlign w:val="superscript"/>
        </w:rPr>
        <w:t>1</w:t>
      </w:r>
      <w:proofErr w:type="gramStart"/>
      <w:r>
        <w:rPr>
          <w:rFonts w:cstheme="minorHAnsi"/>
          <w:b/>
          <w:bCs/>
          <w:vertAlign w:val="superscript"/>
        </w:rPr>
        <w:t>,2</w:t>
      </w:r>
      <w:proofErr w:type="gramEnd"/>
    </w:p>
    <w:p w14:paraId="10A1A36B" w14:textId="77777777" w:rsidR="007C5630" w:rsidRDefault="007C5630" w:rsidP="007C5630">
      <w:pPr>
        <w:autoSpaceDE w:val="0"/>
        <w:autoSpaceDN w:val="0"/>
        <w:adjustRightInd w:val="0"/>
        <w:spacing w:after="0" w:line="240" w:lineRule="auto"/>
        <w:rPr>
          <w:rFonts w:cstheme="minorHAnsi"/>
          <w:bCs/>
        </w:rPr>
      </w:pPr>
    </w:p>
    <w:tbl>
      <w:tblPr>
        <w:tblStyle w:val="TableGrid"/>
        <w:tblW w:w="9492" w:type="dxa"/>
        <w:tblInd w:w="108" w:type="dxa"/>
        <w:tblLook w:val="0600" w:firstRow="0" w:lastRow="0" w:firstColumn="0" w:lastColumn="0" w:noHBand="1" w:noVBand="1"/>
      </w:tblPr>
      <w:tblGrid>
        <w:gridCol w:w="1582"/>
        <w:gridCol w:w="1582"/>
        <w:gridCol w:w="1582"/>
        <w:gridCol w:w="1582"/>
        <w:gridCol w:w="1582"/>
        <w:gridCol w:w="1582"/>
      </w:tblGrid>
      <w:tr w:rsidR="007C5630" w:rsidRPr="00B20EF1" w14:paraId="3F9D8FC1" w14:textId="77777777" w:rsidTr="007C5630">
        <w:trPr>
          <w:trHeight w:val="863"/>
        </w:trPr>
        <w:tc>
          <w:tcPr>
            <w:tcW w:w="1582" w:type="dxa"/>
            <w:shd w:val="clear" w:color="auto" w:fill="F2F2F2" w:themeFill="background1" w:themeFillShade="F2"/>
            <w:hideMark/>
          </w:tcPr>
          <w:p w14:paraId="24070C73" w14:textId="77777777" w:rsidR="007C5630" w:rsidRPr="00B20EF1" w:rsidRDefault="007C5630" w:rsidP="007C5630">
            <w:pPr>
              <w:autoSpaceDE w:val="0"/>
              <w:autoSpaceDN w:val="0"/>
              <w:adjustRightInd w:val="0"/>
              <w:rPr>
                <w:rFonts w:cstheme="minorHAnsi"/>
                <w:bCs/>
              </w:rPr>
            </w:pPr>
            <w:r w:rsidRPr="00B20EF1">
              <w:rPr>
                <w:rFonts w:cstheme="minorHAnsi"/>
                <w:bCs/>
              </w:rPr>
              <w:t>Median score for validity</w:t>
            </w:r>
          </w:p>
        </w:tc>
        <w:tc>
          <w:tcPr>
            <w:tcW w:w="1582" w:type="dxa"/>
            <w:shd w:val="clear" w:color="auto" w:fill="F2F2F2" w:themeFill="background1" w:themeFillShade="F2"/>
            <w:hideMark/>
          </w:tcPr>
          <w:p w14:paraId="3D7563AE" w14:textId="77777777" w:rsidR="007C5630" w:rsidRPr="00B20EF1" w:rsidRDefault="007C5630" w:rsidP="007C5630">
            <w:pPr>
              <w:autoSpaceDE w:val="0"/>
              <w:autoSpaceDN w:val="0"/>
              <w:adjustRightInd w:val="0"/>
              <w:rPr>
                <w:rFonts w:cstheme="minorHAnsi"/>
                <w:bCs/>
              </w:rPr>
            </w:pPr>
            <w:r w:rsidRPr="00B20EF1">
              <w:rPr>
                <w:rFonts w:cstheme="minorHAnsi"/>
                <w:bCs/>
              </w:rPr>
              <w:t>Median score for feasibility</w:t>
            </w:r>
          </w:p>
        </w:tc>
        <w:tc>
          <w:tcPr>
            <w:tcW w:w="1582" w:type="dxa"/>
            <w:shd w:val="clear" w:color="auto" w:fill="F2F2F2" w:themeFill="background1" w:themeFillShade="F2"/>
            <w:hideMark/>
          </w:tcPr>
          <w:p w14:paraId="5B7DE420" w14:textId="77777777" w:rsidR="007C5630" w:rsidRPr="00B20EF1" w:rsidRDefault="007C5630" w:rsidP="007C5630">
            <w:pPr>
              <w:autoSpaceDE w:val="0"/>
              <w:autoSpaceDN w:val="0"/>
              <w:adjustRightInd w:val="0"/>
              <w:rPr>
                <w:rFonts w:cstheme="minorHAnsi"/>
                <w:bCs/>
              </w:rPr>
            </w:pPr>
            <w:r w:rsidRPr="00B20EF1">
              <w:rPr>
                <w:rFonts w:cstheme="minorHAnsi"/>
                <w:bCs/>
              </w:rPr>
              <w:t># of raters</w:t>
            </w:r>
            <w:r w:rsidRPr="00B20EF1">
              <w:rPr>
                <w:rFonts w:cstheme="minorHAnsi"/>
                <w:bCs/>
              </w:rPr>
              <w:br/>
              <w:t xml:space="preserve"> with validity score ≤ 3</w:t>
            </w:r>
          </w:p>
        </w:tc>
        <w:tc>
          <w:tcPr>
            <w:tcW w:w="1582" w:type="dxa"/>
            <w:shd w:val="clear" w:color="auto" w:fill="F2F2F2" w:themeFill="background1" w:themeFillShade="F2"/>
            <w:hideMark/>
          </w:tcPr>
          <w:p w14:paraId="07A57845" w14:textId="77777777" w:rsidR="007C5630" w:rsidRPr="00B20EF1" w:rsidRDefault="007C5630" w:rsidP="007C5630">
            <w:pPr>
              <w:autoSpaceDE w:val="0"/>
              <w:autoSpaceDN w:val="0"/>
              <w:adjustRightInd w:val="0"/>
              <w:rPr>
                <w:rFonts w:cstheme="minorHAnsi"/>
                <w:bCs/>
              </w:rPr>
            </w:pPr>
            <w:r w:rsidRPr="00B20EF1">
              <w:rPr>
                <w:rFonts w:cstheme="minorHAnsi"/>
                <w:bCs/>
              </w:rPr>
              <w:t xml:space="preserve"># of raters </w:t>
            </w:r>
            <w:r w:rsidRPr="00B20EF1">
              <w:rPr>
                <w:rFonts w:cstheme="minorHAnsi"/>
                <w:bCs/>
              </w:rPr>
              <w:br/>
              <w:t>with validity score ≥ 7</w:t>
            </w:r>
          </w:p>
        </w:tc>
        <w:tc>
          <w:tcPr>
            <w:tcW w:w="1582" w:type="dxa"/>
            <w:shd w:val="clear" w:color="auto" w:fill="F2F2F2" w:themeFill="background1" w:themeFillShade="F2"/>
            <w:hideMark/>
          </w:tcPr>
          <w:p w14:paraId="72039DF8" w14:textId="77777777" w:rsidR="007C5630" w:rsidRPr="00B20EF1" w:rsidRDefault="007C5630" w:rsidP="007C5630">
            <w:pPr>
              <w:autoSpaceDE w:val="0"/>
              <w:autoSpaceDN w:val="0"/>
              <w:adjustRightInd w:val="0"/>
              <w:rPr>
                <w:rFonts w:cstheme="minorHAnsi"/>
                <w:bCs/>
              </w:rPr>
            </w:pPr>
            <w:r w:rsidRPr="00B20EF1">
              <w:rPr>
                <w:rFonts w:cstheme="minorHAnsi"/>
                <w:bCs/>
              </w:rPr>
              <w:t xml:space="preserve"># of raters </w:t>
            </w:r>
            <w:r w:rsidRPr="00B20EF1">
              <w:rPr>
                <w:rFonts w:cstheme="minorHAnsi"/>
                <w:bCs/>
              </w:rPr>
              <w:br/>
              <w:t>total</w:t>
            </w:r>
          </w:p>
        </w:tc>
        <w:tc>
          <w:tcPr>
            <w:tcW w:w="1582" w:type="dxa"/>
            <w:shd w:val="clear" w:color="auto" w:fill="F2F2F2" w:themeFill="background1" w:themeFillShade="F2"/>
            <w:hideMark/>
          </w:tcPr>
          <w:p w14:paraId="0FD0280F" w14:textId="77777777" w:rsidR="007C5630" w:rsidRPr="00B20EF1" w:rsidRDefault="007C5630" w:rsidP="007C5630">
            <w:pPr>
              <w:autoSpaceDE w:val="0"/>
              <w:autoSpaceDN w:val="0"/>
              <w:adjustRightInd w:val="0"/>
              <w:rPr>
                <w:rFonts w:cstheme="minorHAnsi"/>
                <w:bCs/>
              </w:rPr>
            </w:pPr>
            <w:r w:rsidRPr="00B20EF1">
              <w:rPr>
                <w:rFonts w:cstheme="minorHAnsi"/>
                <w:bCs/>
              </w:rPr>
              <w:t>% invalid (score ≤ 3)</w:t>
            </w:r>
          </w:p>
        </w:tc>
      </w:tr>
      <w:tr w:rsidR="007C5630" w:rsidRPr="00B20EF1" w14:paraId="19502E79" w14:textId="77777777" w:rsidTr="007C5630">
        <w:trPr>
          <w:trHeight w:val="260"/>
        </w:trPr>
        <w:tc>
          <w:tcPr>
            <w:tcW w:w="1582" w:type="dxa"/>
            <w:hideMark/>
          </w:tcPr>
          <w:p w14:paraId="1AA0C3D2" w14:textId="77777777" w:rsidR="007C5630" w:rsidRPr="00B20EF1" w:rsidRDefault="00FB5D73" w:rsidP="007C5630">
            <w:pPr>
              <w:autoSpaceDE w:val="0"/>
              <w:autoSpaceDN w:val="0"/>
              <w:adjustRightInd w:val="0"/>
              <w:jc w:val="center"/>
              <w:rPr>
                <w:rFonts w:cstheme="minorHAnsi"/>
                <w:bCs/>
              </w:rPr>
            </w:pPr>
            <w:r>
              <w:rPr>
                <w:rFonts w:cstheme="minorHAnsi"/>
                <w:bCs/>
              </w:rPr>
              <w:t>8</w:t>
            </w:r>
          </w:p>
        </w:tc>
        <w:tc>
          <w:tcPr>
            <w:tcW w:w="1582" w:type="dxa"/>
            <w:hideMark/>
          </w:tcPr>
          <w:p w14:paraId="24850790" w14:textId="77777777" w:rsidR="007C5630" w:rsidRPr="00B20EF1" w:rsidRDefault="00FB5D73" w:rsidP="007C5630">
            <w:pPr>
              <w:autoSpaceDE w:val="0"/>
              <w:autoSpaceDN w:val="0"/>
              <w:adjustRightInd w:val="0"/>
              <w:jc w:val="center"/>
              <w:rPr>
                <w:rFonts w:cstheme="minorHAnsi"/>
                <w:bCs/>
              </w:rPr>
            </w:pPr>
            <w:r>
              <w:rPr>
                <w:rFonts w:cstheme="minorHAnsi"/>
                <w:bCs/>
              </w:rPr>
              <w:t>8</w:t>
            </w:r>
          </w:p>
        </w:tc>
        <w:tc>
          <w:tcPr>
            <w:tcW w:w="1582" w:type="dxa"/>
            <w:hideMark/>
          </w:tcPr>
          <w:p w14:paraId="1E7FE29A" w14:textId="77777777" w:rsidR="007C5630" w:rsidRPr="00B20EF1" w:rsidRDefault="007C5630" w:rsidP="007C5630">
            <w:pPr>
              <w:autoSpaceDE w:val="0"/>
              <w:autoSpaceDN w:val="0"/>
              <w:adjustRightInd w:val="0"/>
              <w:jc w:val="center"/>
              <w:rPr>
                <w:rFonts w:cstheme="minorHAnsi"/>
                <w:bCs/>
              </w:rPr>
            </w:pPr>
            <w:r w:rsidRPr="00B20EF1">
              <w:rPr>
                <w:rFonts w:cstheme="minorHAnsi"/>
                <w:bCs/>
              </w:rPr>
              <w:t>1</w:t>
            </w:r>
          </w:p>
        </w:tc>
        <w:tc>
          <w:tcPr>
            <w:tcW w:w="1582" w:type="dxa"/>
            <w:hideMark/>
          </w:tcPr>
          <w:p w14:paraId="2B24E5C5" w14:textId="77777777" w:rsidR="007C5630" w:rsidRPr="00B20EF1" w:rsidRDefault="007C5630" w:rsidP="007C5630">
            <w:pPr>
              <w:autoSpaceDE w:val="0"/>
              <w:autoSpaceDN w:val="0"/>
              <w:adjustRightInd w:val="0"/>
              <w:jc w:val="center"/>
              <w:rPr>
                <w:rFonts w:cstheme="minorHAnsi"/>
                <w:bCs/>
              </w:rPr>
            </w:pPr>
            <w:r w:rsidRPr="00B20EF1">
              <w:rPr>
                <w:rFonts w:cstheme="minorHAnsi"/>
                <w:bCs/>
              </w:rPr>
              <w:t>11</w:t>
            </w:r>
          </w:p>
        </w:tc>
        <w:tc>
          <w:tcPr>
            <w:tcW w:w="1582" w:type="dxa"/>
            <w:hideMark/>
          </w:tcPr>
          <w:p w14:paraId="418F7668" w14:textId="77777777" w:rsidR="007C5630" w:rsidRPr="00B20EF1" w:rsidRDefault="007C5630" w:rsidP="007C5630">
            <w:pPr>
              <w:autoSpaceDE w:val="0"/>
              <w:autoSpaceDN w:val="0"/>
              <w:adjustRightInd w:val="0"/>
              <w:jc w:val="center"/>
              <w:rPr>
                <w:rFonts w:cstheme="minorHAnsi"/>
                <w:bCs/>
              </w:rPr>
            </w:pPr>
            <w:r w:rsidRPr="00B20EF1">
              <w:rPr>
                <w:rFonts w:cstheme="minorHAnsi"/>
                <w:bCs/>
              </w:rPr>
              <w:t>14</w:t>
            </w:r>
          </w:p>
        </w:tc>
        <w:tc>
          <w:tcPr>
            <w:tcW w:w="1582" w:type="dxa"/>
            <w:hideMark/>
          </w:tcPr>
          <w:p w14:paraId="37BE4454" w14:textId="77777777" w:rsidR="007C5630" w:rsidRPr="00B20EF1" w:rsidRDefault="007C5630" w:rsidP="007C5630">
            <w:pPr>
              <w:autoSpaceDE w:val="0"/>
              <w:autoSpaceDN w:val="0"/>
              <w:adjustRightInd w:val="0"/>
              <w:jc w:val="center"/>
              <w:rPr>
                <w:rFonts w:cstheme="minorHAnsi"/>
                <w:bCs/>
              </w:rPr>
            </w:pPr>
            <w:r w:rsidRPr="00B20EF1">
              <w:rPr>
                <w:rFonts w:cstheme="minorHAnsi"/>
                <w:bCs/>
              </w:rPr>
              <w:t>7.14%</w:t>
            </w:r>
          </w:p>
        </w:tc>
      </w:tr>
    </w:tbl>
    <w:p w14:paraId="34139746" w14:textId="77777777" w:rsidR="007C5630" w:rsidRPr="0026439D" w:rsidRDefault="007C5630" w:rsidP="007C5630">
      <w:pPr>
        <w:autoSpaceDE w:val="0"/>
        <w:autoSpaceDN w:val="0"/>
        <w:adjustRightInd w:val="0"/>
        <w:spacing w:after="0" w:line="240" w:lineRule="auto"/>
        <w:rPr>
          <w:rFonts w:cstheme="minorHAnsi"/>
          <w:bCs/>
          <w:sz w:val="18"/>
          <w:szCs w:val="18"/>
        </w:rPr>
      </w:pPr>
      <w:r w:rsidRPr="0026439D">
        <w:rPr>
          <w:rFonts w:cstheme="minorHAnsi"/>
          <w:bCs/>
          <w:sz w:val="18"/>
          <w:szCs w:val="18"/>
          <w:vertAlign w:val="superscript"/>
        </w:rPr>
        <w:t>1.</w:t>
      </w:r>
      <w:r w:rsidRPr="0026439D">
        <w:rPr>
          <w:rFonts w:cstheme="minorHAnsi"/>
          <w:bCs/>
          <w:sz w:val="18"/>
          <w:szCs w:val="18"/>
        </w:rPr>
        <w:t xml:space="preserve">  </w:t>
      </w:r>
      <w:r w:rsidRPr="0026439D">
        <w:rPr>
          <w:rFonts w:cstheme="minorHAnsi"/>
          <w:bCs/>
          <w:i/>
          <w:sz w:val="18"/>
          <w:szCs w:val="18"/>
        </w:rPr>
        <w:t>Panelists were provided with the following instructions</w:t>
      </w:r>
      <w:r w:rsidRPr="0026439D">
        <w:rPr>
          <w:rFonts w:cstheme="minorHAnsi"/>
          <w:bCs/>
          <w:sz w:val="18"/>
          <w:szCs w:val="18"/>
        </w:rPr>
        <w:t>:  “Your validity ratings should reflect whether you believe that the measure can be used to reflect the quality of care for RA. Questions to consider in determining your validity ratings should include:</w:t>
      </w:r>
    </w:p>
    <w:p w14:paraId="6E9F1E8F" w14:textId="77777777" w:rsidR="007C5630" w:rsidRPr="0026439D" w:rsidRDefault="007C5630" w:rsidP="007C5630">
      <w:pPr>
        <w:autoSpaceDE w:val="0"/>
        <w:autoSpaceDN w:val="0"/>
        <w:adjustRightInd w:val="0"/>
        <w:spacing w:after="0" w:line="240" w:lineRule="auto"/>
        <w:rPr>
          <w:rFonts w:cstheme="minorHAnsi"/>
          <w:bCs/>
          <w:sz w:val="18"/>
          <w:szCs w:val="18"/>
        </w:rPr>
      </w:pPr>
      <w:r w:rsidRPr="0026439D">
        <w:rPr>
          <w:rFonts w:cstheme="minorHAnsi"/>
          <w:bCs/>
          <w:sz w:val="18"/>
          <w:szCs w:val="18"/>
        </w:rPr>
        <w:t>a. Is there adequate scientific evidence or professional consensus to support the indicator?</w:t>
      </w:r>
    </w:p>
    <w:p w14:paraId="696454C0" w14:textId="77777777" w:rsidR="007C5630" w:rsidRPr="0026439D" w:rsidRDefault="007C5630" w:rsidP="007C5630">
      <w:pPr>
        <w:autoSpaceDE w:val="0"/>
        <w:autoSpaceDN w:val="0"/>
        <w:adjustRightInd w:val="0"/>
        <w:spacing w:after="0" w:line="240" w:lineRule="auto"/>
        <w:rPr>
          <w:rFonts w:cstheme="minorHAnsi"/>
          <w:bCs/>
          <w:sz w:val="18"/>
          <w:szCs w:val="18"/>
        </w:rPr>
      </w:pPr>
      <w:r w:rsidRPr="0026439D">
        <w:rPr>
          <w:rFonts w:cstheme="minorHAnsi"/>
          <w:bCs/>
          <w:sz w:val="18"/>
          <w:szCs w:val="18"/>
        </w:rPr>
        <w:t>b. Are there identifiable health benefits to patients who receive care specified by the indicator?</w:t>
      </w:r>
    </w:p>
    <w:p w14:paraId="49142CE1" w14:textId="77777777" w:rsidR="007C5630" w:rsidRPr="0026439D" w:rsidRDefault="007C5630" w:rsidP="007C5630">
      <w:pPr>
        <w:autoSpaceDE w:val="0"/>
        <w:autoSpaceDN w:val="0"/>
        <w:adjustRightInd w:val="0"/>
        <w:spacing w:after="0" w:line="240" w:lineRule="auto"/>
        <w:rPr>
          <w:rFonts w:cstheme="minorHAnsi"/>
          <w:bCs/>
          <w:sz w:val="18"/>
          <w:szCs w:val="18"/>
        </w:rPr>
      </w:pPr>
      <w:r w:rsidRPr="0026439D">
        <w:rPr>
          <w:rFonts w:cstheme="minorHAnsi"/>
          <w:bCs/>
          <w:sz w:val="18"/>
          <w:szCs w:val="18"/>
        </w:rPr>
        <w:t>c. Based on your professional experience, would you consider providers with significantly higher rates of adherence to the indicator higher quality providers?</w:t>
      </w:r>
    </w:p>
    <w:p w14:paraId="260A997E" w14:textId="77777777" w:rsidR="007C5630" w:rsidRPr="0026439D" w:rsidRDefault="007C5630" w:rsidP="007C5630">
      <w:pPr>
        <w:autoSpaceDE w:val="0"/>
        <w:autoSpaceDN w:val="0"/>
        <w:adjustRightInd w:val="0"/>
        <w:spacing w:after="0" w:line="240" w:lineRule="auto"/>
        <w:rPr>
          <w:rFonts w:cstheme="minorHAnsi"/>
          <w:bCs/>
          <w:sz w:val="18"/>
          <w:szCs w:val="18"/>
        </w:rPr>
      </w:pPr>
      <w:r w:rsidRPr="0026439D">
        <w:rPr>
          <w:rFonts w:cstheme="minorHAnsi"/>
          <w:bCs/>
          <w:sz w:val="18"/>
          <w:szCs w:val="18"/>
        </w:rPr>
        <w:t>d. Are the majority of factors that determine adherence to the indicator under the control of the physician or health care system?”</w:t>
      </w:r>
    </w:p>
    <w:p w14:paraId="7FAF43DF" w14:textId="77777777" w:rsidR="007C5630" w:rsidRPr="0026439D" w:rsidRDefault="007C5630" w:rsidP="007C5630">
      <w:pPr>
        <w:autoSpaceDE w:val="0"/>
        <w:autoSpaceDN w:val="0"/>
        <w:adjustRightInd w:val="0"/>
        <w:spacing w:after="0" w:line="240" w:lineRule="auto"/>
        <w:rPr>
          <w:rFonts w:cstheme="minorHAnsi"/>
          <w:bCs/>
          <w:sz w:val="18"/>
          <w:szCs w:val="18"/>
        </w:rPr>
      </w:pPr>
      <w:r w:rsidRPr="0026439D">
        <w:rPr>
          <w:rFonts w:cstheme="minorHAnsi"/>
          <w:bCs/>
          <w:sz w:val="18"/>
          <w:szCs w:val="18"/>
          <w:vertAlign w:val="superscript"/>
        </w:rPr>
        <w:t>2.</w:t>
      </w:r>
      <w:r w:rsidRPr="0026439D">
        <w:rPr>
          <w:rFonts w:cstheme="minorHAnsi"/>
          <w:bCs/>
          <w:sz w:val="18"/>
          <w:szCs w:val="18"/>
        </w:rPr>
        <w:t xml:space="preserve">  </w:t>
      </w:r>
      <w:r w:rsidRPr="0026439D">
        <w:rPr>
          <w:rFonts w:cstheme="minorHAnsi"/>
          <w:bCs/>
          <w:i/>
          <w:sz w:val="18"/>
          <w:szCs w:val="18"/>
        </w:rPr>
        <w:t>Measure scale definitions</w:t>
      </w:r>
      <w:r>
        <w:rPr>
          <w:rFonts w:cstheme="minorHAnsi"/>
          <w:bCs/>
          <w:sz w:val="18"/>
          <w:szCs w:val="18"/>
        </w:rPr>
        <w:t xml:space="preserve">:  </w:t>
      </w:r>
      <w:r w:rsidRPr="0026439D">
        <w:rPr>
          <w:rFonts w:cstheme="minorHAnsi"/>
          <w:bCs/>
          <w:sz w:val="18"/>
          <w:szCs w:val="18"/>
        </w:rPr>
        <w:t xml:space="preserve">For validity, 1=definitely NOT valid to 9=definitely valid; for feasibility, 1=definitely NOT </w:t>
      </w:r>
      <w:r>
        <w:rPr>
          <w:rFonts w:cstheme="minorHAnsi"/>
          <w:bCs/>
          <w:sz w:val="18"/>
          <w:szCs w:val="18"/>
        </w:rPr>
        <w:t>feasible; 9=definitely feasible.</w:t>
      </w:r>
    </w:p>
    <w:p w14:paraId="01CBBEB2" w14:textId="77777777" w:rsidR="00645792" w:rsidRPr="00092566" w:rsidRDefault="00645792" w:rsidP="00092566">
      <w:pPr>
        <w:autoSpaceDE w:val="0"/>
        <w:autoSpaceDN w:val="0"/>
        <w:adjustRightInd w:val="0"/>
        <w:spacing w:after="0" w:line="240" w:lineRule="auto"/>
        <w:rPr>
          <w:rFonts w:cstheme="minorHAnsi"/>
          <w:bCs/>
        </w:rPr>
      </w:pPr>
    </w:p>
    <w:p w14:paraId="005F6FBC" w14:textId="77777777" w:rsidR="00221A04"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684E3432" w14:textId="77777777" w:rsidR="00FB5D73" w:rsidRDefault="00FB5D73" w:rsidP="00FB5D73">
      <w:pPr>
        <w:autoSpaceDE w:val="0"/>
        <w:autoSpaceDN w:val="0"/>
        <w:adjustRightInd w:val="0"/>
        <w:spacing w:after="0" w:line="240" w:lineRule="auto"/>
        <w:rPr>
          <w:rFonts w:cstheme="minorHAnsi"/>
          <w:b/>
          <w:bCs/>
          <w:u w:val="single"/>
        </w:rPr>
      </w:pPr>
    </w:p>
    <w:p w14:paraId="1B355C25" w14:textId="77777777" w:rsidR="00FB5D73" w:rsidRPr="00A7053C" w:rsidRDefault="00FB5D73" w:rsidP="00FB5D73">
      <w:pPr>
        <w:autoSpaceDE w:val="0"/>
        <w:autoSpaceDN w:val="0"/>
        <w:adjustRightInd w:val="0"/>
        <w:spacing w:after="0" w:line="240" w:lineRule="auto"/>
        <w:rPr>
          <w:rFonts w:cstheme="minorHAnsi"/>
          <w:bCs/>
        </w:rPr>
      </w:pPr>
      <w:proofErr w:type="gramStart"/>
      <w:r w:rsidRPr="00A7053C">
        <w:rPr>
          <w:rFonts w:cstheme="minorHAnsi"/>
          <w:b/>
          <w:bCs/>
          <w:u w:val="single"/>
        </w:rPr>
        <w:t>E-measure validity testing</w:t>
      </w:r>
      <w:r w:rsidRPr="00A7053C">
        <w:rPr>
          <w:rFonts w:cstheme="minorHAnsi"/>
          <w:bCs/>
        </w:rPr>
        <w:t>.</w:t>
      </w:r>
      <w:proofErr w:type="gramEnd"/>
      <w:r w:rsidRPr="00A7053C">
        <w:rPr>
          <w:rFonts w:cstheme="minorHAnsi"/>
          <w:bCs/>
        </w:rPr>
        <w:t xml:space="preserve">  </w:t>
      </w:r>
      <w:r>
        <w:rPr>
          <w:rFonts w:cstheme="minorHAnsi"/>
          <w:bCs/>
        </w:rPr>
        <w:t>The kappa statistic of 0.95</w:t>
      </w:r>
      <w:r w:rsidRPr="00A7053C">
        <w:rPr>
          <w:rFonts w:cstheme="minorHAnsi"/>
          <w:bCs/>
        </w:rPr>
        <w:t xml:space="preserve"> for overall performance indicates high agreement between the automated report and the front-end chart abstraction.  Individual data elements were found to be highly reliable.  </w:t>
      </w:r>
    </w:p>
    <w:p w14:paraId="691CB5EE" w14:textId="77777777" w:rsidR="00FB5D73" w:rsidRPr="003321D9" w:rsidRDefault="00FB5D73" w:rsidP="00FB5D73">
      <w:pPr>
        <w:autoSpaceDE w:val="0"/>
        <w:autoSpaceDN w:val="0"/>
        <w:adjustRightInd w:val="0"/>
        <w:spacing w:after="0" w:line="240" w:lineRule="auto"/>
        <w:rPr>
          <w:rFonts w:cstheme="minorHAnsi"/>
          <w:bCs/>
          <w:highlight w:val="magenta"/>
        </w:rPr>
      </w:pPr>
    </w:p>
    <w:p w14:paraId="0D7C5809" w14:textId="77777777" w:rsidR="00FB5D73" w:rsidRDefault="00FB5D73" w:rsidP="00FB5D73">
      <w:pPr>
        <w:autoSpaceDE w:val="0"/>
        <w:autoSpaceDN w:val="0"/>
        <w:adjustRightInd w:val="0"/>
        <w:spacing w:after="0" w:line="240" w:lineRule="auto"/>
        <w:rPr>
          <w:rFonts w:cstheme="minorHAnsi"/>
          <w:bCs/>
        </w:rPr>
      </w:pPr>
      <w:r w:rsidRPr="00A7053C">
        <w:rPr>
          <w:rFonts w:cstheme="minorHAnsi"/>
          <w:bCs/>
        </w:rPr>
        <w:t xml:space="preserve"> </w:t>
      </w:r>
      <w:proofErr w:type="gramStart"/>
      <w:r w:rsidRPr="00FB5D73">
        <w:rPr>
          <w:rFonts w:cstheme="minorHAnsi"/>
          <w:b/>
          <w:bCs/>
          <w:u w:val="single"/>
        </w:rPr>
        <w:t>Systematic assessment of validity</w:t>
      </w:r>
      <w:r w:rsidRPr="00A7053C">
        <w:rPr>
          <w:rFonts w:cstheme="minorHAnsi"/>
          <w:bCs/>
        </w:rPr>
        <w:t>.</w:t>
      </w:r>
      <w:proofErr w:type="gramEnd"/>
      <w:r w:rsidRPr="00A7053C">
        <w:rPr>
          <w:rFonts w:cstheme="minorHAnsi"/>
          <w:bCs/>
        </w:rPr>
        <w:t xml:space="preserve">  Ratings by a multi-stakeholder group in which the RAND/UCLA rating scale was applied found excellent validity of this measu</w:t>
      </w:r>
      <w:r>
        <w:rPr>
          <w:rFonts w:cstheme="minorHAnsi"/>
          <w:bCs/>
        </w:rPr>
        <w:t>re, with a mean score of 8</w:t>
      </w:r>
      <w:r w:rsidRPr="00A7053C">
        <w:rPr>
          <w:rFonts w:cstheme="minorHAnsi"/>
          <w:bCs/>
        </w:rPr>
        <w:t>, and no disagreement.</w:t>
      </w:r>
      <w:r>
        <w:rPr>
          <w:rFonts w:cstheme="minorHAnsi"/>
          <w:bCs/>
        </w:rPr>
        <w:t xml:space="preserve">  </w:t>
      </w:r>
    </w:p>
    <w:p w14:paraId="764A0C4F" w14:textId="77777777" w:rsidR="00FB5D73" w:rsidRPr="00A25024" w:rsidRDefault="00FB5D73" w:rsidP="00FB5D73">
      <w:pPr>
        <w:autoSpaceDE w:val="0"/>
        <w:autoSpaceDN w:val="0"/>
        <w:adjustRightInd w:val="0"/>
        <w:spacing w:after="0" w:line="240" w:lineRule="auto"/>
        <w:rPr>
          <w:rFonts w:cstheme="minorHAnsi"/>
          <w:bCs/>
        </w:rPr>
      </w:pPr>
    </w:p>
    <w:p w14:paraId="11C73800" w14:textId="77777777" w:rsidR="008A403A" w:rsidRPr="00A25024" w:rsidRDefault="007422FD" w:rsidP="00DB3627">
      <w:pPr>
        <w:autoSpaceDE w:val="0"/>
        <w:autoSpaceDN w:val="0"/>
        <w:adjustRightInd w:val="0"/>
        <w:spacing w:after="0" w:line="240" w:lineRule="auto"/>
        <w:rPr>
          <w:rFonts w:cstheme="minorHAnsi"/>
          <w:bCs/>
        </w:rPr>
      </w:pPr>
      <w:r w:rsidRPr="00A25024">
        <w:rPr>
          <w:rFonts w:cstheme="minorHAnsi"/>
          <w:bCs/>
        </w:rPr>
        <w:lastRenderedPageBreak/>
        <w:br/>
      </w:r>
      <w:r w:rsidR="00483E94">
        <w:rPr>
          <w:rFonts w:cstheme="minorHAnsi"/>
          <w:bCs/>
        </w:rPr>
        <w:t>_________________________</w:t>
      </w:r>
    </w:p>
    <w:p w14:paraId="22BC10DF"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23E00FAF"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65C669CA" w14:textId="77777777" w:rsidR="00001D73" w:rsidRDefault="00001D73" w:rsidP="00DB3627">
      <w:pPr>
        <w:autoSpaceDE w:val="0"/>
        <w:autoSpaceDN w:val="0"/>
        <w:adjustRightInd w:val="0"/>
        <w:spacing w:after="0" w:line="240" w:lineRule="auto"/>
        <w:rPr>
          <w:rFonts w:cstheme="minorHAnsi"/>
          <w:b/>
          <w:bCs/>
        </w:rPr>
      </w:pPr>
    </w:p>
    <w:p w14:paraId="07D55396" w14:textId="77777777" w:rsidR="00833325"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1DF455DF" w14:textId="77777777" w:rsidR="00833325" w:rsidRPr="00A25024" w:rsidRDefault="00833325" w:rsidP="00DB3627">
      <w:pPr>
        <w:autoSpaceDE w:val="0"/>
        <w:autoSpaceDN w:val="0"/>
        <w:adjustRightInd w:val="0"/>
        <w:spacing w:after="0" w:line="240" w:lineRule="auto"/>
        <w:rPr>
          <w:rFonts w:cstheme="minorHAnsi"/>
          <w:bCs/>
        </w:rPr>
      </w:pPr>
    </w:p>
    <w:p w14:paraId="418EFE37" w14:textId="77777777"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25BB5248" w14:textId="77777777" w:rsidR="00092566" w:rsidRPr="00092566" w:rsidRDefault="00092566" w:rsidP="00092566">
      <w:pPr>
        <w:autoSpaceDE w:val="0"/>
        <w:autoSpaceDN w:val="0"/>
        <w:adjustRightInd w:val="0"/>
        <w:spacing w:after="0" w:line="240" w:lineRule="auto"/>
        <w:rPr>
          <w:rFonts w:cstheme="minorHAnsi"/>
          <w:bCs/>
        </w:rPr>
      </w:pPr>
    </w:p>
    <w:p w14:paraId="1E5066E1" w14:textId="77777777"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0D878D9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244FE17A" w14:textId="77777777"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2789D652" w14:textId="77777777" w:rsidR="008871A9" w:rsidRDefault="008871A9" w:rsidP="00092566">
      <w:pPr>
        <w:autoSpaceDE w:val="0"/>
        <w:autoSpaceDN w:val="0"/>
        <w:adjustRightInd w:val="0"/>
        <w:spacing w:after="0" w:line="240" w:lineRule="auto"/>
        <w:rPr>
          <w:rFonts w:cstheme="minorHAnsi"/>
          <w:b/>
          <w:bCs/>
        </w:rPr>
      </w:pPr>
    </w:p>
    <w:p w14:paraId="6DEFC8D3"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22F839F8" w14:textId="77777777" w:rsidR="00033038" w:rsidRPr="005232D6" w:rsidRDefault="009422B4"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27D4A78D" w14:textId="77777777" w:rsidR="00743E46" w:rsidRPr="005232D6" w:rsidRDefault="009422B4"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242C9880" w14:textId="77777777" w:rsidR="00743E46" w:rsidRPr="005232D6" w:rsidRDefault="009422B4"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5DE33CE4" w14:textId="77777777" w:rsidR="00743E46" w:rsidRPr="005232D6" w:rsidRDefault="009422B4"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71A3E139" w14:textId="77777777" w:rsidR="00743E46" w:rsidRDefault="00743E46" w:rsidP="00092566">
      <w:pPr>
        <w:autoSpaceDE w:val="0"/>
        <w:autoSpaceDN w:val="0"/>
        <w:adjustRightInd w:val="0"/>
        <w:spacing w:after="0" w:line="240" w:lineRule="auto"/>
        <w:rPr>
          <w:rFonts w:cstheme="minorHAnsi"/>
          <w:b/>
          <w:bCs/>
        </w:rPr>
      </w:pPr>
    </w:p>
    <w:p w14:paraId="37044536" w14:textId="77777777"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14:paraId="39E00C0C" w14:textId="77777777" w:rsidR="00092566" w:rsidRPr="00A25024" w:rsidRDefault="00092566" w:rsidP="00092566">
      <w:pPr>
        <w:pStyle w:val="ListParagraph"/>
        <w:autoSpaceDE w:val="0"/>
        <w:autoSpaceDN w:val="0"/>
        <w:adjustRightInd w:val="0"/>
        <w:spacing w:after="0" w:line="240" w:lineRule="auto"/>
        <w:ind w:left="360"/>
        <w:rPr>
          <w:rFonts w:cstheme="minorHAnsi"/>
          <w:bCs/>
        </w:rPr>
      </w:pPr>
    </w:p>
    <w:p w14:paraId="633B039F" w14:textId="77777777"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14:paraId="6A06CDBD" w14:textId="77777777" w:rsidR="00001D73" w:rsidRPr="00001D73" w:rsidRDefault="00001D73" w:rsidP="00001D73">
      <w:pPr>
        <w:autoSpaceDE w:val="0"/>
        <w:autoSpaceDN w:val="0"/>
        <w:adjustRightInd w:val="0"/>
        <w:spacing w:after="0" w:line="240" w:lineRule="auto"/>
        <w:rPr>
          <w:rFonts w:cstheme="minorHAnsi"/>
          <w:bCs/>
        </w:rPr>
      </w:pPr>
    </w:p>
    <w:p w14:paraId="220FC9D7" w14:textId="77777777"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p>
    <w:p w14:paraId="52BF1273" w14:textId="77777777" w:rsidR="00001D73" w:rsidRPr="00001D73" w:rsidRDefault="00001D73" w:rsidP="00001D73">
      <w:pPr>
        <w:autoSpaceDE w:val="0"/>
        <w:autoSpaceDN w:val="0"/>
        <w:adjustRightInd w:val="0"/>
        <w:spacing w:after="0" w:line="240" w:lineRule="auto"/>
        <w:rPr>
          <w:rFonts w:cstheme="minorHAnsi"/>
          <w:b/>
          <w:bCs/>
        </w:rPr>
      </w:pPr>
    </w:p>
    <w:p w14:paraId="07339B59" w14:textId="77777777"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xml:space="preserve">; what </w:t>
      </w:r>
      <w:r w:rsidR="006C3A4F">
        <w:rPr>
          <w:rFonts w:cstheme="minorHAnsi"/>
          <w:bCs/>
          <w:i/>
        </w:rPr>
        <w:lastRenderedPageBreak/>
        <w:t>statistical analysis was used</w:t>
      </w:r>
      <w:r w:rsidR="00092566" w:rsidRPr="00A25024">
        <w:rPr>
          <w:rFonts w:cstheme="minorHAnsi"/>
          <w:bCs/>
        </w:rPr>
        <w:t>)</w:t>
      </w:r>
      <w:r w:rsidR="00092566" w:rsidRPr="00A25024">
        <w:rPr>
          <w:rFonts w:cstheme="minorHAnsi"/>
          <w:bCs/>
        </w:rPr>
        <w:br/>
      </w:r>
    </w:p>
    <w:p w14:paraId="61DB6971" w14:textId="77777777" w:rsidR="00092566" w:rsidRPr="00A25024" w:rsidRDefault="00092566" w:rsidP="00092566">
      <w:pPr>
        <w:autoSpaceDE w:val="0"/>
        <w:autoSpaceDN w:val="0"/>
        <w:adjustRightInd w:val="0"/>
        <w:spacing w:after="0" w:line="240" w:lineRule="auto"/>
        <w:rPr>
          <w:rFonts w:cstheme="minorHAnsi"/>
          <w:bCs/>
        </w:rPr>
      </w:pPr>
    </w:p>
    <w:p w14:paraId="3968F229"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14:paraId="0A1EEE22" w14:textId="77777777" w:rsidR="00743E46" w:rsidRDefault="00743E46" w:rsidP="00092566">
      <w:pPr>
        <w:autoSpaceDE w:val="0"/>
        <w:autoSpaceDN w:val="0"/>
        <w:adjustRightInd w:val="0"/>
        <w:spacing w:after="0" w:line="240" w:lineRule="auto"/>
        <w:rPr>
          <w:rFonts w:cstheme="minorHAnsi"/>
          <w:b/>
          <w:bCs/>
        </w:rPr>
      </w:pPr>
    </w:p>
    <w:p w14:paraId="5FA23CA8" w14:textId="77777777"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6DFDDC9C" w14:textId="77777777"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3F0535DF" w14:textId="77777777"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r w:rsidR="00092566" w:rsidRPr="00A25024">
        <w:rPr>
          <w:rFonts w:cstheme="minorHAnsi"/>
          <w:bCs/>
        </w:rPr>
        <w:t>:</w:t>
      </w:r>
      <w:r w:rsidR="00092566" w:rsidRPr="00A25024">
        <w:rPr>
          <w:rFonts w:cstheme="minorHAnsi"/>
          <w:bCs/>
        </w:rPr>
        <w:br/>
      </w:r>
      <w:r w:rsidR="00092566" w:rsidRPr="00A25024">
        <w:rPr>
          <w:rFonts w:cstheme="minorHAnsi"/>
        </w:rPr>
        <w:br/>
      </w:r>
    </w:p>
    <w:p w14:paraId="45F086C0" w14:textId="77777777"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376E4C51" w14:textId="77777777" w:rsidR="00092566" w:rsidRPr="00A25024" w:rsidRDefault="00092566" w:rsidP="00092566">
      <w:pPr>
        <w:pStyle w:val="ListParagraph"/>
        <w:rPr>
          <w:rFonts w:cstheme="minorHAnsi"/>
          <w:bCs/>
        </w:rPr>
      </w:pPr>
    </w:p>
    <w:p w14:paraId="1D728DBA" w14:textId="77777777"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4EB3EB4A" w14:textId="77777777" w:rsidR="00092566" w:rsidRPr="00A25024" w:rsidRDefault="00092566" w:rsidP="00092566">
      <w:pPr>
        <w:spacing w:after="0" w:line="240" w:lineRule="auto"/>
        <w:rPr>
          <w:rFonts w:cstheme="minorHAnsi"/>
        </w:rPr>
      </w:pPr>
    </w:p>
    <w:p w14:paraId="6756641A" w14:textId="77777777"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784B1AB3" w14:textId="77777777" w:rsidR="003755CB" w:rsidRDefault="003755CB" w:rsidP="00D61410">
      <w:pPr>
        <w:autoSpaceDE w:val="0"/>
        <w:autoSpaceDN w:val="0"/>
        <w:adjustRightInd w:val="0"/>
        <w:spacing w:after="0" w:line="240" w:lineRule="auto"/>
        <w:rPr>
          <w:rFonts w:cstheme="minorHAnsi"/>
          <w:b/>
          <w:bCs/>
        </w:rPr>
      </w:pPr>
    </w:p>
    <w:p w14:paraId="744C3C63"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2BB58971" w14:textId="77777777" w:rsidR="008A48E4" w:rsidRPr="00A25024" w:rsidRDefault="008A48E4" w:rsidP="008A48E4">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14:paraId="6E66880B" w14:textId="77777777" w:rsidR="008A48E4" w:rsidRDefault="008A48E4" w:rsidP="008A48E4">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Pr>
          <w:rFonts w:cstheme="minorHAnsi"/>
          <w:bCs/>
        </w:rPr>
        <w:br/>
      </w:r>
    </w:p>
    <w:p w14:paraId="6E7DFF96" w14:textId="5006B0D8" w:rsidR="00FB5D73" w:rsidRDefault="00FB5D73" w:rsidP="00FB5D73">
      <w:pPr>
        <w:autoSpaceDE w:val="0"/>
        <w:autoSpaceDN w:val="0"/>
        <w:adjustRightInd w:val="0"/>
        <w:spacing w:after="0" w:line="240" w:lineRule="auto"/>
        <w:rPr>
          <w:rFonts w:cstheme="minorHAnsi"/>
          <w:bCs/>
        </w:rPr>
      </w:pPr>
      <w:r>
        <w:rPr>
          <w:rFonts w:cstheme="minorHAnsi"/>
          <w:bCs/>
        </w:rPr>
        <w:t xml:space="preserve">Performance varied both between sites and between providers at sites.  Differences in collection of patient-reported outcomes (PROs) such as functional status </w:t>
      </w:r>
      <w:r w:rsidR="000E1761">
        <w:rPr>
          <w:rFonts w:cstheme="minorHAnsi"/>
          <w:bCs/>
        </w:rPr>
        <w:t>reflect differences in performance</w:t>
      </w:r>
      <w:r>
        <w:rPr>
          <w:rFonts w:cstheme="minorHAnsi"/>
          <w:bCs/>
        </w:rPr>
        <w:t xml:space="preserve">, based on qualitative feedback from clinicians and statistical analysis of the data.  For example, at the Western site, performance at the individual provider level for </w:t>
      </w:r>
      <w:r w:rsidR="000E1761">
        <w:rPr>
          <w:rFonts w:cstheme="minorHAnsi"/>
          <w:bCs/>
        </w:rPr>
        <w:t>functional status</w:t>
      </w:r>
      <w:r>
        <w:rPr>
          <w:rFonts w:cstheme="minorHAnsi"/>
          <w:bCs/>
        </w:rPr>
        <w:t xml:space="preserve"> measurement varied signifi</w:t>
      </w:r>
      <w:r w:rsidR="000E1761">
        <w:rPr>
          <w:rFonts w:cstheme="minorHAnsi"/>
          <w:bCs/>
        </w:rPr>
        <w:t>cantly (range 0 to 100%, mean 63%</w:t>
      </w:r>
      <w:r>
        <w:rPr>
          <w:rFonts w:cstheme="minorHAnsi"/>
          <w:bCs/>
        </w:rPr>
        <w:t xml:space="preserve">).  This is consistent with variation in </w:t>
      </w:r>
      <w:r w:rsidR="000E1761">
        <w:rPr>
          <w:rFonts w:cstheme="minorHAnsi"/>
          <w:bCs/>
        </w:rPr>
        <w:t>functional status</w:t>
      </w:r>
      <w:r>
        <w:rPr>
          <w:rFonts w:cstheme="minorHAnsi"/>
          <w:bCs/>
        </w:rPr>
        <w:t xml:space="preserve"> measurement reported in the scientific literature (</w:t>
      </w:r>
      <w:proofErr w:type="spellStart"/>
      <w:r w:rsidRPr="00E671D4">
        <w:rPr>
          <w:rFonts w:cstheme="minorHAnsi"/>
          <w:bCs/>
          <w:i/>
        </w:rPr>
        <w:t>Adhikesavan</w:t>
      </w:r>
      <w:proofErr w:type="spellEnd"/>
      <w:r w:rsidRPr="00E671D4">
        <w:rPr>
          <w:rFonts w:cstheme="minorHAnsi"/>
          <w:bCs/>
          <w:i/>
        </w:rPr>
        <w:t xml:space="preserve"> LG et al.  American College of Rheumatology quality indicators for rheumatoid arthritis: benchmarking, variability, and opportunities to improve quality of care using the electronic health record.  Arthritis Rheum. 2008 Dec 15</w:t>
      </w:r>
      <w:proofErr w:type="gramStart"/>
      <w:r w:rsidRPr="00E671D4">
        <w:rPr>
          <w:rFonts w:cstheme="minorHAnsi"/>
          <w:bCs/>
          <w:i/>
        </w:rPr>
        <w:t>;59</w:t>
      </w:r>
      <w:proofErr w:type="gramEnd"/>
      <w:r w:rsidRPr="00E671D4">
        <w:rPr>
          <w:rFonts w:cstheme="minorHAnsi"/>
          <w:bCs/>
          <w:i/>
        </w:rPr>
        <w:t>(12):1705-12.)</w:t>
      </w:r>
      <w:r>
        <w:rPr>
          <w:rFonts w:cstheme="minorHAnsi"/>
          <w:bCs/>
          <w:i/>
        </w:rPr>
        <w:t xml:space="preserve"> </w:t>
      </w:r>
      <w:proofErr w:type="gramStart"/>
      <w:r>
        <w:rPr>
          <w:rFonts w:cstheme="minorHAnsi"/>
          <w:bCs/>
        </w:rPr>
        <w:t>and</w:t>
      </w:r>
      <w:proofErr w:type="gramEnd"/>
      <w:r>
        <w:rPr>
          <w:rFonts w:cstheme="minorHAnsi"/>
          <w:bCs/>
        </w:rPr>
        <w:t xml:space="preserve"> from data available from the ACR’s Rheumatology Clinical Registry on an earlier version of this quality measure (</w:t>
      </w:r>
      <w:r w:rsidRPr="00DA132F">
        <w:rPr>
          <w:rFonts w:cstheme="minorHAnsi"/>
          <w:bCs/>
          <w:i/>
        </w:rPr>
        <w:t>Yazdany J et al.  Uptake of the American College of Rheumatology’s Rheumatology Clinical Registry (RCR</w:t>
      </w:r>
      <w:r w:rsidR="005F05F3">
        <w:rPr>
          <w:rFonts w:cstheme="minorHAnsi"/>
          <w:bCs/>
          <w:i/>
        </w:rPr>
        <w:t>): Quality Measure Summary Data</w:t>
      </w:r>
      <w:r w:rsidRPr="00DA132F">
        <w:rPr>
          <w:rFonts w:cstheme="minorHAnsi"/>
          <w:bCs/>
          <w:i/>
        </w:rPr>
        <w:t xml:space="preserve">. </w:t>
      </w:r>
      <w:proofErr w:type="gramStart"/>
      <w:r w:rsidRPr="00DA132F">
        <w:rPr>
          <w:rFonts w:cstheme="minorHAnsi"/>
          <w:bCs/>
          <w:i/>
        </w:rPr>
        <w:t>Annual Scientific Meeting.</w:t>
      </w:r>
      <w:proofErr w:type="gramEnd"/>
      <w:r w:rsidRPr="00DA132F">
        <w:rPr>
          <w:rFonts w:cstheme="minorHAnsi"/>
          <w:bCs/>
          <w:i/>
        </w:rPr>
        <w:t xml:space="preserve"> </w:t>
      </w:r>
      <w:proofErr w:type="gramStart"/>
      <w:r w:rsidRPr="00DA132F">
        <w:rPr>
          <w:rFonts w:cstheme="minorHAnsi"/>
          <w:bCs/>
          <w:i/>
        </w:rPr>
        <w:t>American College of Rheumatology.</w:t>
      </w:r>
      <w:proofErr w:type="gramEnd"/>
      <w:r w:rsidRPr="00DA132F">
        <w:rPr>
          <w:rFonts w:cstheme="minorHAnsi"/>
          <w:bCs/>
          <w:i/>
        </w:rPr>
        <w:t xml:space="preserve"> Reed Convention Center, Washington, DC. 27 Octobe</w:t>
      </w:r>
      <w:r>
        <w:rPr>
          <w:rFonts w:cstheme="minorHAnsi"/>
          <w:bCs/>
          <w:i/>
        </w:rPr>
        <w:t xml:space="preserve">r 2013. </w:t>
      </w:r>
      <w:proofErr w:type="gramStart"/>
      <w:r>
        <w:rPr>
          <w:rFonts w:cstheme="minorHAnsi"/>
          <w:bCs/>
          <w:i/>
        </w:rPr>
        <w:t>Arthritis Rheum abstract supplement</w:t>
      </w:r>
      <w:r>
        <w:rPr>
          <w:rFonts w:cstheme="minorHAnsi"/>
          <w:bCs/>
        </w:rPr>
        <w:t>).</w:t>
      </w:r>
      <w:proofErr w:type="gramEnd"/>
    </w:p>
    <w:p w14:paraId="72C3056A" w14:textId="77777777" w:rsidR="00FB5D73" w:rsidRDefault="00FB5D73" w:rsidP="008A48E4">
      <w:pPr>
        <w:autoSpaceDE w:val="0"/>
        <w:autoSpaceDN w:val="0"/>
        <w:adjustRightInd w:val="0"/>
        <w:spacing w:after="0" w:line="240" w:lineRule="auto"/>
        <w:rPr>
          <w:rFonts w:cstheme="minorHAnsi"/>
          <w:bCs/>
        </w:rPr>
      </w:pPr>
    </w:p>
    <w:p w14:paraId="3EB3B150" w14:textId="77777777" w:rsidR="00FB5D73" w:rsidRDefault="00FB5D73" w:rsidP="008A48E4">
      <w:pPr>
        <w:autoSpaceDE w:val="0"/>
        <w:autoSpaceDN w:val="0"/>
        <w:adjustRightInd w:val="0"/>
        <w:spacing w:after="0" w:line="240" w:lineRule="auto"/>
        <w:rPr>
          <w:rFonts w:cstheme="minorHAnsi"/>
          <w:bCs/>
        </w:rPr>
      </w:pPr>
    </w:p>
    <w:p w14:paraId="0EA62301" w14:textId="312450E7" w:rsidR="00027DE4" w:rsidRDefault="00027DE4" w:rsidP="00027DE4">
      <w:pPr>
        <w:autoSpaceDE w:val="0"/>
        <w:autoSpaceDN w:val="0"/>
        <w:adjustRightInd w:val="0"/>
        <w:spacing w:after="0" w:line="240" w:lineRule="auto"/>
        <w:rPr>
          <w:rFonts w:cstheme="minorHAnsi"/>
          <w:bCs/>
        </w:rPr>
      </w:pPr>
      <w:r>
        <w:rPr>
          <w:rFonts w:cstheme="minorHAnsi"/>
          <w:bCs/>
        </w:rPr>
        <w:lastRenderedPageBreak/>
        <w:t xml:space="preserve">Statistical testing using regression models accounting for repeated observations and with the provider as a random effect (to account for the fact that providers have different numbers of eligible patients) confirmed that there was significant inter-provider variation (p&lt;0.001).  Performance ranged </w:t>
      </w:r>
      <w:r w:rsidRPr="00E87F1F">
        <w:rPr>
          <w:rFonts w:cstheme="minorHAnsi"/>
          <w:bCs/>
        </w:rPr>
        <w:t xml:space="preserve">from </w:t>
      </w:r>
      <w:r w:rsidR="00E87F1F" w:rsidRPr="00E87F1F">
        <w:rPr>
          <w:rFonts w:cstheme="minorHAnsi"/>
          <w:bCs/>
        </w:rPr>
        <w:t>62</w:t>
      </w:r>
      <w:r w:rsidRPr="00E87F1F">
        <w:rPr>
          <w:rFonts w:cstheme="minorHAnsi"/>
          <w:bCs/>
        </w:rPr>
        <w:t>-</w:t>
      </w:r>
      <w:r w:rsidR="00E87F1F" w:rsidRPr="00E87F1F">
        <w:rPr>
          <w:rFonts w:cstheme="minorHAnsi"/>
          <w:bCs/>
        </w:rPr>
        <w:t>92</w:t>
      </w:r>
      <w:r w:rsidRPr="00BD6BD0">
        <w:rPr>
          <w:rFonts w:cstheme="minorHAnsi"/>
          <w:bCs/>
        </w:rPr>
        <w:t>% in</w:t>
      </w:r>
      <w:r>
        <w:rPr>
          <w:rFonts w:cstheme="minorHAnsi"/>
          <w:bCs/>
        </w:rPr>
        <w:t xml:space="preserve"> the sites that have established a workflow to collect disease activity measures.   </w:t>
      </w:r>
    </w:p>
    <w:p w14:paraId="1699A825" w14:textId="77777777" w:rsidR="00027DE4" w:rsidRDefault="00027DE4" w:rsidP="00221A04">
      <w:pPr>
        <w:autoSpaceDE w:val="0"/>
        <w:autoSpaceDN w:val="0"/>
        <w:adjustRightInd w:val="0"/>
        <w:spacing w:after="0" w:line="240" w:lineRule="auto"/>
        <w:rPr>
          <w:rFonts w:cstheme="minorHAnsi"/>
          <w:bCs/>
          <w:highlight w:val="magenta"/>
        </w:rPr>
      </w:pPr>
    </w:p>
    <w:p w14:paraId="1FD4518F" w14:textId="77777777" w:rsidR="00D77BFE" w:rsidRDefault="00D77BFE" w:rsidP="00D77BFE">
      <w:pPr>
        <w:autoSpaceDE w:val="0"/>
        <w:autoSpaceDN w:val="0"/>
        <w:adjustRightInd w:val="0"/>
        <w:spacing w:after="0" w:line="240" w:lineRule="auto"/>
        <w:rPr>
          <w:rFonts w:cstheme="minorHAnsi"/>
          <w:bCs/>
        </w:rPr>
      </w:pPr>
      <w:r>
        <w:rPr>
          <w:rFonts w:cstheme="minorHAnsi"/>
          <w:bCs/>
        </w:rPr>
        <w:t>In addition, some differences in performance across sites (i.e. between the Southeastern testing sites and other sites) is</w:t>
      </w:r>
      <w:r w:rsidRPr="00215E27">
        <w:rPr>
          <w:rFonts w:cstheme="minorHAnsi"/>
          <w:bCs/>
        </w:rPr>
        <w:t xml:space="preserve"> attributed to whether or not </w:t>
      </w:r>
      <w:r>
        <w:rPr>
          <w:rFonts w:cstheme="minorHAnsi"/>
          <w:bCs/>
        </w:rPr>
        <w:t>clinicians are entering</w:t>
      </w:r>
      <w:r w:rsidRPr="00215E27">
        <w:rPr>
          <w:rFonts w:cstheme="minorHAnsi"/>
          <w:bCs/>
        </w:rPr>
        <w:t xml:space="preserve"> structured data </w:t>
      </w:r>
      <w:r>
        <w:rPr>
          <w:rFonts w:cstheme="minorHAnsi"/>
          <w:bCs/>
        </w:rPr>
        <w:t xml:space="preserve">as part of </w:t>
      </w:r>
      <w:r w:rsidRPr="00215E27">
        <w:rPr>
          <w:rFonts w:cstheme="minorHAnsi"/>
          <w:bCs/>
        </w:rPr>
        <w:t xml:space="preserve">the current workflow. </w:t>
      </w:r>
      <w:r>
        <w:rPr>
          <w:rFonts w:cstheme="minorHAnsi"/>
          <w:bCs/>
        </w:rPr>
        <w:t xml:space="preserve"> Sites that have established workflows to capture these data in structured fields had higher performance on the e-measure compared to the site where this workflow is still in the early stages.  Implementation of this e-measure in the United States will require changes in clinical workflow for many practices, which may require customized solutions at individual sites.   Support by EHR vendors in providing these tools will likely speed implementation. </w:t>
      </w:r>
    </w:p>
    <w:p w14:paraId="2F49A4AE" w14:textId="77777777" w:rsidR="008A48E4" w:rsidRDefault="008A48E4" w:rsidP="008A48E4">
      <w:pPr>
        <w:autoSpaceDE w:val="0"/>
        <w:autoSpaceDN w:val="0"/>
        <w:adjustRightInd w:val="0"/>
        <w:spacing w:after="0" w:line="240" w:lineRule="auto"/>
        <w:rPr>
          <w:rFonts w:cstheme="minorHAnsi"/>
          <w:bCs/>
        </w:rPr>
      </w:pPr>
    </w:p>
    <w:p w14:paraId="373F76DC" w14:textId="77777777" w:rsidR="00D77BFE" w:rsidRDefault="00D77BFE" w:rsidP="00D77BFE">
      <w:pPr>
        <w:autoSpaceDE w:val="0"/>
        <w:autoSpaceDN w:val="0"/>
        <w:adjustRightInd w:val="0"/>
        <w:spacing w:after="0" w:line="240" w:lineRule="auto"/>
        <w:rPr>
          <w:rFonts w:cstheme="minorHAnsi"/>
          <w:bCs/>
        </w:rPr>
      </w:pPr>
      <w:r>
        <w:rPr>
          <w:rFonts w:cstheme="minorHAnsi"/>
          <w:bCs/>
        </w:rPr>
        <w:t xml:space="preserve">It should be noted that although performance was found to vary between providers, performance on this measure appears to have potential to improve.  As an example, monthly performance reports fed back to providers as part of a quality improvement project at one of the testing sites resulted in significant improvement between December 2013 and January </w:t>
      </w:r>
      <w:proofErr w:type="gramStart"/>
      <w:r>
        <w:rPr>
          <w:rFonts w:cstheme="minorHAnsi"/>
          <w:bCs/>
        </w:rPr>
        <w:t>2014,</w:t>
      </w:r>
      <w:proofErr w:type="gramEnd"/>
      <w:r>
        <w:rPr>
          <w:rFonts w:cstheme="minorHAnsi"/>
          <w:bCs/>
        </w:rPr>
        <w:t xml:space="preserve"> see Figure 1.   In December, 3 of 15 providers did not meet the performance threshold for performing functional status assessments, by January of 2013, this number had decreased to only a single provider.</w:t>
      </w:r>
    </w:p>
    <w:p w14:paraId="18BFB2FC" w14:textId="77777777" w:rsidR="00D77BFE" w:rsidRDefault="00D77BFE" w:rsidP="00D77BFE">
      <w:pPr>
        <w:autoSpaceDE w:val="0"/>
        <w:autoSpaceDN w:val="0"/>
        <w:adjustRightInd w:val="0"/>
        <w:spacing w:after="0" w:line="240" w:lineRule="auto"/>
        <w:rPr>
          <w:rFonts w:cstheme="minorHAnsi"/>
          <w:bCs/>
        </w:rPr>
      </w:pPr>
    </w:p>
    <w:p w14:paraId="0D4237F4" w14:textId="77777777" w:rsidR="008A48E4" w:rsidRDefault="008A48E4" w:rsidP="008A48E4">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Pr>
          <w:rFonts w:cstheme="minorHAnsi"/>
          <w:bCs/>
          <w:i/>
        </w:rPr>
        <w:t xml:space="preserve">of entities with scores 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Pr>
          <w:rFonts w:cstheme="minorHAnsi"/>
          <w:bCs/>
          <w:i/>
        </w:rPr>
        <w:t>or some benchmark, different from expected; how was meaningful difference defined</w:t>
      </w:r>
      <w:r w:rsidRPr="00A25024">
        <w:rPr>
          <w:rFonts w:cstheme="minorHAnsi"/>
          <w:bCs/>
        </w:rPr>
        <w:t>)</w:t>
      </w:r>
    </w:p>
    <w:p w14:paraId="40694D47" w14:textId="77777777" w:rsidR="008A48E4" w:rsidRDefault="008A48E4" w:rsidP="008A48E4">
      <w:pPr>
        <w:autoSpaceDE w:val="0"/>
        <w:autoSpaceDN w:val="0"/>
        <w:adjustRightInd w:val="0"/>
        <w:spacing w:after="0" w:line="240" w:lineRule="auto"/>
        <w:rPr>
          <w:rFonts w:cstheme="minorHAnsi"/>
          <w:bCs/>
        </w:rPr>
      </w:pPr>
    </w:p>
    <w:p w14:paraId="22C67B21" w14:textId="77777777" w:rsidR="00D77BFE" w:rsidRDefault="00D77BFE" w:rsidP="00D77BFE">
      <w:pPr>
        <w:autoSpaceDE w:val="0"/>
        <w:autoSpaceDN w:val="0"/>
        <w:adjustRightInd w:val="0"/>
        <w:spacing w:after="0" w:line="240" w:lineRule="auto"/>
        <w:rPr>
          <w:rFonts w:cstheme="minorHAnsi"/>
          <w:bCs/>
        </w:rPr>
      </w:pPr>
      <w:r>
        <w:rPr>
          <w:rFonts w:cstheme="minorHAnsi"/>
          <w:bCs/>
        </w:rPr>
        <w:t xml:space="preserve">Data from the sample are provided above.  </w:t>
      </w:r>
    </w:p>
    <w:p w14:paraId="336E6EC4" w14:textId="77777777" w:rsidR="00D77BFE" w:rsidRDefault="00D77BFE" w:rsidP="00D77BFE">
      <w:pPr>
        <w:autoSpaceDE w:val="0"/>
        <w:autoSpaceDN w:val="0"/>
        <w:adjustRightInd w:val="0"/>
        <w:spacing w:after="0" w:line="240" w:lineRule="auto"/>
        <w:rPr>
          <w:rFonts w:cstheme="minorHAnsi"/>
          <w:bCs/>
        </w:rPr>
      </w:pPr>
    </w:p>
    <w:p w14:paraId="2E9C1D83" w14:textId="77777777" w:rsidR="00D77BFE" w:rsidRDefault="00D77BFE" w:rsidP="00D77BFE">
      <w:pPr>
        <w:autoSpaceDE w:val="0"/>
        <w:autoSpaceDN w:val="0"/>
        <w:adjustRightInd w:val="0"/>
        <w:spacing w:after="0" w:line="240" w:lineRule="auto"/>
        <w:rPr>
          <w:rFonts w:cstheme="minorHAnsi"/>
          <w:bCs/>
        </w:rPr>
      </w:pPr>
      <w:r>
        <w:rPr>
          <w:rFonts w:cstheme="minorHAnsi"/>
          <w:bCs/>
        </w:rPr>
        <w:t xml:space="preserve">National benchmarking data for this e-measure are currently not available.  However, an earlier version of this measure that was part of the Physical Quality Reporting System (PQRS) since 2008, requiring providers to measure functional status </w:t>
      </w:r>
      <w:r w:rsidR="000A5564">
        <w:rPr>
          <w:rFonts w:cstheme="minorHAnsi"/>
          <w:bCs/>
        </w:rPr>
        <w:t xml:space="preserve">(using any means, rather than a validated assessment as is being recommended here) </w:t>
      </w:r>
      <w:r>
        <w:rPr>
          <w:rFonts w:cstheme="minorHAnsi"/>
          <w:bCs/>
        </w:rPr>
        <w:t xml:space="preserve">at least once per year are available.  </w:t>
      </w:r>
      <w:r w:rsidRPr="00DA132F">
        <w:rPr>
          <w:rFonts w:cstheme="minorHAnsi"/>
          <w:bCs/>
        </w:rPr>
        <w:t xml:space="preserve">Data reported through the ACR’s Rheumatology Clinical Registry (RCR) indicate </w:t>
      </w:r>
      <w:r w:rsidR="000A5564">
        <w:rPr>
          <w:rFonts w:cstheme="minorHAnsi"/>
          <w:bCs/>
        </w:rPr>
        <w:t>that performance was 69.6% in 2011, improving to 86.6</w:t>
      </w:r>
      <w:r>
        <w:rPr>
          <w:rFonts w:cstheme="minorHAnsi"/>
          <w:bCs/>
        </w:rPr>
        <w:t>% in 2012 (</w:t>
      </w:r>
      <w:r w:rsidRPr="00DA132F">
        <w:rPr>
          <w:rFonts w:cstheme="minorHAnsi"/>
          <w:bCs/>
          <w:i/>
        </w:rPr>
        <w:t xml:space="preserve">Yazdany J et al.  Uptake of the American College of Rheumatology’s Rheumatology Clinical Registry (RCR): Quality Measure Summary Data”. </w:t>
      </w:r>
      <w:proofErr w:type="gramStart"/>
      <w:r w:rsidRPr="00DA132F">
        <w:rPr>
          <w:rFonts w:cstheme="minorHAnsi"/>
          <w:bCs/>
          <w:i/>
        </w:rPr>
        <w:t>Annual Scientific Meeting.</w:t>
      </w:r>
      <w:proofErr w:type="gramEnd"/>
      <w:r w:rsidRPr="00DA132F">
        <w:rPr>
          <w:rFonts w:cstheme="minorHAnsi"/>
          <w:bCs/>
          <w:i/>
        </w:rPr>
        <w:t xml:space="preserve"> </w:t>
      </w:r>
      <w:proofErr w:type="gramStart"/>
      <w:r w:rsidRPr="00DA132F">
        <w:rPr>
          <w:rFonts w:cstheme="minorHAnsi"/>
          <w:bCs/>
          <w:i/>
        </w:rPr>
        <w:t>American College of Rheumatology.</w:t>
      </w:r>
      <w:proofErr w:type="gramEnd"/>
      <w:r w:rsidRPr="00DA132F">
        <w:rPr>
          <w:rFonts w:cstheme="minorHAnsi"/>
          <w:bCs/>
          <w:i/>
        </w:rPr>
        <w:t xml:space="preserve"> Reed Convention Center, Washington, DC. 27 Octobe</w:t>
      </w:r>
      <w:r>
        <w:rPr>
          <w:rFonts w:cstheme="minorHAnsi"/>
          <w:bCs/>
          <w:i/>
        </w:rPr>
        <w:t xml:space="preserve">r 2013. </w:t>
      </w:r>
      <w:proofErr w:type="gramStart"/>
      <w:r>
        <w:rPr>
          <w:rFonts w:cstheme="minorHAnsi"/>
          <w:bCs/>
          <w:i/>
        </w:rPr>
        <w:t>Arthritis Rheum abstract supplement</w:t>
      </w:r>
      <w:r>
        <w:rPr>
          <w:rFonts w:cstheme="minorHAnsi"/>
          <w:bCs/>
        </w:rPr>
        <w:t>).</w:t>
      </w:r>
      <w:proofErr w:type="gramEnd"/>
    </w:p>
    <w:p w14:paraId="3624E8EE" w14:textId="77777777" w:rsidR="008A48E4" w:rsidRPr="00927027" w:rsidRDefault="008A48E4" w:rsidP="008A48E4">
      <w:pPr>
        <w:autoSpaceDE w:val="0"/>
        <w:autoSpaceDN w:val="0"/>
        <w:adjustRightInd w:val="0"/>
        <w:spacing w:after="0" w:line="240" w:lineRule="auto"/>
        <w:rPr>
          <w:rFonts w:cstheme="minorHAnsi"/>
          <w:bCs/>
        </w:rPr>
      </w:pPr>
    </w:p>
    <w:p w14:paraId="4108D118" w14:textId="77777777" w:rsidR="008A48E4" w:rsidRDefault="008A48E4" w:rsidP="008A48E4">
      <w:pPr>
        <w:autoSpaceDE w:val="0"/>
        <w:autoSpaceDN w:val="0"/>
        <w:adjustRightInd w:val="0"/>
        <w:spacing w:after="0" w:line="240" w:lineRule="auto"/>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Pr>
          <w:rFonts w:cstheme="minorHAnsi"/>
          <w:bCs/>
          <w:i/>
        </w:rPr>
        <w:t>o the results mean in terms of statistical and meaningful differences?</w:t>
      </w:r>
      <w:r w:rsidRPr="00A25024">
        <w:rPr>
          <w:rFonts w:cstheme="minorHAnsi"/>
          <w:bCs/>
        </w:rPr>
        <w:t>)</w:t>
      </w:r>
    </w:p>
    <w:p w14:paraId="0A4A6F5F" w14:textId="77777777" w:rsidR="008A48E4" w:rsidRDefault="008A48E4" w:rsidP="008A48E4">
      <w:pPr>
        <w:autoSpaceDE w:val="0"/>
        <w:autoSpaceDN w:val="0"/>
        <w:adjustRightInd w:val="0"/>
        <w:spacing w:after="0" w:line="240" w:lineRule="auto"/>
        <w:rPr>
          <w:rFonts w:cstheme="minorHAnsi"/>
          <w:bCs/>
        </w:rPr>
      </w:pPr>
    </w:p>
    <w:p w14:paraId="649F4755" w14:textId="2B95640D" w:rsidR="000A5564" w:rsidRDefault="000A5564" w:rsidP="000A5564">
      <w:pPr>
        <w:autoSpaceDE w:val="0"/>
        <w:autoSpaceDN w:val="0"/>
        <w:adjustRightInd w:val="0"/>
        <w:spacing w:after="0" w:line="240" w:lineRule="auto"/>
        <w:rPr>
          <w:rFonts w:cstheme="minorHAnsi"/>
          <w:bCs/>
        </w:rPr>
      </w:pPr>
      <w:r>
        <w:rPr>
          <w:rFonts w:cstheme="minorHAnsi"/>
          <w:bCs/>
        </w:rPr>
        <w:t xml:space="preserve">Experience with an earlier version of this measure in the PQRS program, as well as testing of the current e-measure suggest that there are meaningful differences in performance across providers.  Importantly, data from an ACR benchmarking survey suggests </w:t>
      </w:r>
      <w:r w:rsidRPr="00E87F1F">
        <w:rPr>
          <w:rFonts w:cstheme="minorHAnsi"/>
          <w:bCs/>
        </w:rPr>
        <w:t xml:space="preserve">that </w:t>
      </w:r>
      <w:r w:rsidR="00E87F1F" w:rsidRPr="00E87F1F">
        <w:rPr>
          <w:rFonts w:cstheme="minorHAnsi"/>
          <w:bCs/>
        </w:rPr>
        <w:t>61.9</w:t>
      </w:r>
      <w:r w:rsidRPr="00E87F1F">
        <w:rPr>
          <w:rFonts w:cstheme="minorHAnsi"/>
          <w:bCs/>
        </w:rPr>
        <w:t xml:space="preserve"> percent of U.S.</w:t>
      </w:r>
      <w:r>
        <w:rPr>
          <w:rFonts w:cstheme="minorHAnsi"/>
          <w:bCs/>
        </w:rPr>
        <w:t xml:space="preserve"> rheumatologists currently perform any form of functional status assessment in clinical practice</w:t>
      </w:r>
      <w:r w:rsidR="00E87F1F">
        <w:rPr>
          <w:rFonts w:cstheme="minorHAnsi"/>
          <w:bCs/>
        </w:rPr>
        <w:t xml:space="preserve"> (ACR Benchmarking Survey, 2013)</w:t>
      </w:r>
      <w:r>
        <w:rPr>
          <w:rFonts w:cstheme="minorHAnsi"/>
          <w:bCs/>
        </w:rPr>
        <w:t>.</w:t>
      </w:r>
    </w:p>
    <w:p w14:paraId="4D806E15" w14:textId="77777777" w:rsidR="00D61410" w:rsidRPr="00A25024" w:rsidRDefault="00D61410" w:rsidP="00D61410">
      <w:pPr>
        <w:autoSpaceDE w:val="0"/>
        <w:autoSpaceDN w:val="0"/>
        <w:adjustRightInd w:val="0"/>
        <w:spacing w:after="0" w:line="240" w:lineRule="auto"/>
        <w:rPr>
          <w:rFonts w:cstheme="minorHAnsi"/>
          <w:bCs/>
        </w:rPr>
      </w:pPr>
    </w:p>
    <w:p w14:paraId="530BEC2D" w14:textId="77777777" w:rsidR="0086464B" w:rsidRDefault="0086464B" w:rsidP="0086464B">
      <w:pPr>
        <w:spacing w:after="0" w:line="240" w:lineRule="auto"/>
        <w:rPr>
          <w:rFonts w:cstheme="minorHAnsi"/>
          <w:b/>
          <w:bCs/>
        </w:rPr>
      </w:pPr>
      <w:r>
        <w:rPr>
          <w:rFonts w:cstheme="minorHAnsi"/>
          <w:b/>
          <w:bCs/>
        </w:rPr>
        <w:t>_______________________________________</w:t>
      </w:r>
    </w:p>
    <w:p w14:paraId="0B705E4E"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lastRenderedPageBreak/>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70DE95A6"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261FEDCE" w14:textId="77777777" w:rsidR="00567D12" w:rsidRPr="00A25024" w:rsidRDefault="00567D12" w:rsidP="00DB3627">
      <w:pPr>
        <w:autoSpaceDE w:val="0"/>
        <w:autoSpaceDN w:val="0"/>
        <w:adjustRightInd w:val="0"/>
        <w:spacing w:after="0" w:line="240" w:lineRule="auto"/>
        <w:rPr>
          <w:rFonts w:cstheme="minorHAnsi"/>
          <w:b/>
          <w:bCs/>
        </w:rPr>
      </w:pPr>
    </w:p>
    <w:p w14:paraId="31F2ABEA"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45B9ECB3" w14:textId="77777777" w:rsidR="000F06B5" w:rsidRPr="00A25024" w:rsidRDefault="000F06B5" w:rsidP="00DB3627">
      <w:pPr>
        <w:autoSpaceDE w:val="0"/>
        <w:autoSpaceDN w:val="0"/>
        <w:adjustRightInd w:val="0"/>
        <w:spacing w:after="0" w:line="240" w:lineRule="auto"/>
        <w:rPr>
          <w:rFonts w:cstheme="minorHAnsi"/>
          <w:bCs/>
        </w:rPr>
      </w:pPr>
    </w:p>
    <w:p w14:paraId="08BA6DD1" w14:textId="77777777"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731395C8"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516615F6" w14:textId="77777777"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54656565" w14:textId="77777777" w:rsidR="00E1508F" w:rsidRPr="00E1508F" w:rsidRDefault="00E1508F" w:rsidP="00E1508F">
      <w:pPr>
        <w:autoSpaceDE w:val="0"/>
        <w:autoSpaceDN w:val="0"/>
        <w:adjustRightInd w:val="0"/>
        <w:spacing w:after="0" w:line="240" w:lineRule="auto"/>
        <w:rPr>
          <w:rFonts w:cstheme="minorHAnsi"/>
          <w:bCs/>
        </w:rPr>
      </w:pPr>
    </w:p>
    <w:p w14:paraId="50EFA42A" w14:textId="77777777"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14:paraId="1479BC3F" w14:textId="77777777" w:rsidR="008F7E67" w:rsidRDefault="008F7E67" w:rsidP="008F7E67">
      <w:pPr>
        <w:spacing w:after="0" w:line="240" w:lineRule="auto"/>
        <w:rPr>
          <w:rFonts w:cstheme="minorHAnsi"/>
          <w:b/>
          <w:bCs/>
        </w:rPr>
      </w:pPr>
      <w:r>
        <w:rPr>
          <w:rFonts w:cstheme="minorHAnsi"/>
          <w:b/>
          <w:bCs/>
        </w:rPr>
        <w:t>_______________________________________</w:t>
      </w:r>
    </w:p>
    <w:p w14:paraId="1D378053"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1B49899B" w14:textId="77777777" w:rsidR="008F7E67" w:rsidRDefault="008F7E67" w:rsidP="008F7E67">
      <w:pPr>
        <w:autoSpaceDE w:val="0"/>
        <w:autoSpaceDN w:val="0"/>
        <w:adjustRightInd w:val="0"/>
        <w:spacing w:after="0" w:line="240" w:lineRule="auto"/>
        <w:rPr>
          <w:rFonts w:cstheme="minorHAnsi"/>
          <w:bCs/>
        </w:rPr>
      </w:pPr>
    </w:p>
    <w:p w14:paraId="6F30D0C1" w14:textId="77777777" w:rsidR="008F7E67"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r>
    </w:p>
    <w:p w14:paraId="31870215" w14:textId="77777777" w:rsidR="00BD6BD0" w:rsidRPr="001D19B0" w:rsidRDefault="00BD6BD0" w:rsidP="00BD6BD0">
      <w:pPr>
        <w:autoSpaceDE w:val="0"/>
        <w:autoSpaceDN w:val="0"/>
        <w:adjustRightInd w:val="0"/>
        <w:spacing w:after="0" w:line="240" w:lineRule="auto"/>
        <w:rPr>
          <w:rFonts w:cstheme="minorHAnsi"/>
          <w:bCs/>
        </w:rPr>
      </w:pPr>
      <w:r w:rsidRPr="001D19B0">
        <w:rPr>
          <w:rFonts w:cstheme="minorHAnsi"/>
          <w:bCs/>
        </w:rPr>
        <w:t xml:space="preserve">Not applicable – there were no missing data in our testing.   </w:t>
      </w:r>
    </w:p>
    <w:p w14:paraId="2367B619" w14:textId="77777777" w:rsidR="00BD6BD0" w:rsidRPr="001D19B0" w:rsidRDefault="00BD6BD0" w:rsidP="00BD6BD0">
      <w:pPr>
        <w:autoSpaceDE w:val="0"/>
        <w:autoSpaceDN w:val="0"/>
        <w:adjustRightInd w:val="0"/>
        <w:spacing w:after="0" w:line="240" w:lineRule="auto"/>
        <w:rPr>
          <w:rFonts w:cstheme="minorHAnsi"/>
          <w:bCs/>
        </w:rPr>
      </w:pPr>
    </w:p>
    <w:p w14:paraId="5CC1A815" w14:textId="77777777" w:rsidR="00BD6BD0" w:rsidRDefault="00BD6BD0" w:rsidP="00BD6BD0">
      <w:pPr>
        <w:autoSpaceDE w:val="0"/>
        <w:autoSpaceDN w:val="0"/>
        <w:adjustRightInd w:val="0"/>
        <w:spacing w:after="0" w:line="240" w:lineRule="auto"/>
        <w:rPr>
          <w:rFonts w:cstheme="minorHAnsi"/>
          <w:bCs/>
        </w:rPr>
      </w:pPr>
      <w:r w:rsidRPr="001D19B0">
        <w:rPr>
          <w:rFonts w:cstheme="minorHAnsi"/>
          <w:bCs/>
        </w:rPr>
        <w:t>However, because it may be of interest to reviewers, we provide additional information beyond that required for measure testing to understand the potential for data to be missing on this PRO</w:t>
      </w:r>
      <w:r>
        <w:rPr>
          <w:rFonts w:cstheme="minorHAnsi"/>
          <w:bCs/>
        </w:rPr>
        <w:t>.</w:t>
      </w:r>
    </w:p>
    <w:p w14:paraId="27E33FF6" w14:textId="77777777" w:rsidR="00BD6BD0" w:rsidRDefault="00BD6BD0" w:rsidP="000A5564">
      <w:pPr>
        <w:pStyle w:val="ListParagraph"/>
        <w:autoSpaceDE w:val="0"/>
        <w:autoSpaceDN w:val="0"/>
        <w:adjustRightInd w:val="0"/>
        <w:spacing w:after="0" w:line="240" w:lineRule="auto"/>
        <w:ind w:left="0"/>
        <w:rPr>
          <w:rFonts w:cstheme="minorHAnsi"/>
          <w:bCs/>
        </w:rPr>
      </w:pPr>
    </w:p>
    <w:p w14:paraId="3EC566F6" w14:textId="77777777" w:rsidR="000A5564" w:rsidRDefault="000A5564" w:rsidP="000A5564">
      <w:pPr>
        <w:pStyle w:val="ListParagraph"/>
        <w:autoSpaceDE w:val="0"/>
        <w:autoSpaceDN w:val="0"/>
        <w:adjustRightInd w:val="0"/>
        <w:spacing w:after="0" w:line="240" w:lineRule="auto"/>
        <w:ind w:left="0"/>
        <w:rPr>
          <w:rFonts w:cstheme="minorHAnsi"/>
          <w:bCs/>
        </w:rPr>
      </w:pPr>
      <w:r>
        <w:rPr>
          <w:rFonts w:cstheme="minorHAnsi"/>
          <w:bCs/>
        </w:rPr>
        <w:t xml:space="preserve">Because all of the proposed functional status measures (HAQII, MDHAQ, </w:t>
      </w:r>
      <w:proofErr w:type="gramStart"/>
      <w:r>
        <w:rPr>
          <w:rFonts w:cstheme="minorHAnsi"/>
          <w:bCs/>
        </w:rPr>
        <w:t>PROMIS</w:t>
      </w:r>
      <w:proofErr w:type="gramEnd"/>
      <w:r>
        <w:rPr>
          <w:rFonts w:cstheme="minorHAnsi"/>
          <w:bCs/>
        </w:rPr>
        <w:t xml:space="preserve"> PF) are patient-reported outcomes (PROs), patient non-response may lead to missing data and inability to record a score, leading to low performance.  There are no procedures for handling missing data as missing-ness was relatively uncommon</w:t>
      </w:r>
      <w:r w:rsidR="003745FF">
        <w:rPr>
          <w:rFonts w:cstheme="minorHAnsi"/>
          <w:bCs/>
        </w:rPr>
        <w:t xml:space="preserve"> in our testing</w:t>
      </w:r>
      <w:r>
        <w:rPr>
          <w:rFonts w:cstheme="minorHAnsi"/>
          <w:bCs/>
        </w:rPr>
        <w:t xml:space="preserve"> and the requirement for </w:t>
      </w:r>
      <w:r w:rsidR="003745FF">
        <w:rPr>
          <w:rFonts w:cstheme="minorHAnsi"/>
          <w:bCs/>
        </w:rPr>
        <w:t xml:space="preserve">functional status assessment once per year had face validity in our Expert Panel process.  </w:t>
      </w:r>
    </w:p>
    <w:p w14:paraId="360BC61B" w14:textId="77777777" w:rsidR="000A5564" w:rsidRDefault="000A5564" w:rsidP="000A5564">
      <w:pPr>
        <w:pStyle w:val="ListParagraph"/>
        <w:autoSpaceDE w:val="0"/>
        <w:autoSpaceDN w:val="0"/>
        <w:adjustRightInd w:val="0"/>
        <w:spacing w:after="0" w:line="240" w:lineRule="auto"/>
        <w:ind w:left="0"/>
        <w:rPr>
          <w:rFonts w:cstheme="minorHAnsi"/>
          <w:bCs/>
        </w:rPr>
      </w:pPr>
    </w:p>
    <w:p w14:paraId="7CBBD25F" w14:textId="77777777" w:rsidR="001950E8" w:rsidRDefault="000A5564" w:rsidP="000A5564">
      <w:pPr>
        <w:pStyle w:val="ListParagraph"/>
        <w:autoSpaceDE w:val="0"/>
        <w:autoSpaceDN w:val="0"/>
        <w:adjustRightInd w:val="0"/>
        <w:spacing w:after="0" w:line="240" w:lineRule="auto"/>
        <w:ind w:left="0"/>
        <w:rPr>
          <w:rFonts w:cstheme="minorHAnsi"/>
          <w:bCs/>
        </w:rPr>
      </w:pPr>
      <w:proofErr w:type="gramStart"/>
      <w:r w:rsidRPr="00AE2A02">
        <w:rPr>
          <w:rFonts w:cstheme="minorHAnsi"/>
          <w:b/>
          <w:bCs/>
        </w:rPr>
        <w:t>Systematic examination of missing data</w:t>
      </w:r>
      <w:r>
        <w:rPr>
          <w:rFonts w:cstheme="minorHAnsi"/>
          <w:bCs/>
        </w:rPr>
        <w:t>.</w:t>
      </w:r>
      <w:proofErr w:type="gramEnd"/>
      <w:r>
        <w:rPr>
          <w:rFonts w:cstheme="minorHAnsi"/>
          <w:bCs/>
        </w:rPr>
        <w:t xml:space="preserve">  Clinicians are able to select from a list of </w:t>
      </w:r>
      <w:r w:rsidR="003745FF">
        <w:rPr>
          <w:rFonts w:cstheme="minorHAnsi"/>
          <w:bCs/>
        </w:rPr>
        <w:t xml:space="preserve">functional status measures (HAQII, MDHAQ, PROMIS PF), including measures that have been validated for low-literacy populations (Grade 6 reading level) and that are available in multiple languages.  To understand </w:t>
      </w:r>
      <w:r w:rsidR="00F871BE">
        <w:rPr>
          <w:rFonts w:cstheme="minorHAnsi"/>
          <w:bCs/>
        </w:rPr>
        <w:t xml:space="preserve">how often such data are missing in clinical encounters, we examined data </w:t>
      </w:r>
      <w:r w:rsidR="001950E8">
        <w:rPr>
          <w:rFonts w:cstheme="minorHAnsi"/>
          <w:bCs/>
        </w:rPr>
        <w:t>from</w:t>
      </w:r>
      <w:r w:rsidR="00F871BE">
        <w:rPr>
          <w:rFonts w:cstheme="minorHAnsi"/>
          <w:bCs/>
        </w:rPr>
        <w:t xml:space="preserve"> one of our testing sites</w:t>
      </w:r>
      <w:r w:rsidR="001950E8">
        <w:rPr>
          <w:rFonts w:cstheme="minorHAnsi"/>
          <w:bCs/>
        </w:rPr>
        <w:t xml:space="preserve"> in more detail.  This site</w:t>
      </w:r>
      <w:r w:rsidR="00F871BE">
        <w:rPr>
          <w:rFonts w:cstheme="minorHAnsi"/>
          <w:bCs/>
        </w:rPr>
        <w:t xml:space="preserve"> has a diverse patient population, including at-risk populations with low health </w:t>
      </w:r>
      <w:r w:rsidR="00F871BE">
        <w:rPr>
          <w:rFonts w:cstheme="minorHAnsi"/>
          <w:bCs/>
        </w:rPr>
        <w:lastRenderedPageBreak/>
        <w:t xml:space="preserve">literacy.  At this site, the PROMIS PF10 functional status </w:t>
      </w:r>
      <w:proofErr w:type="spellStart"/>
      <w:r w:rsidR="00F871BE">
        <w:rPr>
          <w:rFonts w:cstheme="minorHAnsi"/>
          <w:bCs/>
        </w:rPr>
        <w:t>status</w:t>
      </w:r>
      <w:proofErr w:type="spellEnd"/>
      <w:r w:rsidR="00F871BE">
        <w:rPr>
          <w:rFonts w:cstheme="minorHAnsi"/>
          <w:bCs/>
        </w:rPr>
        <w:t xml:space="preserve"> is administered to patients in their native language (English, Spanish or Chinese).  </w:t>
      </w:r>
      <w:r w:rsidR="001950E8">
        <w:rPr>
          <w:rFonts w:cstheme="minorHAnsi"/>
          <w:bCs/>
        </w:rPr>
        <w:t xml:space="preserve">Out of 915 encounters over the measurement year, we have 58 instances </w:t>
      </w:r>
      <w:r w:rsidR="001950E8" w:rsidRPr="00E5727F">
        <w:rPr>
          <w:rFonts w:cstheme="minorHAnsi"/>
          <w:b/>
          <w:bCs/>
        </w:rPr>
        <w:t>(6.34%)</w:t>
      </w:r>
      <w:r w:rsidR="001950E8">
        <w:rPr>
          <w:rFonts w:cstheme="minorHAnsi"/>
          <w:bCs/>
        </w:rPr>
        <w:t xml:space="preserve"> of visits where a PROMIS score was not recorded but a “patient global assessment (PGA)”was recorded.  Because the PGA and PROMIS scores are administered simultaneously in the site’s workflow, </w:t>
      </w:r>
      <w:r w:rsidR="00E5727F">
        <w:rPr>
          <w:rFonts w:cstheme="minorHAnsi"/>
          <w:bCs/>
        </w:rPr>
        <w:t xml:space="preserve">and PGAs are completed by nearly all patients because they do not require the patient to read or complete a survey, discrepancies between the 2 scores represent a PROMIS PF “non-responder” rate.  Non-response to this PRO was therefore approximately 6.3%. </w:t>
      </w:r>
    </w:p>
    <w:p w14:paraId="4C827B2D" w14:textId="77777777" w:rsidR="000A5564" w:rsidRDefault="000A5564" w:rsidP="000A5564">
      <w:pPr>
        <w:pStyle w:val="ListParagraph"/>
        <w:autoSpaceDE w:val="0"/>
        <w:autoSpaceDN w:val="0"/>
        <w:adjustRightInd w:val="0"/>
        <w:spacing w:after="0" w:line="240" w:lineRule="auto"/>
        <w:ind w:left="0"/>
        <w:rPr>
          <w:rFonts w:cstheme="minorHAnsi"/>
          <w:bCs/>
        </w:rPr>
      </w:pPr>
    </w:p>
    <w:p w14:paraId="44BC4025" w14:textId="77777777" w:rsidR="000A5564" w:rsidRPr="00C14FD8" w:rsidRDefault="000A5564" w:rsidP="00E5727F">
      <w:pPr>
        <w:pStyle w:val="ListParagraph"/>
        <w:autoSpaceDE w:val="0"/>
        <w:autoSpaceDN w:val="0"/>
        <w:adjustRightInd w:val="0"/>
        <w:spacing w:after="0" w:line="240" w:lineRule="auto"/>
        <w:ind w:left="0"/>
        <w:rPr>
          <w:rFonts w:cstheme="minorHAnsi"/>
          <w:bCs/>
        </w:rPr>
      </w:pPr>
      <w:r>
        <w:rPr>
          <w:rFonts w:cstheme="minorHAnsi"/>
          <w:bCs/>
        </w:rPr>
        <w:t xml:space="preserve">The findings of our testing study are consistent with validation studies in the literature, which include systematic assessments of respondent burden.  A summary of this literature can be found in the following </w:t>
      </w:r>
      <w:r w:rsidR="00340286">
        <w:rPr>
          <w:rFonts w:cstheme="minorHAnsi"/>
          <w:bCs/>
        </w:rPr>
        <w:t xml:space="preserve">sources: </w:t>
      </w:r>
      <w:r>
        <w:rPr>
          <w:rFonts w:cstheme="minorHAnsi"/>
          <w:bCs/>
        </w:rPr>
        <w:t xml:space="preserve"> </w:t>
      </w:r>
      <w:proofErr w:type="spellStart"/>
      <w:r w:rsidR="00E5727F" w:rsidRPr="00340286">
        <w:rPr>
          <w:rFonts w:cstheme="minorHAnsi"/>
          <w:bCs/>
          <w:i/>
        </w:rPr>
        <w:t>Maska</w:t>
      </w:r>
      <w:proofErr w:type="spellEnd"/>
      <w:r w:rsidR="00E5727F" w:rsidRPr="00340286">
        <w:rPr>
          <w:rFonts w:cstheme="minorHAnsi"/>
          <w:bCs/>
          <w:i/>
        </w:rPr>
        <w:t xml:space="preserve"> L et al.  </w:t>
      </w:r>
      <w:r w:rsidR="00340286" w:rsidRPr="00340286">
        <w:rPr>
          <w:rFonts w:cstheme="minorHAnsi"/>
          <w:bCs/>
          <w:i/>
        </w:rPr>
        <w:t>Measures of functional status and quality of life in rheumatoid arthritis: Health Assessment Questionnaire Disability Index (HAQ), Modified Health Assessment Questionnaire (MHAQ), Multidimensional Health Assessment Questionnaire (MDHAQ), Health Assessment Questionnaire II (HAQ-II), Improved Health Assessment Questionnaire (Improved HAQ), and Rheumatoid Arthritis Quality of Life (</w:t>
      </w:r>
      <w:proofErr w:type="spellStart"/>
      <w:r w:rsidR="00340286" w:rsidRPr="00340286">
        <w:rPr>
          <w:rFonts w:cstheme="minorHAnsi"/>
          <w:bCs/>
          <w:i/>
        </w:rPr>
        <w:t>RAQoL</w:t>
      </w:r>
      <w:proofErr w:type="spellEnd"/>
      <w:r w:rsidR="00340286" w:rsidRPr="00340286">
        <w:rPr>
          <w:rFonts w:cstheme="minorHAnsi"/>
          <w:bCs/>
          <w:i/>
        </w:rPr>
        <w:t xml:space="preserve">).  </w:t>
      </w:r>
      <w:proofErr w:type="gramStart"/>
      <w:r w:rsidR="00E5727F" w:rsidRPr="00340286">
        <w:rPr>
          <w:rFonts w:cstheme="minorHAnsi"/>
          <w:bCs/>
          <w:i/>
        </w:rPr>
        <w:t>Arthritis Care Res (Hoboken).</w:t>
      </w:r>
      <w:proofErr w:type="gramEnd"/>
      <w:r w:rsidR="00E5727F" w:rsidRPr="00340286">
        <w:rPr>
          <w:rFonts w:cstheme="minorHAnsi"/>
          <w:bCs/>
          <w:i/>
        </w:rPr>
        <w:t xml:space="preserve"> 2011 Nov</w:t>
      </w:r>
      <w:proofErr w:type="gramStart"/>
      <w:r w:rsidR="00E5727F" w:rsidRPr="00340286">
        <w:rPr>
          <w:rFonts w:cstheme="minorHAnsi"/>
          <w:bCs/>
          <w:i/>
        </w:rPr>
        <w:t>;63</w:t>
      </w:r>
      <w:proofErr w:type="gramEnd"/>
      <w:r w:rsidR="00E5727F" w:rsidRPr="00340286">
        <w:rPr>
          <w:rFonts w:cstheme="minorHAnsi"/>
          <w:bCs/>
          <w:i/>
        </w:rPr>
        <w:t xml:space="preserve"> </w:t>
      </w:r>
      <w:proofErr w:type="spellStart"/>
      <w:r w:rsidR="00E5727F" w:rsidRPr="00340286">
        <w:rPr>
          <w:rFonts w:cstheme="minorHAnsi"/>
          <w:bCs/>
          <w:i/>
        </w:rPr>
        <w:t>Suppl</w:t>
      </w:r>
      <w:proofErr w:type="spellEnd"/>
      <w:r w:rsidR="00E5727F" w:rsidRPr="00340286">
        <w:rPr>
          <w:rFonts w:cstheme="minorHAnsi"/>
          <w:bCs/>
          <w:i/>
        </w:rPr>
        <w:t xml:space="preserve"> 11:S4-13</w:t>
      </w:r>
      <w:r w:rsidR="00340286">
        <w:rPr>
          <w:rFonts w:cstheme="minorHAnsi"/>
          <w:bCs/>
          <w:i/>
        </w:rPr>
        <w:t xml:space="preserve"> and www.nihpromis.org</w:t>
      </w:r>
      <w:r w:rsidR="00340286" w:rsidRPr="00340286">
        <w:rPr>
          <w:rFonts w:cstheme="minorHAnsi"/>
          <w:bCs/>
          <w:i/>
        </w:rPr>
        <w:t>‎</w:t>
      </w:r>
      <w:r w:rsidRPr="00C14FD8">
        <w:rPr>
          <w:rFonts w:cstheme="minorHAnsi"/>
          <w:bCs/>
        </w:rPr>
        <w:t>.</w:t>
      </w:r>
    </w:p>
    <w:p w14:paraId="04F59A45" w14:textId="77777777" w:rsidR="008F7E67" w:rsidRPr="00A25024" w:rsidRDefault="008F7E67" w:rsidP="008F7E67">
      <w:pPr>
        <w:pStyle w:val="ListParagraph"/>
        <w:autoSpaceDE w:val="0"/>
        <w:autoSpaceDN w:val="0"/>
        <w:adjustRightInd w:val="0"/>
        <w:spacing w:after="0" w:line="240" w:lineRule="auto"/>
        <w:ind w:left="0"/>
        <w:rPr>
          <w:rFonts w:cstheme="minorHAnsi"/>
          <w:bCs/>
        </w:rPr>
      </w:pPr>
    </w:p>
    <w:p w14:paraId="5D2BFFD6"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14:paraId="7C02AC79" w14:textId="77777777" w:rsidR="00F3566D" w:rsidRDefault="00340286" w:rsidP="00340286">
      <w:pPr>
        <w:autoSpaceDE w:val="0"/>
        <w:autoSpaceDN w:val="0"/>
        <w:adjustRightInd w:val="0"/>
        <w:spacing w:after="0" w:line="240" w:lineRule="auto"/>
        <w:rPr>
          <w:rFonts w:cstheme="minorHAnsi"/>
          <w:bCs/>
        </w:rPr>
      </w:pPr>
      <w:r>
        <w:rPr>
          <w:rFonts w:cstheme="minorHAnsi"/>
          <w:bCs/>
        </w:rPr>
        <w:t>As described above, because missing data occurred in &lt;10% of cases, no additional procedures or sensitivity analyses were under</w:t>
      </w:r>
      <w:r w:rsidR="00F3566D">
        <w:rPr>
          <w:rFonts w:cstheme="minorHAnsi"/>
          <w:bCs/>
        </w:rPr>
        <w:t>taken to deal with missing data. M</w:t>
      </w:r>
      <w:r>
        <w:rPr>
          <w:rFonts w:cstheme="minorHAnsi"/>
          <w:bCs/>
        </w:rPr>
        <w:t xml:space="preserve">issing data are not expected to significantly influence overall performance in most settings, particularly given that the performance threshold is </w:t>
      </w:r>
      <w:r>
        <w:rPr>
          <w:rFonts w:ascii="Calibri" w:hAnsi="Calibri" w:cstheme="minorHAnsi"/>
          <w:bCs/>
        </w:rPr>
        <w:t>performing functional status assessment once per year</w:t>
      </w:r>
      <w:r>
        <w:rPr>
          <w:rFonts w:cstheme="minorHAnsi"/>
          <w:bCs/>
        </w:rPr>
        <w:t xml:space="preserve">.  </w:t>
      </w:r>
    </w:p>
    <w:p w14:paraId="0D9FA834" w14:textId="77777777" w:rsidR="00F3566D" w:rsidRDefault="00F3566D" w:rsidP="00340286">
      <w:pPr>
        <w:autoSpaceDE w:val="0"/>
        <w:autoSpaceDN w:val="0"/>
        <w:adjustRightInd w:val="0"/>
        <w:spacing w:after="0" w:line="240" w:lineRule="auto"/>
        <w:rPr>
          <w:rFonts w:cstheme="minorHAnsi"/>
          <w:bCs/>
        </w:rPr>
      </w:pPr>
    </w:p>
    <w:p w14:paraId="41048B50" w14:textId="77777777" w:rsidR="00340286" w:rsidRDefault="00340286" w:rsidP="00340286">
      <w:pPr>
        <w:autoSpaceDE w:val="0"/>
        <w:autoSpaceDN w:val="0"/>
        <w:adjustRightInd w:val="0"/>
        <w:spacing w:after="0" w:line="240" w:lineRule="auto"/>
        <w:rPr>
          <w:rFonts w:cstheme="minorHAnsi"/>
          <w:bCs/>
        </w:rPr>
      </w:pPr>
      <w:r>
        <w:rPr>
          <w:rFonts w:cstheme="minorHAnsi"/>
          <w:bCs/>
        </w:rPr>
        <w:t>Providers caring for a very large number of individuals with low health lite</w:t>
      </w:r>
      <w:r w:rsidR="00F3566D">
        <w:rPr>
          <w:rFonts w:cstheme="minorHAnsi"/>
          <w:bCs/>
        </w:rPr>
        <w:t xml:space="preserve">racy may have lower performance.  This will require further testing to unravel.  However, </w:t>
      </w:r>
      <w:proofErr w:type="gramStart"/>
      <w:r w:rsidR="00F3566D">
        <w:rPr>
          <w:rFonts w:cstheme="minorHAnsi"/>
          <w:bCs/>
        </w:rPr>
        <w:t>a strength</w:t>
      </w:r>
      <w:proofErr w:type="gramEnd"/>
      <w:r w:rsidR="00F3566D">
        <w:rPr>
          <w:rFonts w:cstheme="minorHAnsi"/>
          <w:bCs/>
        </w:rPr>
        <w:t xml:space="preserve"> of the current measure is that it allows providers to select a functional status measure that is best suited to their setting and specific patient population.  In addition, new technologies, including administering PROs using touchscreens that are voice-enabled may resolve some of these issues over time.  </w:t>
      </w:r>
    </w:p>
    <w:p w14:paraId="66614D48" w14:textId="77777777" w:rsidR="008F7E67" w:rsidRPr="00E1508F" w:rsidRDefault="008F7E67" w:rsidP="008F7E67">
      <w:pPr>
        <w:autoSpaceDE w:val="0"/>
        <w:autoSpaceDN w:val="0"/>
        <w:adjustRightInd w:val="0"/>
        <w:spacing w:after="0" w:line="240" w:lineRule="auto"/>
        <w:rPr>
          <w:rFonts w:cstheme="minorHAnsi"/>
          <w:bCs/>
        </w:rPr>
      </w:pPr>
    </w:p>
    <w:p w14:paraId="3DDEBF76"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2563F8D2" w14:textId="77777777" w:rsidR="00BA053B" w:rsidRDefault="00BA053B">
      <w:pPr>
        <w:autoSpaceDE w:val="0"/>
        <w:autoSpaceDN w:val="0"/>
        <w:adjustRightInd w:val="0"/>
        <w:spacing w:after="0" w:line="240" w:lineRule="auto"/>
        <w:rPr>
          <w:rFonts w:cstheme="minorHAnsi"/>
          <w:bCs/>
        </w:rPr>
      </w:pPr>
    </w:p>
    <w:p w14:paraId="074D59CC" w14:textId="77777777" w:rsidR="00F3566D" w:rsidRPr="005560E7" w:rsidRDefault="00F3566D" w:rsidP="00F3566D">
      <w:pPr>
        <w:autoSpaceDE w:val="0"/>
        <w:autoSpaceDN w:val="0"/>
        <w:adjustRightInd w:val="0"/>
        <w:spacing w:after="0" w:line="240" w:lineRule="auto"/>
        <w:rPr>
          <w:rFonts w:cstheme="minorHAnsi"/>
          <w:bCs/>
        </w:rPr>
      </w:pPr>
      <w:r>
        <w:rPr>
          <w:rFonts w:cstheme="minorHAnsi"/>
          <w:bCs/>
        </w:rPr>
        <w:t>See above.</w:t>
      </w:r>
    </w:p>
    <w:p w14:paraId="3D7AA1DB" w14:textId="77777777" w:rsidR="00F3566D" w:rsidRPr="005560E7" w:rsidRDefault="00F3566D">
      <w:pPr>
        <w:autoSpaceDE w:val="0"/>
        <w:autoSpaceDN w:val="0"/>
        <w:adjustRightInd w:val="0"/>
        <w:spacing w:after="0" w:line="240" w:lineRule="auto"/>
        <w:rPr>
          <w:rFonts w:cstheme="minorHAnsi"/>
          <w:bCs/>
        </w:rPr>
      </w:pPr>
    </w:p>
    <w:sectPr w:rsidR="00F3566D" w:rsidRPr="005560E7" w:rsidSect="008505D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38530A" w14:textId="77777777" w:rsidR="009422B4" w:rsidRDefault="009422B4" w:rsidP="005C73CA">
      <w:pPr>
        <w:spacing w:after="0" w:line="240" w:lineRule="auto"/>
      </w:pPr>
      <w:r>
        <w:separator/>
      </w:r>
    </w:p>
  </w:endnote>
  <w:endnote w:type="continuationSeparator" w:id="0">
    <w:p w14:paraId="1445CA98" w14:textId="77777777" w:rsidR="009422B4" w:rsidRDefault="009422B4"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F63BAF" w14:textId="77777777" w:rsidR="005F05F3" w:rsidRDefault="005F05F3">
    <w:pPr>
      <w:pStyle w:val="Footer"/>
    </w:pPr>
    <w:r>
      <w:t xml:space="preserve">Version </w:t>
    </w:r>
    <w:proofErr w:type="gramStart"/>
    <w:r>
      <w:t>6.5  08</w:t>
    </w:r>
    <w:proofErr w:type="gramEnd"/>
    <w:r>
      <w:t>/20/13</w:t>
    </w:r>
    <w:r>
      <w:ptab w:relativeTo="margin" w:alignment="center" w:leader="none"/>
    </w:r>
    <w:r>
      <w:ptab w:relativeTo="margin" w:alignment="right" w:leader="none"/>
    </w:r>
    <w:r>
      <w:fldChar w:fldCharType="begin"/>
    </w:r>
    <w:r>
      <w:instrText xml:space="preserve"> PAGE   \* MERGEFORMAT </w:instrText>
    </w:r>
    <w:r>
      <w:fldChar w:fldCharType="separate"/>
    </w:r>
    <w:r w:rsidR="0024230E">
      <w:rPr>
        <w:noProof/>
      </w:rPr>
      <w:t>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8FCD99" w14:textId="77777777" w:rsidR="009422B4" w:rsidRDefault="009422B4" w:rsidP="005C73CA">
      <w:pPr>
        <w:spacing w:after="0" w:line="240" w:lineRule="auto"/>
      </w:pPr>
      <w:r>
        <w:separator/>
      </w:r>
    </w:p>
  </w:footnote>
  <w:footnote w:type="continuationSeparator" w:id="0">
    <w:p w14:paraId="4B1C2F26" w14:textId="77777777" w:rsidR="009422B4" w:rsidRDefault="009422B4"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8C59E" w14:textId="77777777" w:rsidR="005F05F3" w:rsidRPr="00105D8B" w:rsidRDefault="005F05F3"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6E4F6A"/>
    <w:multiLevelType w:val="hybridMultilevel"/>
    <w:tmpl w:val="D472A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B763EB6"/>
    <w:multiLevelType w:val="hybridMultilevel"/>
    <w:tmpl w:val="21007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1"/>
  </w:num>
  <w:num w:numId="6">
    <w:abstractNumId w:val="0"/>
  </w:num>
  <w:num w:numId="7">
    <w:abstractNumId w:val="4"/>
  </w:num>
  <w:num w:numId="8">
    <w:abstractNumId w:val="20"/>
  </w:num>
  <w:num w:numId="9">
    <w:abstractNumId w:val="10"/>
  </w:num>
  <w:num w:numId="10">
    <w:abstractNumId w:val="25"/>
  </w:num>
  <w:num w:numId="11">
    <w:abstractNumId w:val="12"/>
  </w:num>
  <w:num w:numId="12">
    <w:abstractNumId w:val="23"/>
  </w:num>
  <w:num w:numId="13">
    <w:abstractNumId w:val="18"/>
  </w:num>
  <w:num w:numId="14">
    <w:abstractNumId w:val="18"/>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7"/>
  </w:num>
  <w:num w:numId="16">
    <w:abstractNumId w:val="9"/>
  </w:num>
  <w:num w:numId="17">
    <w:abstractNumId w:val="24"/>
  </w:num>
  <w:num w:numId="18">
    <w:abstractNumId w:val="22"/>
  </w:num>
  <w:num w:numId="19">
    <w:abstractNumId w:val="21"/>
  </w:num>
  <w:num w:numId="20">
    <w:abstractNumId w:val="16"/>
  </w:num>
  <w:num w:numId="21">
    <w:abstractNumId w:val="19"/>
  </w:num>
  <w:num w:numId="22">
    <w:abstractNumId w:val="15"/>
  </w:num>
  <w:num w:numId="23">
    <w:abstractNumId w:val="7"/>
  </w:num>
  <w:num w:numId="24">
    <w:abstractNumId w:val="14"/>
  </w:num>
  <w:num w:numId="25">
    <w:abstractNumId w:val="13"/>
  </w:num>
  <w:num w:numId="26">
    <w:abstractNumId w:val="26"/>
  </w:num>
  <w:num w:numId="27">
    <w:abstractNumId w:val="2"/>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32B3"/>
    <w:rsid w:val="00024DFD"/>
    <w:rsid w:val="00027AB8"/>
    <w:rsid w:val="00027DE4"/>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776FC"/>
    <w:rsid w:val="00080CF7"/>
    <w:rsid w:val="00080F2E"/>
    <w:rsid w:val="000851B2"/>
    <w:rsid w:val="00092566"/>
    <w:rsid w:val="000968F8"/>
    <w:rsid w:val="00097012"/>
    <w:rsid w:val="000A5564"/>
    <w:rsid w:val="000B032A"/>
    <w:rsid w:val="000B2DF7"/>
    <w:rsid w:val="000B3880"/>
    <w:rsid w:val="000D7948"/>
    <w:rsid w:val="000D7C84"/>
    <w:rsid w:val="000E1761"/>
    <w:rsid w:val="000E1E09"/>
    <w:rsid w:val="000E4E13"/>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926ED"/>
    <w:rsid w:val="00193581"/>
    <w:rsid w:val="001950E8"/>
    <w:rsid w:val="001969C5"/>
    <w:rsid w:val="001A6CDD"/>
    <w:rsid w:val="001C12EE"/>
    <w:rsid w:val="001C7B02"/>
    <w:rsid w:val="001E4DD4"/>
    <w:rsid w:val="001E69DC"/>
    <w:rsid w:val="001F169D"/>
    <w:rsid w:val="001F1DA1"/>
    <w:rsid w:val="001F6F93"/>
    <w:rsid w:val="001F7826"/>
    <w:rsid w:val="001F7A20"/>
    <w:rsid w:val="0021195A"/>
    <w:rsid w:val="002119AB"/>
    <w:rsid w:val="00213383"/>
    <w:rsid w:val="00220250"/>
    <w:rsid w:val="00221A04"/>
    <w:rsid w:val="0022691B"/>
    <w:rsid w:val="00232163"/>
    <w:rsid w:val="00237405"/>
    <w:rsid w:val="002376F8"/>
    <w:rsid w:val="002408E4"/>
    <w:rsid w:val="00241591"/>
    <w:rsid w:val="0024230E"/>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2740"/>
    <w:rsid w:val="002F48E1"/>
    <w:rsid w:val="002F4F3B"/>
    <w:rsid w:val="003059EB"/>
    <w:rsid w:val="003116AC"/>
    <w:rsid w:val="00315567"/>
    <w:rsid w:val="00325510"/>
    <w:rsid w:val="00330144"/>
    <w:rsid w:val="00340286"/>
    <w:rsid w:val="00341FBC"/>
    <w:rsid w:val="00346245"/>
    <w:rsid w:val="00354180"/>
    <w:rsid w:val="00356267"/>
    <w:rsid w:val="00356BAD"/>
    <w:rsid w:val="003605B4"/>
    <w:rsid w:val="003627AC"/>
    <w:rsid w:val="00366914"/>
    <w:rsid w:val="00372FE3"/>
    <w:rsid w:val="003745FF"/>
    <w:rsid w:val="003755CB"/>
    <w:rsid w:val="00383F85"/>
    <w:rsid w:val="003A306C"/>
    <w:rsid w:val="003A7DE7"/>
    <w:rsid w:val="003B1006"/>
    <w:rsid w:val="003C5F11"/>
    <w:rsid w:val="003D6401"/>
    <w:rsid w:val="003E1863"/>
    <w:rsid w:val="003E295E"/>
    <w:rsid w:val="003F65FE"/>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0685A"/>
    <w:rsid w:val="00511BA4"/>
    <w:rsid w:val="005149E7"/>
    <w:rsid w:val="005232D6"/>
    <w:rsid w:val="005333CC"/>
    <w:rsid w:val="005363F1"/>
    <w:rsid w:val="0055007C"/>
    <w:rsid w:val="00554922"/>
    <w:rsid w:val="00555282"/>
    <w:rsid w:val="005560E7"/>
    <w:rsid w:val="005612CC"/>
    <w:rsid w:val="00563029"/>
    <w:rsid w:val="00567D12"/>
    <w:rsid w:val="00576062"/>
    <w:rsid w:val="0059193B"/>
    <w:rsid w:val="0059559F"/>
    <w:rsid w:val="005A49FF"/>
    <w:rsid w:val="005A7634"/>
    <w:rsid w:val="005C0447"/>
    <w:rsid w:val="005C2F78"/>
    <w:rsid w:val="005C739F"/>
    <w:rsid w:val="005C73CA"/>
    <w:rsid w:val="005D3450"/>
    <w:rsid w:val="005D4768"/>
    <w:rsid w:val="005E2CAB"/>
    <w:rsid w:val="005E429E"/>
    <w:rsid w:val="005F05F3"/>
    <w:rsid w:val="00601ED4"/>
    <w:rsid w:val="00602B17"/>
    <w:rsid w:val="006030BC"/>
    <w:rsid w:val="00612866"/>
    <w:rsid w:val="00616EB5"/>
    <w:rsid w:val="006246AC"/>
    <w:rsid w:val="00625727"/>
    <w:rsid w:val="006269D4"/>
    <w:rsid w:val="006327D8"/>
    <w:rsid w:val="0064070A"/>
    <w:rsid w:val="00641BB1"/>
    <w:rsid w:val="00643A01"/>
    <w:rsid w:val="00645792"/>
    <w:rsid w:val="006574D2"/>
    <w:rsid w:val="00663EAE"/>
    <w:rsid w:val="0066555C"/>
    <w:rsid w:val="006676D4"/>
    <w:rsid w:val="00675535"/>
    <w:rsid w:val="00681359"/>
    <w:rsid w:val="00696262"/>
    <w:rsid w:val="006C3A4F"/>
    <w:rsid w:val="006C4845"/>
    <w:rsid w:val="006D1DC6"/>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39E2"/>
    <w:rsid w:val="007665BF"/>
    <w:rsid w:val="00771B2A"/>
    <w:rsid w:val="007757CE"/>
    <w:rsid w:val="00775800"/>
    <w:rsid w:val="007902B1"/>
    <w:rsid w:val="0079180E"/>
    <w:rsid w:val="007950CC"/>
    <w:rsid w:val="0079538B"/>
    <w:rsid w:val="007961B8"/>
    <w:rsid w:val="00797624"/>
    <w:rsid w:val="007A4828"/>
    <w:rsid w:val="007B093D"/>
    <w:rsid w:val="007B2069"/>
    <w:rsid w:val="007B552F"/>
    <w:rsid w:val="007C04A1"/>
    <w:rsid w:val="007C21FA"/>
    <w:rsid w:val="007C5630"/>
    <w:rsid w:val="007D1C5D"/>
    <w:rsid w:val="007D4351"/>
    <w:rsid w:val="007D7019"/>
    <w:rsid w:val="007E18DB"/>
    <w:rsid w:val="007E6F1C"/>
    <w:rsid w:val="00804C69"/>
    <w:rsid w:val="0080711D"/>
    <w:rsid w:val="008155CD"/>
    <w:rsid w:val="00833325"/>
    <w:rsid w:val="00833C77"/>
    <w:rsid w:val="00840A41"/>
    <w:rsid w:val="00842CE0"/>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8E4"/>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22B4"/>
    <w:rsid w:val="00947F78"/>
    <w:rsid w:val="00953234"/>
    <w:rsid w:val="00961EAF"/>
    <w:rsid w:val="0096278F"/>
    <w:rsid w:val="009726E1"/>
    <w:rsid w:val="00975A68"/>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163EC"/>
    <w:rsid w:val="00A22FA9"/>
    <w:rsid w:val="00A25024"/>
    <w:rsid w:val="00A35F8F"/>
    <w:rsid w:val="00A41377"/>
    <w:rsid w:val="00A4263D"/>
    <w:rsid w:val="00A509B8"/>
    <w:rsid w:val="00A52AB9"/>
    <w:rsid w:val="00A6210B"/>
    <w:rsid w:val="00A7323A"/>
    <w:rsid w:val="00A831B4"/>
    <w:rsid w:val="00A97798"/>
    <w:rsid w:val="00AA5213"/>
    <w:rsid w:val="00AA65A6"/>
    <w:rsid w:val="00AB632C"/>
    <w:rsid w:val="00AC1D8E"/>
    <w:rsid w:val="00AC48FA"/>
    <w:rsid w:val="00AD0240"/>
    <w:rsid w:val="00AD4137"/>
    <w:rsid w:val="00B037BA"/>
    <w:rsid w:val="00B20139"/>
    <w:rsid w:val="00B218DA"/>
    <w:rsid w:val="00B342FA"/>
    <w:rsid w:val="00B53E8B"/>
    <w:rsid w:val="00B774D2"/>
    <w:rsid w:val="00B8015A"/>
    <w:rsid w:val="00B82A57"/>
    <w:rsid w:val="00B87F7E"/>
    <w:rsid w:val="00BA053B"/>
    <w:rsid w:val="00BB35AE"/>
    <w:rsid w:val="00BC03A1"/>
    <w:rsid w:val="00BC0D25"/>
    <w:rsid w:val="00BC17D7"/>
    <w:rsid w:val="00BD2505"/>
    <w:rsid w:val="00BD6BD0"/>
    <w:rsid w:val="00BE592D"/>
    <w:rsid w:val="00BF52B0"/>
    <w:rsid w:val="00BF5697"/>
    <w:rsid w:val="00C14CCC"/>
    <w:rsid w:val="00C22C1C"/>
    <w:rsid w:val="00C33F2E"/>
    <w:rsid w:val="00C34936"/>
    <w:rsid w:val="00C34C14"/>
    <w:rsid w:val="00C355B9"/>
    <w:rsid w:val="00C401C4"/>
    <w:rsid w:val="00C4095B"/>
    <w:rsid w:val="00C41680"/>
    <w:rsid w:val="00C60A25"/>
    <w:rsid w:val="00C765C5"/>
    <w:rsid w:val="00C779AC"/>
    <w:rsid w:val="00C82479"/>
    <w:rsid w:val="00C867F0"/>
    <w:rsid w:val="00C93C08"/>
    <w:rsid w:val="00CA06D8"/>
    <w:rsid w:val="00CA345A"/>
    <w:rsid w:val="00CB49FF"/>
    <w:rsid w:val="00CC02CF"/>
    <w:rsid w:val="00CC086A"/>
    <w:rsid w:val="00CD0F66"/>
    <w:rsid w:val="00CD364B"/>
    <w:rsid w:val="00CE23B8"/>
    <w:rsid w:val="00CE50D7"/>
    <w:rsid w:val="00D00344"/>
    <w:rsid w:val="00D1754D"/>
    <w:rsid w:val="00D2223F"/>
    <w:rsid w:val="00D274A4"/>
    <w:rsid w:val="00D277AF"/>
    <w:rsid w:val="00D31163"/>
    <w:rsid w:val="00D320B1"/>
    <w:rsid w:val="00D33AFD"/>
    <w:rsid w:val="00D36489"/>
    <w:rsid w:val="00D42195"/>
    <w:rsid w:val="00D50704"/>
    <w:rsid w:val="00D5760A"/>
    <w:rsid w:val="00D61410"/>
    <w:rsid w:val="00D77BFE"/>
    <w:rsid w:val="00D8162D"/>
    <w:rsid w:val="00D8181D"/>
    <w:rsid w:val="00D968D8"/>
    <w:rsid w:val="00DA563D"/>
    <w:rsid w:val="00DA7277"/>
    <w:rsid w:val="00DB3627"/>
    <w:rsid w:val="00DB4724"/>
    <w:rsid w:val="00DC4746"/>
    <w:rsid w:val="00DE7149"/>
    <w:rsid w:val="00E0314C"/>
    <w:rsid w:val="00E1508F"/>
    <w:rsid w:val="00E27240"/>
    <w:rsid w:val="00E27EDD"/>
    <w:rsid w:val="00E30584"/>
    <w:rsid w:val="00E310B9"/>
    <w:rsid w:val="00E37E1B"/>
    <w:rsid w:val="00E562C0"/>
    <w:rsid w:val="00E5727F"/>
    <w:rsid w:val="00E57529"/>
    <w:rsid w:val="00E672D6"/>
    <w:rsid w:val="00E76024"/>
    <w:rsid w:val="00E778FC"/>
    <w:rsid w:val="00E856A2"/>
    <w:rsid w:val="00E87F1F"/>
    <w:rsid w:val="00E96884"/>
    <w:rsid w:val="00EA5435"/>
    <w:rsid w:val="00EA5F47"/>
    <w:rsid w:val="00EC79DE"/>
    <w:rsid w:val="00ED4ACE"/>
    <w:rsid w:val="00EE4D35"/>
    <w:rsid w:val="00EF2DA7"/>
    <w:rsid w:val="00F2480D"/>
    <w:rsid w:val="00F3566D"/>
    <w:rsid w:val="00F435AA"/>
    <w:rsid w:val="00F5738A"/>
    <w:rsid w:val="00F612D4"/>
    <w:rsid w:val="00F7456A"/>
    <w:rsid w:val="00F77F1D"/>
    <w:rsid w:val="00F871BE"/>
    <w:rsid w:val="00F87CCB"/>
    <w:rsid w:val="00FA48C7"/>
    <w:rsid w:val="00FB5D73"/>
    <w:rsid w:val="00FB73C1"/>
    <w:rsid w:val="00FE33A3"/>
    <w:rsid w:val="00FE3D0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7B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967545">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009719698">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624E9"/>
    <w:rsid w:val="00190AF4"/>
    <w:rsid w:val="001E1D99"/>
    <w:rsid w:val="00223FA3"/>
    <w:rsid w:val="002A288F"/>
    <w:rsid w:val="002F052A"/>
    <w:rsid w:val="00345C81"/>
    <w:rsid w:val="00350176"/>
    <w:rsid w:val="003840F0"/>
    <w:rsid w:val="00437537"/>
    <w:rsid w:val="0053654E"/>
    <w:rsid w:val="00632A7E"/>
    <w:rsid w:val="00632AB6"/>
    <w:rsid w:val="0071749D"/>
    <w:rsid w:val="00730B33"/>
    <w:rsid w:val="00772B2A"/>
    <w:rsid w:val="007965C5"/>
    <w:rsid w:val="007B37E0"/>
    <w:rsid w:val="007C672A"/>
    <w:rsid w:val="007D4368"/>
    <w:rsid w:val="00822666"/>
    <w:rsid w:val="00823ECC"/>
    <w:rsid w:val="00866C97"/>
    <w:rsid w:val="009017AE"/>
    <w:rsid w:val="00970352"/>
    <w:rsid w:val="009C542D"/>
    <w:rsid w:val="00A95183"/>
    <w:rsid w:val="00AB4AF7"/>
    <w:rsid w:val="00AD7C4F"/>
    <w:rsid w:val="00B445F5"/>
    <w:rsid w:val="00BD40CB"/>
    <w:rsid w:val="00C0318A"/>
    <w:rsid w:val="00C362A2"/>
    <w:rsid w:val="00C90121"/>
    <w:rsid w:val="00CA344F"/>
    <w:rsid w:val="00D1676E"/>
    <w:rsid w:val="00D4210C"/>
    <w:rsid w:val="00DC0246"/>
    <w:rsid w:val="00E6518A"/>
    <w:rsid w:val="00F540AB"/>
    <w:rsid w:val="00F915BA"/>
    <w:rsid w:val="00FA6BB5"/>
    <w:rsid w:val="00FB16B2"/>
    <w:rsid w:val="00FD1543"/>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14</Pages>
  <Words>6626</Words>
  <Characters>37773</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44311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Melissa Francisco</cp:lastModifiedBy>
  <cp:revision>9</cp:revision>
  <dcterms:created xsi:type="dcterms:W3CDTF">2014-02-28T06:08:00Z</dcterms:created>
  <dcterms:modified xsi:type="dcterms:W3CDTF">2014-02-28T19:49:00Z</dcterms:modified>
</cp:coreProperties>
</file>