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B46C2">
            <w:rPr>
              <w:rStyle w:val="Style1"/>
            </w:rPr>
            <w:t xml:space="preserve">Gout: </w:t>
          </w:r>
          <w:r w:rsidR="00042097">
            <w:rPr>
              <w:rStyle w:val="Style1"/>
            </w:rPr>
            <w:t xml:space="preserve">Serum </w:t>
          </w:r>
          <w:proofErr w:type="spellStart"/>
          <w:r w:rsidR="00042097">
            <w:rPr>
              <w:rStyle w:val="Style1"/>
            </w:rPr>
            <w:t>Urate</w:t>
          </w:r>
          <w:proofErr w:type="spellEnd"/>
          <w:r w:rsidR="00042097">
            <w:rPr>
              <w:rStyle w:val="Style1"/>
            </w:rPr>
            <w:t xml:space="preserve"> Target</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3-03T00:00:00Z">
            <w:dateFormat w:val="M/d/yyyy"/>
            <w:lid w:val="en-US"/>
            <w:storeMappedDataAs w:val="dateTime"/>
            <w:calendar w:val="gregorian"/>
          </w:date>
        </w:sdtPr>
        <w:sdtEndPr>
          <w:rPr>
            <w:rStyle w:val="DefaultParagraphFont"/>
            <w:noProof/>
            <w:color w:val="auto"/>
            <w:u w:val="none"/>
          </w:rPr>
        </w:sdtEndPr>
        <w:sdtContent>
          <w:r w:rsidR="002B46C2">
            <w:rPr>
              <w:rStyle w:val="Style2"/>
            </w:rPr>
            <w:t>3/3/2014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bookmarkStart w:id="0" w:name="_GoBack"/>
        <w:bookmarkEnd w:id="0"/>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8A4A4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8A4A4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8A4A44"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2B46C2">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2B46C2">
            <w:rPr>
              <w:rStyle w:val="Style2"/>
              <w:rFonts w:cstheme="minorHAnsi"/>
            </w:rPr>
            <w:t xml:space="preserve">Monitoring and management of </w:t>
          </w:r>
          <w:proofErr w:type="spellStart"/>
          <w:r w:rsidR="002B46C2">
            <w:rPr>
              <w:rStyle w:val="Style2"/>
              <w:rFonts w:cstheme="minorHAnsi"/>
            </w:rPr>
            <w:t>urate</w:t>
          </w:r>
          <w:proofErr w:type="spellEnd"/>
          <w:r w:rsidR="002B46C2">
            <w:rPr>
              <w:rStyle w:val="Style2"/>
              <w:rFonts w:cstheme="minorHAnsi"/>
            </w:rPr>
            <w:t xml:space="preserve"> lowering therapy</w:t>
          </w:r>
        </w:sdtContent>
      </w:sdt>
    </w:p>
    <w:p w:rsidR="00496AF8" w:rsidRPr="003B1CC5" w:rsidRDefault="008A4A4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B46C2">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2B46C2" w:rsidRPr="003B1CC5">
            <w:rPr>
              <w:rStyle w:val="PlaceholderText"/>
              <w:rFonts w:cstheme="minorHAnsi"/>
              <w:color w:val="A6A6A6" w:themeColor="background1" w:themeShade="A6"/>
            </w:rPr>
            <w:t>Click here to name the process</w:t>
          </w:r>
        </w:sdtContent>
      </w:sdt>
    </w:p>
    <w:p w:rsidR="00496AF8" w:rsidRPr="003B1CC5" w:rsidRDefault="008A4A4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8A4A4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Default="00B058A6" w:rsidP="002E2177">
      <w:pPr>
        <w:ind w:left="432" w:hanging="432"/>
        <w:rPr>
          <w:b/>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2B46C2" w:rsidRDefault="002B46C2" w:rsidP="002E2177">
      <w:pPr>
        <w:ind w:left="432" w:hanging="432"/>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2B46C2" w:rsidRDefault="002B46C2" w:rsidP="002E2177">
      <w:pPr>
        <w:ind w:left="0" w:firstLine="0"/>
        <w:rPr>
          <w:i/>
          <w:iCs/>
        </w:rPr>
      </w:pPr>
    </w:p>
    <w:p w:rsidR="002B46C2" w:rsidRDefault="002B46C2" w:rsidP="002B46C2">
      <w:proofErr w:type="gramStart"/>
      <w:r w:rsidRPr="009F7E64">
        <w:t>assess</w:t>
      </w:r>
      <w:proofErr w:type="gramEnd"/>
      <w:r w:rsidRPr="009F7E64">
        <w:t xml:space="preserve"> → identify problem/potential problem →</w:t>
      </w:r>
      <w:r>
        <w:t xml:space="preserve"> </w:t>
      </w:r>
      <w:r w:rsidRPr="009F7E64">
        <w:t>choose/plan intervention (with patient input) → provide intervention → evaluate impact on health status. If the</w:t>
      </w:r>
      <w:r>
        <w:t xml:space="preserve"> </w:t>
      </w:r>
      <w:r w:rsidRPr="009F7E64">
        <w:t>measure focus is one step in such a multistep process, the step with the strongest evidence for the link to the</w:t>
      </w:r>
      <w:r>
        <w:t xml:space="preserve"> </w:t>
      </w:r>
      <w:r w:rsidRPr="009F7E64">
        <w:t>desired outcome should be selected as the focus of measurement.</w:t>
      </w:r>
    </w:p>
    <w:p w:rsidR="002B46C2" w:rsidRDefault="002B46C2" w:rsidP="002B46C2"/>
    <w:p w:rsidR="002B46C2" w:rsidRDefault="002B46C2" w:rsidP="002B46C2">
      <w:r w:rsidRPr="00575060">
        <w:rPr>
          <w:u w:val="single"/>
        </w:rPr>
        <w:t>Problem</w:t>
      </w:r>
      <w:r>
        <w:t xml:space="preserve">:  </w:t>
      </w:r>
      <w:proofErr w:type="spellStart"/>
      <w:r>
        <w:t>Hyperuricemia</w:t>
      </w:r>
      <w:proofErr w:type="spellEnd"/>
      <w:r>
        <w:t xml:space="preserve"> is associated with frequent gout attacks, and crystal deposition leading to </w:t>
      </w:r>
      <w:proofErr w:type="spellStart"/>
      <w:r>
        <w:t>tophaceous</w:t>
      </w:r>
      <w:proofErr w:type="spellEnd"/>
      <w:r>
        <w:t xml:space="preserve"> deposits [1</w:t>
      </w:r>
      <w:proofErr w:type="gramStart"/>
      <w:r>
        <w:t>,2</w:t>
      </w:r>
      <w:proofErr w:type="gramEnd"/>
      <w:r>
        <w:t xml:space="preserve">].  </w:t>
      </w:r>
      <w:proofErr w:type="spellStart"/>
      <w:proofErr w:type="gramStart"/>
      <w:r>
        <w:t>Tophaceous</w:t>
      </w:r>
      <w:proofErr w:type="spellEnd"/>
      <w:r>
        <w:t xml:space="preserve"> gout leads to damage to the joints, chronic synovitis leading to pain and dysfunction, and erosive disease of the joints [3-5].</w:t>
      </w:r>
      <w:proofErr w:type="gramEnd"/>
    </w:p>
    <w:p w:rsidR="002B46C2" w:rsidRDefault="002B46C2" w:rsidP="002B46C2">
      <w:r w:rsidRPr="00B71DBB">
        <w:rPr>
          <w:u w:val="single"/>
        </w:rPr>
        <w:t>Intervention</w:t>
      </w:r>
      <w:r>
        <w:t xml:space="preserve">: </w:t>
      </w:r>
      <w:proofErr w:type="spellStart"/>
      <w:r>
        <w:t>Urate</w:t>
      </w:r>
      <w:proofErr w:type="spellEnd"/>
      <w:r>
        <w:t xml:space="preserve"> Lowering Therapy will reduce serum </w:t>
      </w:r>
      <w:proofErr w:type="spellStart"/>
      <w:r>
        <w:t>urate</w:t>
      </w:r>
      <w:proofErr w:type="spellEnd"/>
      <w:r>
        <w:t xml:space="preserve"> [6], which is associated with decreased frequency of gout attacks [7] and reduced </w:t>
      </w:r>
      <w:proofErr w:type="spellStart"/>
      <w:r>
        <w:t>tophaceous</w:t>
      </w:r>
      <w:proofErr w:type="spellEnd"/>
      <w:r>
        <w:t xml:space="preserve"> deposition and/or resolution of </w:t>
      </w:r>
      <w:proofErr w:type="spellStart"/>
      <w:r>
        <w:t>tophaceous</w:t>
      </w:r>
      <w:proofErr w:type="spellEnd"/>
      <w:r>
        <w:t xml:space="preserve"> deposits [8].</w:t>
      </w:r>
    </w:p>
    <w:p w:rsidR="002B46C2" w:rsidRDefault="002B46C2" w:rsidP="002B46C2">
      <w:r w:rsidRPr="00B71DBB">
        <w:rPr>
          <w:u w:val="single"/>
        </w:rPr>
        <w:t>Interpretation</w:t>
      </w:r>
      <w:r>
        <w:t xml:space="preserve">:  Serum </w:t>
      </w:r>
      <w:proofErr w:type="spellStart"/>
      <w:r>
        <w:t>urate</w:t>
      </w:r>
      <w:proofErr w:type="spellEnd"/>
      <w:r>
        <w:t xml:space="preserve"> &lt; 6.8 mg/dl will lead to better patient outcomes.  The Guidelines recommends 6 mg/dl as a target for all patients.  However, for purpose of the quality measures, the less stringent criteria of 6.8 mg/dl, the solubility concentration of </w:t>
      </w:r>
      <w:proofErr w:type="spellStart"/>
      <w:r>
        <w:t>urate</w:t>
      </w:r>
      <w:proofErr w:type="spellEnd"/>
      <w:r>
        <w:t xml:space="preserve"> crystals was adopted.  </w:t>
      </w:r>
    </w:p>
    <w:p w:rsidR="002B46C2" w:rsidRDefault="002B46C2" w:rsidP="002B46C2">
      <w:r w:rsidRPr="00B71DBB">
        <w:rPr>
          <w:u w:val="single"/>
        </w:rPr>
        <w:t>Outcome</w:t>
      </w:r>
      <w:r>
        <w:t xml:space="preserve">:  With good control of </w:t>
      </w:r>
      <w:proofErr w:type="spellStart"/>
      <w:r>
        <w:t>hyperuricemia</w:t>
      </w:r>
      <w:proofErr w:type="spellEnd"/>
      <w:r>
        <w:t xml:space="preserve">, patients will have less frequent gout attacks, less frequent gout attacks and reduced </w:t>
      </w:r>
      <w:proofErr w:type="spellStart"/>
      <w:r>
        <w:t>tophaceous</w:t>
      </w:r>
      <w:proofErr w:type="spellEnd"/>
      <w:r>
        <w:t xml:space="preserve"> deposition and/or resolution of </w:t>
      </w:r>
      <w:proofErr w:type="spellStart"/>
      <w:r>
        <w:t>tophaceous</w:t>
      </w:r>
      <w:proofErr w:type="spellEnd"/>
      <w:r>
        <w:t xml:space="preserve"> deposits.</w:t>
      </w:r>
    </w:p>
    <w:p w:rsidR="002B46C2" w:rsidRDefault="002B46C2" w:rsidP="002B46C2"/>
    <w:p w:rsidR="002B46C2" w:rsidRDefault="002B46C2" w:rsidP="002B46C2">
      <w:r w:rsidRPr="00B71DBB">
        <w:rPr>
          <w:u w:val="single"/>
        </w:rPr>
        <w:t>Step 1</w:t>
      </w:r>
      <w:r>
        <w:t xml:space="preserve">: Evaluate need for </w:t>
      </w:r>
      <w:proofErr w:type="spellStart"/>
      <w:r>
        <w:t>Urate</w:t>
      </w:r>
      <w:proofErr w:type="spellEnd"/>
      <w:r>
        <w:t xml:space="preserve"> Lowering Therapy as defined in the 2012 </w:t>
      </w:r>
      <w:smartTag w:uri="urn:schemas-microsoft-com:office:smarttags" w:element="place">
        <w:smartTag w:uri="urn:schemas-microsoft-com:office:smarttags" w:element="PlaceName">
          <w:r>
            <w:t>American</w:t>
          </w:r>
        </w:smartTag>
        <w:r>
          <w:t xml:space="preserve"> </w:t>
        </w:r>
        <w:smartTag w:uri="urn:schemas-microsoft-com:office:smarttags" w:element="PlaceType">
          <w:r>
            <w:t>College</w:t>
          </w:r>
        </w:smartTag>
      </w:smartTag>
      <w:r>
        <w:t xml:space="preserve"> of  </w:t>
      </w:r>
      <w:r>
        <w:br/>
        <w:t xml:space="preserve">      Rheumatology Guidelines for Management of Gout. Part 1: Systematic </w:t>
      </w:r>
      <w:proofErr w:type="spellStart"/>
      <w:r>
        <w:t>Nonpharmacologic</w:t>
      </w:r>
      <w:proofErr w:type="spellEnd"/>
      <w:r>
        <w:t xml:space="preserve"> and </w:t>
      </w:r>
      <w:r>
        <w:br/>
      </w:r>
      <w:r>
        <w:lastRenderedPageBreak/>
        <w:t xml:space="preserve">      Pharmacologic Therapeutic Approaches to </w:t>
      </w:r>
      <w:proofErr w:type="spellStart"/>
      <w:r>
        <w:t>Hyperuricemia</w:t>
      </w:r>
      <w:proofErr w:type="spellEnd"/>
      <w:r>
        <w:t xml:space="preserve"> (Figure 3, page 1437).  Indications for </w:t>
      </w:r>
      <w:r>
        <w:br/>
        <w:t xml:space="preserve">      ULT are defined by either frequent gout attacks (2 or more attacks per year), presence of tophi </w:t>
      </w:r>
      <w:r>
        <w:br/>
        <w:t xml:space="preserve">      on clinical exam or gouty erosions on radiograph.  </w:t>
      </w:r>
    </w:p>
    <w:p w:rsidR="002B46C2" w:rsidRDefault="002B46C2" w:rsidP="002B46C2"/>
    <w:p w:rsidR="002B46C2" w:rsidRDefault="002B46C2" w:rsidP="002B46C2">
      <w:r w:rsidRPr="00B71DBB">
        <w:rPr>
          <w:u w:val="single"/>
        </w:rPr>
        <w:t>Step 2</w:t>
      </w:r>
      <w:r>
        <w:t xml:space="preserve">: Initiate </w:t>
      </w:r>
      <w:proofErr w:type="spellStart"/>
      <w:r>
        <w:t>Urate</w:t>
      </w:r>
      <w:proofErr w:type="spellEnd"/>
      <w:r>
        <w:t xml:space="preserve"> Lowering Therapy.</w:t>
      </w:r>
      <w:r w:rsidRPr="00C61C55">
        <w:t xml:space="preserve"> </w:t>
      </w:r>
      <w:r>
        <w:t xml:space="preserve"> (This step is proposed Gout Quality Measure: Indications for </w:t>
      </w:r>
      <w:proofErr w:type="spellStart"/>
      <w:r>
        <w:t>Urate</w:t>
      </w:r>
      <w:proofErr w:type="spellEnd"/>
      <w:r>
        <w:t xml:space="preserve"> Lowering Therapy.)</w:t>
      </w:r>
    </w:p>
    <w:p w:rsidR="002B46C2" w:rsidRDefault="002B46C2" w:rsidP="002B46C2"/>
    <w:p w:rsidR="002B46C2" w:rsidRDefault="002B46C2" w:rsidP="002B46C2">
      <w:r w:rsidRPr="00B71DBB">
        <w:rPr>
          <w:u w:val="single"/>
        </w:rPr>
        <w:t>Step 3</w:t>
      </w:r>
      <w:r>
        <w:t xml:space="preserve">: Monitor (check serum </w:t>
      </w:r>
      <w:proofErr w:type="spellStart"/>
      <w:r>
        <w:t>urate</w:t>
      </w:r>
      <w:proofErr w:type="spellEnd"/>
      <w:r>
        <w:t xml:space="preserve">) and respond to results (titrate or change ULT as needed) of </w:t>
      </w:r>
      <w:proofErr w:type="spellStart"/>
      <w:r>
        <w:t>Urate</w:t>
      </w:r>
      <w:proofErr w:type="spellEnd"/>
      <w:r>
        <w:t xml:space="preserve"> Lowering Therapy. (This step is proposed Gout Quality Measure: </w:t>
      </w:r>
      <w:proofErr w:type="spellStart"/>
      <w:r>
        <w:t>Urate</w:t>
      </w:r>
      <w:proofErr w:type="spellEnd"/>
      <w:r>
        <w:t xml:space="preserve"> Lowering Therapy Titration.)  The Guidelines recommends dose titration every 2-5 weeks in order to achieve serum </w:t>
      </w:r>
      <w:proofErr w:type="spellStart"/>
      <w:r>
        <w:t>urate</w:t>
      </w:r>
      <w:proofErr w:type="spellEnd"/>
      <w:r>
        <w:t xml:space="preserve"> target in timely manner.</w:t>
      </w:r>
    </w:p>
    <w:p w:rsidR="002B46C2" w:rsidRDefault="002B46C2" w:rsidP="002B46C2"/>
    <w:p w:rsidR="002B46C2" w:rsidRPr="003B1CC5" w:rsidRDefault="002B46C2" w:rsidP="002B46C2">
      <w:pPr>
        <w:ind w:left="0" w:firstLine="0"/>
        <w:rPr>
          <w:i/>
          <w:iCs/>
        </w:rPr>
      </w:pPr>
      <w:r w:rsidRPr="00B71DBB">
        <w:rPr>
          <w:u w:val="single"/>
        </w:rPr>
        <w:t>Step 4</w:t>
      </w:r>
      <w:r>
        <w:t>: Evaluate efficacy of treatment at 12 months</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8A4A44"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8A4A4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8A4A4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8A4A44"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B46C2">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8A4A44"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8A4A44"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2B46C2" w:rsidRDefault="002B46C2" w:rsidP="002E2177">
      <w:pPr>
        <w:ind w:left="0" w:firstLine="0"/>
        <w:rPr>
          <w:i/>
        </w:rPr>
      </w:pPr>
    </w:p>
    <w:p w:rsidR="002B46C2" w:rsidRDefault="002B46C2" w:rsidP="002B46C2">
      <w:pPr>
        <w:ind w:left="0" w:firstLine="0"/>
      </w:pPr>
      <w:r w:rsidRPr="009755D9">
        <w:t xml:space="preserve">The source of evidence is the </w:t>
      </w:r>
      <w:r>
        <w:t xml:space="preserve">2012 American College of Rheumatology Guidelines for Management of Gout. Part 1: Systematic </w:t>
      </w:r>
      <w:proofErr w:type="spellStart"/>
      <w:r>
        <w:t>Nonpharmacologic</w:t>
      </w:r>
      <w:proofErr w:type="spellEnd"/>
      <w:r>
        <w:t xml:space="preserve"> and Pharmacologic Therapeutic Approaches to </w:t>
      </w:r>
      <w:proofErr w:type="spellStart"/>
      <w:r>
        <w:t>Hyperuricemia</w:t>
      </w:r>
      <w:proofErr w:type="spellEnd"/>
      <w:r>
        <w:t xml:space="preserve"> (page 1440).  The Guidelines recommend that all gout patient with indications for UTL should have their serum </w:t>
      </w:r>
      <w:proofErr w:type="spellStart"/>
      <w:r>
        <w:t>urate</w:t>
      </w:r>
      <w:proofErr w:type="spellEnd"/>
      <w:r>
        <w:t xml:space="preserve"> lowered to 6 mg/dl, evidence grade A (ACC grading system, see below for detail).  Serum </w:t>
      </w:r>
      <w:proofErr w:type="spellStart"/>
      <w:r>
        <w:t>urate</w:t>
      </w:r>
      <w:proofErr w:type="spellEnd"/>
      <w:r>
        <w:t xml:space="preserve"> is the hemoglobin A1C of gout.  Lower levels of serum </w:t>
      </w:r>
      <w:proofErr w:type="spellStart"/>
      <w:r>
        <w:t>urate</w:t>
      </w:r>
      <w:proofErr w:type="spellEnd"/>
      <w:r>
        <w:t xml:space="preserve"> are associated with less frequent gout attacks [6</w:t>
      </w:r>
      <w:proofErr w:type="gramStart"/>
      <w:r>
        <w:t>,7</w:t>
      </w:r>
      <w:proofErr w:type="gramEnd"/>
      <w:r>
        <w:t xml:space="preserve">] and reduction of </w:t>
      </w:r>
      <w:proofErr w:type="spellStart"/>
      <w:r>
        <w:t>tophaceous</w:t>
      </w:r>
      <w:proofErr w:type="spellEnd"/>
      <w:r>
        <w:t xml:space="preserve"> deposits [8].  Based on feedback from public comment and expert panel, the less stringent level of 6.8 mg/dl cut-off was used to evaluate quality of care.  6.8 mg/dl is the solubility concentration of </w:t>
      </w:r>
      <w:proofErr w:type="spellStart"/>
      <w:r>
        <w:t>urate</w:t>
      </w:r>
      <w:proofErr w:type="spellEnd"/>
      <w:r>
        <w:t xml:space="preserve"> crystals [9].  Serum </w:t>
      </w:r>
      <w:proofErr w:type="spellStart"/>
      <w:r>
        <w:t>urate</w:t>
      </w:r>
      <w:proofErr w:type="spellEnd"/>
      <w:r>
        <w:t xml:space="preserve"> responds to changes in </w:t>
      </w:r>
      <w:proofErr w:type="spellStart"/>
      <w:r>
        <w:t>urate</w:t>
      </w:r>
      <w:proofErr w:type="spellEnd"/>
      <w:r>
        <w:t xml:space="preserve"> lowering therapy within 14-days [10].  The Guidelines recommends dose titration every 2-5 weeks.  Twelve months was selected as sufficient time to achieve serum </w:t>
      </w:r>
      <w:proofErr w:type="spellStart"/>
      <w:r>
        <w:t>urate</w:t>
      </w:r>
      <w:proofErr w:type="spellEnd"/>
      <w:r>
        <w:t xml:space="preserve"> target, evidence Level C.</w:t>
      </w:r>
    </w:p>
    <w:p w:rsidR="002B46C2" w:rsidRPr="003B1CC5" w:rsidRDefault="002B46C2"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2B46C2" w:rsidRDefault="002B46C2" w:rsidP="002E2177">
      <w:pPr>
        <w:ind w:left="0" w:firstLine="0"/>
        <w:rPr>
          <w:b/>
        </w:rPr>
      </w:pPr>
    </w:p>
    <w:p w:rsidR="002B46C2" w:rsidRDefault="002B46C2" w:rsidP="002B46C2">
      <w:pPr>
        <w:ind w:left="0" w:firstLine="0"/>
      </w:pPr>
      <w:r w:rsidRPr="009755D9">
        <w:t xml:space="preserve">This evidence was compiled </w:t>
      </w:r>
      <w:r>
        <w:t>for the 2012 American College of Rheumatology Gout Guidelines through a systematic review of</w:t>
      </w:r>
      <w:r w:rsidRPr="009755D9">
        <w:t xml:space="preserve"> the literature </w:t>
      </w:r>
      <w:r>
        <w:t xml:space="preserve">on pharmacologic and </w:t>
      </w:r>
      <w:r w:rsidRPr="00B815DA">
        <w:t xml:space="preserve">non-pharmacologic </w:t>
      </w:r>
      <w:proofErr w:type="spellStart"/>
      <w:r w:rsidRPr="00B815DA">
        <w:t>urate</w:t>
      </w:r>
      <w:proofErr w:type="spellEnd"/>
      <w:r w:rsidRPr="00B815DA">
        <w:t xml:space="preserve"> lowering therapies, which focused on published meta-analyses and randomized clinical trials. The search was expanded to include articles discussing research designs such as cohort, case–control</w:t>
      </w:r>
      <w:r>
        <w:t xml:space="preserve">, and cross-sectional studies.  Please refer to </w:t>
      </w:r>
      <w:r w:rsidRPr="00B815DA">
        <w:t xml:space="preserve">Supplemental Figure 4 (available in the online version of this article at </w:t>
      </w:r>
      <w:hyperlink r:id="rId15" w:history="1">
        <w:r w:rsidRPr="00B815DA">
          <w:rPr>
            <w:rStyle w:val="Hyperlink"/>
          </w:rPr>
          <w:t>http://onlinelibrary.wiley.com/journal/10.1002/(ISSN)2151-4658</w:t>
        </w:r>
      </w:hyperlink>
      <w:r w:rsidRPr="00B815DA">
        <w:t>).</w:t>
      </w:r>
    </w:p>
    <w:p w:rsidR="002B46C2" w:rsidRDefault="002B46C2" w:rsidP="002B46C2">
      <w:pPr>
        <w:ind w:left="0" w:firstLine="0"/>
      </w:pPr>
    </w:p>
    <w:p w:rsidR="002B46C2" w:rsidRDefault="002B46C2" w:rsidP="002B46C2">
      <w:pPr>
        <w:ind w:left="0" w:firstLine="0"/>
      </w:pPr>
      <w:r>
        <w:lastRenderedPageBreak/>
        <w:t xml:space="preserve">Evidence was graded using the American College of Cardiology [11] rating of evidence.  Level A grading was assigned to recommendations supported by multiple (i.e., </w:t>
      </w:r>
      <w:r w:rsidRPr="003F1BE4">
        <w:rPr>
          <w:u w:val="single"/>
        </w:rPr>
        <w:t>&gt;</w:t>
      </w:r>
      <w:r>
        <w:t xml:space="preserve"> 1) randomized clinical trials or meta-analyses. Level B grading was assigned to the recommendations derived from a single randomized trial or nonrandomized studies. Level C grading was assigned to consensus opinion of experts, case studies, or standard of care.</w:t>
      </w:r>
    </w:p>
    <w:p w:rsidR="002B46C2" w:rsidRPr="003B1CC5" w:rsidRDefault="002B46C2" w:rsidP="002E2177">
      <w:pPr>
        <w:ind w:left="0" w:firstLine="0"/>
      </w:pP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2B46C2" w:rsidRDefault="002B46C2" w:rsidP="002E2177">
      <w:pPr>
        <w:ind w:left="0" w:firstLine="0"/>
        <w:rPr>
          <w:b/>
        </w:rPr>
      </w:pPr>
    </w:p>
    <w:p w:rsidR="002B46C2" w:rsidRPr="00682004" w:rsidRDefault="002B46C2" w:rsidP="002B46C2">
      <w:pPr>
        <w:pStyle w:val="ListParagraph"/>
        <w:numPr>
          <w:ilvl w:val="0"/>
          <w:numId w:val="10"/>
        </w:numPr>
        <w:rPr>
          <w:rFonts w:cs="Calibri"/>
        </w:rPr>
      </w:pPr>
      <w:r w:rsidRPr="00682004">
        <w:rPr>
          <w:rFonts w:cs="Calibri"/>
        </w:rPr>
        <w:t xml:space="preserve">Neogi T. Clinical practice: gout. N </w:t>
      </w:r>
      <w:proofErr w:type="spellStart"/>
      <w:r w:rsidRPr="00682004">
        <w:rPr>
          <w:rFonts w:cs="Calibri"/>
        </w:rPr>
        <w:t>Engl</w:t>
      </w:r>
      <w:proofErr w:type="spellEnd"/>
      <w:r w:rsidRPr="00682004">
        <w:rPr>
          <w:rFonts w:cs="Calibri"/>
        </w:rPr>
        <w:t xml:space="preserve"> J Med 2011</w:t>
      </w:r>
      <w:proofErr w:type="gramStart"/>
      <w:r w:rsidRPr="00682004">
        <w:rPr>
          <w:rFonts w:cs="Calibri"/>
        </w:rPr>
        <w:t>;364:443</w:t>
      </w:r>
      <w:proofErr w:type="gramEnd"/>
      <w:r w:rsidRPr="00682004">
        <w:rPr>
          <w:rFonts w:cs="Calibri"/>
        </w:rPr>
        <w:t>–52.</w:t>
      </w:r>
    </w:p>
    <w:p w:rsidR="002B46C2" w:rsidRPr="00C61C55" w:rsidRDefault="002B46C2" w:rsidP="002B46C2">
      <w:pPr>
        <w:ind w:firstLine="0"/>
        <w:rPr>
          <w:rFonts w:cs="Calibri"/>
          <w:lang w:val="pt-BR"/>
        </w:rPr>
      </w:pPr>
      <w:r w:rsidRPr="00682004">
        <w:rPr>
          <w:rFonts w:cs="Calibri"/>
        </w:rPr>
        <w:t>2.</w:t>
      </w:r>
      <w:r>
        <w:rPr>
          <w:rFonts w:cs="Calibri"/>
        </w:rPr>
        <w:tab/>
      </w:r>
      <w:proofErr w:type="spellStart"/>
      <w:r w:rsidRPr="00682004">
        <w:rPr>
          <w:rFonts w:cs="Calibri"/>
        </w:rPr>
        <w:t>Terkeltaub</w:t>
      </w:r>
      <w:proofErr w:type="spellEnd"/>
      <w:r w:rsidRPr="00682004">
        <w:rPr>
          <w:rFonts w:cs="Calibri"/>
        </w:rPr>
        <w:t xml:space="preserve"> R. Update on gout: new therapeutic strategies and options. </w:t>
      </w:r>
      <w:r w:rsidRPr="00C61C55">
        <w:rPr>
          <w:rFonts w:cs="Calibri"/>
          <w:lang w:val="pt-BR"/>
        </w:rPr>
        <w:t xml:space="preserve">Nat Rev Rheumatol </w:t>
      </w:r>
      <w:r w:rsidRPr="00C61C55">
        <w:rPr>
          <w:rFonts w:cs="Calibri"/>
          <w:lang w:val="pt-BR"/>
        </w:rPr>
        <w:br/>
        <w:t xml:space="preserve">    </w:t>
      </w:r>
      <w:r w:rsidRPr="00C61C55">
        <w:rPr>
          <w:rFonts w:cs="Calibri"/>
          <w:lang w:val="pt-BR"/>
        </w:rPr>
        <w:tab/>
        <w:t>2010;6:30–8.</w:t>
      </w:r>
    </w:p>
    <w:p w:rsidR="002B46C2" w:rsidRPr="00682004" w:rsidRDefault="002B46C2" w:rsidP="002B46C2">
      <w:pPr>
        <w:ind w:left="720"/>
        <w:rPr>
          <w:rFonts w:cs="Calibri"/>
          <w:color w:val="231F20"/>
        </w:rPr>
      </w:pPr>
      <w:r w:rsidRPr="00C61C55">
        <w:rPr>
          <w:rFonts w:cs="Calibri"/>
          <w:lang w:val="pt-BR"/>
        </w:rPr>
        <w:t>3.</w:t>
      </w:r>
      <w:r w:rsidRPr="00C61C55">
        <w:rPr>
          <w:rFonts w:cs="Calibri"/>
          <w:b/>
          <w:lang w:val="pt-BR"/>
        </w:rPr>
        <w:t xml:space="preserve"> </w:t>
      </w:r>
      <w:r w:rsidRPr="00C61C55">
        <w:rPr>
          <w:rFonts w:cs="Calibri"/>
          <w:b/>
          <w:lang w:val="pt-BR"/>
        </w:rPr>
        <w:tab/>
      </w:r>
      <w:r w:rsidRPr="00C61C55">
        <w:rPr>
          <w:rFonts w:cs="Calibri"/>
          <w:color w:val="231F20"/>
          <w:lang w:val="pt-BR"/>
        </w:rPr>
        <w:t xml:space="preserve">Dalbeth N, Aati O, Gao A, House M, Liu Q, Horne A, et al. </w:t>
      </w:r>
      <w:r w:rsidRPr="00682004">
        <w:rPr>
          <w:rFonts w:cs="Calibri"/>
          <w:color w:val="231F20"/>
        </w:rPr>
        <w:t>Assessment of tophus size: a comparison between physical</w:t>
      </w:r>
      <w:r>
        <w:rPr>
          <w:rFonts w:cs="Calibri"/>
          <w:color w:val="231F20"/>
        </w:rPr>
        <w:t xml:space="preserve"> </w:t>
      </w:r>
      <w:r w:rsidRPr="00682004">
        <w:rPr>
          <w:rFonts w:cs="Calibri"/>
          <w:color w:val="231F20"/>
        </w:rPr>
        <w:t xml:space="preserve">measurement methods and dual-energy computed tomography scanning. J </w:t>
      </w:r>
      <w:proofErr w:type="spellStart"/>
      <w:r w:rsidRPr="00682004">
        <w:rPr>
          <w:rFonts w:cs="Calibri"/>
          <w:color w:val="231F20"/>
        </w:rPr>
        <w:t>Clin</w:t>
      </w:r>
      <w:proofErr w:type="spellEnd"/>
      <w:r w:rsidRPr="00682004">
        <w:rPr>
          <w:rFonts w:cs="Calibri"/>
          <w:color w:val="231F20"/>
        </w:rPr>
        <w:t xml:space="preserve"> </w:t>
      </w:r>
      <w:proofErr w:type="spellStart"/>
      <w:r w:rsidRPr="00682004">
        <w:rPr>
          <w:rFonts w:cs="Calibri"/>
          <w:color w:val="231F20"/>
        </w:rPr>
        <w:t>Rheumatol</w:t>
      </w:r>
      <w:proofErr w:type="spellEnd"/>
      <w:r w:rsidRPr="00682004">
        <w:rPr>
          <w:rFonts w:cs="Calibri"/>
          <w:color w:val="231F20"/>
        </w:rPr>
        <w:t xml:space="preserve"> 2012</w:t>
      </w:r>
      <w:proofErr w:type="gramStart"/>
      <w:r w:rsidRPr="00682004">
        <w:rPr>
          <w:rFonts w:cs="Calibri"/>
          <w:color w:val="231F20"/>
        </w:rPr>
        <w:t>;18:23</w:t>
      </w:r>
      <w:proofErr w:type="gramEnd"/>
      <w:r w:rsidRPr="00682004">
        <w:rPr>
          <w:rFonts w:cs="Calibri"/>
          <w:color w:val="231F20"/>
        </w:rPr>
        <w:t>–7.</w:t>
      </w:r>
    </w:p>
    <w:p w:rsidR="002B46C2" w:rsidRPr="00682004" w:rsidRDefault="002B46C2" w:rsidP="002B46C2">
      <w:pPr>
        <w:pStyle w:val="ListParagraph"/>
        <w:numPr>
          <w:ilvl w:val="0"/>
          <w:numId w:val="9"/>
        </w:numPr>
        <w:autoSpaceDE w:val="0"/>
        <w:autoSpaceDN w:val="0"/>
        <w:adjustRightInd w:val="0"/>
        <w:rPr>
          <w:rFonts w:cs="Calibri"/>
          <w:color w:val="231F20"/>
        </w:rPr>
      </w:pPr>
      <w:proofErr w:type="spellStart"/>
      <w:r w:rsidRPr="00682004">
        <w:rPr>
          <w:rFonts w:cs="Calibri"/>
          <w:color w:val="231F20"/>
        </w:rPr>
        <w:t>Dalbeth</w:t>
      </w:r>
      <w:proofErr w:type="spellEnd"/>
      <w:r w:rsidRPr="00682004">
        <w:rPr>
          <w:rFonts w:cs="Calibri"/>
          <w:color w:val="231F20"/>
        </w:rPr>
        <w:t xml:space="preserve"> N, Clark B, Gregory K, Gamble G, Sheehan T, Doyle A, et al. Mechanisms of bone erosion in gout: a quantitative</w:t>
      </w:r>
      <w:r>
        <w:rPr>
          <w:rFonts w:cs="Calibri"/>
          <w:color w:val="231F20"/>
        </w:rPr>
        <w:t xml:space="preserve"> </w:t>
      </w:r>
      <w:r w:rsidRPr="00682004">
        <w:rPr>
          <w:rFonts w:cs="Calibri"/>
          <w:color w:val="231F20"/>
        </w:rPr>
        <w:t>analysis using plain radiography and computed tomography. Ann Rheum Dis 2009</w:t>
      </w:r>
      <w:proofErr w:type="gramStart"/>
      <w:r w:rsidRPr="00682004">
        <w:rPr>
          <w:rFonts w:cs="Calibri"/>
          <w:color w:val="231F20"/>
        </w:rPr>
        <w:t>;68:1290</w:t>
      </w:r>
      <w:proofErr w:type="gramEnd"/>
      <w:r w:rsidRPr="00682004">
        <w:rPr>
          <w:rFonts w:cs="Calibri"/>
          <w:color w:val="231F20"/>
        </w:rPr>
        <w:t>–5.</w:t>
      </w:r>
    </w:p>
    <w:p w:rsidR="002B46C2" w:rsidRDefault="002B46C2" w:rsidP="002B46C2">
      <w:pPr>
        <w:pStyle w:val="ListParagraph"/>
        <w:numPr>
          <w:ilvl w:val="0"/>
          <w:numId w:val="9"/>
        </w:numPr>
        <w:autoSpaceDE w:val="0"/>
        <w:autoSpaceDN w:val="0"/>
        <w:adjustRightInd w:val="0"/>
        <w:rPr>
          <w:rFonts w:cs="Calibri"/>
          <w:color w:val="231F20"/>
        </w:rPr>
      </w:pPr>
      <w:r w:rsidRPr="00682004">
        <w:rPr>
          <w:rFonts w:cs="Calibri"/>
          <w:color w:val="231F20"/>
        </w:rPr>
        <w:t xml:space="preserve">Desai MA, Peterson JJ, Garner HW, </w:t>
      </w:r>
      <w:proofErr w:type="spellStart"/>
      <w:r w:rsidRPr="00682004">
        <w:rPr>
          <w:rFonts w:cs="Calibri"/>
          <w:color w:val="231F20"/>
        </w:rPr>
        <w:t>Kransdorf</w:t>
      </w:r>
      <w:proofErr w:type="spellEnd"/>
      <w:r w:rsidRPr="00682004">
        <w:rPr>
          <w:rFonts w:cs="Calibri"/>
          <w:color w:val="231F20"/>
        </w:rPr>
        <w:t xml:space="preserve"> MJ. Clinical utility of dual-energy CT for evaluation of </w:t>
      </w:r>
      <w:proofErr w:type="spellStart"/>
      <w:r w:rsidRPr="00682004">
        <w:rPr>
          <w:rFonts w:cs="Calibri"/>
          <w:color w:val="231F20"/>
        </w:rPr>
        <w:t>tophaceous</w:t>
      </w:r>
      <w:proofErr w:type="spellEnd"/>
      <w:r w:rsidRPr="00682004">
        <w:rPr>
          <w:rFonts w:cs="Calibri"/>
          <w:color w:val="231F20"/>
        </w:rPr>
        <w:t xml:space="preserve"> gout.</w:t>
      </w:r>
      <w:r>
        <w:rPr>
          <w:rFonts w:cs="Calibri"/>
          <w:color w:val="231F20"/>
        </w:rPr>
        <w:t xml:space="preserve"> </w:t>
      </w:r>
      <w:proofErr w:type="spellStart"/>
      <w:r w:rsidRPr="00682004">
        <w:rPr>
          <w:rFonts w:cs="Calibri"/>
          <w:color w:val="231F20"/>
        </w:rPr>
        <w:t>Radiographics</w:t>
      </w:r>
      <w:proofErr w:type="spellEnd"/>
      <w:r w:rsidRPr="00682004">
        <w:rPr>
          <w:rFonts w:cs="Calibri"/>
          <w:color w:val="231F20"/>
        </w:rPr>
        <w:t xml:space="preserve"> 2011</w:t>
      </w:r>
      <w:proofErr w:type="gramStart"/>
      <w:r w:rsidRPr="00682004">
        <w:rPr>
          <w:rFonts w:cs="Calibri"/>
          <w:color w:val="231F20"/>
        </w:rPr>
        <w:t>;31:1365</w:t>
      </w:r>
      <w:proofErr w:type="gramEnd"/>
      <w:r w:rsidRPr="00682004">
        <w:rPr>
          <w:rFonts w:cs="Calibri"/>
          <w:color w:val="231F20"/>
        </w:rPr>
        <w:t>–75.</w:t>
      </w:r>
    </w:p>
    <w:p w:rsidR="002B46C2" w:rsidRPr="00682004" w:rsidRDefault="002B46C2" w:rsidP="002B46C2">
      <w:pPr>
        <w:pStyle w:val="ListParagraph"/>
        <w:numPr>
          <w:ilvl w:val="0"/>
          <w:numId w:val="9"/>
        </w:numPr>
        <w:autoSpaceDE w:val="0"/>
        <w:autoSpaceDN w:val="0"/>
        <w:adjustRightInd w:val="0"/>
        <w:rPr>
          <w:rFonts w:cs="Calibri"/>
          <w:color w:val="231F20"/>
        </w:rPr>
      </w:pPr>
      <w:r w:rsidRPr="00682004">
        <w:rPr>
          <w:rFonts w:cs="Calibri"/>
        </w:rPr>
        <w:t xml:space="preserve">Shoji A, Yamanaka H, </w:t>
      </w:r>
      <w:proofErr w:type="spellStart"/>
      <w:r w:rsidRPr="00682004">
        <w:rPr>
          <w:rFonts w:cs="Calibri"/>
        </w:rPr>
        <w:t>Kamatani</w:t>
      </w:r>
      <w:proofErr w:type="spellEnd"/>
      <w:r w:rsidRPr="00682004">
        <w:rPr>
          <w:rFonts w:cs="Calibri"/>
        </w:rPr>
        <w:t xml:space="preserve"> N. A retrospective study of the relationship between serum </w:t>
      </w:r>
      <w:proofErr w:type="spellStart"/>
      <w:r w:rsidRPr="00682004">
        <w:rPr>
          <w:rFonts w:cs="Calibri"/>
        </w:rPr>
        <w:t>urate</w:t>
      </w:r>
      <w:proofErr w:type="spellEnd"/>
      <w:r w:rsidRPr="00682004">
        <w:rPr>
          <w:rFonts w:cs="Calibri"/>
        </w:rPr>
        <w:t xml:space="preserve"> level and recurrent attacks of gouty arthritis: evidence for reduction of recurrent gouty arthritis with </w:t>
      </w:r>
      <w:proofErr w:type="spellStart"/>
      <w:r w:rsidRPr="00682004">
        <w:rPr>
          <w:rFonts w:cs="Calibri"/>
        </w:rPr>
        <w:t>antihyperuricemic</w:t>
      </w:r>
      <w:proofErr w:type="spellEnd"/>
      <w:r w:rsidRPr="00682004">
        <w:rPr>
          <w:rFonts w:cs="Calibri"/>
        </w:rPr>
        <w:t xml:space="preserve"> therapy. </w:t>
      </w:r>
      <w:r w:rsidRPr="00682004">
        <w:rPr>
          <w:rFonts w:cs="Calibri"/>
          <w:i/>
          <w:iCs/>
        </w:rPr>
        <w:t xml:space="preserve">Arthritis Rheum </w:t>
      </w:r>
      <w:r w:rsidRPr="00682004">
        <w:rPr>
          <w:rFonts w:cs="Calibri"/>
        </w:rPr>
        <w:t>2004; 51:321-325.</w:t>
      </w:r>
    </w:p>
    <w:p w:rsidR="002B46C2" w:rsidRPr="00682004" w:rsidRDefault="002B46C2" w:rsidP="002B46C2">
      <w:pPr>
        <w:pStyle w:val="ListParagraph"/>
        <w:numPr>
          <w:ilvl w:val="0"/>
          <w:numId w:val="9"/>
        </w:numPr>
        <w:tabs>
          <w:tab w:val="left" w:pos="360"/>
        </w:tabs>
        <w:rPr>
          <w:rFonts w:cs="Calibri"/>
        </w:rPr>
      </w:pPr>
      <w:r w:rsidRPr="00682004">
        <w:rPr>
          <w:rFonts w:cs="Calibri"/>
        </w:rPr>
        <w:t xml:space="preserve">Perez-Ruiz F, </w:t>
      </w:r>
      <w:proofErr w:type="spellStart"/>
      <w:r w:rsidRPr="00682004">
        <w:rPr>
          <w:rFonts w:cs="Calibri"/>
        </w:rPr>
        <w:t>Atxotegi</w:t>
      </w:r>
      <w:proofErr w:type="spellEnd"/>
      <w:r w:rsidRPr="00682004">
        <w:rPr>
          <w:rFonts w:cs="Calibri"/>
        </w:rPr>
        <w:t xml:space="preserve"> J, Hernando I, </w:t>
      </w:r>
      <w:proofErr w:type="spellStart"/>
      <w:r w:rsidRPr="00682004">
        <w:rPr>
          <w:rFonts w:cs="Calibri"/>
        </w:rPr>
        <w:t>Calabozo</w:t>
      </w:r>
      <w:proofErr w:type="spellEnd"/>
      <w:r w:rsidRPr="00682004">
        <w:rPr>
          <w:rFonts w:cs="Calibri"/>
        </w:rPr>
        <w:t xml:space="preserve"> M, </w:t>
      </w:r>
      <w:proofErr w:type="spellStart"/>
      <w:r w:rsidRPr="00682004">
        <w:rPr>
          <w:rFonts w:cs="Calibri"/>
        </w:rPr>
        <w:t>Nolla</w:t>
      </w:r>
      <w:proofErr w:type="spellEnd"/>
      <w:r w:rsidRPr="00682004">
        <w:rPr>
          <w:rFonts w:cs="Calibri"/>
        </w:rPr>
        <w:t xml:space="preserve"> JM. Using serum </w:t>
      </w:r>
      <w:proofErr w:type="spellStart"/>
      <w:r w:rsidRPr="00682004">
        <w:rPr>
          <w:rFonts w:cs="Calibri"/>
        </w:rPr>
        <w:t>urate</w:t>
      </w:r>
      <w:proofErr w:type="spellEnd"/>
      <w:r w:rsidRPr="00682004">
        <w:rPr>
          <w:rFonts w:cs="Calibri"/>
        </w:rPr>
        <w:t xml:space="preserve"> levels to determine the period free of gouty symptoms after withdrawal of long-term </w:t>
      </w:r>
      <w:proofErr w:type="spellStart"/>
      <w:r w:rsidRPr="00682004">
        <w:rPr>
          <w:rFonts w:cs="Calibri"/>
        </w:rPr>
        <w:t>urate</w:t>
      </w:r>
      <w:proofErr w:type="spellEnd"/>
      <w:r w:rsidRPr="00682004">
        <w:rPr>
          <w:rFonts w:cs="Calibri"/>
        </w:rPr>
        <w:t>-lowering therapy: a prospective study. Arthritis Rheum 2006; 55:786-790</w:t>
      </w:r>
      <w:r w:rsidRPr="00682004">
        <w:rPr>
          <w:rFonts w:cs="Calibri"/>
          <w:b/>
        </w:rPr>
        <w:t xml:space="preserve"> </w:t>
      </w:r>
    </w:p>
    <w:p w:rsidR="002B46C2" w:rsidRPr="00682004" w:rsidRDefault="002B46C2" w:rsidP="002B46C2">
      <w:pPr>
        <w:pStyle w:val="ListParagraph"/>
        <w:numPr>
          <w:ilvl w:val="0"/>
          <w:numId w:val="9"/>
        </w:numPr>
        <w:tabs>
          <w:tab w:val="left" w:pos="360"/>
        </w:tabs>
        <w:rPr>
          <w:rFonts w:cs="Calibri"/>
        </w:rPr>
      </w:pPr>
      <w:r w:rsidRPr="00682004">
        <w:rPr>
          <w:rFonts w:cs="Calibri"/>
        </w:rPr>
        <w:t xml:space="preserve">Perez-Ruiz F, </w:t>
      </w:r>
      <w:proofErr w:type="spellStart"/>
      <w:r w:rsidRPr="00682004">
        <w:rPr>
          <w:rFonts w:cs="Calibri"/>
        </w:rPr>
        <w:t>Calabozo</w:t>
      </w:r>
      <w:proofErr w:type="spellEnd"/>
      <w:r w:rsidRPr="00682004">
        <w:rPr>
          <w:rFonts w:cs="Calibri"/>
        </w:rPr>
        <w:t xml:space="preserve"> M, </w:t>
      </w:r>
      <w:proofErr w:type="spellStart"/>
      <w:r w:rsidRPr="00682004">
        <w:rPr>
          <w:rFonts w:cs="Calibri"/>
        </w:rPr>
        <w:t>Pijoan</w:t>
      </w:r>
      <w:proofErr w:type="spellEnd"/>
      <w:r w:rsidRPr="00682004">
        <w:rPr>
          <w:rFonts w:cs="Calibri"/>
        </w:rPr>
        <w:t xml:space="preserve"> JI, </w:t>
      </w:r>
      <w:proofErr w:type="spellStart"/>
      <w:r w:rsidRPr="00682004">
        <w:rPr>
          <w:rFonts w:cs="Calibri"/>
        </w:rPr>
        <w:t>Herrero-Beites</w:t>
      </w:r>
      <w:proofErr w:type="spellEnd"/>
      <w:r w:rsidRPr="00682004">
        <w:rPr>
          <w:rFonts w:cs="Calibri"/>
        </w:rPr>
        <w:t xml:space="preserve"> AM, </w:t>
      </w:r>
      <w:proofErr w:type="spellStart"/>
      <w:r w:rsidRPr="00682004">
        <w:rPr>
          <w:rFonts w:cs="Calibri"/>
        </w:rPr>
        <w:t>Ruibal</w:t>
      </w:r>
      <w:proofErr w:type="spellEnd"/>
      <w:r w:rsidRPr="00682004">
        <w:rPr>
          <w:rFonts w:cs="Calibri"/>
        </w:rPr>
        <w:t xml:space="preserve"> A. Effect of </w:t>
      </w:r>
      <w:proofErr w:type="spellStart"/>
      <w:r w:rsidRPr="00682004">
        <w:rPr>
          <w:rFonts w:cs="Calibri"/>
        </w:rPr>
        <w:t>urate</w:t>
      </w:r>
      <w:proofErr w:type="spellEnd"/>
      <w:r w:rsidRPr="00682004">
        <w:rPr>
          <w:rFonts w:cs="Calibri"/>
        </w:rPr>
        <w:t xml:space="preserve">-lowering therapy on the velocity of size reduction of tophi in chronic gout. </w:t>
      </w:r>
      <w:r w:rsidRPr="00682004">
        <w:rPr>
          <w:rFonts w:cs="Calibri"/>
          <w:i/>
          <w:iCs/>
        </w:rPr>
        <w:t>Arthritis Rheum</w:t>
      </w:r>
      <w:r w:rsidRPr="00682004">
        <w:rPr>
          <w:rFonts w:cs="Calibri"/>
        </w:rPr>
        <w:t xml:space="preserve"> 2002; </w:t>
      </w:r>
      <w:r w:rsidRPr="00682004">
        <w:rPr>
          <w:rFonts w:cs="Calibri"/>
          <w:bCs/>
        </w:rPr>
        <w:t>47</w:t>
      </w:r>
      <w:r w:rsidRPr="00682004">
        <w:rPr>
          <w:rFonts w:cs="Calibri"/>
        </w:rPr>
        <w:t>: 356–60.</w:t>
      </w:r>
    </w:p>
    <w:p w:rsidR="002B46C2" w:rsidRPr="00682004" w:rsidRDefault="002B46C2" w:rsidP="002B46C2">
      <w:pPr>
        <w:pStyle w:val="ListParagraph"/>
        <w:numPr>
          <w:ilvl w:val="0"/>
          <w:numId w:val="9"/>
        </w:numPr>
        <w:shd w:val="clear" w:color="auto" w:fill="FFFFFF"/>
        <w:rPr>
          <w:rFonts w:cs="Calibri"/>
          <w:color w:val="222222"/>
        </w:rPr>
      </w:pPr>
      <w:r w:rsidRPr="00C61C55">
        <w:rPr>
          <w:rStyle w:val="cit-name-surname"/>
          <w:rFonts w:cs="Calibri"/>
          <w:color w:val="222222"/>
          <w:lang w:val="pt-BR"/>
        </w:rPr>
        <w:t>Fiddis</w:t>
      </w:r>
      <w:r w:rsidRPr="00C61C55">
        <w:rPr>
          <w:rStyle w:val="cit-auth2"/>
          <w:rFonts w:cs="Calibri"/>
          <w:color w:val="222222"/>
          <w:lang w:val="pt-BR"/>
        </w:rPr>
        <w:t xml:space="preserve"> </w:t>
      </w:r>
      <w:r w:rsidRPr="00C61C55">
        <w:rPr>
          <w:rStyle w:val="cit-name-given-names"/>
          <w:rFonts w:cs="Calibri"/>
          <w:color w:val="222222"/>
          <w:lang w:val="pt-BR"/>
        </w:rPr>
        <w:t>RW</w:t>
      </w:r>
      <w:r w:rsidRPr="00C61C55">
        <w:rPr>
          <w:rFonts w:cs="Calibri"/>
          <w:color w:val="222222"/>
          <w:lang w:val="pt-BR"/>
        </w:rPr>
        <w:t>, V</w:t>
      </w:r>
      <w:r w:rsidRPr="00C61C55">
        <w:rPr>
          <w:rStyle w:val="cit-name-surname"/>
          <w:rFonts w:cs="Calibri"/>
          <w:color w:val="222222"/>
          <w:lang w:val="pt-BR"/>
        </w:rPr>
        <w:t>lachos</w:t>
      </w:r>
      <w:r w:rsidRPr="00C61C55">
        <w:rPr>
          <w:rStyle w:val="cit-auth2"/>
          <w:rFonts w:cs="Calibri"/>
          <w:color w:val="222222"/>
          <w:lang w:val="pt-BR"/>
        </w:rPr>
        <w:t xml:space="preserve"> </w:t>
      </w:r>
      <w:r w:rsidRPr="00C61C55">
        <w:rPr>
          <w:rStyle w:val="cit-name-given-names"/>
          <w:rFonts w:cs="Calibri"/>
          <w:color w:val="222222"/>
          <w:lang w:val="pt-BR"/>
        </w:rPr>
        <w:t>N</w:t>
      </w:r>
      <w:r w:rsidRPr="00C61C55">
        <w:rPr>
          <w:rFonts w:cs="Calibri"/>
          <w:color w:val="222222"/>
          <w:lang w:val="pt-BR"/>
        </w:rPr>
        <w:t xml:space="preserve">, </w:t>
      </w:r>
      <w:r w:rsidRPr="00C61C55">
        <w:rPr>
          <w:rStyle w:val="cit-name-surname"/>
          <w:rFonts w:cs="Calibri"/>
          <w:color w:val="222222"/>
          <w:lang w:val="pt-BR"/>
        </w:rPr>
        <w:t>Calvert</w:t>
      </w:r>
      <w:r w:rsidRPr="00C61C55">
        <w:rPr>
          <w:rStyle w:val="cit-auth2"/>
          <w:rFonts w:cs="Calibri"/>
          <w:color w:val="222222"/>
          <w:lang w:val="pt-BR"/>
        </w:rPr>
        <w:t xml:space="preserve"> </w:t>
      </w:r>
      <w:r w:rsidRPr="00C61C55">
        <w:rPr>
          <w:rStyle w:val="cit-name-given-names"/>
          <w:rFonts w:cs="Calibri"/>
          <w:color w:val="222222"/>
          <w:lang w:val="pt-BR"/>
        </w:rPr>
        <w:t>PD.</w:t>
      </w:r>
      <w:r w:rsidRPr="00C61C55">
        <w:rPr>
          <w:rStyle w:val="HTMLCite"/>
          <w:rFonts w:cs="Calibri"/>
          <w:color w:val="222222"/>
          <w:lang w:val="pt-BR"/>
        </w:rPr>
        <w:t xml:space="preserve"> </w:t>
      </w:r>
      <w:r w:rsidRPr="00682004">
        <w:rPr>
          <w:rStyle w:val="cit-article-title"/>
          <w:rFonts w:cs="Calibri"/>
          <w:i/>
          <w:iCs/>
          <w:color w:val="222222"/>
        </w:rPr>
        <w:t xml:space="preserve">Studies of </w:t>
      </w:r>
      <w:proofErr w:type="spellStart"/>
      <w:r w:rsidRPr="00682004">
        <w:rPr>
          <w:rStyle w:val="cit-article-title"/>
          <w:rFonts w:cs="Calibri"/>
          <w:i/>
          <w:iCs/>
          <w:color w:val="222222"/>
        </w:rPr>
        <w:t>urate</w:t>
      </w:r>
      <w:proofErr w:type="spellEnd"/>
      <w:r w:rsidRPr="00682004">
        <w:rPr>
          <w:rStyle w:val="cit-article-title"/>
          <w:rFonts w:cs="Calibri"/>
          <w:i/>
          <w:iCs/>
          <w:color w:val="222222"/>
        </w:rPr>
        <w:t xml:space="preserve"> </w:t>
      </w:r>
      <w:proofErr w:type="spellStart"/>
      <w:r w:rsidRPr="00682004">
        <w:rPr>
          <w:rStyle w:val="cit-article-title"/>
          <w:rFonts w:cs="Calibri"/>
          <w:i/>
          <w:iCs/>
          <w:color w:val="222222"/>
        </w:rPr>
        <w:t>crystallisation</w:t>
      </w:r>
      <w:proofErr w:type="spellEnd"/>
      <w:r w:rsidRPr="00682004">
        <w:rPr>
          <w:rStyle w:val="cit-article-title"/>
          <w:rFonts w:cs="Calibri"/>
          <w:i/>
          <w:iCs/>
          <w:color w:val="222222"/>
        </w:rPr>
        <w:t xml:space="preserve"> in relation to gout</w:t>
      </w:r>
      <w:r w:rsidRPr="00682004">
        <w:rPr>
          <w:rStyle w:val="HTMLCite"/>
          <w:rFonts w:cs="Calibri"/>
          <w:color w:val="222222"/>
        </w:rPr>
        <w:t xml:space="preserve">. Ann Rheum Dis </w:t>
      </w:r>
      <w:r w:rsidRPr="00682004">
        <w:rPr>
          <w:rStyle w:val="cit-pub-date"/>
          <w:rFonts w:cs="Calibri"/>
          <w:i/>
          <w:iCs/>
          <w:color w:val="222222"/>
        </w:rPr>
        <w:t>1983</w:t>
      </w:r>
      <w:proofErr w:type="gramStart"/>
      <w:r w:rsidRPr="00682004">
        <w:rPr>
          <w:rStyle w:val="HTMLCite"/>
          <w:rFonts w:cs="Calibri"/>
          <w:color w:val="222222"/>
        </w:rPr>
        <w:t>;</w:t>
      </w:r>
      <w:r w:rsidRPr="00682004">
        <w:rPr>
          <w:rStyle w:val="cit-vol5"/>
          <w:rFonts w:cs="Calibri"/>
          <w:i/>
          <w:iCs/>
          <w:color w:val="222222"/>
        </w:rPr>
        <w:t>42</w:t>
      </w:r>
      <w:proofErr w:type="gramEnd"/>
      <w:r w:rsidRPr="00682004">
        <w:rPr>
          <w:rStyle w:val="HTMLCite"/>
          <w:rFonts w:cs="Calibri"/>
          <w:color w:val="222222"/>
        </w:rPr>
        <w:t xml:space="preserve"> </w:t>
      </w:r>
      <w:r w:rsidRPr="00682004">
        <w:rPr>
          <w:rStyle w:val="cit-supplement"/>
          <w:rFonts w:cs="Calibri"/>
          <w:i/>
          <w:iCs/>
          <w:color w:val="222222"/>
        </w:rPr>
        <w:t>Suppl. 1</w:t>
      </w:r>
      <w:r w:rsidRPr="00682004">
        <w:rPr>
          <w:rStyle w:val="HTMLCite"/>
          <w:rFonts w:cs="Calibri"/>
          <w:color w:val="222222"/>
        </w:rPr>
        <w:t>:</w:t>
      </w:r>
      <w:r w:rsidRPr="00682004">
        <w:rPr>
          <w:rStyle w:val="cit-fpage"/>
          <w:rFonts w:cs="Calibri"/>
          <w:i/>
          <w:iCs/>
          <w:color w:val="222222"/>
        </w:rPr>
        <w:t>12</w:t>
      </w:r>
      <w:r w:rsidRPr="00682004">
        <w:rPr>
          <w:rStyle w:val="HTMLCite"/>
          <w:rFonts w:cs="Calibri"/>
          <w:color w:val="222222"/>
        </w:rPr>
        <w:t>-</w:t>
      </w:r>
      <w:r w:rsidRPr="00682004">
        <w:rPr>
          <w:rStyle w:val="cit-lpage"/>
          <w:rFonts w:cs="Calibri"/>
          <w:i/>
          <w:iCs/>
          <w:color w:val="222222"/>
        </w:rPr>
        <w:t>15</w:t>
      </w:r>
      <w:r w:rsidRPr="00682004">
        <w:rPr>
          <w:rStyle w:val="HTMLCite"/>
          <w:rFonts w:cs="Calibri"/>
          <w:color w:val="222222"/>
        </w:rPr>
        <w:t>.</w:t>
      </w:r>
    </w:p>
    <w:p w:rsidR="002B46C2" w:rsidRPr="00682004" w:rsidRDefault="002B46C2" w:rsidP="002B46C2">
      <w:pPr>
        <w:pStyle w:val="ListParagraph"/>
        <w:numPr>
          <w:ilvl w:val="0"/>
          <w:numId w:val="9"/>
        </w:numPr>
        <w:tabs>
          <w:tab w:val="left" w:pos="360"/>
        </w:tabs>
        <w:rPr>
          <w:rFonts w:cs="Calibri"/>
        </w:rPr>
      </w:pPr>
      <w:r w:rsidRPr="00682004">
        <w:rPr>
          <w:rFonts w:cs="Calibri"/>
        </w:rPr>
        <w:t xml:space="preserve">Schumacher HR, Jr., Becker MA, Lloyd E, MacDonald PA, </w:t>
      </w:r>
      <w:proofErr w:type="spellStart"/>
      <w:proofErr w:type="gramStart"/>
      <w:r w:rsidRPr="00682004">
        <w:rPr>
          <w:rFonts w:cs="Calibri"/>
        </w:rPr>
        <w:t>Lademacher</w:t>
      </w:r>
      <w:proofErr w:type="spellEnd"/>
      <w:proofErr w:type="gramEnd"/>
      <w:r w:rsidRPr="00682004">
        <w:rPr>
          <w:rFonts w:cs="Calibri"/>
        </w:rPr>
        <w:t xml:space="preserve"> C. </w:t>
      </w:r>
      <w:proofErr w:type="spellStart"/>
      <w:r w:rsidRPr="00682004">
        <w:rPr>
          <w:rFonts w:cs="Calibri"/>
        </w:rPr>
        <w:t>Febuxostat</w:t>
      </w:r>
      <w:proofErr w:type="spellEnd"/>
      <w:r w:rsidRPr="00682004">
        <w:rPr>
          <w:rFonts w:cs="Calibri"/>
        </w:rPr>
        <w:t xml:space="preserve"> in the treatment of gout: 5-yr findings of the FOCUS efficacy and safety study. </w:t>
      </w:r>
      <w:r w:rsidRPr="00682004">
        <w:rPr>
          <w:rFonts w:cs="Calibri"/>
          <w:i/>
          <w:iCs/>
        </w:rPr>
        <w:t xml:space="preserve">Rheumatology (Oxford) </w:t>
      </w:r>
      <w:r w:rsidRPr="00682004">
        <w:rPr>
          <w:rFonts w:cs="Calibri"/>
        </w:rPr>
        <w:t>2009; 48:188-194</w:t>
      </w:r>
    </w:p>
    <w:p w:rsidR="002B46C2" w:rsidRPr="00682004" w:rsidRDefault="002B46C2" w:rsidP="002B46C2">
      <w:pPr>
        <w:pStyle w:val="ListParagraph"/>
        <w:numPr>
          <w:ilvl w:val="0"/>
          <w:numId w:val="9"/>
        </w:numPr>
        <w:tabs>
          <w:tab w:val="left" w:pos="360"/>
        </w:tabs>
        <w:rPr>
          <w:rFonts w:cs="Calibri"/>
        </w:rPr>
      </w:pPr>
      <w:r w:rsidRPr="00682004">
        <w:rPr>
          <w:rFonts w:cs="Calibri"/>
        </w:rPr>
        <w:t xml:space="preserve">Hunt SA, Abraham WT, Chin MH, Feldman AM, Francis GS, </w:t>
      </w:r>
      <w:proofErr w:type="spellStart"/>
      <w:r w:rsidRPr="00682004">
        <w:rPr>
          <w:rFonts w:cs="Calibri"/>
        </w:rPr>
        <w:t>Ganiats</w:t>
      </w:r>
      <w:proofErr w:type="spellEnd"/>
      <w:r w:rsidRPr="00682004">
        <w:rPr>
          <w:rFonts w:cs="Calibri"/>
        </w:rPr>
        <w:t xml:space="preserve"> TG, et al. ACC/AHA 2005 guideline update for the diagnosis and management of chronic heart failure in the adult: a report of the American College of Cardiology/American Heart Association Task Force on Practice Guidelines (Writing Committee to Update the 2001 Guidelines for the Evaluation and Management of Heart Failure). Developed in collaboration with the American College of Chest Physicians and the International Society for Heart and Lung Transplantation: endorsed by the Heart Rhythm Society. Circulation 2005</w:t>
      </w:r>
      <w:proofErr w:type="gramStart"/>
      <w:r w:rsidRPr="00682004">
        <w:rPr>
          <w:rFonts w:cs="Calibri"/>
        </w:rPr>
        <w:t>;112:e154</w:t>
      </w:r>
      <w:proofErr w:type="gramEnd"/>
      <w:r w:rsidRPr="00682004">
        <w:rPr>
          <w:rFonts w:cs="Calibri"/>
        </w:rPr>
        <w:t>–235.</w:t>
      </w:r>
    </w:p>
    <w:p w:rsidR="002B46C2" w:rsidRPr="001B772D" w:rsidRDefault="002B46C2" w:rsidP="002E2177">
      <w:pPr>
        <w:ind w:left="0" w:firstLine="0"/>
      </w:pPr>
    </w:p>
    <w:sectPr w:rsidR="002B46C2"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A44" w:rsidRDefault="008A4A44" w:rsidP="007E37A5">
      <w:r>
        <w:separator/>
      </w:r>
    </w:p>
  </w:endnote>
  <w:endnote w:type="continuationSeparator" w:id="0">
    <w:p w:rsidR="008A4A44" w:rsidRDefault="008A4A4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42097">
      <w:rPr>
        <w:noProof/>
      </w:rPr>
      <w:t>4</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A44" w:rsidRDefault="008A4A44" w:rsidP="007E37A5">
      <w:r>
        <w:separator/>
      </w:r>
    </w:p>
  </w:footnote>
  <w:footnote w:type="continuationSeparator" w:id="0">
    <w:p w:rsidR="008A4A44" w:rsidRDefault="008A4A44"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58F0"/>
    <w:multiLevelType w:val="hybridMultilevel"/>
    <w:tmpl w:val="A628F7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7411E57"/>
    <w:multiLevelType w:val="hybridMultilevel"/>
    <w:tmpl w:val="7A9E8490"/>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5"/>
  </w:num>
  <w:num w:numId="6">
    <w:abstractNumId w:val="4"/>
  </w:num>
  <w:num w:numId="7">
    <w:abstractNumId w:val="9"/>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42097"/>
    <w:rsid w:val="00044933"/>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B46C2"/>
    <w:rsid w:val="002C0E48"/>
    <w:rsid w:val="002C6F04"/>
    <w:rsid w:val="002E2177"/>
    <w:rsid w:val="002E2E41"/>
    <w:rsid w:val="002E78CD"/>
    <w:rsid w:val="002F20A7"/>
    <w:rsid w:val="003008F4"/>
    <w:rsid w:val="00302B1D"/>
    <w:rsid w:val="00307FA5"/>
    <w:rsid w:val="00324D64"/>
    <w:rsid w:val="00352B52"/>
    <w:rsid w:val="0035760D"/>
    <w:rsid w:val="00363ECC"/>
    <w:rsid w:val="003773AB"/>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45238"/>
    <w:rsid w:val="0055559D"/>
    <w:rsid w:val="005569AE"/>
    <w:rsid w:val="005857F8"/>
    <w:rsid w:val="005B0D18"/>
    <w:rsid w:val="005B12C3"/>
    <w:rsid w:val="005B409D"/>
    <w:rsid w:val="005D0FDB"/>
    <w:rsid w:val="005D25E9"/>
    <w:rsid w:val="005D6D59"/>
    <w:rsid w:val="006123E5"/>
    <w:rsid w:val="00617390"/>
    <w:rsid w:val="00623420"/>
    <w:rsid w:val="00634768"/>
    <w:rsid w:val="0063596F"/>
    <w:rsid w:val="006709EB"/>
    <w:rsid w:val="00672824"/>
    <w:rsid w:val="0068184A"/>
    <w:rsid w:val="006B5C51"/>
    <w:rsid w:val="006C7F30"/>
    <w:rsid w:val="006E6FDD"/>
    <w:rsid w:val="006E7D0C"/>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A4A44"/>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766A6"/>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HTMLCite">
    <w:name w:val="HTML Cite"/>
    <w:uiPriority w:val="99"/>
    <w:semiHidden/>
    <w:rsid w:val="002B46C2"/>
    <w:rPr>
      <w:rFonts w:cs="Times New Roman"/>
      <w:i/>
      <w:iCs/>
    </w:rPr>
  </w:style>
  <w:style w:type="character" w:customStyle="1" w:styleId="cit-auth2">
    <w:name w:val="cit-auth2"/>
    <w:uiPriority w:val="99"/>
    <w:rsid w:val="002B46C2"/>
    <w:rPr>
      <w:rFonts w:cs="Times New Roman"/>
    </w:rPr>
  </w:style>
  <w:style w:type="character" w:customStyle="1" w:styleId="cit-name-surname">
    <w:name w:val="cit-name-surname"/>
    <w:uiPriority w:val="99"/>
    <w:rsid w:val="002B46C2"/>
    <w:rPr>
      <w:rFonts w:cs="Times New Roman"/>
    </w:rPr>
  </w:style>
  <w:style w:type="character" w:customStyle="1" w:styleId="cit-name-given-names">
    <w:name w:val="cit-name-given-names"/>
    <w:uiPriority w:val="99"/>
    <w:rsid w:val="002B46C2"/>
    <w:rPr>
      <w:rFonts w:cs="Times New Roman"/>
    </w:rPr>
  </w:style>
  <w:style w:type="character" w:customStyle="1" w:styleId="cit-article-title">
    <w:name w:val="cit-article-title"/>
    <w:uiPriority w:val="99"/>
    <w:rsid w:val="002B46C2"/>
    <w:rPr>
      <w:rFonts w:cs="Times New Roman"/>
    </w:rPr>
  </w:style>
  <w:style w:type="character" w:customStyle="1" w:styleId="cit-pub-date">
    <w:name w:val="cit-pub-date"/>
    <w:uiPriority w:val="99"/>
    <w:rsid w:val="002B46C2"/>
    <w:rPr>
      <w:rFonts w:cs="Times New Roman"/>
    </w:rPr>
  </w:style>
  <w:style w:type="character" w:customStyle="1" w:styleId="cit-vol5">
    <w:name w:val="cit-vol5"/>
    <w:uiPriority w:val="99"/>
    <w:rsid w:val="002B46C2"/>
    <w:rPr>
      <w:rFonts w:cs="Times New Roman"/>
    </w:rPr>
  </w:style>
  <w:style w:type="character" w:customStyle="1" w:styleId="cit-supplement">
    <w:name w:val="cit-supplement"/>
    <w:uiPriority w:val="99"/>
    <w:rsid w:val="002B46C2"/>
    <w:rPr>
      <w:rFonts w:cs="Times New Roman"/>
    </w:rPr>
  </w:style>
  <w:style w:type="character" w:customStyle="1" w:styleId="cit-fpage">
    <w:name w:val="cit-fpage"/>
    <w:uiPriority w:val="99"/>
    <w:rsid w:val="002B46C2"/>
    <w:rPr>
      <w:rFonts w:cs="Times New Roman"/>
    </w:rPr>
  </w:style>
  <w:style w:type="character" w:customStyle="1" w:styleId="cit-lpage">
    <w:name w:val="cit-lpage"/>
    <w:uiPriority w:val="99"/>
    <w:rsid w:val="002B46C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HTMLCite">
    <w:name w:val="HTML Cite"/>
    <w:uiPriority w:val="99"/>
    <w:semiHidden/>
    <w:rsid w:val="002B46C2"/>
    <w:rPr>
      <w:rFonts w:cs="Times New Roman"/>
      <w:i/>
      <w:iCs/>
    </w:rPr>
  </w:style>
  <w:style w:type="character" w:customStyle="1" w:styleId="cit-auth2">
    <w:name w:val="cit-auth2"/>
    <w:uiPriority w:val="99"/>
    <w:rsid w:val="002B46C2"/>
    <w:rPr>
      <w:rFonts w:cs="Times New Roman"/>
    </w:rPr>
  </w:style>
  <w:style w:type="character" w:customStyle="1" w:styleId="cit-name-surname">
    <w:name w:val="cit-name-surname"/>
    <w:uiPriority w:val="99"/>
    <w:rsid w:val="002B46C2"/>
    <w:rPr>
      <w:rFonts w:cs="Times New Roman"/>
    </w:rPr>
  </w:style>
  <w:style w:type="character" w:customStyle="1" w:styleId="cit-name-given-names">
    <w:name w:val="cit-name-given-names"/>
    <w:uiPriority w:val="99"/>
    <w:rsid w:val="002B46C2"/>
    <w:rPr>
      <w:rFonts w:cs="Times New Roman"/>
    </w:rPr>
  </w:style>
  <w:style w:type="character" w:customStyle="1" w:styleId="cit-article-title">
    <w:name w:val="cit-article-title"/>
    <w:uiPriority w:val="99"/>
    <w:rsid w:val="002B46C2"/>
    <w:rPr>
      <w:rFonts w:cs="Times New Roman"/>
    </w:rPr>
  </w:style>
  <w:style w:type="character" w:customStyle="1" w:styleId="cit-pub-date">
    <w:name w:val="cit-pub-date"/>
    <w:uiPriority w:val="99"/>
    <w:rsid w:val="002B46C2"/>
    <w:rPr>
      <w:rFonts w:cs="Times New Roman"/>
    </w:rPr>
  </w:style>
  <w:style w:type="character" w:customStyle="1" w:styleId="cit-vol5">
    <w:name w:val="cit-vol5"/>
    <w:uiPriority w:val="99"/>
    <w:rsid w:val="002B46C2"/>
    <w:rPr>
      <w:rFonts w:cs="Times New Roman"/>
    </w:rPr>
  </w:style>
  <w:style w:type="character" w:customStyle="1" w:styleId="cit-supplement">
    <w:name w:val="cit-supplement"/>
    <w:uiPriority w:val="99"/>
    <w:rsid w:val="002B46C2"/>
    <w:rPr>
      <w:rFonts w:cs="Times New Roman"/>
    </w:rPr>
  </w:style>
  <w:style w:type="character" w:customStyle="1" w:styleId="cit-fpage">
    <w:name w:val="cit-fpage"/>
    <w:uiPriority w:val="99"/>
    <w:rsid w:val="002B46C2"/>
    <w:rPr>
      <w:rFonts w:cs="Times New Roman"/>
    </w:rPr>
  </w:style>
  <w:style w:type="character" w:customStyle="1" w:styleId="cit-lpage">
    <w:name w:val="cit-lpage"/>
    <w:uiPriority w:val="99"/>
    <w:rsid w:val="002B46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onlinelibrary.wiley.com/journal/10.1002/(ISSN)2151-4658"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47FC4"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15810"/>
    <w:rsid w:val="00160241"/>
    <w:rsid w:val="002B5F47"/>
    <w:rsid w:val="003A1E4B"/>
    <w:rsid w:val="00455EB5"/>
    <w:rsid w:val="00461C1C"/>
    <w:rsid w:val="004E2027"/>
    <w:rsid w:val="00547FC4"/>
    <w:rsid w:val="005F21F3"/>
    <w:rsid w:val="008F6A9B"/>
    <w:rsid w:val="00BB4632"/>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3E6F9-0082-4A00-A1C3-7F79E7A28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Melissa Francisco</cp:lastModifiedBy>
  <cp:revision>4</cp:revision>
  <dcterms:created xsi:type="dcterms:W3CDTF">2014-03-03T13:55:00Z</dcterms:created>
  <dcterms:modified xsi:type="dcterms:W3CDTF">2014-03-03T15:51:00Z</dcterms:modified>
</cp:coreProperties>
</file>