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918CD" w14:textId="3D71028C" w:rsidR="00F44A21" w:rsidRDefault="00FB19DA" w:rsidP="00713CDD">
      <w:pPr>
        <w:spacing w:before="480" w:after="480"/>
        <w:jc w:val="center"/>
        <w:rPr>
          <w:b/>
          <w:sz w:val="24"/>
        </w:rPr>
      </w:pPr>
      <w:bookmarkStart w:id="0" w:name="NATIONAL_QUALITY_FORUM—Evidence_(subcrit"/>
      <w:bookmarkStart w:id="1" w:name="Instructions"/>
      <w:bookmarkStart w:id="2" w:name="1a._Evidence_to_Support_the_Measure_Focu"/>
      <w:bookmarkEnd w:id="0"/>
      <w:bookmarkEnd w:id="1"/>
      <w:bookmarkEnd w:id="2"/>
      <w:r>
        <w:rPr>
          <w:b/>
          <w:sz w:val="24"/>
        </w:rPr>
        <w:t>N</w:t>
      </w:r>
      <w:r>
        <w:rPr>
          <w:b/>
          <w:sz w:val="19"/>
        </w:rPr>
        <w:t xml:space="preserve">ATIONAL </w:t>
      </w:r>
      <w:r>
        <w:rPr>
          <w:b/>
          <w:sz w:val="24"/>
        </w:rPr>
        <w:t>Q</w:t>
      </w:r>
      <w:r>
        <w:rPr>
          <w:b/>
          <w:sz w:val="19"/>
        </w:rPr>
        <w:t xml:space="preserve">UALITY </w:t>
      </w:r>
      <w:r>
        <w:rPr>
          <w:b/>
          <w:sz w:val="24"/>
        </w:rPr>
        <w:t>F</w:t>
      </w:r>
      <w:r>
        <w:rPr>
          <w:b/>
          <w:sz w:val="19"/>
        </w:rPr>
        <w:t>ORUM</w:t>
      </w:r>
      <w:r>
        <w:rPr>
          <w:b/>
          <w:sz w:val="24"/>
        </w:rPr>
        <w:t>—Evidence (</w:t>
      </w:r>
      <w:proofErr w:type="spellStart"/>
      <w:r w:rsidR="008E2707">
        <w:rPr>
          <w:b/>
          <w:sz w:val="24"/>
        </w:rPr>
        <w:t>S</w:t>
      </w:r>
      <w:r>
        <w:rPr>
          <w:b/>
          <w:sz w:val="24"/>
        </w:rPr>
        <w:t>ubcriterion</w:t>
      </w:r>
      <w:proofErr w:type="spellEnd"/>
      <w:r>
        <w:rPr>
          <w:b/>
          <w:sz w:val="24"/>
        </w:rPr>
        <w:t xml:space="preserve"> 1a)</w:t>
      </w:r>
    </w:p>
    <w:p w14:paraId="1DF0A859" w14:textId="4649304B" w:rsidR="00F44A21" w:rsidRDefault="00FB19DA" w:rsidP="008E2707">
      <w:pPr>
        <w:spacing w:after="55"/>
        <w:ind w:left="360"/>
      </w:pPr>
      <w:r>
        <w:rPr>
          <w:b/>
        </w:rPr>
        <w:t xml:space="preserve">Measure Number </w:t>
      </w:r>
      <w:r>
        <w:t>(</w:t>
      </w:r>
      <w:r>
        <w:rPr>
          <w:i/>
        </w:rPr>
        <w:t>if previously endorsed</w:t>
      </w:r>
      <w:r>
        <w:t>)</w:t>
      </w:r>
      <w:r>
        <w:rPr>
          <w:b/>
        </w:rPr>
        <w:t xml:space="preserve">: </w:t>
      </w:r>
      <w:sdt>
        <w:sdtPr>
          <w:rPr>
            <w:rStyle w:val="Style1"/>
            <w:highlight w:val="cyan"/>
          </w:rPr>
          <w:id w:val="1103681744"/>
          <w:placeholder>
            <w:docPart w:val="E923C315515D45D5ABF2B5A7B346F4C7"/>
          </w:placeholder>
        </w:sdtPr>
        <w:sdtEndPr>
          <w:rPr>
            <w:rStyle w:val="DefaultParagraphFont"/>
            <w:rFonts w:ascii="Calibri" w:hAnsi="Calibri" w:cstheme="minorHAnsi"/>
            <w:b/>
            <w:noProof/>
            <w:color w:val="auto"/>
          </w:rPr>
        </w:sdtEndPr>
        <w:sdtContent>
          <w:r w:rsidR="003E3CA4" w:rsidRPr="00413FD0">
            <w:rPr>
              <w:rStyle w:val="Style1"/>
            </w:rPr>
            <w:t>0661</w:t>
          </w:r>
        </w:sdtContent>
      </w:sdt>
    </w:p>
    <w:p w14:paraId="347718B4" w14:textId="21E2693D" w:rsidR="00F44A21" w:rsidRPr="008E2707" w:rsidRDefault="00FB19DA" w:rsidP="008E2707">
      <w:pPr>
        <w:spacing w:after="55"/>
        <w:ind w:left="360"/>
        <w:rPr>
          <w:color w:val="0000FF"/>
          <w:highlight w:val="yellow"/>
        </w:rPr>
      </w:pPr>
      <w:r>
        <w:rPr>
          <w:b/>
        </w:rPr>
        <w:t>Measure Title</w:t>
      </w:r>
      <w:r>
        <w:t xml:space="preserve">: </w:t>
      </w:r>
      <w:sdt>
        <w:sdtPr>
          <w:rPr>
            <w:rStyle w:val="Style1"/>
          </w:rPr>
          <w:id w:val="-882640736"/>
          <w:placeholder>
            <w:docPart w:val="122576AD764C4EFCB88A6727F8E55A1B"/>
          </w:placeholder>
        </w:sdtPr>
        <w:sdtEndPr>
          <w:rPr>
            <w:rStyle w:val="DefaultParagraphFont"/>
            <w:rFonts w:ascii="Calibri" w:hAnsi="Calibri"/>
            <w:noProof/>
            <w:color w:val="auto"/>
            <w:highlight w:val="cyan"/>
          </w:rPr>
        </w:sdtEndPr>
        <w:sdtContent>
          <w:r w:rsidR="003E3CA4" w:rsidRPr="00220C02">
            <w:rPr>
              <w:rStyle w:val="Style1"/>
            </w:rPr>
            <w:t>Head CT or MRI Scan Results for Acute Ischemic Stroke or Hemorrhagic Stroke Patients who Received Head CT or MRI Scan Interpretation Within 45 Minutes of ED Arrival</w:t>
          </w:r>
        </w:sdtContent>
      </w:sdt>
    </w:p>
    <w:p w14:paraId="57FB77F9" w14:textId="1DC7DC4F" w:rsidR="00F44A21" w:rsidRDefault="00FB19DA" w:rsidP="008E2707">
      <w:pPr>
        <w:spacing w:after="55"/>
        <w:ind w:left="360"/>
      </w:pPr>
      <w:r>
        <w:rPr>
          <w:b/>
        </w:rPr>
        <w:t xml:space="preserve">IF the measure is a component in a composite performance measure, provide the title of the Composite Measure here: </w:t>
      </w:r>
      <w:r w:rsidR="00517FB4">
        <w:rPr>
          <w:color w:val="0000FF"/>
        </w:rPr>
        <w:t xml:space="preserve">Not applicable </w:t>
      </w:r>
    </w:p>
    <w:p w14:paraId="65366957" w14:textId="44C2C48A" w:rsidR="00F44A21" w:rsidRDefault="00FB19DA" w:rsidP="008E2707">
      <w:pPr>
        <w:spacing w:after="220"/>
        <w:ind w:left="360"/>
      </w:pPr>
      <w:r>
        <w:rPr>
          <w:b/>
        </w:rPr>
        <w:t>Date of Submission</w:t>
      </w:r>
      <w:r>
        <w:t>:</w:t>
      </w:r>
      <w:r w:rsidRPr="008E2707">
        <w:rPr>
          <w:color w:val="0000FF"/>
        </w:rPr>
        <w:t xml:space="preserve"> </w:t>
      </w:r>
      <w:sdt>
        <w:sdtPr>
          <w:rPr>
            <w:rStyle w:val="Style2"/>
          </w:rPr>
          <w:id w:val="-1689821638"/>
          <w:placeholder>
            <w:docPart w:val="5170AE3F3728475E9DAEFDA3157B5A5A"/>
          </w:placeholder>
          <w:date w:fullDate="2019-11-01T00:00:00Z">
            <w:dateFormat w:val="M/d/yyyy"/>
            <w:lid w:val="en-US"/>
            <w:storeMappedDataAs w:val="dateTime"/>
            <w:calendar w:val="gregorian"/>
          </w:date>
        </w:sdtPr>
        <w:sdtEndPr>
          <w:rPr>
            <w:rStyle w:val="DefaultParagraphFont"/>
            <w:rFonts w:ascii="Calibri" w:hAnsi="Calibri"/>
            <w:noProof/>
            <w:color w:val="auto"/>
            <w:u w:val="none"/>
          </w:rPr>
        </w:sdtEndPr>
        <w:sdtContent>
          <w:r w:rsidR="005A5A6F">
            <w:rPr>
              <w:rStyle w:val="Style2"/>
            </w:rPr>
            <w:t>11/1/2019</w:t>
          </w:r>
        </w:sdtContent>
      </w:sdt>
    </w:p>
    <w:p w14:paraId="73741F4B" w14:textId="00E46168" w:rsidR="00F44A21" w:rsidRDefault="00453771" w:rsidP="001259C9">
      <w:pPr>
        <w:pStyle w:val="BodyText"/>
        <w:spacing w:after="220"/>
        <w:rPr>
          <w:sz w:val="18"/>
        </w:rPr>
      </w:pPr>
      <w:r>
        <w:rPr>
          <w:noProof/>
          <w:lang w:bidi="ar-SA"/>
        </w:rPr>
        <mc:AlternateContent>
          <mc:Choice Requires="wps">
            <w:drawing>
              <wp:inline distT="0" distB="0" distL="0" distR="0" wp14:anchorId="2D96F92E" wp14:editId="6394E495">
                <wp:extent cx="6858000" cy="2009775"/>
                <wp:effectExtent l="0" t="0" r="19050" b="28575"/>
                <wp:docPr id="1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20097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3165617" w14:textId="77777777" w:rsidR="00F44A21" w:rsidRPr="00890B62" w:rsidRDefault="00FB19DA" w:rsidP="00C122E3">
                            <w:pPr>
                              <w:spacing w:after="45"/>
                              <w:ind w:left="144"/>
                              <w:rPr>
                                <w:b/>
                                <w:sz w:val="18"/>
                                <w:szCs w:val="18"/>
                              </w:rPr>
                            </w:pPr>
                            <w:r w:rsidRPr="00890B62">
                              <w:rPr>
                                <w:b/>
                                <w:sz w:val="18"/>
                                <w:szCs w:val="18"/>
                              </w:rPr>
                              <w:t>Instructions</w:t>
                            </w:r>
                          </w:p>
                          <w:p w14:paraId="2AF17837" w14:textId="77777777" w:rsidR="00F44A21" w:rsidRPr="00890B62" w:rsidRDefault="00FB19DA" w:rsidP="00C122E3">
                            <w:pPr>
                              <w:numPr>
                                <w:ilvl w:val="0"/>
                                <w:numId w:val="7"/>
                              </w:numPr>
                              <w:spacing w:after="45"/>
                              <w:ind w:left="504" w:hanging="360"/>
                              <w:rPr>
                                <w:i/>
                                <w:sz w:val="18"/>
                                <w:szCs w:val="18"/>
                              </w:rPr>
                            </w:pPr>
                            <w:r w:rsidRPr="00890B62">
                              <w:rPr>
                                <w:i/>
                                <w:sz w:val="18"/>
                                <w:szCs w:val="18"/>
                              </w:rPr>
                              <w:t>Complete 1a.1 and 1a.2 for all measures. If instrument-based measure, complete</w:t>
                            </w:r>
                            <w:r w:rsidRPr="00890B62">
                              <w:rPr>
                                <w:i/>
                                <w:spacing w:val="-13"/>
                                <w:sz w:val="18"/>
                                <w:szCs w:val="18"/>
                              </w:rPr>
                              <w:t xml:space="preserve"> </w:t>
                            </w:r>
                            <w:r w:rsidRPr="00890B62">
                              <w:rPr>
                                <w:i/>
                                <w:sz w:val="18"/>
                                <w:szCs w:val="18"/>
                              </w:rPr>
                              <w:t>1a.3.</w:t>
                            </w:r>
                          </w:p>
                          <w:p w14:paraId="0C9D90E1" w14:textId="77777777" w:rsidR="00F44A21" w:rsidRPr="00890B62" w:rsidRDefault="00FB19DA" w:rsidP="00C122E3">
                            <w:pPr>
                              <w:numPr>
                                <w:ilvl w:val="0"/>
                                <w:numId w:val="7"/>
                              </w:numPr>
                              <w:tabs>
                                <w:tab w:val="left" w:pos="463"/>
                                <w:tab w:val="left" w:pos="464"/>
                              </w:tabs>
                              <w:spacing w:after="45"/>
                              <w:ind w:left="504" w:hanging="360"/>
                              <w:rPr>
                                <w:i/>
                                <w:sz w:val="18"/>
                                <w:szCs w:val="18"/>
                              </w:rPr>
                            </w:pPr>
                            <w:r w:rsidRPr="00890B62">
                              <w:rPr>
                                <w:i/>
                                <w:sz w:val="18"/>
                                <w:szCs w:val="18"/>
                              </w:rPr>
                              <w:t xml:space="preserve">Complete </w:t>
                            </w:r>
                            <w:r w:rsidRPr="00890B62">
                              <w:rPr>
                                <w:b/>
                                <w:i/>
                                <w:sz w:val="18"/>
                                <w:szCs w:val="18"/>
                              </w:rPr>
                              <w:t xml:space="preserve">EITHER 1a.2, 1a.3 or 1a.4 </w:t>
                            </w:r>
                            <w:r w:rsidRPr="00890B62">
                              <w:rPr>
                                <w:i/>
                                <w:sz w:val="18"/>
                                <w:szCs w:val="18"/>
                              </w:rPr>
                              <w:t>as applicable for the type of measure and</w:t>
                            </w:r>
                            <w:r w:rsidRPr="00890B62">
                              <w:rPr>
                                <w:i/>
                                <w:spacing w:val="-9"/>
                                <w:sz w:val="18"/>
                                <w:szCs w:val="18"/>
                              </w:rPr>
                              <w:t xml:space="preserve"> </w:t>
                            </w:r>
                            <w:r w:rsidRPr="00890B62">
                              <w:rPr>
                                <w:i/>
                                <w:sz w:val="18"/>
                                <w:szCs w:val="18"/>
                              </w:rPr>
                              <w:t>evidence.</w:t>
                            </w:r>
                          </w:p>
                          <w:p w14:paraId="13CBB260" w14:textId="77777777" w:rsidR="00F44A21" w:rsidRPr="00890B62" w:rsidRDefault="00FB19DA" w:rsidP="00C122E3">
                            <w:pPr>
                              <w:numPr>
                                <w:ilvl w:val="0"/>
                                <w:numId w:val="7"/>
                              </w:numPr>
                              <w:tabs>
                                <w:tab w:val="left" w:pos="463"/>
                                <w:tab w:val="left" w:pos="464"/>
                              </w:tabs>
                              <w:spacing w:after="45"/>
                              <w:ind w:left="504" w:hanging="360"/>
                              <w:rPr>
                                <w:i/>
                                <w:sz w:val="18"/>
                                <w:szCs w:val="18"/>
                              </w:rPr>
                            </w:pPr>
                            <w:r w:rsidRPr="00890B62">
                              <w:rPr>
                                <w:i/>
                                <w:sz w:val="18"/>
                                <w:szCs w:val="18"/>
                              </w:rPr>
                              <w:t>For composite performance measures:</w:t>
                            </w:r>
                          </w:p>
                          <w:p w14:paraId="0886CDEB" w14:textId="77777777" w:rsidR="00F44A21" w:rsidRPr="00890B62" w:rsidRDefault="00FB19DA" w:rsidP="00C122E3">
                            <w:pPr>
                              <w:numPr>
                                <w:ilvl w:val="1"/>
                                <w:numId w:val="7"/>
                              </w:numPr>
                              <w:tabs>
                                <w:tab w:val="left" w:pos="945"/>
                                <w:tab w:val="left" w:pos="946"/>
                              </w:tabs>
                              <w:spacing w:after="45"/>
                              <w:ind w:left="864" w:hanging="360"/>
                              <w:rPr>
                                <w:i/>
                                <w:sz w:val="18"/>
                                <w:szCs w:val="18"/>
                              </w:rPr>
                            </w:pPr>
                            <w:r w:rsidRPr="00890B62">
                              <w:rPr>
                                <w:i/>
                                <w:sz w:val="18"/>
                                <w:szCs w:val="18"/>
                              </w:rPr>
                              <w:t>A separate evidence form is required for each component measure unless several components were studied</w:t>
                            </w:r>
                            <w:r w:rsidRPr="00890B62">
                              <w:rPr>
                                <w:i/>
                                <w:spacing w:val="-2"/>
                                <w:sz w:val="18"/>
                                <w:szCs w:val="18"/>
                              </w:rPr>
                              <w:t xml:space="preserve"> </w:t>
                            </w:r>
                            <w:r w:rsidRPr="00890B62">
                              <w:rPr>
                                <w:i/>
                                <w:sz w:val="18"/>
                                <w:szCs w:val="18"/>
                              </w:rPr>
                              <w:t>together.</w:t>
                            </w:r>
                          </w:p>
                          <w:p w14:paraId="369656F6" w14:textId="77777777" w:rsidR="00F44A21" w:rsidRPr="00890B62" w:rsidRDefault="00FB19DA" w:rsidP="00C122E3">
                            <w:pPr>
                              <w:numPr>
                                <w:ilvl w:val="1"/>
                                <w:numId w:val="7"/>
                              </w:numPr>
                              <w:tabs>
                                <w:tab w:val="left" w:pos="945"/>
                                <w:tab w:val="left" w:pos="946"/>
                              </w:tabs>
                              <w:spacing w:after="45"/>
                              <w:ind w:left="864" w:hanging="360"/>
                              <w:rPr>
                                <w:i/>
                                <w:sz w:val="18"/>
                                <w:szCs w:val="18"/>
                              </w:rPr>
                            </w:pPr>
                            <w:r w:rsidRPr="00890B62">
                              <w:rPr>
                                <w:i/>
                                <w:sz w:val="18"/>
                                <w:szCs w:val="18"/>
                              </w:rPr>
                              <w:t>If a component measure is submitted as an individual performance measure, attach the evidence form to the individual measure</w:t>
                            </w:r>
                            <w:r w:rsidRPr="00890B62">
                              <w:rPr>
                                <w:i/>
                                <w:spacing w:val="-3"/>
                                <w:sz w:val="18"/>
                                <w:szCs w:val="18"/>
                              </w:rPr>
                              <w:t xml:space="preserve"> </w:t>
                            </w:r>
                            <w:r w:rsidRPr="00890B62">
                              <w:rPr>
                                <w:i/>
                                <w:sz w:val="18"/>
                                <w:szCs w:val="18"/>
                              </w:rPr>
                              <w:t>submission.</w:t>
                            </w:r>
                          </w:p>
                          <w:p w14:paraId="4092E3C0"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 xml:space="preserve">All information needed to demonstrate meeting the evidence </w:t>
                            </w:r>
                            <w:proofErr w:type="spellStart"/>
                            <w:r w:rsidRPr="00890B62">
                              <w:rPr>
                                <w:sz w:val="18"/>
                                <w:szCs w:val="18"/>
                              </w:rPr>
                              <w:t>subcriterion</w:t>
                            </w:r>
                            <w:proofErr w:type="spellEnd"/>
                            <w:r w:rsidRPr="00890B62">
                              <w:rPr>
                                <w:sz w:val="18"/>
                                <w:szCs w:val="18"/>
                              </w:rPr>
                              <w:t xml:space="preserve"> (1a) must be in this form. An appendix of </w:t>
                            </w:r>
                            <w:r w:rsidRPr="00890B62">
                              <w:rPr>
                                <w:i/>
                                <w:sz w:val="18"/>
                                <w:szCs w:val="18"/>
                              </w:rPr>
                              <w:t xml:space="preserve">supplemental </w:t>
                            </w:r>
                            <w:r w:rsidRPr="00890B62">
                              <w:rPr>
                                <w:sz w:val="18"/>
                                <w:szCs w:val="18"/>
                              </w:rPr>
                              <w:t>materials may be submitted, but there is no guarantee it will be</w:t>
                            </w:r>
                            <w:r w:rsidRPr="00890B62">
                              <w:rPr>
                                <w:spacing w:val="-27"/>
                                <w:sz w:val="18"/>
                                <w:szCs w:val="18"/>
                              </w:rPr>
                              <w:t xml:space="preserve"> </w:t>
                            </w:r>
                            <w:r w:rsidRPr="00890B62">
                              <w:rPr>
                                <w:sz w:val="18"/>
                                <w:szCs w:val="18"/>
                              </w:rPr>
                              <w:t>reviewed.</w:t>
                            </w:r>
                          </w:p>
                          <w:p w14:paraId="5E38020F"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If you are unable to check a box, please highlight or shade the box for your</w:t>
                            </w:r>
                            <w:r w:rsidRPr="00890B62">
                              <w:rPr>
                                <w:spacing w:val="-15"/>
                                <w:sz w:val="18"/>
                                <w:szCs w:val="18"/>
                              </w:rPr>
                              <w:t xml:space="preserve"> </w:t>
                            </w:r>
                            <w:r w:rsidRPr="00890B62">
                              <w:rPr>
                                <w:sz w:val="18"/>
                                <w:szCs w:val="18"/>
                              </w:rPr>
                              <w:t>response.</w:t>
                            </w:r>
                          </w:p>
                          <w:p w14:paraId="25B3D3F7"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Contact NQF staff regarding questions. Check for resources at</w:t>
                            </w:r>
                            <w:r w:rsidRPr="00890B62">
                              <w:rPr>
                                <w:color w:val="0000FF"/>
                                <w:sz w:val="18"/>
                                <w:szCs w:val="18"/>
                              </w:rPr>
                              <w:t xml:space="preserve"> </w:t>
                            </w:r>
                            <w:hyperlink r:id="rId11">
                              <w:r w:rsidRPr="00890B62">
                                <w:rPr>
                                  <w:color w:val="0000FF"/>
                                  <w:sz w:val="18"/>
                                  <w:szCs w:val="18"/>
                                  <w:u w:val="single" w:color="0000FF"/>
                                </w:rPr>
                                <w:t>Submitting Standards</w:t>
                              </w:r>
                              <w:r w:rsidRPr="00890B62">
                                <w:rPr>
                                  <w:color w:val="0000FF"/>
                                  <w:spacing w:val="-15"/>
                                  <w:sz w:val="18"/>
                                  <w:szCs w:val="18"/>
                                  <w:u w:val="single" w:color="0000FF"/>
                                </w:rPr>
                                <w:t xml:space="preserve"> </w:t>
                              </w:r>
                              <w:r w:rsidRPr="00890B62">
                                <w:rPr>
                                  <w:color w:val="0000FF"/>
                                  <w:sz w:val="18"/>
                                  <w:szCs w:val="18"/>
                                  <w:u w:val="single" w:color="0000FF"/>
                                </w:rPr>
                                <w:t>webpage</w:t>
                              </w:r>
                              <w:r w:rsidRPr="00890B62">
                                <w:rPr>
                                  <w:sz w:val="18"/>
                                  <w:szCs w:val="18"/>
                                </w:rPr>
                                <w:t>.</w:t>
                              </w:r>
                            </w:hyperlink>
                          </w:p>
                        </w:txbxContent>
                      </wps:txbx>
                      <wps:bodyPr rot="0" vert="horz" wrap="square" lIns="0" tIns="0" rIns="0" bIns="0" anchor="t" anchorCtr="0" upright="1">
                        <a:noAutofit/>
                      </wps:bodyPr>
                    </wps:wsp>
                  </a:graphicData>
                </a:graphic>
              </wp:inline>
            </w:drawing>
          </mc:Choice>
          <mc:Fallback>
            <w:pict>
              <v:shapetype w14:anchorId="2D96F92E" id="_x0000_t202" coordsize="21600,21600" o:spt="202" path="m,l,21600r21600,l21600,xe">
                <v:stroke joinstyle="miter"/>
                <v:path gradientshapeok="t" o:connecttype="rect"/>
              </v:shapetype>
              <v:shape id="Text Box 15" o:spid="_x0000_s1026" type="#_x0000_t202" style="width:540pt;height:15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" filled="f" strokeweight=".48pt">
                <v:textbox inset="0,0,0,0">
                  <w:txbxContent>
                    <w:p w14:paraId="23165617" w14:textId="77777777" w:rsidR="00F44A21" w:rsidRPr="00890B62" w:rsidRDefault="00FB19DA" w:rsidP="00C122E3">
                      <w:pPr>
                        <w:spacing w:after="45"/>
                        <w:ind w:left="144"/>
                        <w:rPr>
                          <w:b/>
                          <w:sz w:val="18"/>
                          <w:szCs w:val="18"/>
                        </w:rPr>
                      </w:pPr>
                      <w:r w:rsidRPr="00890B62">
                        <w:rPr>
                          <w:b/>
                          <w:sz w:val="18"/>
                          <w:szCs w:val="18"/>
                        </w:rPr>
                        <w:t>Instructions</w:t>
                      </w:r>
                    </w:p>
                    <w:p w14:paraId="2AF17837" w14:textId="77777777" w:rsidR="00F44A21" w:rsidRPr="00890B62" w:rsidRDefault="00FB19DA" w:rsidP="00C122E3">
                      <w:pPr>
                        <w:numPr>
                          <w:ilvl w:val="0"/>
                          <w:numId w:val="7"/>
                        </w:numPr>
                        <w:spacing w:after="45"/>
                        <w:ind w:left="504" w:hanging="360"/>
                        <w:rPr>
                          <w:i/>
                          <w:sz w:val="18"/>
                          <w:szCs w:val="18"/>
                        </w:rPr>
                      </w:pPr>
                      <w:r w:rsidRPr="00890B62">
                        <w:rPr>
                          <w:i/>
                          <w:sz w:val="18"/>
                          <w:szCs w:val="18"/>
                        </w:rPr>
                        <w:t>Complete 1a.1 and 1a.2 for all measures. If instrument-based measure, complete</w:t>
                      </w:r>
                      <w:r w:rsidRPr="00890B62">
                        <w:rPr>
                          <w:i/>
                          <w:spacing w:val="-13"/>
                          <w:sz w:val="18"/>
                          <w:szCs w:val="18"/>
                        </w:rPr>
                        <w:t xml:space="preserve"> </w:t>
                      </w:r>
                      <w:r w:rsidRPr="00890B62">
                        <w:rPr>
                          <w:i/>
                          <w:sz w:val="18"/>
                          <w:szCs w:val="18"/>
                        </w:rPr>
                        <w:t>1a.3.</w:t>
                      </w:r>
                    </w:p>
                    <w:p w14:paraId="0C9D90E1" w14:textId="77777777" w:rsidR="00F44A21" w:rsidRPr="00890B62" w:rsidRDefault="00FB19DA" w:rsidP="00C122E3">
                      <w:pPr>
                        <w:numPr>
                          <w:ilvl w:val="0"/>
                          <w:numId w:val="7"/>
                        </w:numPr>
                        <w:tabs>
                          <w:tab w:val="left" w:pos="463"/>
                          <w:tab w:val="left" w:pos="464"/>
                        </w:tabs>
                        <w:spacing w:after="45"/>
                        <w:ind w:left="504" w:hanging="360"/>
                        <w:rPr>
                          <w:i/>
                          <w:sz w:val="18"/>
                          <w:szCs w:val="18"/>
                        </w:rPr>
                      </w:pPr>
                      <w:r w:rsidRPr="00890B62">
                        <w:rPr>
                          <w:i/>
                          <w:sz w:val="18"/>
                          <w:szCs w:val="18"/>
                        </w:rPr>
                        <w:t xml:space="preserve">Complete </w:t>
                      </w:r>
                      <w:r w:rsidRPr="00890B62">
                        <w:rPr>
                          <w:b/>
                          <w:i/>
                          <w:sz w:val="18"/>
                          <w:szCs w:val="18"/>
                        </w:rPr>
                        <w:t xml:space="preserve">EITHER 1a.2, 1a.3 or 1a.4 </w:t>
                      </w:r>
                      <w:r w:rsidRPr="00890B62">
                        <w:rPr>
                          <w:i/>
                          <w:sz w:val="18"/>
                          <w:szCs w:val="18"/>
                        </w:rPr>
                        <w:t>as applicable for the type of measure and</w:t>
                      </w:r>
                      <w:r w:rsidRPr="00890B62">
                        <w:rPr>
                          <w:i/>
                          <w:spacing w:val="-9"/>
                          <w:sz w:val="18"/>
                          <w:szCs w:val="18"/>
                        </w:rPr>
                        <w:t xml:space="preserve"> </w:t>
                      </w:r>
                      <w:r w:rsidRPr="00890B62">
                        <w:rPr>
                          <w:i/>
                          <w:sz w:val="18"/>
                          <w:szCs w:val="18"/>
                        </w:rPr>
                        <w:t>evidence.</w:t>
                      </w:r>
                    </w:p>
                    <w:p w14:paraId="13CBB260" w14:textId="77777777" w:rsidR="00F44A21" w:rsidRPr="00890B62" w:rsidRDefault="00FB19DA" w:rsidP="00C122E3">
                      <w:pPr>
                        <w:numPr>
                          <w:ilvl w:val="0"/>
                          <w:numId w:val="7"/>
                        </w:numPr>
                        <w:tabs>
                          <w:tab w:val="left" w:pos="463"/>
                          <w:tab w:val="left" w:pos="464"/>
                        </w:tabs>
                        <w:spacing w:after="45"/>
                        <w:ind w:left="504" w:hanging="360"/>
                        <w:rPr>
                          <w:i/>
                          <w:sz w:val="18"/>
                          <w:szCs w:val="18"/>
                        </w:rPr>
                      </w:pPr>
                      <w:r w:rsidRPr="00890B62">
                        <w:rPr>
                          <w:i/>
                          <w:sz w:val="18"/>
                          <w:szCs w:val="18"/>
                        </w:rPr>
                        <w:t>For composite performance measures:</w:t>
                      </w:r>
                    </w:p>
                    <w:p w14:paraId="0886CDEB" w14:textId="77777777" w:rsidR="00F44A21" w:rsidRPr="00890B62" w:rsidRDefault="00FB19DA" w:rsidP="00C122E3">
                      <w:pPr>
                        <w:numPr>
                          <w:ilvl w:val="1"/>
                          <w:numId w:val="7"/>
                        </w:numPr>
                        <w:tabs>
                          <w:tab w:val="left" w:pos="945"/>
                          <w:tab w:val="left" w:pos="946"/>
                        </w:tabs>
                        <w:spacing w:after="45"/>
                        <w:ind w:left="864" w:hanging="360"/>
                        <w:rPr>
                          <w:i/>
                          <w:sz w:val="18"/>
                          <w:szCs w:val="18"/>
                        </w:rPr>
                      </w:pPr>
                      <w:r w:rsidRPr="00890B62">
                        <w:rPr>
                          <w:i/>
                          <w:sz w:val="18"/>
                          <w:szCs w:val="18"/>
                        </w:rPr>
                        <w:t>A separate evidence form is required for each component measure unless several components were studied</w:t>
                      </w:r>
                      <w:r w:rsidRPr="00890B62">
                        <w:rPr>
                          <w:i/>
                          <w:spacing w:val="-2"/>
                          <w:sz w:val="18"/>
                          <w:szCs w:val="18"/>
                        </w:rPr>
                        <w:t xml:space="preserve"> </w:t>
                      </w:r>
                      <w:r w:rsidRPr="00890B62">
                        <w:rPr>
                          <w:i/>
                          <w:sz w:val="18"/>
                          <w:szCs w:val="18"/>
                        </w:rPr>
                        <w:t>together.</w:t>
                      </w:r>
                    </w:p>
                    <w:p w14:paraId="369656F6" w14:textId="77777777" w:rsidR="00F44A21" w:rsidRPr="00890B62" w:rsidRDefault="00FB19DA" w:rsidP="00C122E3">
                      <w:pPr>
                        <w:numPr>
                          <w:ilvl w:val="1"/>
                          <w:numId w:val="7"/>
                        </w:numPr>
                        <w:tabs>
                          <w:tab w:val="left" w:pos="945"/>
                          <w:tab w:val="left" w:pos="946"/>
                        </w:tabs>
                        <w:spacing w:after="45"/>
                        <w:ind w:left="864" w:hanging="360"/>
                        <w:rPr>
                          <w:i/>
                          <w:sz w:val="18"/>
                          <w:szCs w:val="18"/>
                        </w:rPr>
                      </w:pPr>
                      <w:r w:rsidRPr="00890B62">
                        <w:rPr>
                          <w:i/>
                          <w:sz w:val="18"/>
                          <w:szCs w:val="18"/>
                        </w:rPr>
                        <w:t>If a component measure is submitted as an individual performance measure, attach the evidence form to the individual measure</w:t>
                      </w:r>
                      <w:r w:rsidRPr="00890B62">
                        <w:rPr>
                          <w:i/>
                          <w:spacing w:val="-3"/>
                          <w:sz w:val="18"/>
                          <w:szCs w:val="18"/>
                        </w:rPr>
                        <w:t xml:space="preserve"> </w:t>
                      </w:r>
                      <w:r w:rsidRPr="00890B62">
                        <w:rPr>
                          <w:i/>
                          <w:sz w:val="18"/>
                          <w:szCs w:val="18"/>
                        </w:rPr>
                        <w:t>submission.</w:t>
                      </w:r>
                    </w:p>
                    <w:p w14:paraId="4092E3C0"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 xml:space="preserve">All information needed to demonstrate meeting the evidence subcriterion (1a) must be in this form. An appendix of </w:t>
                      </w:r>
                      <w:r w:rsidRPr="00890B62">
                        <w:rPr>
                          <w:i/>
                          <w:sz w:val="18"/>
                          <w:szCs w:val="18"/>
                        </w:rPr>
                        <w:t xml:space="preserve">supplemental </w:t>
                      </w:r>
                      <w:r w:rsidRPr="00890B62">
                        <w:rPr>
                          <w:sz w:val="18"/>
                          <w:szCs w:val="18"/>
                        </w:rPr>
                        <w:t>materials may be submitted, but there is no guarantee it will be</w:t>
                      </w:r>
                      <w:r w:rsidRPr="00890B62">
                        <w:rPr>
                          <w:spacing w:val="-27"/>
                          <w:sz w:val="18"/>
                          <w:szCs w:val="18"/>
                        </w:rPr>
                        <w:t xml:space="preserve"> </w:t>
                      </w:r>
                      <w:r w:rsidRPr="00890B62">
                        <w:rPr>
                          <w:sz w:val="18"/>
                          <w:szCs w:val="18"/>
                        </w:rPr>
                        <w:t>reviewed.</w:t>
                      </w:r>
                    </w:p>
                    <w:p w14:paraId="5E38020F"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If you are unable to check a box, please highlight or shade the box for your</w:t>
                      </w:r>
                      <w:r w:rsidRPr="00890B62">
                        <w:rPr>
                          <w:spacing w:val="-15"/>
                          <w:sz w:val="18"/>
                          <w:szCs w:val="18"/>
                        </w:rPr>
                        <w:t xml:space="preserve"> </w:t>
                      </w:r>
                      <w:r w:rsidRPr="00890B62">
                        <w:rPr>
                          <w:sz w:val="18"/>
                          <w:szCs w:val="18"/>
                        </w:rPr>
                        <w:t>response.</w:t>
                      </w:r>
                    </w:p>
                    <w:p w14:paraId="25B3D3F7" w14:textId="77777777" w:rsidR="00F44A21" w:rsidRPr="00890B62" w:rsidRDefault="00FB19DA" w:rsidP="00C122E3">
                      <w:pPr>
                        <w:numPr>
                          <w:ilvl w:val="0"/>
                          <w:numId w:val="7"/>
                        </w:numPr>
                        <w:tabs>
                          <w:tab w:val="left" w:pos="463"/>
                          <w:tab w:val="left" w:pos="464"/>
                        </w:tabs>
                        <w:spacing w:after="45"/>
                        <w:ind w:left="504" w:hanging="360"/>
                        <w:rPr>
                          <w:sz w:val="18"/>
                          <w:szCs w:val="18"/>
                        </w:rPr>
                      </w:pPr>
                      <w:r w:rsidRPr="00890B62">
                        <w:rPr>
                          <w:sz w:val="18"/>
                          <w:szCs w:val="18"/>
                        </w:rPr>
                        <w:t>Contact NQF staff regarding questions. Check for resources at</w:t>
                      </w:r>
                      <w:r w:rsidRPr="00890B62">
                        <w:rPr>
                          <w:color w:val="0000FF"/>
                          <w:sz w:val="18"/>
                          <w:szCs w:val="18"/>
                        </w:rPr>
                        <w:t xml:space="preserve"> </w:t>
                      </w:r>
                      <w:hyperlink r:id="rId12">
                        <w:r w:rsidRPr="00890B62">
                          <w:rPr>
                            <w:color w:val="0000FF"/>
                            <w:sz w:val="18"/>
                            <w:szCs w:val="18"/>
                            <w:u w:val="single" w:color="0000FF"/>
                          </w:rPr>
                          <w:t>Submitting Standards</w:t>
                        </w:r>
                        <w:r w:rsidRPr="00890B62">
                          <w:rPr>
                            <w:color w:val="0000FF"/>
                            <w:spacing w:val="-15"/>
                            <w:sz w:val="18"/>
                            <w:szCs w:val="18"/>
                            <w:u w:val="single" w:color="0000FF"/>
                          </w:rPr>
                          <w:t xml:space="preserve"> </w:t>
                        </w:r>
                        <w:r w:rsidRPr="00890B62">
                          <w:rPr>
                            <w:color w:val="0000FF"/>
                            <w:sz w:val="18"/>
                            <w:szCs w:val="18"/>
                            <w:u w:val="single" w:color="0000FF"/>
                          </w:rPr>
                          <w:t>webpage</w:t>
                        </w:r>
                        <w:r w:rsidRPr="00890B62">
                          <w:rPr>
                            <w:sz w:val="18"/>
                            <w:szCs w:val="18"/>
                          </w:rPr>
                          <w:t>.</w:t>
                        </w:r>
                      </w:hyperlink>
                    </w:p>
                  </w:txbxContent>
                </v:textbox>
                <w10:anchorlock/>
              </v:shape>
            </w:pict>
          </mc:Fallback>
        </mc:AlternateContent>
      </w:r>
    </w:p>
    <w:p w14:paraId="248112D7" w14:textId="3FD28DA8" w:rsidR="00CF5137" w:rsidRDefault="00A54141" w:rsidP="00890B62">
      <w:pPr>
        <w:rPr>
          <w:b/>
        </w:rPr>
      </w:pPr>
      <w:r>
        <w:rPr>
          <w:noProof/>
          <w:lang w:bidi="ar-SA"/>
        </w:rPr>
        <mc:AlternateContent>
          <mc:Choice Requires="wps">
            <w:drawing>
              <wp:inline distT="0" distB="0" distL="0" distR="0" wp14:anchorId="40D44514" wp14:editId="6728F2F1">
                <wp:extent cx="6858000" cy="4457700"/>
                <wp:effectExtent l="0" t="0" r="19050" b="1905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445770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392EE8" w14:textId="02520C5B" w:rsidR="00A54141" w:rsidRPr="00780EA0" w:rsidRDefault="00890B62" w:rsidP="00C122E3">
                            <w:pPr>
                              <w:spacing w:after="45"/>
                              <w:ind w:left="144"/>
                              <w:rPr>
                                <w:sz w:val="18"/>
                                <w:szCs w:val="18"/>
                              </w:rPr>
                            </w:pPr>
                            <w:r>
                              <w:rPr>
                                <w:b/>
                                <w:i/>
                                <w:sz w:val="18"/>
                                <w:szCs w:val="18"/>
                              </w:rPr>
                              <w:t>N</w:t>
                            </w:r>
                            <w:r w:rsidR="00A54141" w:rsidRPr="00890B62">
                              <w:rPr>
                                <w:b/>
                                <w:i/>
                                <w:sz w:val="18"/>
                                <w:szCs w:val="18"/>
                              </w:rPr>
                              <w:t>ote:</w:t>
                            </w:r>
                            <w:r w:rsidR="00A54141" w:rsidRPr="00780EA0">
                              <w:rPr>
                                <w:sz w:val="18"/>
                                <w:szCs w:val="18"/>
                              </w:rPr>
                              <w:t xml:space="preserve"> </w:t>
                            </w:r>
                            <w:r w:rsidR="00A54141" w:rsidRPr="00890B62">
                              <w:rPr>
                                <w:b/>
                                <w:sz w:val="18"/>
                                <w:szCs w:val="18"/>
                              </w:rPr>
                              <w:t>The information provided in this form is intended to aid the Standing Committee and other stakeholders in understanding to what degree the evidence for this measure meets NQF’s evaluation criteria.</w:t>
                            </w:r>
                          </w:p>
                          <w:p w14:paraId="1814E44E" w14:textId="77777777" w:rsidR="00A54141" w:rsidRPr="00890B62" w:rsidRDefault="00A54141" w:rsidP="00C122E3">
                            <w:pPr>
                              <w:spacing w:after="45"/>
                              <w:ind w:left="504" w:hanging="360"/>
                              <w:rPr>
                                <w:b/>
                                <w:sz w:val="18"/>
                                <w:szCs w:val="18"/>
                              </w:rPr>
                            </w:pPr>
                            <w:r w:rsidRPr="00890B62">
                              <w:rPr>
                                <w:b/>
                                <w:sz w:val="18"/>
                                <w:szCs w:val="18"/>
                              </w:rPr>
                              <w:t>1a. Evidence to Support the Measure Focus</w:t>
                            </w:r>
                          </w:p>
                          <w:p w14:paraId="7487381C" w14:textId="77777777" w:rsidR="00A54141" w:rsidRPr="00780EA0" w:rsidRDefault="00A54141" w:rsidP="00C122E3">
                            <w:pPr>
                              <w:spacing w:after="45"/>
                              <w:ind w:left="504" w:hanging="360"/>
                              <w:rPr>
                                <w:sz w:val="18"/>
                                <w:szCs w:val="18"/>
                              </w:rPr>
                            </w:pPr>
                            <w:r w:rsidRPr="00780EA0">
                              <w:rPr>
                                <w:sz w:val="18"/>
                                <w:szCs w:val="18"/>
                              </w:rPr>
                              <w:t>The measure focus is evidence-based, demonstrated as follows:</w:t>
                            </w:r>
                          </w:p>
                          <w:p w14:paraId="028077B9" w14:textId="4DCBBEB8" w:rsidR="00A54141" w:rsidRPr="00DF2A7D" w:rsidRDefault="00A54141" w:rsidP="00C122E3">
                            <w:pPr>
                              <w:pStyle w:val="ListParagraph"/>
                              <w:numPr>
                                <w:ilvl w:val="0"/>
                                <w:numId w:val="15"/>
                              </w:numPr>
                              <w:spacing w:after="45"/>
                              <w:rPr>
                                <w:sz w:val="18"/>
                                <w:szCs w:val="18"/>
                              </w:rPr>
                            </w:pPr>
                            <w:r w:rsidRPr="00DF2A7D">
                              <w:rPr>
                                <w:i/>
                                <w:sz w:val="18"/>
                                <w:szCs w:val="18"/>
                              </w:rPr>
                              <w:t>Outcome:</w:t>
                            </w:r>
                            <w:r w:rsidRPr="00DF2A7D">
                              <w:rPr>
                                <w:sz w:val="18"/>
                                <w:szCs w:val="18"/>
                              </w:rPr>
                              <w:t xml:space="preserve"> 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w:t>
                            </w:r>
                          </w:p>
                          <w:p w14:paraId="157D96E7" w14:textId="32F98A04" w:rsidR="00A54141" w:rsidRPr="00DF2A7D" w:rsidRDefault="00A54141" w:rsidP="00C122E3">
                            <w:pPr>
                              <w:pStyle w:val="ListParagraph"/>
                              <w:numPr>
                                <w:ilvl w:val="0"/>
                                <w:numId w:val="15"/>
                              </w:numPr>
                              <w:spacing w:after="45"/>
                              <w:rPr>
                                <w:sz w:val="18"/>
                                <w:szCs w:val="18"/>
                              </w:rPr>
                            </w:pPr>
                            <w:r w:rsidRPr="00DF2A7D">
                              <w:rPr>
                                <w:i/>
                                <w:sz w:val="18"/>
                                <w:szCs w:val="18"/>
                              </w:rPr>
                              <w:t>Intermediate clinical outcome:</w:t>
                            </w:r>
                            <w:r w:rsidRPr="00DF2A7D">
                              <w:rPr>
                                <w:sz w:val="18"/>
                                <w:szCs w:val="18"/>
                              </w:rPr>
                              <w:t xml:space="preserve"> a systematic assessment and grading of the quantity, quality, and consistency of the body of evidence 4 that the measured intermediate clinical outcome leads to a desired health outcome.</w:t>
                            </w:r>
                          </w:p>
                          <w:p w14:paraId="0E12D339" w14:textId="4C2CF683" w:rsidR="00A54141" w:rsidRPr="00DF2A7D" w:rsidRDefault="00DF2A7D" w:rsidP="00C122E3">
                            <w:pPr>
                              <w:pStyle w:val="ListParagraph"/>
                              <w:numPr>
                                <w:ilvl w:val="0"/>
                                <w:numId w:val="15"/>
                              </w:numPr>
                              <w:spacing w:after="45"/>
                              <w:rPr>
                                <w:sz w:val="18"/>
                                <w:szCs w:val="18"/>
                              </w:rPr>
                            </w:pPr>
                            <w:r w:rsidRPr="00DF2A7D">
                              <w:rPr>
                                <w:i/>
                                <w:sz w:val="18"/>
                                <w:szCs w:val="18"/>
                              </w:rPr>
                              <w:t>Process:</w:t>
                            </w:r>
                            <w:r w:rsidR="00A54141" w:rsidRPr="00DF2A7D">
                              <w:rPr>
                                <w:sz w:val="18"/>
                                <w:szCs w:val="18"/>
                              </w:rPr>
                              <w:t xml:space="preserve"> a systematic assessment and grading of the quantity, quality, and consi</w:t>
                            </w:r>
                            <w:r>
                              <w:rPr>
                                <w:sz w:val="18"/>
                                <w:szCs w:val="18"/>
                              </w:rPr>
                              <w:t>stency of the body of evidence</w:t>
                            </w:r>
                            <w:r w:rsidR="00A54141" w:rsidRPr="00DF2A7D">
                              <w:rPr>
                                <w:sz w:val="18"/>
                                <w:szCs w:val="18"/>
                              </w:rPr>
                              <w:t xml:space="preserve"> that the measured process leads to a desired health outcome.</w:t>
                            </w:r>
                          </w:p>
                          <w:p w14:paraId="033DD7C6" w14:textId="545BF405" w:rsidR="00A54141" w:rsidRPr="00DF2A7D" w:rsidRDefault="00A54141" w:rsidP="00C122E3">
                            <w:pPr>
                              <w:pStyle w:val="ListParagraph"/>
                              <w:numPr>
                                <w:ilvl w:val="0"/>
                                <w:numId w:val="15"/>
                              </w:numPr>
                              <w:spacing w:after="45"/>
                              <w:rPr>
                                <w:sz w:val="18"/>
                                <w:szCs w:val="18"/>
                              </w:rPr>
                            </w:pPr>
                            <w:r w:rsidRPr="00DF2A7D">
                              <w:rPr>
                                <w:i/>
                                <w:sz w:val="18"/>
                                <w:szCs w:val="18"/>
                              </w:rPr>
                              <w:t>Structure:</w:t>
                            </w:r>
                            <w:r w:rsidRPr="00DF2A7D">
                              <w:rPr>
                                <w:sz w:val="18"/>
                                <w:szCs w:val="18"/>
                              </w:rPr>
                              <w:t xml:space="preserve"> a systematic assessment and grading of the quantity, quality, and consi</w:t>
                            </w:r>
                            <w:r w:rsidR="00DF2A7D">
                              <w:rPr>
                                <w:sz w:val="18"/>
                                <w:szCs w:val="18"/>
                              </w:rPr>
                              <w:t>stency of the body of evidence</w:t>
                            </w:r>
                            <w:r w:rsidRPr="00DF2A7D">
                              <w:rPr>
                                <w:sz w:val="18"/>
                                <w:szCs w:val="18"/>
                              </w:rPr>
                              <w:t xml:space="preserve"> that the measured structure leads to a desired health outcome.</w:t>
                            </w:r>
                          </w:p>
                          <w:p w14:paraId="768B84E4" w14:textId="1E48B189" w:rsidR="00A54141" w:rsidRPr="00DF2A7D" w:rsidRDefault="00A54141" w:rsidP="00C122E3">
                            <w:pPr>
                              <w:pStyle w:val="ListParagraph"/>
                              <w:numPr>
                                <w:ilvl w:val="0"/>
                                <w:numId w:val="15"/>
                              </w:numPr>
                              <w:spacing w:after="45"/>
                              <w:rPr>
                                <w:sz w:val="18"/>
                                <w:szCs w:val="18"/>
                              </w:rPr>
                            </w:pPr>
                            <w:r w:rsidRPr="00DF2A7D">
                              <w:rPr>
                                <w:i/>
                                <w:sz w:val="18"/>
                                <w:szCs w:val="18"/>
                              </w:rPr>
                              <w:t>Efficiency:</w:t>
                            </w:r>
                            <w:r w:rsidRPr="00DF2A7D">
                              <w:rPr>
                                <w:sz w:val="18"/>
                                <w:szCs w:val="18"/>
                              </w:rPr>
                              <w:t xml:space="preserve"> evidence not required for the resource use component.</w:t>
                            </w:r>
                          </w:p>
                          <w:p w14:paraId="61762759" w14:textId="0184A952" w:rsidR="00A54141" w:rsidRPr="00DF2A7D" w:rsidRDefault="00A54141" w:rsidP="00C122E3">
                            <w:pPr>
                              <w:pStyle w:val="ListParagraph"/>
                              <w:numPr>
                                <w:ilvl w:val="1"/>
                                <w:numId w:val="15"/>
                              </w:numPr>
                              <w:spacing w:after="45"/>
                              <w:ind w:left="864"/>
                              <w:rPr>
                                <w:sz w:val="18"/>
                                <w:szCs w:val="18"/>
                              </w:rPr>
                            </w:pPr>
                            <w:r w:rsidRPr="00DF2A7D">
                              <w:rPr>
                                <w:sz w:val="18"/>
                                <w:szCs w:val="18"/>
                              </w:rPr>
                              <w:t>For measures derived from patient reports, evidence should demonstrate that the target population values the measured outcome, process, or structure and finds it meaningful.</w:t>
                            </w:r>
                          </w:p>
                          <w:p w14:paraId="0CD0704E" w14:textId="0B74D5E5" w:rsidR="00A54141" w:rsidRPr="00DF2A7D" w:rsidRDefault="00A54141" w:rsidP="00C122E3">
                            <w:pPr>
                              <w:pStyle w:val="ListParagraph"/>
                              <w:numPr>
                                <w:ilvl w:val="0"/>
                                <w:numId w:val="15"/>
                              </w:numPr>
                              <w:spacing w:after="90"/>
                              <w:rPr>
                                <w:sz w:val="18"/>
                                <w:szCs w:val="18"/>
                              </w:rPr>
                            </w:pPr>
                            <w:r w:rsidRPr="00DF2A7D">
                              <w:rPr>
                                <w:i/>
                                <w:sz w:val="18"/>
                                <w:szCs w:val="18"/>
                              </w:rPr>
                              <w:t>Process measures incorporating Appropriate Use Criteria:</w:t>
                            </w:r>
                            <w:r w:rsidRPr="00DF2A7D">
                              <w:rPr>
                                <w:sz w:val="18"/>
                                <w:szCs w:val="18"/>
                              </w:rPr>
                              <w:t xml:space="preserve"> See NQF’s guidance for evidence for measures, in general; guidance for measures specifically based on clinical practice guidelines apply as well.</w:t>
                            </w:r>
                          </w:p>
                          <w:p w14:paraId="14204397" w14:textId="77777777" w:rsidR="00A54141" w:rsidRPr="00DF2A7D" w:rsidRDefault="00A54141" w:rsidP="00C122E3">
                            <w:pPr>
                              <w:spacing w:after="45"/>
                              <w:ind w:left="504" w:hanging="360"/>
                              <w:rPr>
                                <w:b/>
                                <w:sz w:val="18"/>
                                <w:szCs w:val="18"/>
                              </w:rPr>
                            </w:pPr>
                            <w:r w:rsidRPr="00DF2A7D">
                              <w:rPr>
                                <w:b/>
                                <w:sz w:val="18"/>
                                <w:szCs w:val="18"/>
                              </w:rPr>
                              <w:t>Notes</w:t>
                            </w:r>
                          </w:p>
                          <w:p w14:paraId="34CDBCA4" w14:textId="570E39AD" w:rsidR="00A54141" w:rsidRPr="00AA6EE5" w:rsidRDefault="00A54141" w:rsidP="00C122E3">
                            <w:pPr>
                              <w:pStyle w:val="ListParagraph"/>
                              <w:numPr>
                                <w:ilvl w:val="0"/>
                                <w:numId w:val="16"/>
                              </w:numPr>
                              <w:spacing w:after="45"/>
                              <w:ind w:left="504"/>
                              <w:rPr>
                                <w:sz w:val="18"/>
                                <w:szCs w:val="18"/>
                              </w:rPr>
                            </w:pPr>
                            <w:r w:rsidRPr="00AA6EE5">
                              <w:rPr>
                                <w:sz w:val="18"/>
                                <w:szCs w:val="18"/>
                              </w:rPr>
                              <w:t>Generally, rare event outcomes do not provide adequate information for improvement or discrimination; however, serious reportable events that are compared to zero are appropriate outcomes for public reporting and quality improvement.</w:t>
                            </w:r>
                          </w:p>
                          <w:p w14:paraId="53CAAFAD" w14:textId="480E81A3" w:rsidR="00A54141" w:rsidRPr="00AA6EE5" w:rsidRDefault="00A54141" w:rsidP="00C122E3">
                            <w:pPr>
                              <w:pStyle w:val="ListParagraph"/>
                              <w:numPr>
                                <w:ilvl w:val="0"/>
                                <w:numId w:val="16"/>
                              </w:numPr>
                              <w:ind w:left="504"/>
                              <w:rPr>
                                <w:sz w:val="18"/>
                                <w:szCs w:val="18"/>
                              </w:rPr>
                            </w:pPr>
                            <w:r w:rsidRPr="00AA6EE5">
                              <w:rPr>
                                <w:sz w:val="18"/>
                                <w:szCs w:val="18"/>
                              </w:rPr>
                              <w:t>The preferred systems for grading the evidence are the Grading of Recommendations, Assessment, Development and Evaluation (GRADE) guidelines and/or modified GRADE.</w:t>
                            </w:r>
                          </w:p>
                          <w:p w14:paraId="21C2605C" w14:textId="77777777" w:rsidR="00A54141" w:rsidRPr="00780EA0" w:rsidRDefault="00A54141" w:rsidP="00C122E3">
                            <w:pPr>
                              <w:spacing w:after="45"/>
                              <w:ind w:left="504"/>
                              <w:rPr>
                                <w:sz w:val="18"/>
                                <w:szCs w:val="18"/>
                              </w:rPr>
                            </w:pPr>
                            <w:r w:rsidRPr="00780EA0">
                              <w:rPr>
                                <w:sz w:val="18"/>
                                <w:szCs w:val="18"/>
                              </w:rPr>
                              <w:t xml:space="preserve">Clinical care processes typically include multiple steps: assess </w:t>
                            </w:r>
                            <w:r w:rsidRPr="00780EA0">
                              <w:rPr>
                                <w:sz w:val="18"/>
                                <w:szCs w:val="18"/>
                              </w:rPr>
                              <w:t xml:space="preserve"> identify problem/potential problem </w:t>
                            </w:r>
                            <w:r w:rsidRPr="00780EA0">
                              <w:rPr>
                                <w:sz w:val="18"/>
                                <w:szCs w:val="18"/>
                              </w:rPr>
                              <w:t xml:space="preserve"> choose/plan intervention (with patient input) </w:t>
                            </w:r>
                            <w:r w:rsidRPr="00780EA0">
                              <w:rPr>
                                <w:sz w:val="18"/>
                                <w:szCs w:val="18"/>
                              </w:rPr>
                              <w:t xml:space="preserve"> provide intervention </w:t>
                            </w:r>
                            <w:r w:rsidRPr="00780EA0">
                              <w:rPr>
                                <w:sz w:val="18"/>
                                <w:szCs w:val="18"/>
                              </w:rPr>
                              <w:t>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7994E83" w14:textId="78495125" w:rsidR="00A54141" w:rsidRPr="00AA6EE5" w:rsidRDefault="00A54141" w:rsidP="00C122E3">
                            <w:pPr>
                              <w:pStyle w:val="ListParagraph"/>
                              <w:numPr>
                                <w:ilvl w:val="0"/>
                                <w:numId w:val="17"/>
                              </w:numPr>
                              <w:spacing w:after="45"/>
                              <w:ind w:left="504"/>
                              <w:rPr>
                                <w:sz w:val="18"/>
                                <w:szCs w:val="18"/>
                              </w:rPr>
                            </w:pPr>
                            <w:r w:rsidRPr="00AA6EE5">
                              <w:rPr>
                                <w:sz w:val="18"/>
                                <w:szCs w:val="18"/>
                              </w:rPr>
                              <w:t>Measures of efficiency combine the concepts of resource use and quality (see NQF’s Measurement Framework: Evaluating Efficiency Across Episodes of Care; AQA Principles of Efficiency Measures).</w:t>
                            </w:r>
                          </w:p>
                        </w:txbxContent>
                      </wps:txbx>
                      <wps:bodyPr rot="0" vert="horz" wrap="square" lIns="0" tIns="0" rIns="0" bIns="0" anchor="t" anchorCtr="0" upright="1">
                        <a:noAutofit/>
                      </wps:bodyPr>
                    </wps:wsp>
                  </a:graphicData>
                </a:graphic>
              </wp:inline>
            </w:drawing>
          </mc:Choice>
          <mc:Fallback>
            <w:pict>
              <v:shape w14:anchorId="40D44514" id="Text Box 40" o:spid="_x0000_s1027" type="#_x0000_t202" style="width:540pt;height:3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" filled="f" strokeweight=".48pt">
                <v:textbox inset="0,0,0,0">
                  <w:txbxContent>
                    <w:p w14:paraId="1F392EE8" w14:textId="02520C5B" w:rsidR="00A54141" w:rsidRPr="00780EA0" w:rsidRDefault="00890B62" w:rsidP="00C122E3">
                      <w:pPr>
                        <w:spacing w:after="45"/>
                        <w:ind w:left="144"/>
                        <w:rPr>
                          <w:sz w:val="18"/>
                          <w:szCs w:val="18"/>
                        </w:rPr>
                      </w:pPr>
                      <w:r>
                        <w:rPr>
                          <w:b/>
                          <w:i/>
                          <w:sz w:val="18"/>
                          <w:szCs w:val="18"/>
                        </w:rPr>
                        <w:t>N</w:t>
                      </w:r>
                      <w:r w:rsidR="00A54141" w:rsidRPr="00890B62">
                        <w:rPr>
                          <w:b/>
                          <w:i/>
                          <w:sz w:val="18"/>
                          <w:szCs w:val="18"/>
                        </w:rPr>
                        <w:t>ote:</w:t>
                      </w:r>
                      <w:r w:rsidR="00A54141" w:rsidRPr="00780EA0">
                        <w:rPr>
                          <w:sz w:val="18"/>
                          <w:szCs w:val="18"/>
                        </w:rPr>
                        <w:t xml:space="preserve"> </w:t>
                      </w:r>
                      <w:r w:rsidR="00A54141" w:rsidRPr="00890B62">
                        <w:rPr>
                          <w:b/>
                          <w:sz w:val="18"/>
                          <w:szCs w:val="18"/>
                        </w:rPr>
                        <w:t>The information provided in this form is intended to aid the Standing Committee and other stakeholders in understanding to what degree the evidence for this measure meets NQF’s evaluation criteria.</w:t>
                      </w:r>
                    </w:p>
                    <w:p w14:paraId="1814E44E" w14:textId="77777777" w:rsidR="00A54141" w:rsidRPr="00890B62" w:rsidRDefault="00A54141" w:rsidP="00C122E3">
                      <w:pPr>
                        <w:spacing w:after="45"/>
                        <w:ind w:left="504" w:hanging="360"/>
                        <w:rPr>
                          <w:b/>
                          <w:sz w:val="18"/>
                          <w:szCs w:val="18"/>
                        </w:rPr>
                      </w:pPr>
                      <w:r w:rsidRPr="00890B62">
                        <w:rPr>
                          <w:b/>
                          <w:sz w:val="18"/>
                          <w:szCs w:val="18"/>
                        </w:rPr>
                        <w:t>1a. Evidence to Support the Measure Focus</w:t>
                      </w:r>
                    </w:p>
                    <w:p w14:paraId="7487381C" w14:textId="77777777" w:rsidR="00A54141" w:rsidRPr="00780EA0" w:rsidRDefault="00A54141" w:rsidP="00C122E3">
                      <w:pPr>
                        <w:spacing w:after="45"/>
                        <w:ind w:left="504" w:hanging="360"/>
                        <w:rPr>
                          <w:sz w:val="18"/>
                          <w:szCs w:val="18"/>
                        </w:rPr>
                      </w:pPr>
                      <w:r w:rsidRPr="00780EA0">
                        <w:rPr>
                          <w:sz w:val="18"/>
                          <w:szCs w:val="18"/>
                        </w:rPr>
                        <w:t>The measure focus is evidence-based, demonstrated as follows:</w:t>
                      </w:r>
                    </w:p>
                    <w:p w14:paraId="028077B9" w14:textId="4DCBBEB8" w:rsidR="00A54141" w:rsidRPr="00DF2A7D" w:rsidRDefault="00A54141" w:rsidP="00C122E3">
                      <w:pPr>
                        <w:pStyle w:val="ListParagraph"/>
                        <w:numPr>
                          <w:ilvl w:val="0"/>
                          <w:numId w:val="15"/>
                        </w:numPr>
                        <w:spacing w:after="45"/>
                        <w:rPr>
                          <w:sz w:val="18"/>
                          <w:szCs w:val="18"/>
                        </w:rPr>
                      </w:pPr>
                      <w:r w:rsidRPr="00DF2A7D">
                        <w:rPr>
                          <w:i/>
                          <w:sz w:val="18"/>
                          <w:szCs w:val="18"/>
                        </w:rPr>
                        <w:t>Outcome:</w:t>
                      </w:r>
                      <w:r w:rsidRPr="00DF2A7D">
                        <w:rPr>
                          <w:sz w:val="18"/>
                          <w:szCs w:val="18"/>
                        </w:rPr>
                        <w:t xml:space="preserve"> 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w:t>
                      </w:r>
                    </w:p>
                    <w:p w14:paraId="157D96E7" w14:textId="32F98A04" w:rsidR="00A54141" w:rsidRPr="00DF2A7D" w:rsidRDefault="00A54141" w:rsidP="00C122E3">
                      <w:pPr>
                        <w:pStyle w:val="ListParagraph"/>
                        <w:numPr>
                          <w:ilvl w:val="0"/>
                          <w:numId w:val="15"/>
                        </w:numPr>
                        <w:spacing w:after="45"/>
                        <w:rPr>
                          <w:sz w:val="18"/>
                          <w:szCs w:val="18"/>
                        </w:rPr>
                      </w:pPr>
                      <w:r w:rsidRPr="00DF2A7D">
                        <w:rPr>
                          <w:i/>
                          <w:sz w:val="18"/>
                          <w:szCs w:val="18"/>
                        </w:rPr>
                        <w:t>Intermediate clinical outcome:</w:t>
                      </w:r>
                      <w:r w:rsidRPr="00DF2A7D">
                        <w:rPr>
                          <w:sz w:val="18"/>
                          <w:szCs w:val="18"/>
                        </w:rPr>
                        <w:t xml:space="preserve"> a systematic assessment and grading of the quantity, quality, and consistency of the body of evidence 4 that the measured intermediate clinical outcome leads to a desired health outcome.</w:t>
                      </w:r>
                    </w:p>
                    <w:p w14:paraId="0E12D339" w14:textId="4C2CF683" w:rsidR="00A54141" w:rsidRPr="00DF2A7D" w:rsidRDefault="00DF2A7D" w:rsidP="00C122E3">
                      <w:pPr>
                        <w:pStyle w:val="ListParagraph"/>
                        <w:numPr>
                          <w:ilvl w:val="0"/>
                          <w:numId w:val="15"/>
                        </w:numPr>
                        <w:spacing w:after="45"/>
                        <w:rPr>
                          <w:sz w:val="18"/>
                          <w:szCs w:val="18"/>
                        </w:rPr>
                      </w:pPr>
                      <w:r w:rsidRPr="00DF2A7D">
                        <w:rPr>
                          <w:i/>
                          <w:sz w:val="18"/>
                          <w:szCs w:val="18"/>
                        </w:rPr>
                        <w:t>Process:</w:t>
                      </w:r>
                      <w:r w:rsidR="00A54141" w:rsidRPr="00DF2A7D">
                        <w:rPr>
                          <w:sz w:val="18"/>
                          <w:szCs w:val="18"/>
                        </w:rPr>
                        <w:t xml:space="preserve"> a systematic assessment and grading of the quantity, quality, and consi</w:t>
                      </w:r>
                      <w:r>
                        <w:rPr>
                          <w:sz w:val="18"/>
                          <w:szCs w:val="18"/>
                        </w:rPr>
                        <w:t>stency of the body of evidence</w:t>
                      </w:r>
                      <w:r w:rsidR="00A54141" w:rsidRPr="00DF2A7D">
                        <w:rPr>
                          <w:sz w:val="18"/>
                          <w:szCs w:val="18"/>
                        </w:rPr>
                        <w:t xml:space="preserve"> that the measured process leads to a desired health outcome.</w:t>
                      </w:r>
                    </w:p>
                    <w:p w14:paraId="033DD7C6" w14:textId="545BF405" w:rsidR="00A54141" w:rsidRPr="00DF2A7D" w:rsidRDefault="00A54141" w:rsidP="00C122E3">
                      <w:pPr>
                        <w:pStyle w:val="ListParagraph"/>
                        <w:numPr>
                          <w:ilvl w:val="0"/>
                          <w:numId w:val="15"/>
                        </w:numPr>
                        <w:spacing w:after="45"/>
                        <w:rPr>
                          <w:sz w:val="18"/>
                          <w:szCs w:val="18"/>
                        </w:rPr>
                      </w:pPr>
                      <w:r w:rsidRPr="00DF2A7D">
                        <w:rPr>
                          <w:i/>
                          <w:sz w:val="18"/>
                          <w:szCs w:val="18"/>
                        </w:rPr>
                        <w:t>Structure:</w:t>
                      </w:r>
                      <w:r w:rsidRPr="00DF2A7D">
                        <w:rPr>
                          <w:sz w:val="18"/>
                          <w:szCs w:val="18"/>
                        </w:rPr>
                        <w:t xml:space="preserve"> a systematic assessment and grading of the quantity, quality, and consi</w:t>
                      </w:r>
                      <w:r w:rsidR="00DF2A7D">
                        <w:rPr>
                          <w:sz w:val="18"/>
                          <w:szCs w:val="18"/>
                        </w:rPr>
                        <w:t>stency of the body of evidence</w:t>
                      </w:r>
                      <w:r w:rsidRPr="00DF2A7D">
                        <w:rPr>
                          <w:sz w:val="18"/>
                          <w:szCs w:val="18"/>
                        </w:rPr>
                        <w:t xml:space="preserve"> that the measured structure leads to a desired health outcome.</w:t>
                      </w:r>
                    </w:p>
                    <w:p w14:paraId="768B84E4" w14:textId="1E48B189" w:rsidR="00A54141" w:rsidRPr="00DF2A7D" w:rsidRDefault="00A54141" w:rsidP="00C122E3">
                      <w:pPr>
                        <w:pStyle w:val="ListParagraph"/>
                        <w:numPr>
                          <w:ilvl w:val="0"/>
                          <w:numId w:val="15"/>
                        </w:numPr>
                        <w:spacing w:after="45"/>
                        <w:rPr>
                          <w:sz w:val="18"/>
                          <w:szCs w:val="18"/>
                        </w:rPr>
                      </w:pPr>
                      <w:r w:rsidRPr="00DF2A7D">
                        <w:rPr>
                          <w:i/>
                          <w:sz w:val="18"/>
                          <w:szCs w:val="18"/>
                        </w:rPr>
                        <w:t>Efficiency:</w:t>
                      </w:r>
                      <w:r w:rsidRPr="00DF2A7D">
                        <w:rPr>
                          <w:sz w:val="18"/>
                          <w:szCs w:val="18"/>
                        </w:rPr>
                        <w:t xml:space="preserve"> evidence not required for the resource use component.</w:t>
                      </w:r>
                    </w:p>
                    <w:p w14:paraId="61762759" w14:textId="0184A952" w:rsidR="00A54141" w:rsidRPr="00DF2A7D" w:rsidRDefault="00A54141" w:rsidP="00C122E3">
                      <w:pPr>
                        <w:pStyle w:val="ListParagraph"/>
                        <w:numPr>
                          <w:ilvl w:val="1"/>
                          <w:numId w:val="15"/>
                        </w:numPr>
                        <w:spacing w:after="45"/>
                        <w:ind w:left="864"/>
                        <w:rPr>
                          <w:sz w:val="18"/>
                          <w:szCs w:val="18"/>
                        </w:rPr>
                      </w:pPr>
                      <w:r w:rsidRPr="00DF2A7D">
                        <w:rPr>
                          <w:sz w:val="18"/>
                          <w:szCs w:val="18"/>
                        </w:rPr>
                        <w:t>For measures derived from patient reports, evidence should demonstrate that the target population values the measured outcome, process, or structure and finds it meaningful.</w:t>
                      </w:r>
                    </w:p>
                    <w:p w14:paraId="0CD0704E" w14:textId="0B74D5E5" w:rsidR="00A54141" w:rsidRPr="00DF2A7D" w:rsidRDefault="00A54141" w:rsidP="00C122E3">
                      <w:pPr>
                        <w:pStyle w:val="ListParagraph"/>
                        <w:numPr>
                          <w:ilvl w:val="0"/>
                          <w:numId w:val="15"/>
                        </w:numPr>
                        <w:spacing w:after="90"/>
                        <w:rPr>
                          <w:sz w:val="18"/>
                          <w:szCs w:val="18"/>
                        </w:rPr>
                      </w:pPr>
                      <w:r w:rsidRPr="00DF2A7D">
                        <w:rPr>
                          <w:i/>
                          <w:sz w:val="18"/>
                          <w:szCs w:val="18"/>
                        </w:rPr>
                        <w:t>Process measures incorporating Appropriate Use Criteria:</w:t>
                      </w:r>
                      <w:r w:rsidRPr="00DF2A7D">
                        <w:rPr>
                          <w:sz w:val="18"/>
                          <w:szCs w:val="18"/>
                        </w:rPr>
                        <w:t xml:space="preserve"> See NQF’s guidance for evidence for measures, in general; guidance for measures specifically based on clinical practice guidelines apply as well.</w:t>
                      </w:r>
                    </w:p>
                    <w:p w14:paraId="14204397" w14:textId="77777777" w:rsidR="00A54141" w:rsidRPr="00DF2A7D" w:rsidRDefault="00A54141" w:rsidP="00C122E3">
                      <w:pPr>
                        <w:spacing w:after="45"/>
                        <w:ind w:left="504" w:hanging="360"/>
                        <w:rPr>
                          <w:b/>
                          <w:sz w:val="18"/>
                          <w:szCs w:val="18"/>
                        </w:rPr>
                      </w:pPr>
                      <w:r w:rsidRPr="00DF2A7D">
                        <w:rPr>
                          <w:b/>
                          <w:sz w:val="18"/>
                          <w:szCs w:val="18"/>
                        </w:rPr>
                        <w:t>Notes</w:t>
                      </w:r>
                    </w:p>
                    <w:p w14:paraId="34CDBCA4" w14:textId="570E39AD" w:rsidR="00A54141" w:rsidRPr="00AA6EE5" w:rsidRDefault="00A54141" w:rsidP="00C122E3">
                      <w:pPr>
                        <w:pStyle w:val="ListParagraph"/>
                        <w:numPr>
                          <w:ilvl w:val="0"/>
                          <w:numId w:val="16"/>
                        </w:numPr>
                        <w:spacing w:after="45"/>
                        <w:ind w:left="504"/>
                        <w:rPr>
                          <w:sz w:val="18"/>
                          <w:szCs w:val="18"/>
                        </w:rPr>
                      </w:pPr>
                      <w:r w:rsidRPr="00AA6EE5">
                        <w:rPr>
                          <w:sz w:val="18"/>
                          <w:szCs w:val="18"/>
                        </w:rPr>
                        <w:t>Generally, rare event outcomes do not provide adequate information for improvement or discrimination; however, serious reportable events that are compared to zero are appropriate outcomes for public reporting and quality improvement.</w:t>
                      </w:r>
                    </w:p>
                    <w:p w14:paraId="53CAAFAD" w14:textId="480E81A3" w:rsidR="00A54141" w:rsidRPr="00AA6EE5" w:rsidRDefault="00A54141" w:rsidP="00C122E3">
                      <w:pPr>
                        <w:pStyle w:val="ListParagraph"/>
                        <w:numPr>
                          <w:ilvl w:val="0"/>
                          <w:numId w:val="16"/>
                        </w:numPr>
                        <w:ind w:left="504"/>
                        <w:rPr>
                          <w:sz w:val="18"/>
                          <w:szCs w:val="18"/>
                        </w:rPr>
                      </w:pPr>
                      <w:r w:rsidRPr="00AA6EE5">
                        <w:rPr>
                          <w:sz w:val="18"/>
                          <w:szCs w:val="18"/>
                        </w:rPr>
                        <w:t>The preferred systems for grading the evidence are the Grading of Recommendations, Assessment, Development and Evaluation (GRADE) guidelines and/or modified GRADE.</w:t>
                      </w:r>
                    </w:p>
                    <w:p w14:paraId="21C2605C" w14:textId="77777777" w:rsidR="00A54141" w:rsidRPr="00780EA0" w:rsidRDefault="00A54141" w:rsidP="00C122E3">
                      <w:pPr>
                        <w:spacing w:after="45"/>
                        <w:ind w:left="504"/>
                        <w:rPr>
                          <w:sz w:val="18"/>
                          <w:szCs w:val="18"/>
                        </w:rPr>
                      </w:pPr>
                      <w:r w:rsidRPr="00780EA0">
                        <w:rPr>
                          <w:sz w:val="18"/>
                          <w:szCs w:val="18"/>
                        </w:rPr>
                        <w:t xml:space="preserve">Clinical care processes typically include multiple steps: assess </w:t>
                      </w:r>
                      <w:r w:rsidRPr="00780EA0">
                        <w:rPr>
                          <w:sz w:val="18"/>
                          <w:szCs w:val="18"/>
                        </w:rPr>
                        <w:t xml:space="preserve"> identify problem/potential problem </w:t>
                      </w:r>
                      <w:r w:rsidRPr="00780EA0">
                        <w:rPr>
                          <w:sz w:val="18"/>
                          <w:szCs w:val="18"/>
                        </w:rPr>
                        <w:t xml:space="preserve"> choose/plan intervention (with patient input) </w:t>
                      </w:r>
                      <w:r w:rsidRPr="00780EA0">
                        <w:rPr>
                          <w:sz w:val="18"/>
                          <w:szCs w:val="18"/>
                        </w:rPr>
                        <w:t xml:space="preserve"> provide intervention </w:t>
                      </w:r>
                      <w:r w:rsidRPr="00780EA0">
                        <w:rPr>
                          <w:sz w:val="18"/>
                          <w:szCs w:val="18"/>
                        </w:rPr>
                        <w:t>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17994E83" w14:textId="78495125" w:rsidR="00A54141" w:rsidRPr="00AA6EE5" w:rsidRDefault="00A54141" w:rsidP="00C122E3">
                      <w:pPr>
                        <w:pStyle w:val="ListParagraph"/>
                        <w:numPr>
                          <w:ilvl w:val="0"/>
                          <w:numId w:val="17"/>
                        </w:numPr>
                        <w:spacing w:after="45"/>
                        <w:ind w:left="504"/>
                        <w:rPr>
                          <w:sz w:val="18"/>
                          <w:szCs w:val="18"/>
                        </w:rPr>
                      </w:pPr>
                      <w:r w:rsidRPr="00AA6EE5">
                        <w:rPr>
                          <w:sz w:val="18"/>
                          <w:szCs w:val="18"/>
                        </w:rPr>
                        <w:t>Measures of efficiency combine the concepts of resource use and quality (see NQF’s Measurement Framework: Evaluating Efficiency Across Episodes of Care; AQA Principles of Efficiency Measures).</w:t>
                      </w:r>
                    </w:p>
                  </w:txbxContent>
                </v:textbox>
                <w10:anchorlock/>
              </v:shape>
            </w:pict>
          </mc:Fallback>
        </mc:AlternateContent>
      </w:r>
    </w:p>
    <w:p w14:paraId="39F37ECE" w14:textId="5C3D3AFD" w:rsidR="00F44A21" w:rsidRDefault="00567702" w:rsidP="00850B98">
      <w:pPr>
        <w:keepNext/>
        <w:spacing w:before="220" w:after="45"/>
        <w:ind w:left="720" w:hanging="720"/>
        <w:jc w:val="both"/>
      </w:pPr>
      <w:r>
        <w:rPr>
          <w:b/>
        </w:rPr>
        <w:lastRenderedPageBreak/>
        <w:t>1a.1</w:t>
      </w:r>
      <w:r>
        <w:rPr>
          <w:b/>
        </w:rPr>
        <w:tab/>
      </w:r>
      <w:r w:rsidR="00FB19DA">
        <w:rPr>
          <w:b/>
        </w:rPr>
        <w:t>This is a measure of</w:t>
      </w:r>
      <w:r w:rsidR="00FB19DA">
        <w:t>: (</w:t>
      </w:r>
      <w:r w:rsidR="00FB19DA">
        <w:rPr>
          <w:i/>
        </w:rPr>
        <w:t>should be consistent with type of measure entered in De.1</w:t>
      </w:r>
      <w:r w:rsidR="00FB19DA">
        <w:t>) Outcome</w:t>
      </w:r>
    </w:p>
    <w:p w14:paraId="4D548950" w14:textId="77777777" w:rsidR="00F44A21" w:rsidRDefault="00FB19DA" w:rsidP="00850B98">
      <w:pPr>
        <w:pStyle w:val="Heading2"/>
        <w:numPr>
          <w:ilvl w:val="1"/>
          <w:numId w:val="5"/>
        </w:numPr>
        <w:tabs>
          <w:tab w:val="left" w:pos="851"/>
        </w:tabs>
        <w:spacing w:after="45"/>
        <w:ind w:left="1080" w:hanging="360"/>
        <w:jc w:val="both"/>
      </w:pPr>
      <w:r>
        <w:t>Outcome: Click here to name the health</w:t>
      </w:r>
      <w:r>
        <w:rPr>
          <w:spacing w:val="-7"/>
        </w:rPr>
        <w:t xml:space="preserve"> </w:t>
      </w:r>
      <w:r>
        <w:t>outcome</w:t>
      </w:r>
    </w:p>
    <w:p w14:paraId="3F24B228" w14:textId="77777777" w:rsidR="00F44A21" w:rsidRDefault="00FB19DA" w:rsidP="00850B98">
      <w:pPr>
        <w:pStyle w:val="ListParagraph"/>
        <w:numPr>
          <w:ilvl w:val="2"/>
          <w:numId w:val="5"/>
        </w:numPr>
        <w:tabs>
          <w:tab w:val="left" w:pos="1234"/>
        </w:tabs>
        <w:spacing w:after="45"/>
        <w:ind w:left="1080" w:hanging="360"/>
        <w:jc w:val="both"/>
      </w:pPr>
      <w:r>
        <w:t xml:space="preserve">Patient-reported outcome (PRO): </w:t>
      </w:r>
      <w:r>
        <w:rPr>
          <w:color w:val="A7A8A7"/>
        </w:rPr>
        <w:t>Click here to name the</w:t>
      </w:r>
      <w:r>
        <w:rPr>
          <w:color w:val="A7A8A7"/>
          <w:spacing w:val="-16"/>
        </w:rPr>
        <w:t xml:space="preserve"> </w:t>
      </w:r>
      <w:r>
        <w:rPr>
          <w:color w:val="A7A8A7"/>
        </w:rPr>
        <w:t>PRO</w:t>
      </w:r>
    </w:p>
    <w:p w14:paraId="7DD3782D" w14:textId="77777777" w:rsidR="00F44A21" w:rsidRDefault="00FB19DA" w:rsidP="00850B98">
      <w:pPr>
        <w:spacing w:after="45"/>
        <w:ind w:left="1080"/>
        <w:jc w:val="both"/>
        <w:rPr>
          <w:i/>
        </w:rPr>
      </w:pPr>
      <w:r>
        <w:rPr>
          <w:i/>
        </w:rPr>
        <w:t xml:space="preserve">PROs include </w:t>
      </w:r>
      <w:proofErr w:type="spellStart"/>
      <w:r>
        <w:rPr>
          <w:i/>
        </w:rPr>
        <w:t>HRQoL</w:t>
      </w:r>
      <w:proofErr w:type="spellEnd"/>
      <w:r>
        <w:rPr>
          <w:i/>
        </w:rPr>
        <w:t xml:space="preserve">/functional status, symptom/symptom burden, experience with care, health- related behaviors. </w:t>
      </w:r>
      <w:r>
        <w:t>(</w:t>
      </w:r>
      <w:r>
        <w:rPr>
          <w:i/>
        </w:rPr>
        <w:t>A PRO-based performance measure is not a survey instrument. Data may be collected using a survey instrument to construct a PRO measure.)</w:t>
      </w:r>
    </w:p>
    <w:p w14:paraId="3EF5541A" w14:textId="2CF68C53" w:rsidR="009B584C" w:rsidRDefault="00FB19DA" w:rsidP="00850B98">
      <w:pPr>
        <w:pStyle w:val="ListParagraph"/>
        <w:numPr>
          <w:ilvl w:val="0"/>
          <w:numId w:val="4"/>
        </w:numPr>
        <w:tabs>
          <w:tab w:val="left" w:pos="820"/>
        </w:tabs>
        <w:spacing w:after="45"/>
        <w:ind w:left="1080" w:hanging="360"/>
        <w:jc w:val="both"/>
      </w:pPr>
      <w:r>
        <w:t>Intermediate clinical outcome (</w:t>
      </w:r>
      <w:r>
        <w:rPr>
          <w:i/>
        </w:rPr>
        <w:t>e.g., lab value</w:t>
      </w:r>
      <w:r>
        <w:t xml:space="preserve">): </w:t>
      </w:r>
      <w:r>
        <w:rPr>
          <w:color w:val="A7A8A7"/>
        </w:rPr>
        <w:t>Click here to name the intermediate</w:t>
      </w:r>
      <w:r>
        <w:rPr>
          <w:color w:val="A7A8A7"/>
          <w:spacing w:val="-19"/>
        </w:rPr>
        <w:t xml:space="preserve"> </w:t>
      </w:r>
      <w:r>
        <w:rPr>
          <w:color w:val="A7A8A7"/>
        </w:rPr>
        <w:t>outcome</w:t>
      </w:r>
    </w:p>
    <w:p w14:paraId="529ECB7C" w14:textId="58E1C68F" w:rsidR="00F44A21" w:rsidRPr="00333640" w:rsidRDefault="00FB19DA" w:rsidP="00850B98">
      <w:pPr>
        <w:pStyle w:val="ListParagraph"/>
        <w:numPr>
          <w:ilvl w:val="0"/>
          <w:numId w:val="18"/>
        </w:numPr>
        <w:tabs>
          <w:tab w:val="left" w:pos="820"/>
        </w:tabs>
        <w:spacing w:after="45"/>
        <w:ind w:left="1080"/>
        <w:jc w:val="both"/>
        <w:rPr>
          <w:rFonts w:ascii="MS Gothic"/>
          <w:color w:val="0000FF"/>
        </w:rPr>
      </w:pPr>
      <w:r w:rsidRPr="00333640">
        <w:rPr>
          <w:color w:val="000000" w:themeColor="text1"/>
        </w:rPr>
        <w:t>Process:</w:t>
      </w:r>
      <w:r w:rsidRPr="00333640">
        <w:rPr>
          <w:color w:val="0000FF"/>
        </w:rPr>
        <w:t xml:space="preserve"> </w:t>
      </w:r>
      <w:r w:rsidR="00B079BA" w:rsidRPr="00220C02">
        <w:rPr>
          <w:rStyle w:val="Style2"/>
          <w:rFonts w:cstheme="minorHAnsi"/>
        </w:rPr>
        <w:t>Head CT or MRI Scan Results for Acute Ischemic Stroke or Hemorrhagic Stroke Patients who Received Head CT or MRI Scan Interpretation Within 45 Minutes of ED</w:t>
      </w:r>
    </w:p>
    <w:p w14:paraId="30F1239F" w14:textId="35DCD59A" w:rsidR="00F44A21" w:rsidRDefault="00453771" w:rsidP="00850B98">
      <w:pPr>
        <w:pStyle w:val="ListParagraph"/>
        <w:numPr>
          <w:ilvl w:val="1"/>
          <w:numId w:val="3"/>
        </w:numPr>
        <w:tabs>
          <w:tab w:val="left" w:pos="1353"/>
        </w:tabs>
        <w:spacing w:after="45"/>
        <w:ind w:left="1080" w:hanging="360"/>
        <w:jc w:val="both"/>
      </w:pPr>
      <w:r>
        <w:rPr>
          <w:noProof/>
          <w:lang w:bidi="ar-SA"/>
        </w:rPr>
        <mc:AlternateContent>
          <mc:Choice Requires="wps">
            <w:drawing>
              <wp:anchor distT="0" distB="0" distL="114300" distR="114300" simplePos="0" relativeHeight="251654144" behindDoc="0" locked="0" layoutInCell="1" allowOverlap="1" wp14:anchorId="75E3F814" wp14:editId="487B1B8D">
                <wp:simplePos x="0" y="0"/>
                <wp:positionH relativeFrom="page">
                  <wp:posOffset>2915285</wp:posOffset>
                </wp:positionH>
                <wp:positionV relativeFrom="paragraph">
                  <wp:posOffset>157480</wp:posOffset>
                </wp:positionV>
                <wp:extent cx="31750" cy="8890"/>
                <wp:effectExtent l="635" t="0" r="0" b="3175"/>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889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D8036" id="Rectangle 2" o:spid="_x0000_s1026" style="position:absolute;margin-left:229.55pt;margin-top:12.4pt;width:2.5pt;height:.7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" fillcolor="blue" stroked="f">
                <w10:wrap anchorx="page"/>
              </v:rect>
            </w:pict>
          </mc:Fallback>
        </mc:AlternateContent>
      </w:r>
      <w:r w:rsidR="00FB19DA">
        <w:t>Appropriate use measure: Click here to name what is being</w:t>
      </w:r>
      <w:r w:rsidR="00FB19DA">
        <w:rPr>
          <w:spacing w:val="-11"/>
        </w:rPr>
        <w:t xml:space="preserve"> </w:t>
      </w:r>
      <w:r w:rsidR="00FB19DA">
        <w:t>measured</w:t>
      </w:r>
    </w:p>
    <w:p w14:paraId="2DF060DB" w14:textId="77777777" w:rsidR="00F44A21" w:rsidRDefault="00FB19DA" w:rsidP="00850B98">
      <w:pPr>
        <w:pStyle w:val="ListParagraph"/>
        <w:numPr>
          <w:ilvl w:val="0"/>
          <w:numId w:val="3"/>
        </w:numPr>
        <w:tabs>
          <w:tab w:val="left" w:pos="852"/>
        </w:tabs>
        <w:spacing w:after="45"/>
        <w:ind w:left="1080" w:hanging="360"/>
        <w:jc w:val="both"/>
        <w:rPr>
          <w:rFonts w:ascii="MS Gothic"/>
          <w:color w:val="0000FF"/>
        </w:rPr>
      </w:pPr>
      <w:r>
        <w:t xml:space="preserve">Structure: </w:t>
      </w:r>
      <w:r>
        <w:rPr>
          <w:color w:val="A7A8A7"/>
        </w:rPr>
        <w:t>Click here to name the</w:t>
      </w:r>
      <w:r>
        <w:rPr>
          <w:color w:val="A7A8A7"/>
          <w:spacing w:val="-5"/>
        </w:rPr>
        <w:t xml:space="preserve"> </w:t>
      </w:r>
      <w:r>
        <w:rPr>
          <w:color w:val="A7A8A7"/>
        </w:rPr>
        <w:t>structure</w:t>
      </w:r>
    </w:p>
    <w:p w14:paraId="79C08015" w14:textId="77777777" w:rsidR="00F44A21" w:rsidRDefault="00FB19DA" w:rsidP="00850B98">
      <w:pPr>
        <w:pStyle w:val="ListParagraph"/>
        <w:numPr>
          <w:ilvl w:val="0"/>
          <w:numId w:val="3"/>
        </w:numPr>
        <w:tabs>
          <w:tab w:val="left" w:pos="852"/>
        </w:tabs>
        <w:spacing w:after="220"/>
        <w:ind w:left="1080" w:hanging="360"/>
        <w:jc w:val="both"/>
        <w:rPr>
          <w:rFonts w:ascii="MS Gothic"/>
          <w:color w:val="0000FF"/>
        </w:rPr>
      </w:pPr>
      <w:r>
        <w:t xml:space="preserve">Composite: </w:t>
      </w:r>
      <w:r>
        <w:rPr>
          <w:color w:val="A7A8A7"/>
        </w:rPr>
        <w:t>Click here to name what is being</w:t>
      </w:r>
      <w:r>
        <w:rPr>
          <w:color w:val="A7A8A7"/>
          <w:spacing w:val="-9"/>
        </w:rPr>
        <w:t xml:space="preserve"> </w:t>
      </w:r>
      <w:r>
        <w:rPr>
          <w:color w:val="A7A8A7"/>
        </w:rPr>
        <w:t>measured</w:t>
      </w:r>
    </w:p>
    <w:p w14:paraId="087DD88C" w14:textId="24FCADD9" w:rsidR="00F44A21" w:rsidRDefault="00567702" w:rsidP="00850B98">
      <w:pPr>
        <w:spacing w:after="45"/>
        <w:ind w:left="720" w:hanging="720"/>
        <w:jc w:val="both"/>
      </w:pPr>
      <w:r>
        <w:rPr>
          <w:b/>
        </w:rPr>
        <w:t>1a.2</w:t>
      </w:r>
      <w:r>
        <w:rPr>
          <w:b/>
        </w:rPr>
        <w:tab/>
      </w:r>
      <w:r w:rsidR="00FB19DA">
        <w:rPr>
          <w:b/>
        </w:rPr>
        <w:t xml:space="preserve">LOGIC MODEL </w:t>
      </w:r>
      <w:r w:rsidR="00FB19DA">
        <w:t>Diagram or briefly describe the steps between the healthcare structures and processes (e.g., interventions, or services) and the patient’s health outcome(s). The relationships in the diagram should be easily understood by general, non-technical audiences. Indicate the structure, process or outcome being measured.</w:t>
      </w:r>
    </w:p>
    <w:p w14:paraId="7F18FA95" w14:textId="018306D3" w:rsidR="00397781" w:rsidRDefault="00B079BA" w:rsidP="00850B98">
      <w:pPr>
        <w:spacing w:after="110"/>
        <w:ind w:left="720"/>
        <w:jc w:val="both"/>
        <w:rPr>
          <w:color w:val="0000FF"/>
        </w:rPr>
      </w:pPr>
      <w:r w:rsidRPr="004E61CE">
        <w:rPr>
          <w:color w:val="0000FF"/>
        </w:rPr>
        <w:t xml:space="preserve">According to the Centers for Disease Control, stroke is the fifth leading cause </w:t>
      </w:r>
      <w:r w:rsidR="00B820FD">
        <w:rPr>
          <w:color w:val="0000FF"/>
        </w:rPr>
        <w:t>of</w:t>
      </w:r>
      <w:r w:rsidR="00B820FD" w:rsidRPr="004E61CE">
        <w:rPr>
          <w:color w:val="0000FF"/>
        </w:rPr>
        <w:t xml:space="preserve"> </w:t>
      </w:r>
      <w:r w:rsidRPr="004E61CE">
        <w:rPr>
          <w:color w:val="0000FF"/>
        </w:rPr>
        <w:t>death (</w:t>
      </w:r>
      <w:proofErr w:type="spellStart"/>
      <w:r w:rsidRPr="004E61CE">
        <w:rPr>
          <w:color w:val="0000FF"/>
        </w:rPr>
        <w:t>Kochanek</w:t>
      </w:r>
      <w:proofErr w:type="spellEnd"/>
      <w:r w:rsidRPr="004E61CE">
        <w:rPr>
          <w:color w:val="0000FF"/>
        </w:rPr>
        <w:t xml:space="preserve"> et al.</w:t>
      </w:r>
      <w:r>
        <w:rPr>
          <w:color w:val="0000FF"/>
        </w:rPr>
        <w:t>,</w:t>
      </w:r>
      <w:r w:rsidRPr="004E61CE">
        <w:rPr>
          <w:color w:val="0000FF"/>
        </w:rPr>
        <w:t xml:space="preserve"> 2014</w:t>
      </w:r>
      <w:r>
        <w:rPr>
          <w:color w:val="0000FF"/>
        </w:rPr>
        <w:t>; Heron, 2018</w:t>
      </w:r>
      <w:r w:rsidRPr="004E61CE">
        <w:rPr>
          <w:color w:val="0000FF"/>
        </w:rPr>
        <w:t xml:space="preserve">). Prompt brain imaging is a critical component of an acute stroke patient’s ED evaluation because it provides important information about the diagnosis, prognosis, and immediate and long-term treatment of potential stroke patients. In particular, computed tomography (CT) or magnetic resonance imaging (MRI) can identify contraindications for time-sensitive treatment such as fibrinolysis. Once the appropriate therapy is determined, guidelines recommend that treatment be initiated without delay because the likelihood of favorable outcome is directly linked to the time-to-treatment (See Guideline #1 in Section </w:t>
      </w:r>
      <w:r w:rsidRPr="00BF210C">
        <w:rPr>
          <w:b/>
          <w:color w:val="0000FF"/>
        </w:rPr>
        <w:t>1a.</w:t>
      </w:r>
      <w:r w:rsidR="00F83FFC">
        <w:rPr>
          <w:b/>
          <w:color w:val="0000FF"/>
        </w:rPr>
        <w:t>3</w:t>
      </w:r>
      <w:r w:rsidRPr="004E61CE">
        <w:rPr>
          <w:color w:val="0000FF"/>
        </w:rPr>
        <w:t>) (</w:t>
      </w:r>
      <w:proofErr w:type="spellStart"/>
      <w:r w:rsidRPr="004E61CE">
        <w:rPr>
          <w:color w:val="0000FF"/>
        </w:rPr>
        <w:t>Jauch</w:t>
      </w:r>
      <w:proofErr w:type="spellEnd"/>
      <w:r w:rsidRPr="004E61CE">
        <w:rPr>
          <w:color w:val="0000FF"/>
        </w:rPr>
        <w:t xml:space="preserve"> et al., 2013). For example, fibrinolysis with intravenous recombinant tissue plasminogen activator (</w:t>
      </w:r>
      <w:proofErr w:type="spellStart"/>
      <w:r w:rsidRPr="004E61CE">
        <w:rPr>
          <w:color w:val="0000FF"/>
        </w:rPr>
        <w:t>tPA</w:t>
      </w:r>
      <w:proofErr w:type="spellEnd"/>
      <w:r w:rsidRPr="004E61CE">
        <w:rPr>
          <w:color w:val="0000FF"/>
        </w:rPr>
        <w:t xml:space="preserve"> or </w:t>
      </w:r>
      <w:proofErr w:type="spellStart"/>
      <w:r w:rsidRPr="004E61CE">
        <w:rPr>
          <w:color w:val="0000FF"/>
        </w:rPr>
        <w:t>rtPA</w:t>
      </w:r>
      <w:proofErr w:type="spellEnd"/>
      <w:r w:rsidRPr="004E61CE">
        <w:rPr>
          <w:color w:val="0000FF"/>
        </w:rPr>
        <w:t xml:space="preserve">), the gold standard for acute ischemic stroke, has been approved by the Food and Drug Administration (FDA) to be administered within three hours of symptom onset (Cheng and Kim 2015). Although it has been shown to improve functional outcomes at three to six months when given within three hours of ischemic stroke onset for patients who meet eligibility criteria, there is evidence that a shorter time-to-treatment is associated with reduced mortality and symptomatic intracranial hemorrhage, and higher rates of independent ambulation at discharge and discharge to home (Saver et al. 2013). Accordingly, #0661 requires that a head CT scan or MRI be interpreted within 45 minutes for patients who are within two hours of symptom onset in order to ensure that eligible </w:t>
      </w:r>
      <w:proofErr w:type="spellStart"/>
      <w:r w:rsidRPr="004E61CE">
        <w:rPr>
          <w:color w:val="0000FF"/>
        </w:rPr>
        <w:t>tPA</w:t>
      </w:r>
      <w:proofErr w:type="spellEnd"/>
      <w:r w:rsidRPr="004E61CE">
        <w:rPr>
          <w:color w:val="0000FF"/>
        </w:rPr>
        <w:t xml:space="preserve"> candidates receive the time-sensitive treatment within the recommended </w:t>
      </w:r>
      <w:r w:rsidR="00A80D0B" w:rsidRPr="004E61CE">
        <w:rPr>
          <w:color w:val="0000FF"/>
        </w:rPr>
        <w:t>three-hour</w:t>
      </w:r>
      <w:r w:rsidRPr="004E61CE">
        <w:rPr>
          <w:color w:val="0000FF"/>
        </w:rPr>
        <w:t xml:space="preserve"> window. </w:t>
      </w:r>
    </w:p>
    <w:p w14:paraId="6B5967C3" w14:textId="5FFAAB72" w:rsidR="00397781" w:rsidRPr="00397781" w:rsidRDefault="00397781" w:rsidP="00850B98">
      <w:pPr>
        <w:spacing w:after="110"/>
        <w:ind w:left="720"/>
        <w:jc w:val="both"/>
        <w:rPr>
          <w:color w:val="0000FF"/>
          <w:sz w:val="24"/>
        </w:rPr>
      </w:pPr>
      <w:r w:rsidRPr="00397781">
        <w:rPr>
          <w:color w:val="0000FF"/>
          <w:szCs w:val="20"/>
        </w:rPr>
        <w:t xml:space="preserve">Cheng NT, Kim AS. Intravenous </w:t>
      </w:r>
      <w:r w:rsidR="00790A20" w:rsidRPr="00397781">
        <w:rPr>
          <w:color w:val="0000FF"/>
          <w:szCs w:val="20"/>
        </w:rPr>
        <w:t>thrombolysis for acute ischemic stroke within 3 hours versus between 3 and 4.5 hours of symptom onset.</w:t>
      </w:r>
      <w:r w:rsidRPr="00397781">
        <w:rPr>
          <w:color w:val="0000FF"/>
          <w:szCs w:val="20"/>
        </w:rPr>
        <w:t xml:space="preserve"> </w:t>
      </w:r>
      <w:proofErr w:type="spellStart"/>
      <w:r w:rsidRPr="00397781">
        <w:rPr>
          <w:color w:val="0000FF"/>
          <w:szCs w:val="20"/>
        </w:rPr>
        <w:t>Demaerschalk</w:t>
      </w:r>
      <w:proofErr w:type="spellEnd"/>
      <w:r w:rsidRPr="00397781">
        <w:rPr>
          <w:color w:val="0000FF"/>
          <w:szCs w:val="20"/>
        </w:rPr>
        <w:t xml:space="preserve"> BM, ed. The </w:t>
      </w:r>
      <w:proofErr w:type="spellStart"/>
      <w:r w:rsidRPr="00397781">
        <w:rPr>
          <w:color w:val="0000FF"/>
          <w:szCs w:val="20"/>
        </w:rPr>
        <w:t>Neurohospitalist</w:t>
      </w:r>
      <w:proofErr w:type="spellEnd"/>
      <w:r w:rsidRPr="00397781">
        <w:rPr>
          <w:color w:val="0000FF"/>
          <w:szCs w:val="20"/>
        </w:rPr>
        <w:t>. 2015;5(3):101-109. doi:10.1177/</w:t>
      </w:r>
      <w:r w:rsidR="00850B98">
        <w:rPr>
          <w:color w:val="0000FF"/>
          <w:szCs w:val="20"/>
        </w:rPr>
        <w:t xml:space="preserve"> </w:t>
      </w:r>
      <w:r w:rsidRPr="00397781">
        <w:rPr>
          <w:color w:val="0000FF"/>
          <w:szCs w:val="20"/>
        </w:rPr>
        <w:t>1941874415583116.</w:t>
      </w:r>
    </w:p>
    <w:p w14:paraId="7A0A3C1F" w14:textId="693D483E" w:rsidR="00397781" w:rsidRDefault="00397781" w:rsidP="00850B98">
      <w:pPr>
        <w:spacing w:after="110"/>
        <w:ind w:left="720"/>
        <w:jc w:val="both"/>
        <w:rPr>
          <w:rFonts w:asciiTheme="minorHAnsi" w:eastAsia="Times New Roman" w:hAnsiTheme="minorHAnsi" w:cs="Times New Roman"/>
          <w:color w:val="000000"/>
        </w:rPr>
      </w:pPr>
      <w:proofErr w:type="spellStart"/>
      <w:r w:rsidRPr="00397781">
        <w:rPr>
          <w:rFonts w:asciiTheme="minorHAnsi" w:eastAsiaTheme="minorHAnsi" w:hAnsiTheme="minorHAnsi" w:cs="Times New Roman"/>
          <w:color w:val="0000FF"/>
          <w:szCs w:val="23"/>
          <w:lang w:bidi="ar-SA"/>
        </w:rPr>
        <w:t>Jauch</w:t>
      </w:r>
      <w:proofErr w:type="spellEnd"/>
      <w:r w:rsidRPr="00397781">
        <w:rPr>
          <w:rFonts w:asciiTheme="minorHAnsi" w:eastAsiaTheme="minorHAnsi" w:hAnsiTheme="minorHAnsi" w:cs="Times New Roman"/>
          <w:color w:val="0000FF"/>
          <w:szCs w:val="23"/>
          <w:lang w:bidi="ar-SA"/>
        </w:rPr>
        <w:t xml:space="preserve"> E.C., Saver J.L., Adams H.P. Jr, Bruno A., Connors J.J., </w:t>
      </w:r>
      <w:proofErr w:type="spellStart"/>
      <w:r w:rsidRPr="00397781">
        <w:rPr>
          <w:rFonts w:asciiTheme="minorHAnsi" w:eastAsiaTheme="minorHAnsi" w:hAnsiTheme="minorHAnsi" w:cs="Times New Roman"/>
          <w:color w:val="0000FF"/>
          <w:szCs w:val="23"/>
          <w:lang w:bidi="ar-SA"/>
        </w:rPr>
        <w:t>Demaerschalk</w:t>
      </w:r>
      <w:proofErr w:type="spellEnd"/>
      <w:r w:rsidRPr="00397781">
        <w:rPr>
          <w:rFonts w:asciiTheme="minorHAnsi" w:eastAsiaTheme="minorHAnsi" w:hAnsiTheme="minorHAnsi" w:cs="Times New Roman"/>
          <w:color w:val="0000FF"/>
          <w:szCs w:val="23"/>
          <w:lang w:bidi="ar-SA"/>
        </w:rPr>
        <w:t xml:space="preserve"> B.M., Khatri P., McMullan PW Jr, Qureshi AI, Rosenfield K, Scott PA, Summers DR, Wang DZ, </w:t>
      </w:r>
      <w:proofErr w:type="spellStart"/>
      <w:r w:rsidRPr="00397781">
        <w:rPr>
          <w:rFonts w:asciiTheme="minorHAnsi" w:eastAsiaTheme="minorHAnsi" w:hAnsiTheme="minorHAnsi" w:cs="Times New Roman"/>
          <w:color w:val="0000FF"/>
          <w:szCs w:val="23"/>
          <w:lang w:bidi="ar-SA"/>
        </w:rPr>
        <w:t>Wintermark</w:t>
      </w:r>
      <w:proofErr w:type="spellEnd"/>
      <w:r w:rsidRPr="00397781">
        <w:rPr>
          <w:rFonts w:asciiTheme="minorHAnsi" w:eastAsiaTheme="minorHAnsi" w:hAnsiTheme="minorHAnsi" w:cs="Times New Roman"/>
          <w:color w:val="0000FF"/>
          <w:szCs w:val="23"/>
          <w:lang w:bidi="ar-SA"/>
        </w:rPr>
        <w:t xml:space="preserve"> M, Yonas H; on behalf of the American Heart Association Stroke Council, Council on Cardiovascular Nursing, Council on Peripheral Vascular Disease, and Council on Clinical Cardiology. (2013). Guidelines for the early management of patien</w:t>
      </w:r>
      <w:r w:rsidR="00790A20">
        <w:rPr>
          <w:rFonts w:asciiTheme="minorHAnsi" w:eastAsiaTheme="minorHAnsi" w:hAnsiTheme="minorHAnsi" w:cs="Times New Roman"/>
          <w:color w:val="0000FF"/>
          <w:szCs w:val="23"/>
          <w:lang w:bidi="ar-SA"/>
        </w:rPr>
        <w:t>ts with acute ischemic stroke: A</w:t>
      </w:r>
      <w:r w:rsidRPr="00397781">
        <w:rPr>
          <w:rFonts w:asciiTheme="minorHAnsi" w:eastAsiaTheme="minorHAnsi" w:hAnsiTheme="minorHAnsi" w:cs="Times New Roman"/>
          <w:color w:val="0000FF"/>
          <w:szCs w:val="23"/>
          <w:lang w:bidi="ar-SA"/>
        </w:rPr>
        <w:t xml:space="preserve"> guideline for healthcare professionals from the American Heart Association/American Stroke Asso</w:t>
      </w:r>
      <w:r w:rsidR="00790A20">
        <w:rPr>
          <w:rFonts w:asciiTheme="minorHAnsi" w:eastAsiaTheme="minorHAnsi" w:hAnsiTheme="minorHAnsi" w:cs="Times New Roman"/>
          <w:color w:val="0000FF"/>
          <w:szCs w:val="23"/>
          <w:lang w:bidi="ar-SA"/>
        </w:rPr>
        <w:t>ciation. Stroke, 44(3), 870–</w:t>
      </w:r>
      <w:r w:rsidR="00882A9B">
        <w:rPr>
          <w:rFonts w:asciiTheme="minorHAnsi" w:eastAsiaTheme="minorHAnsi" w:hAnsiTheme="minorHAnsi" w:cs="Times New Roman"/>
          <w:color w:val="0000FF"/>
          <w:szCs w:val="23"/>
          <w:lang w:bidi="ar-SA"/>
        </w:rPr>
        <w:t>947</w:t>
      </w:r>
      <w:r w:rsidR="00790A20">
        <w:rPr>
          <w:rFonts w:asciiTheme="minorHAnsi" w:eastAsiaTheme="minorHAnsi" w:hAnsiTheme="minorHAnsi" w:cs="Times New Roman"/>
          <w:color w:val="0000FF"/>
          <w:szCs w:val="23"/>
          <w:lang w:bidi="ar-SA"/>
        </w:rPr>
        <w:t>.</w:t>
      </w:r>
    </w:p>
    <w:p w14:paraId="29BDEC6C" w14:textId="5358D6BB" w:rsidR="005947BA" w:rsidRPr="004E61CE" w:rsidRDefault="005947BA" w:rsidP="00850B98">
      <w:pPr>
        <w:spacing w:after="220"/>
        <w:ind w:left="720"/>
        <w:jc w:val="both"/>
        <w:rPr>
          <w:color w:val="0000FF"/>
        </w:rPr>
      </w:pPr>
      <w:r w:rsidRPr="00397781">
        <w:rPr>
          <w:rFonts w:asciiTheme="minorHAnsi" w:eastAsia="Times New Roman" w:hAnsiTheme="minorHAnsi" w:cs="Times New Roman"/>
          <w:color w:val="0000FF"/>
        </w:rPr>
        <w:t>Heron, Me</w:t>
      </w:r>
      <w:r w:rsidR="00790A20">
        <w:rPr>
          <w:rFonts w:asciiTheme="minorHAnsi" w:eastAsia="Times New Roman" w:hAnsiTheme="minorHAnsi" w:cs="Times New Roman"/>
          <w:color w:val="0000FF"/>
        </w:rPr>
        <w:t>lonie. (2018). Deaths: Leading c</w:t>
      </w:r>
      <w:r w:rsidRPr="00397781">
        <w:rPr>
          <w:rFonts w:asciiTheme="minorHAnsi" w:eastAsia="Times New Roman" w:hAnsiTheme="minorHAnsi" w:cs="Times New Roman"/>
          <w:color w:val="0000FF"/>
        </w:rPr>
        <w:t>auses for 2016.</w:t>
      </w:r>
      <w:r w:rsidRPr="00397781">
        <w:rPr>
          <w:rFonts w:asciiTheme="minorHAnsi" w:eastAsia="Times New Roman" w:hAnsiTheme="minorHAnsi" w:cs="Times New Roman"/>
          <w:i/>
          <w:color w:val="0000FF"/>
        </w:rPr>
        <w:t xml:space="preserve"> National Vital Statistics Reports</w:t>
      </w:r>
      <w:r w:rsidRPr="00397781">
        <w:rPr>
          <w:rFonts w:asciiTheme="minorHAnsi" w:eastAsia="Times New Roman" w:hAnsiTheme="minorHAnsi" w:cs="Times New Roman"/>
          <w:color w:val="0000FF"/>
        </w:rPr>
        <w:t>.</w:t>
      </w:r>
      <w:r w:rsidRPr="00790A20">
        <w:rPr>
          <w:rFonts w:asciiTheme="minorHAnsi" w:eastAsia="Times New Roman" w:hAnsiTheme="minorHAnsi" w:cs="Times New Roman"/>
          <w:color w:val="0000FF"/>
        </w:rPr>
        <w:t xml:space="preserve"> 67</w:t>
      </w:r>
      <w:r w:rsidR="00283386">
        <w:rPr>
          <w:rFonts w:asciiTheme="minorHAnsi" w:eastAsia="Times New Roman" w:hAnsiTheme="minorHAnsi" w:cs="Times New Roman"/>
          <w:color w:val="0000FF"/>
        </w:rPr>
        <w:t>(</w:t>
      </w:r>
      <w:r w:rsidRPr="00397781">
        <w:rPr>
          <w:rFonts w:asciiTheme="minorHAnsi" w:eastAsia="Times New Roman" w:hAnsiTheme="minorHAnsi" w:cs="Times New Roman"/>
          <w:color w:val="0000FF"/>
        </w:rPr>
        <w:t>6</w:t>
      </w:r>
      <w:r w:rsidR="00283386">
        <w:rPr>
          <w:rFonts w:asciiTheme="minorHAnsi" w:eastAsia="Times New Roman" w:hAnsiTheme="minorHAnsi" w:cs="Times New Roman"/>
          <w:color w:val="0000FF"/>
        </w:rPr>
        <w:t>)</w:t>
      </w:r>
      <w:r w:rsidRPr="00397781">
        <w:rPr>
          <w:rFonts w:asciiTheme="minorHAnsi" w:eastAsia="Times New Roman" w:hAnsiTheme="minorHAnsi" w:cs="Times New Roman"/>
          <w:color w:val="0000FF"/>
        </w:rPr>
        <w:t>.</w:t>
      </w:r>
      <w:r w:rsidR="00283386">
        <w:rPr>
          <w:rFonts w:asciiTheme="minorHAnsi" w:eastAsia="Times New Roman" w:hAnsiTheme="minorHAnsi" w:cs="Times New Roman"/>
          <w:color w:val="0000FF"/>
        </w:rPr>
        <w:t xml:space="preserve"> </w:t>
      </w:r>
      <w:hyperlink w:history="1">
        <w:r w:rsidR="00850B98" w:rsidRPr="008E7D22">
          <w:rPr>
            <w:rStyle w:val="Hyperlink"/>
            <w:rFonts w:asciiTheme="minorHAnsi" w:eastAsia="Times New Roman" w:hAnsiTheme="minorHAnsi" w:cs="Times New Roman"/>
          </w:rPr>
          <w:t>https://www. cdc.gov/</w:t>
        </w:r>
        <w:proofErr w:type="spellStart"/>
        <w:r w:rsidR="00850B98" w:rsidRPr="008E7D22">
          <w:rPr>
            <w:rStyle w:val="Hyperlink"/>
            <w:rFonts w:asciiTheme="minorHAnsi" w:eastAsia="Times New Roman" w:hAnsiTheme="minorHAnsi" w:cs="Times New Roman"/>
          </w:rPr>
          <w:t>nchs</w:t>
        </w:r>
        <w:proofErr w:type="spellEnd"/>
        <w:r w:rsidR="00850B98" w:rsidRPr="008E7D22">
          <w:rPr>
            <w:rStyle w:val="Hyperlink"/>
            <w:rFonts w:asciiTheme="minorHAnsi" w:eastAsia="Times New Roman" w:hAnsiTheme="minorHAnsi" w:cs="Times New Roman"/>
          </w:rPr>
          <w:t>/data/</w:t>
        </w:r>
        <w:proofErr w:type="spellStart"/>
        <w:r w:rsidR="00850B98" w:rsidRPr="008E7D22">
          <w:rPr>
            <w:rStyle w:val="Hyperlink"/>
            <w:rFonts w:asciiTheme="minorHAnsi" w:eastAsia="Times New Roman" w:hAnsiTheme="minorHAnsi" w:cs="Times New Roman"/>
          </w:rPr>
          <w:t>nvsr</w:t>
        </w:r>
        <w:proofErr w:type="spellEnd"/>
        <w:r w:rsidR="00850B98" w:rsidRPr="008E7D22">
          <w:rPr>
            <w:rStyle w:val="Hyperlink"/>
            <w:rFonts w:asciiTheme="minorHAnsi" w:eastAsia="Times New Roman" w:hAnsiTheme="minorHAnsi" w:cs="Times New Roman"/>
          </w:rPr>
          <w:t>/nvsr67/nvsr67_06.pdf</w:t>
        </w:r>
      </w:hyperlink>
      <w:r w:rsidR="00882A9B">
        <w:rPr>
          <w:rFonts w:asciiTheme="minorHAnsi" w:eastAsia="Times New Roman" w:hAnsiTheme="minorHAnsi" w:cs="Times New Roman"/>
          <w:color w:val="0000FF"/>
        </w:rPr>
        <w:t>.</w:t>
      </w:r>
    </w:p>
    <w:p w14:paraId="22450541" w14:textId="6627899D" w:rsidR="00F44A21" w:rsidRDefault="00567702" w:rsidP="00850B98">
      <w:pPr>
        <w:spacing w:after="45"/>
        <w:ind w:left="720" w:hanging="720"/>
        <w:jc w:val="both"/>
      </w:pPr>
      <w:r>
        <w:rPr>
          <w:b/>
        </w:rPr>
        <w:t>1a.3</w:t>
      </w:r>
      <w:r>
        <w:rPr>
          <w:b/>
        </w:rPr>
        <w:tab/>
      </w:r>
      <w:r w:rsidR="00FB19DA">
        <w:rPr>
          <w:b/>
        </w:rPr>
        <w:t xml:space="preserve">Value and Meaningfulness: IF </w:t>
      </w:r>
      <w:r w:rsidR="00FB19DA">
        <w:t xml:space="preserve">this measure is derived from patient report, provide evidence that the target population values the measured </w:t>
      </w:r>
      <w:r w:rsidR="00FB19DA">
        <w:rPr>
          <w:b/>
          <w:i/>
        </w:rPr>
        <w:t xml:space="preserve">outcome, process, or structure </w:t>
      </w:r>
      <w:r w:rsidR="00FB19DA">
        <w:t>and finds it meaningful. (Describe how and from whom their input was obtained.)</w:t>
      </w:r>
    </w:p>
    <w:p w14:paraId="46797082" w14:textId="194F9680" w:rsidR="00F44A21" w:rsidRPr="008E2707" w:rsidRDefault="00516062" w:rsidP="00850B98">
      <w:pPr>
        <w:pStyle w:val="BodyText"/>
        <w:spacing w:after="220"/>
        <w:jc w:val="both"/>
        <w:rPr>
          <w:color w:val="0000FF"/>
          <w:sz w:val="22"/>
        </w:rPr>
      </w:pPr>
      <w:r>
        <w:rPr>
          <w:sz w:val="22"/>
        </w:rPr>
        <w:tab/>
      </w:r>
      <w:r w:rsidR="006B7956">
        <w:rPr>
          <w:color w:val="0000FF"/>
          <w:sz w:val="22"/>
        </w:rPr>
        <w:t>Not applicable, as this measure is not derived from patient-reported data.</w:t>
      </w:r>
      <w:r w:rsidR="00517FB4">
        <w:rPr>
          <w:sz w:val="22"/>
        </w:rPr>
        <w:tab/>
      </w:r>
    </w:p>
    <w:p w14:paraId="4EA91807" w14:textId="77777777" w:rsidR="00F44A21" w:rsidRDefault="00FB19DA" w:rsidP="00790A20">
      <w:pPr>
        <w:pStyle w:val="Heading1"/>
        <w:spacing w:after="220"/>
        <w:ind w:left="0"/>
        <w:jc w:val="both"/>
      </w:pPr>
      <w:r>
        <w:t>**RESPOND TO ONLY ONE SECTION BELOW -EITHER 1a.2, 1a.3 or 1a.4) **</w:t>
      </w:r>
    </w:p>
    <w:p w14:paraId="04515E8A" w14:textId="1835922D" w:rsidR="00F44A21" w:rsidRDefault="006B7956" w:rsidP="00790A20">
      <w:pPr>
        <w:spacing w:after="45"/>
        <w:ind w:left="720" w:hanging="720"/>
        <w:jc w:val="both"/>
        <w:rPr>
          <w:b/>
        </w:rPr>
      </w:pPr>
      <w:r>
        <w:rPr>
          <w:b/>
        </w:rPr>
        <w:t>1a.2</w:t>
      </w:r>
      <w:r>
        <w:rPr>
          <w:b/>
        </w:rPr>
        <w:tab/>
      </w:r>
      <w:r w:rsidR="00FB19DA">
        <w:rPr>
          <w:b/>
        </w:rPr>
        <w:t>FOR OUTCOME MEASURES including PATIENT REPORTED OUTCOMES - Provide empirical data demonstrating the relationship between the outcome (or PRO) to at least one healthcare structure, process, intervention, or service.</w:t>
      </w:r>
    </w:p>
    <w:p w14:paraId="40A48D61" w14:textId="5A1CE97E" w:rsidR="00516062" w:rsidRDefault="00516062" w:rsidP="00790A20">
      <w:pPr>
        <w:pStyle w:val="BodyText"/>
        <w:spacing w:after="220"/>
        <w:jc w:val="both"/>
        <w:rPr>
          <w:color w:val="0000FF"/>
          <w:sz w:val="22"/>
        </w:rPr>
      </w:pPr>
      <w:r>
        <w:rPr>
          <w:b/>
          <w:sz w:val="22"/>
        </w:rPr>
        <w:tab/>
      </w:r>
      <w:r>
        <w:rPr>
          <w:color w:val="0000FF"/>
          <w:sz w:val="22"/>
        </w:rPr>
        <w:t xml:space="preserve">This measure is not a health </w:t>
      </w:r>
      <w:r w:rsidR="006B7956">
        <w:rPr>
          <w:color w:val="0000FF"/>
          <w:sz w:val="22"/>
        </w:rPr>
        <w:t>outcome/PRO-PM.</w:t>
      </w:r>
    </w:p>
    <w:p w14:paraId="7917908B" w14:textId="76D600C6" w:rsidR="00F44A21" w:rsidRDefault="006B7956" w:rsidP="00790A20">
      <w:pPr>
        <w:spacing w:after="45"/>
        <w:ind w:left="720" w:hanging="720"/>
        <w:jc w:val="both"/>
        <w:rPr>
          <w:b/>
        </w:rPr>
      </w:pPr>
      <w:r>
        <w:rPr>
          <w:b/>
        </w:rPr>
        <w:t>1a.3.</w:t>
      </w:r>
      <w:r>
        <w:rPr>
          <w:b/>
        </w:rPr>
        <w:tab/>
      </w:r>
      <w:r w:rsidR="00FB19DA">
        <w:rPr>
          <w:b/>
        </w:rPr>
        <w:t>SYSTEMATIC REVIEW(SR) OF THE EVIDENCE (for INTERMEDIATE OUTCOME, PROCESS, OR STRUCTURE PERFORMANCE MEASURES, INCLUDING THOSE THAT ARE INSTRUMENT-BASED) If the</w:t>
      </w:r>
      <w:r>
        <w:rPr>
          <w:b/>
        </w:rPr>
        <w:t xml:space="preserve"> </w:t>
      </w:r>
      <w:r w:rsidR="00FB19DA">
        <w:rPr>
          <w:b/>
        </w:rPr>
        <w:t>evidence is not based on a systematic review go to section 1a.4) If you wish to include more than one systematic review, add additional tables.</w:t>
      </w:r>
    </w:p>
    <w:p w14:paraId="16716527" w14:textId="77777777" w:rsidR="00B079BA" w:rsidRDefault="00B079BA" w:rsidP="00790A20">
      <w:pPr>
        <w:spacing w:after="45"/>
        <w:ind w:left="720"/>
        <w:jc w:val="both"/>
        <w:rPr>
          <w:b/>
        </w:rPr>
      </w:pPr>
    </w:p>
    <w:p w14:paraId="611A715B" w14:textId="77777777" w:rsidR="00F44A21" w:rsidRDefault="00FB19DA" w:rsidP="00790A20">
      <w:pPr>
        <w:spacing w:after="45"/>
        <w:ind w:left="720"/>
        <w:jc w:val="both"/>
        <w:rPr>
          <w:b/>
        </w:rPr>
      </w:pPr>
      <w:r>
        <w:rPr>
          <w:b/>
        </w:rPr>
        <w:t xml:space="preserve">What is the source of the </w:t>
      </w:r>
      <w:r>
        <w:rPr>
          <w:b/>
          <w:u w:val="single"/>
        </w:rPr>
        <w:t>systematic review of the body of evidence</w:t>
      </w:r>
      <w:r>
        <w:rPr>
          <w:b/>
        </w:rPr>
        <w:t xml:space="preserve"> that supports the performance measure?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77A1E8FA" w14:textId="785074A3" w:rsidR="00F44A21" w:rsidRPr="00697B00" w:rsidRDefault="007E0FF4" w:rsidP="00790A20">
      <w:pPr>
        <w:pStyle w:val="Heading2"/>
        <w:numPr>
          <w:ilvl w:val="0"/>
          <w:numId w:val="18"/>
        </w:numPr>
        <w:tabs>
          <w:tab w:val="left" w:pos="821"/>
        </w:tabs>
        <w:spacing w:after="45"/>
        <w:ind w:left="1080"/>
        <w:jc w:val="both"/>
        <w:rPr>
          <w:rFonts w:ascii="MS Gothic"/>
          <w:color w:val="0000FF"/>
        </w:rPr>
      </w:pPr>
      <w:r w:rsidRPr="00A82F72">
        <w:rPr>
          <w:color w:val="000000" w:themeColor="text1"/>
        </w:rPr>
        <w:t>Cli</w:t>
      </w:r>
      <w:r w:rsidR="00FB19DA" w:rsidRPr="00A82F72">
        <w:rPr>
          <w:color w:val="000000" w:themeColor="text1"/>
        </w:rPr>
        <w:t>nical Practice Guideline recommendation (with evidence</w:t>
      </w:r>
      <w:r w:rsidR="00FB19DA" w:rsidRPr="00A82F72">
        <w:rPr>
          <w:color w:val="000000" w:themeColor="text1"/>
          <w:spacing w:val="-3"/>
        </w:rPr>
        <w:t xml:space="preserve"> </w:t>
      </w:r>
      <w:r w:rsidR="00FB19DA" w:rsidRPr="00A82F72">
        <w:rPr>
          <w:color w:val="000000" w:themeColor="text1"/>
        </w:rPr>
        <w:t>review)</w:t>
      </w:r>
    </w:p>
    <w:p w14:paraId="1973C0F9" w14:textId="77777777" w:rsidR="00F44A21" w:rsidRDefault="00FB19DA" w:rsidP="00790A20">
      <w:pPr>
        <w:pStyle w:val="ListParagraph"/>
        <w:numPr>
          <w:ilvl w:val="0"/>
          <w:numId w:val="3"/>
        </w:numPr>
        <w:tabs>
          <w:tab w:val="left" w:pos="821"/>
        </w:tabs>
        <w:spacing w:after="45"/>
        <w:ind w:left="1080" w:hanging="360"/>
        <w:jc w:val="both"/>
        <w:rPr>
          <w:rFonts w:ascii="MS Gothic"/>
          <w:color w:val="0000FF"/>
        </w:rPr>
      </w:pPr>
      <w:r>
        <w:t>US Preventive Services Task Force</w:t>
      </w:r>
      <w:r>
        <w:rPr>
          <w:spacing w:val="-4"/>
        </w:rPr>
        <w:t xml:space="preserve"> </w:t>
      </w:r>
      <w:r>
        <w:t>Recommendation</w:t>
      </w:r>
    </w:p>
    <w:p w14:paraId="08BED791" w14:textId="77777777" w:rsidR="00F44A21" w:rsidRDefault="00FB19DA" w:rsidP="00790A20">
      <w:pPr>
        <w:pStyle w:val="ListParagraph"/>
        <w:numPr>
          <w:ilvl w:val="0"/>
          <w:numId w:val="3"/>
        </w:numPr>
        <w:tabs>
          <w:tab w:val="left" w:pos="821"/>
        </w:tabs>
        <w:spacing w:after="45"/>
        <w:ind w:left="1080" w:hanging="360"/>
        <w:jc w:val="both"/>
        <w:rPr>
          <w:rFonts w:ascii="MS Gothic"/>
          <w:color w:val="0000FF"/>
        </w:rPr>
      </w:pPr>
      <w:r>
        <w:t>Other systematic review and grading of the body of</w:t>
      </w:r>
      <w:r>
        <w:rPr>
          <w:spacing w:val="-36"/>
        </w:rPr>
        <w:t xml:space="preserve"> </w:t>
      </w:r>
      <w:r>
        <w:t>evidence (</w:t>
      </w:r>
      <w:r>
        <w:rPr>
          <w:i/>
        </w:rPr>
        <w:t>e.g., Cochrane Collaboration, AHRQ Evidence Practice</w:t>
      </w:r>
      <w:r>
        <w:rPr>
          <w:i/>
          <w:spacing w:val="-1"/>
        </w:rPr>
        <w:t xml:space="preserve"> </w:t>
      </w:r>
      <w:r>
        <w:rPr>
          <w:i/>
        </w:rPr>
        <w:t>Center</w:t>
      </w:r>
      <w:r>
        <w:t>)</w:t>
      </w:r>
    </w:p>
    <w:p w14:paraId="1C60979D" w14:textId="1D110BB6" w:rsidR="00F44A21" w:rsidRDefault="00B079BA" w:rsidP="00790A20">
      <w:pPr>
        <w:pStyle w:val="Heading2"/>
        <w:tabs>
          <w:tab w:val="left" w:pos="821"/>
        </w:tabs>
        <w:spacing w:after="220"/>
        <w:ind w:left="720" w:firstLine="0"/>
        <w:jc w:val="both"/>
        <w:rPr>
          <w:rFonts w:ascii="MS Gothic"/>
          <w:color w:val="0000FF"/>
        </w:rPr>
      </w:pPr>
      <w:r w:rsidRPr="00C1396F">
        <w:rPr>
          <w:rFonts w:ascii="MS Gothic" w:eastAsia="MS Gothic" w:hAnsi="MS Gothic" w:hint="eastAsia"/>
          <w:bCs/>
          <w:color w:val="0000FF"/>
        </w:rPr>
        <w:t>☒</w:t>
      </w:r>
      <w:r>
        <w:rPr>
          <w:rFonts w:ascii="MS Gothic" w:eastAsia="MS Gothic" w:hAnsi="MS Gothic" w:hint="eastAsia"/>
          <w:bCs/>
          <w:color w:val="0000FF"/>
        </w:rPr>
        <w:t xml:space="preserve"> </w:t>
      </w:r>
      <w:r w:rsidR="00FB19DA">
        <w:t>Other</w:t>
      </w:r>
    </w:p>
    <w:tbl>
      <w:tblPr>
        <w:tblW w:w="108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80"/>
        <w:gridCol w:w="7320"/>
      </w:tblGrid>
      <w:tr w:rsidR="00F44A21" w14:paraId="1C206EA1" w14:textId="77777777" w:rsidTr="00790A20">
        <w:trPr>
          <w:trHeight w:val="2073"/>
        </w:trPr>
        <w:tc>
          <w:tcPr>
            <w:tcW w:w="3380" w:type="dxa"/>
          </w:tcPr>
          <w:p w14:paraId="2AE3D87F" w14:textId="77777777" w:rsidR="00F44A21" w:rsidRDefault="00FB19DA" w:rsidP="008427CD">
            <w:pPr>
              <w:pStyle w:val="TableParagraph"/>
              <w:spacing w:after="45"/>
              <w:ind w:left="144" w:right="144"/>
              <w:rPr>
                <w:b/>
              </w:rPr>
            </w:pPr>
            <w:r>
              <w:rPr>
                <w:b/>
              </w:rPr>
              <w:t>Source of Systematic Review:</w:t>
            </w:r>
          </w:p>
          <w:p w14:paraId="01F556C2" w14:textId="77777777" w:rsidR="00F44A21" w:rsidRDefault="00FB19DA" w:rsidP="008427CD">
            <w:pPr>
              <w:pStyle w:val="TableParagraph"/>
              <w:numPr>
                <w:ilvl w:val="0"/>
                <w:numId w:val="2"/>
              </w:numPr>
              <w:tabs>
                <w:tab w:val="left" w:pos="827"/>
                <w:tab w:val="left" w:pos="828"/>
              </w:tabs>
              <w:spacing w:after="45"/>
              <w:ind w:left="504" w:right="144" w:hanging="360"/>
              <w:rPr>
                <w:b/>
              </w:rPr>
            </w:pPr>
            <w:r>
              <w:rPr>
                <w:b/>
              </w:rPr>
              <w:t>Title</w:t>
            </w:r>
          </w:p>
          <w:p w14:paraId="3C0E030E" w14:textId="77777777" w:rsidR="00F44A21" w:rsidRDefault="00FB19DA" w:rsidP="008427CD">
            <w:pPr>
              <w:pStyle w:val="TableParagraph"/>
              <w:numPr>
                <w:ilvl w:val="0"/>
                <w:numId w:val="2"/>
              </w:numPr>
              <w:tabs>
                <w:tab w:val="left" w:pos="827"/>
                <w:tab w:val="left" w:pos="828"/>
              </w:tabs>
              <w:spacing w:after="45"/>
              <w:ind w:left="504" w:right="144" w:hanging="360"/>
              <w:rPr>
                <w:b/>
              </w:rPr>
            </w:pPr>
            <w:r>
              <w:rPr>
                <w:b/>
              </w:rPr>
              <w:t>Author</w:t>
            </w:r>
          </w:p>
          <w:p w14:paraId="0097FADF" w14:textId="77777777" w:rsidR="00F44A21" w:rsidRDefault="00FB19DA" w:rsidP="008427CD">
            <w:pPr>
              <w:pStyle w:val="TableParagraph"/>
              <w:numPr>
                <w:ilvl w:val="0"/>
                <w:numId w:val="2"/>
              </w:numPr>
              <w:tabs>
                <w:tab w:val="left" w:pos="827"/>
                <w:tab w:val="left" w:pos="828"/>
              </w:tabs>
              <w:spacing w:after="45"/>
              <w:ind w:left="504" w:right="144" w:hanging="360"/>
              <w:rPr>
                <w:b/>
              </w:rPr>
            </w:pPr>
            <w:r>
              <w:rPr>
                <w:b/>
              </w:rPr>
              <w:t>Date</w:t>
            </w:r>
          </w:p>
          <w:p w14:paraId="617FEBC4" w14:textId="77777777" w:rsidR="00F44A21" w:rsidRDefault="00FB19DA" w:rsidP="008427CD">
            <w:pPr>
              <w:pStyle w:val="TableParagraph"/>
              <w:numPr>
                <w:ilvl w:val="0"/>
                <w:numId w:val="2"/>
              </w:numPr>
              <w:tabs>
                <w:tab w:val="left" w:pos="827"/>
                <w:tab w:val="left" w:pos="828"/>
              </w:tabs>
              <w:spacing w:after="45"/>
              <w:ind w:left="504" w:right="144" w:hanging="360"/>
              <w:rPr>
                <w:b/>
              </w:rPr>
            </w:pPr>
            <w:r>
              <w:rPr>
                <w:b/>
              </w:rPr>
              <w:t>Citation, including page</w:t>
            </w:r>
            <w:r>
              <w:rPr>
                <w:b/>
                <w:spacing w:val="-4"/>
              </w:rPr>
              <w:t xml:space="preserve"> </w:t>
            </w:r>
            <w:r>
              <w:rPr>
                <w:b/>
              </w:rPr>
              <w:t>number</w:t>
            </w:r>
          </w:p>
          <w:p w14:paraId="0384A53C" w14:textId="77777777" w:rsidR="00F44A21" w:rsidRDefault="00FB19DA" w:rsidP="008427CD">
            <w:pPr>
              <w:pStyle w:val="TableParagraph"/>
              <w:numPr>
                <w:ilvl w:val="0"/>
                <w:numId w:val="2"/>
              </w:numPr>
              <w:tabs>
                <w:tab w:val="left" w:pos="827"/>
                <w:tab w:val="left" w:pos="828"/>
              </w:tabs>
              <w:spacing w:after="45"/>
              <w:ind w:left="504" w:right="144" w:hanging="360"/>
              <w:rPr>
                <w:b/>
              </w:rPr>
            </w:pPr>
            <w:r>
              <w:rPr>
                <w:b/>
              </w:rPr>
              <w:t>URL</w:t>
            </w:r>
          </w:p>
        </w:tc>
        <w:tc>
          <w:tcPr>
            <w:tcW w:w="7110" w:type="dxa"/>
          </w:tcPr>
          <w:p w14:paraId="7E2DBCE5" w14:textId="440DAD2B" w:rsidR="00B079BA" w:rsidRPr="004E57C2" w:rsidRDefault="00B079BA" w:rsidP="00790A20">
            <w:pPr>
              <w:spacing w:before="45" w:after="45"/>
              <w:ind w:left="144" w:right="144"/>
              <w:jc w:val="both"/>
              <w:rPr>
                <w:color w:val="0000FF"/>
              </w:rPr>
            </w:pPr>
            <w:r w:rsidRPr="004E57C2">
              <w:rPr>
                <w:color w:val="0000FF"/>
              </w:rPr>
              <w:t>T</w:t>
            </w:r>
            <w:r>
              <w:rPr>
                <w:color w:val="0000FF"/>
              </w:rPr>
              <w:t xml:space="preserve">hree </w:t>
            </w:r>
            <w:r w:rsidRPr="004E57C2">
              <w:rPr>
                <w:color w:val="0000FF"/>
              </w:rPr>
              <w:t xml:space="preserve">clinical practice guidelines are provided based on their relevance </w:t>
            </w:r>
            <w:r>
              <w:rPr>
                <w:color w:val="0000FF"/>
              </w:rPr>
              <w:t>to the measure</w:t>
            </w:r>
            <w:r w:rsidRPr="004E57C2">
              <w:rPr>
                <w:color w:val="0000FF"/>
              </w:rPr>
              <w:t>.</w:t>
            </w:r>
            <w:r>
              <w:rPr>
                <w:color w:val="0000FF"/>
              </w:rPr>
              <w:t xml:space="preserve"> </w:t>
            </w:r>
            <w:r w:rsidRPr="004E57C2">
              <w:rPr>
                <w:color w:val="0000FF"/>
              </w:rPr>
              <w:t xml:space="preserve">The first guideline, </w:t>
            </w:r>
            <w:r>
              <w:rPr>
                <w:color w:val="0000FF"/>
              </w:rPr>
              <w:t xml:space="preserve">released in 2013 </w:t>
            </w:r>
            <w:r w:rsidRPr="004E57C2">
              <w:rPr>
                <w:color w:val="0000FF"/>
              </w:rPr>
              <w:t xml:space="preserve">by the </w:t>
            </w:r>
            <w:r>
              <w:rPr>
                <w:color w:val="0000FF"/>
              </w:rPr>
              <w:t>American Heart Association (AHA) and the American Stroke Association (ASA)</w:t>
            </w:r>
            <w:r w:rsidRPr="004E57C2">
              <w:rPr>
                <w:color w:val="0000FF"/>
              </w:rPr>
              <w:t xml:space="preserve">, evaluates </w:t>
            </w:r>
            <w:r>
              <w:rPr>
                <w:color w:val="0000FF"/>
              </w:rPr>
              <w:t xml:space="preserve">the early management of patients with acute ischemic stroke. </w:t>
            </w:r>
            <w:r w:rsidRPr="004E57C2">
              <w:rPr>
                <w:color w:val="0000FF"/>
              </w:rPr>
              <w:t xml:space="preserve">The second </w:t>
            </w:r>
            <w:r>
              <w:rPr>
                <w:color w:val="0000FF"/>
              </w:rPr>
              <w:t xml:space="preserve">AHA/ASA </w:t>
            </w:r>
            <w:r w:rsidRPr="004E57C2">
              <w:rPr>
                <w:color w:val="0000FF"/>
              </w:rPr>
              <w:t>guideline</w:t>
            </w:r>
            <w:r>
              <w:rPr>
                <w:color w:val="0000FF"/>
              </w:rPr>
              <w:t xml:space="preserve">, released in 2015, is a focused update of the 2013 guideline with an emphasis on endovascular treatment. </w:t>
            </w:r>
            <w:r w:rsidR="00B820FD">
              <w:rPr>
                <w:color w:val="0000FF"/>
              </w:rPr>
              <w:t>A</w:t>
            </w:r>
            <w:r>
              <w:rPr>
                <w:color w:val="0000FF"/>
              </w:rPr>
              <w:t xml:space="preserve"> third guideline was published in 2018 to provide comprehensive recommendations regarding care for patients with acute arterial ischemic stroke</w:t>
            </w:r>
            <w:r>
              <w:rPr>
                <w:rFonts w:cs="Helvetica"/>
                <w:color w:val="0000FF"/>
                <w:szCs w:val="20"/>
              </w:rPr>
              <w:t xml:space="preserve">. </w:t>
            </w:r>
            <w:r w:rsidRPr="004E57C2">
              <w:rPr>
                <w:rFonts w:cs="Helvetica"/>
                <w:color w:val="0000FF"/>
                <w:szCs w:val="20"/>
              </w:rPr>
              <w:t>Citations for the</w:t>
            </w:r>
            <w:r>
              <w:rPr>
                <w:rFonts w:cs="Helvetica"/>
                <w:color w:val="0000FF"/>
                <w:szCs w:val="20"/>
              </w:rPr>
              <w:t xml:space="preserve"> three</w:t>
            </w:r>
            <w:r w:rsidRPr="004E57C2">
              <w:rPr>
                <w:rFonts w:cs="Helvetica"/>
                <w:color w:val="0000FF"/>
                <w:szCs w:val="20"/>
              </w:rPr>
              <w:t xml:space="preserve"> guidelines follow:</w:t>
            </w:r>
          </w:p>
          <w:p w14:paraId="1AD8FF83" w14:textId="4BC666D0" w:rsidR="00B079BA" w:rsidRDefault="00882A9B" w:rsidP="00790A20">
            <w:pPr>
              <w:spacing w:before="45" w:after="45"/>
              <w:ind w:left="576" w:right="144" w:hanging="432"/>
              <w:jc w:val="both"/>
              <w:rPr>
                <w:color w:val="0000FF"/>
              </w:rPr>
            </w:pPr>
            <w:r>
              <w:rPr>
                <w:color w:val="0000FF"/>
              </w:rPr>
              <w:t>1—</w:t>
            </w:r>
            <w:proofErr w:type="spellStart"/>
            <w:r w:rsidR="00B079BA" w:rsidRPr="00133AC6">
              <w:rPr>
                <w:color w:val="0000FF"/>
              </w:rPr>
              <w:t>Jauch</w:t>
            </w:r>
            <w:proofErr w:type="spellEnd"/>
            <w:r w:rsidR="00B079BA" w:rsidRPr="00133AC6">
              <w:rPr>
                <w:color w:val="0000FF"/>
              </w:rPr>
              <w:t xml:space="preserve"> EC, Saver JL, Adams HP Jr, Bruno A, Connors JJ, </w:t>
            </w:r>
            <w:proofErr w:type="spellStart"/>
            <w:r w:rsidR="00B079BA" w:rsidRPr="00133AC6">
              <w:rPr>
                <w:color w:val="0000FF"/>
              </w:rPr>
              <w:t>Demaerschalk</w:t>
            </w:r>
            <w:proofErr w:type="spellEnd"/>
            <w:r w:rsidR="00B079BA" w:rsidRPr="00133AC6">
              <w:rPr>
                <w:color w:val="0000FF"/>
              </w:rPr>
              <w:t xml:space="preserve"> BM, Khatri P, McMullan PW Jr, Qureshi AI, Rosenfield K, Scott PA, Summers DR, Wang DZ, </w:t>
            </w:r>
            <w:proofErr w:type="spellStart"/>
            <w:r w:rsidR="00B079BA" w:rsidRPr="00133AC6">
              <w:rPr>
                <w:color w:val="0000FF"/>
              </w:rPr>
              <w:t>Wintermark</w:t>
            </w:r>
            <w:proofErr w:type="spellEnd"/>
            <w:r w:rsidR="00B079BA" w:rsidRPr="00133AC6">
              <w:rPr>
                <w:color w:val="0000FF"/>
              </w:rPr>
              <w:t xml:space="preserve"> M, Yonas H; on behalf of the American Heart Association Stroke Council, Council on Cardiovascular Nursing, Council on Peripheral Vascular Disease, and Council on Clinical Cardiology. Guidelines for the early management of patients with acute ischemic stroke: </w:t>
            </w:r>
            <w:r w:rsidR="00790A20">
              <w:rPr>
                <w:color w:val="0000FF"/>
              </w:rPr>
              <w:t>A</w:t>
            </w:r>
            <w:r w:rsidR="00B079BA" w:rsidRPr="00133AC6">
              <w:rPr>
                <w:color w:val="0000FF"/>
              </w:rPr>
              <w:t xml:space="preserve"> guideline for healthcare professionals from the American Heart Association/American Stroke Association. Stroke. 2013;44</w:t>
            </w:r>
            <w:r w:rsidR="00B079BA">
              <w:rPr>
                <w:color w:val="0000FF"/>
              </w:rPr>
              <w:t xml:space="preserve">. Guideline available at: </w:t>
            </w:r>
            <w:hyperlink r:id="rId13" w:history="1">
              <w:r w:rsidR="00790A20" w:rsidRPr="008E7D22">
                <w:rPr>
                  <w:rStyle w:val="Hyperlink"/>
                </w:rPr>
                <w:t>http://stroke.ahajournals.org/content/early/2013/01/31/ STR.0b013e318284056a.full.pdf+html</w:t>
              </w:r>
            </w:hyperlink>
            <w:r w:rsidR="00B079BA">
              <w:rPr>
                <w:color w:val="0000FF"/>
              </w:rPr>
              <w:t>.</w:t>
            </w:r>
          </w:p>
          <w:p w14:paraId="2643EB2E" w14:textId="77142C48" w:rsidR="00697B00" w:rsidRDefault="00882A9B" w:rsidP="00790A20">
            <w:pPr>
              <w:spacing w:before="45" w:after="45"/>
              <w:ind w:left="576" w:right="144" w:hanging="432"/>
              <w:jc w:val="both"/>
              <w:rPr>
                <w:color w:val="0000FF"/>
              </w:rPr>
            </w:pPr>
            <w:r>
              <w:rPr>
                <w:color w:val="0000FF"/>
              </w:rPr>
              <w:t>2—</w:t>
            </w:r>
            <w:r w:rsidR="00B079BA" w:rsidRPr="00A84801">
              <w:rPr>
                <w:color w:val="0000FF"/>
              </w:rPr>
              <w:t xml:space="preserve">Powers WJ, </w:t>
            </w:r>
            <w:proofErr w:type="spellStart"/>
            <w:r w:rsidR="00B079BA" w:rsidRPr="00A84801">
              <w:rPr>
                <w:color w:val="0000FF"/>
              </w:rPr>
              <w:t>Derdeyn</w:t>
            </w:r>
            <w:proofErr w:type="spellEnd"/>
            <w:r w:rsidR="00B079BA" w:rsidRPr="00A84801">
              <w:rPr>
                <w:color w:val="0000FF"/>
              </w:rPr>
              <w:t xml:space="preserve"> CP, Biller J, Coffey CS, Hoh BL, </w:t>
            </w:r>
            <w:proofErr w:type="spellStart"/>
            <w:r w:rsidR="00B079BA" w:rsidRPr="00A84801">
              <w:rPr>
                <w:color w:val="0000FF"/>
              </w:rPr>
              <w:t>Jauch</w:t>
            </w:r>
            <w:proofErr w:type="spellEnd"/>
            <w:r w:rsidR="00B079BA" w:rsidRPr="00A84801">
              <w:rPr>
                <w:color w:val="0000FF"/>
              </w:rPr>
              <w:t xml:space="preserve"> EC, Johnston KC, Johnston SC, </w:t>
            </w:r>
            <w:proofErr w:type="spellStart"/>
            <w:r w:rsidR="00B079BA" w:rsidRPr="00A84801">
              <w:rPr>
                <w:color w:val="0000FF"/>
              </w:rPr>
              <w:t>Khalessi</w:t>
            </w:r>
            <w:proofErr w:type="spellEnd"/>
            <w:r w:rsidR="00B079BA" w:rsidRPr="00A84801">
              <w:rPr>
                <w:color w:val="0000FF"/>
              </w:rPr>
              <w:t xml:space="preserve"> AA, Kidwell CS, </w:t>
            </w:r>
            <w:proofErr w:type="spellStart"/>
            <w:r w:rsidR="00B079BA" w:rsidRPr="00A84801">
              <w:rPr>
                <w:color w:val="0000FF"/>
              </w:rPr>
              <w:t>Meschia</w:t>
            </w:r>
            <w:proofErr w:type="spellEnd"/>
            <w:r w:rsidR="00B079BA" w:rsidRPr="00A84801">
              <w:rPr>
                <w:color w:val="0000FF"/>
              </w:rPr>
              <w:t xml:space="preserve"> JF, </w:t>
            </w:r>
            <w:proofErr w:type="spellStart"/>
            <w:r w:rsidR="00B079BA" w:rsidRPr="00A84801">
              <w:rPr>
                <w:color w:val="0000FF"/>
              </w:rPr>
              <w:t>Ovbiagele</w:t>
            </w:r>
            <w:proofErr w:type="spellEnd"/>
            <w:r w:rsidR="00B079BA" w:rsidRPr="00A84801">
              <w:rPr>
                <w:color w:val="0000FF"/>
              </w:rPr>
              <w:t xml:space="preserve"> B; </w:t>
            </w:r>
            <w:proofErr w:type="spellStart"/>
            <w:r w:rsidR="00B079BA" w:rsidRPr="00A84801">
              <w:rPr>
                <w:color w:val="0000FF"/>
              </w:rPr>
              <w:t>Yavagal</w:t>
            </w:r>
            <w:proofErr w:type="spellEnd"/>
            <w:r w:rsidR="00B079BA" w:rsidRPr="00A84801">
              <w:rPr>
                <w:color w:val="0000FF"/>
              </w:rPr>
              <w:t xml:space="preserve"> DR; on behalf of the American Heart Association Stroke Council. 2015 AHA/ASA focused update of the 2013 guidelines for the early management of patients with acute ischemic stroke regarding endovascular treatment: </w:t>
            </w:r>
            <w:r w:rsidR="008427CD">
              <w:rPr>
                <w:color w:val="0000FF"/>
              </w:rPr>
              <w:t>A</w:t>
            </w:r>
            <w:r w:rsidR="00B079BA" w:rsidRPr="00A84801">
              <w:rPr>
                <w:color w:val="0000FF"/>
              </w:rPr>
              <w:t xml:space="preserve"> guideline for healthcare professionals from the American Heart Association/American Stro</w:t>
            </w:r>
            <w:r w:rsidR="00B079BA">
              <w:rPr>
                <w:color w:val="0000FF"/>
              </w:rPr>
              <w:t>ke Association. Stroke. 2015;46. Guideline available at:</w:t>
            </w:r>
            <w:r w:rsidR="00B079BA" w:rsidRPr="00C1396F">
              <w:rPr>
                <w:color w:val="0000FF"/>
              </w:rPr>
              <w:t xml:space="preserve"> </w:t>
            </w:r>
            <w:hyperlink r:id="rId14" w:history="1">
              <w:r w:rsidR="00790A20" w:rsidRPr="008E7D22">
                <w:rPr>
                  <w:rStyle w:val="Hyperlink"/>
                </w:rPr>
                <w:t>http://stroke.ahajournals.org/content/early/2015/06/26/ STR.0000000000000074.full.pdf+html</w:t>
              </w:r>
            </w:hyperlink>
            <w:r w:rsidR="00B079BA">
              <w:rPr>
                <w:color w:val="0000FF"/>
              </w:rPr>
              <w:t>.</w:t>
            </w:r>
          </w:p>
          <w:p w14:paraId="0D374360" w14:textId="43F81FFC" w:rsidR="00B079BA" w:rsidRPr="00B079BA" w:rsidRDefault="00B079BA" w:rsidP="00790A20">
            <w:pPr>
              <w:spacing w:before="45" w:after="45"/>
              <w:ind w:left="576" w:right="144" w:hanging="432"/>
              <w:jc w:val="both"/>
              <w:rPr>
                <w:color w:val="0000FF"/>
              </w:rPr>
            </w:pPr>
            <w:r>
              <w:rPr>
                <w:color w:val="0000FF"/>
              </w:rPr>
              <w:t>3</w:t>
            </w:r>
            <w:r w:rsidR="00882A9B">
              <w:rPr>
                <w:color w:val="0000FF"/>
              </w:rPr>
              <w:t>—</w:t>
            </w:r>
            <w:r w:rsidRPr="00283386">
              <w:rPr>
                <w:rFonts w:cs="Segoe UI"/>
                <w:color w:val="0000FF"/>
              </w:rPr>
              <w:t xml:space="preserve">Powers WJ, </w:t>
            </w:r>
            <w:proofErr w:type="spellStart"/>
            <w:r w:rsidRPr="00283386">
              <w:rPr>
                <w:rFonts w:cs="Segoe UI"/>
                <w:color w:val="0000FF"/>
              </w:rPr>
              <w:t>Rabinstein</w:t>
            </w:r>
            <w:proofErr w:type="spellEnd"/>
            <w:r w:rsidRPr="00283386">
              <w:rPr>
                <w:rFonts w:cs="Segoe UI"/>
                <w:color w:val="0000FF"/>
              </w:rPr>
              <w:t xml:space="preserve"> AA, Ackerson T, Adeoye  OM, </w:t>
            </w:r>
            <w:proofErr w:type="spellStart"/>
            <w:r w:rsidRPr="00283386">
              <w:rPr>
                <w:rFonts w:cs="Segoe UI"/>
                <w:color w:val="0000FF"/>
              </w:rPr>
              <w:t>Bambakidis</w:t>
            </w:r>
            <w:proofErr w:type="spellEnd"/>
            <w:r w:rsidRPr="00283386">
              <w:rPr>
                <w:rFonts w:cs="Segoe UI"/>
                <w:color w:val="0000FF"/>
              </w:rPr>
              <w:t xml:space="preserve"> NC, Becker K, Biller J, Brown M, </w:t>
            </w:r>
            <w:proofErr w:type="spellStart"/>
            <w:r w:rsidRPr="00283386">
              <w:rPr>
                <w:rFonts w:cs="Segoe UI"/>
                <w:color w:val="0000FF"/>
              </w:rPr>
              <w:t>Damaerschalk</w:t>
            </w:r>
            <w:proofErr w:type="spellEnd"/>
            <w:r w:rsidRPr="00283386">
              <w:rPr>
                <w:rFonts w:cs="Segoe UI"/>
                <w:color w:val="0000FF"/>
              </w:rPr>
              <w:t xml:space="preserve"> BM, Hoh B, </w:t>
            </w:r>
            <w:proofErr w:type="spellStart"/>
            <w:r w:rsidRPr="00283386">
              <w:rPr>
                <w:rFonts w:cs="Segoe UI"/>
                <w:color w:val="0000FF"/>
              </w:rPr>
              <w:t>Jauch</w:t>
            </w:r>
            <w:proofErr w:type="spellEnd"/>
            <w:r w:rsidRPr="00283386">
              <w:rPr>
                <w:rFonts w:cs="Segoe UI"/>
                <w:color w:val="0000FF"/>
              </w:rPr>
              <w:t xml:space="preserve"> EC, Kidwell CS, Leslie-</w:t>
            </w:r>
            <w:proofErr w:type="spellStart"/>
            <w:r w:rsidRPr="00283386">
              <w:rPr>
                <w:rFonts w:cs="Segoe UI"/>
                <w:color w:val="0000FF"/>
              </w:rPr>
              <w:t>Mazwi</w:t>
            </w:r>
            <w:proofErr w:type="spellEnd"/>
            <w:r w:rsidRPr="00283386">
              <w:rPr>
                <w:rFonts w:cs="Segoe UI"/>
                <w:color w:val="0000FF"/>
              </w:rPr>
              <w:t xml:space="preserve"> TM, </w:t>
            </w:r>
            <w:proofErr w:type="spellStart"/>
            <w:r w:rsidRPr="00283386">
              <w:rPr>
                <w:rFonts w:cs="Segoe UI"/>
                <w:color w:val="0000FF"/>
              </w:rPr>
              <w:t>Ovbiagele</w:t>
            </w:r>
            <w:proofErr w:type="spellEnd"/>
            <w:r w:rsidRPr="00283386">
              <w:rPr>
                <w:rFonts w:cs="Segoe UI"/>
                <w:color w:val="0000FF"/>
              </w:rPr>
              <w:t xml:space="preserve"> B, Scott PA, </w:t>
            </w:r>
            <w:proofErr w:type="spellStart"/>
            <w:r w:rsidRPr="00283386">
              <w:rPr>
                <w:rFonts w:cs="Segoe UI"/>
                <w:color w:val="0000FF"/>
              </w:rPr>
              <w:t>Sheth</w:t>
            </w:r>
            <w:proofErr w:type="spellEnd"/>
            <w:r w:rsidRPr="00283386">
              <w:rPr>
                <w:rFonts w:cs="Segoe UI"/>
                <w:color w:val="0000FF"/>
              </w:rPr>
              <w:t xml:space="preserve"> KN, Southerland AM, Summers DV, </w:t>
            </w:r>
            <w:proofErr w:type="spellStart"/>
            <w:r w:rsidRPr="00283386">
              <w:rPr>
                <w:rFonts w:cs="Segoe UI"/>
                <w:color w:val="0000FF"/>
              </w:rPr>
              <w:t>Tirschwell</w:t>
            </w:r>
            <w:proofErr w:type="spellEnd"/>
            <w:r w:rsidRPr="00283386">
              <w:rPr>
                <w:rFonts w:cs="Segoe UI"/>
                <w:color w:val="0000FF"/>
              </w:rPr>
              <w:t xml:space="preserve"> DL; on behalf of the American Heart Association Stroke Council.</w:t>
            </w:r>
            <w:r w:rsidRPr="00283386">
              <w:rPr>
                <w:rFonts w:ascii="Segoe UI" w:hAnsi="Segoe UI" w:cs="Segoe UI"/>
                <w:color w:val="0000FF"/>
                <w:sz w:val="18"/>
                <w:szCs w:val="18"/>
              </w:rPr>
              <w:t xml:space="preserve"> </w:t>
            </w:r>
            <w:r w:rsidRPr="00283386">
              <w:rPr>
                <w:rFonts w:cs="Segoe UI"/>
                <w:color w:val="0000FF"/>
                <w:szCs w:val="18"/>
              </w:rPr>
              <w:t xml:space="preserve">2018 </w:t>
            </w:r>
            <w:r w:rsidR="008427CD" w:rsidRPr="00283386">
              <w:rPr>
                <w:rFonts w:cs="Segoe UI"/>
                <w:color w:val="0000FF"/>
                <w:szCs w:val="18"/>
              </w:rPr>
              <w:t>guidelines for the early management of patients with acute ischemic stroke</w:t>
            </w:r>
            <w:r w:rsidRPr="00283386">
              <w:rPr>
                <w:rFonts w:cs="Segoe UI"/>
                <w:color w:val="0000FF"/>
                <w:szCs w:val="18"/>
              </w:rPr>
              <w:t xml:space="preserve">: A </w:t>
            </w:r>
            <w:r w:rsidR="008427CD" w:rsidRPr="00283386">
              <w:rPr>
                <w:rFonts w:cs="Segoe UI"/>
                <w:color w:val="0000FF"/>
                <w:szCs w:val="18"/>
              </w:rPr>
              <w:t>guideline for healthcare professionals from t</w:t>
            </w:r>
            <w:r w:rsidRPr="00283386">
              <w:rPr>
                <w:rFonts w:cs="Segoe UI"/>
                <w:color w:val="0000FF"/>
                <w:szCs w:val="18"/>
              </w:rPr>
              <w:t xml:space="preserve">he American Heart Association/American Stroke Association. Stroke. 2018;e46. Guideline available at: </w:t>
            </w:r>
            <w:hyperlink r:id="rId15" w:history="1">
              <w:r w:rsidR="00790A20" w:rsidRPr="008E7D22">
                <w:rPr>
                  <w:rStyle w:val="Hyperlink"/>
                  <w:rFonts w:cs="Segoe UI"/>
                  <w:szCs w:val="18"/>
                </w:rPr>
                <w:t>https://www.ahajournals.org/doi/pdf/ 10.1161/STR.0000000000000158</w:t>
              </w:r>
            </w:hyperlink>
            <w:r>
              <w:rPr>
                <w:rFonts w:cs="Segoe UI"/>
                <w:szCs w:val="18"/>
              </w:rPr>
              <w:t>.</w:t>
            </w:r>
          </w:p>
        </w:tc>
      </w:tr>
      <w:tr w:rsidR="00F44A21" w14:paraId="0409BCF6" w14:textId="77777777" w:rsidTr="00790A20">
        <w:trPr>
          <w:trHeight w:val="1070"/>
        </w:trPr>
        <w:tc>
          <w:tcPr>
            <w:tcW w:w="3380" w:type="dxa"/>
          </w:tcPr>
          <w:p w14:paraId="06D8E2AF" w14:textId="3BC20ABC" w:rsidR="00F44A21" w:rsidRDefault="00FB19DA" w:rsidP="008427CD">
            <w:pPr>
              <w:pStyle w:val="TableParagraph"/>
              <w:ind w:left="144" w:right="144"/>
            </w:pPr>
            <w:r>
              <w:t>Quote the guideline or recommendation verbatim about the process, structure or intermediate outcome being measured. If not a guideline, summarize the</w:t>
            </w:r>
            <w:r w:rsidR="008427CD">
              <w:t xml:space="preserve"> </w:t>
            </w:r>
            <w:r>
              <w:t>conclusions from the SR.</w:t>
            </w:r>
          </w:p>
        </w:tc>
        <w:tc>
          <w:tcPr>
            <w:tcW w:w="7110" w:type="dxa"/>
          </w:tcPr>
          <w:p w14:paraId="45B20362" w14:textId="77777777" w:rsidR="00B079BA" w:rsidRPr="00B079BA" w:rsidRDefault="00B079BA" w:rsidP="008427CD">
            <w:pPr>
              <w:widowControl/>
              <w:adjustRightInd w:val="0"/>
              <w:spacing w:before="45" w:after="45"/>
              <w:ind w:left="144"/>
              <w:jc w:val="both"/>
              <w:rPr>
                <w:rFonts w:eastAsiaTheme="minorHAnsi"/>
                <w:color w:val="0000FF"/>
                <w:lang w:bidi="ar-SA"/>
              </w:rPr>
            </w:pPr>
            <w:r w:rsidRPr="0046006A">
              <w:rPr>
                <w:rFonts w:eastAsiaTheme="minorHAnsi"/>
                <w:i/>
                <w:color w:val="0000FF"/>
                <w:lang w:bidi="ar-SA"/>
              </w:rPr>
              <w:t>Guideline 1</w:t>
            </w:r>
            <w:r w:rsidRPr="00B079BA">
              <w:rPr>
                <w:rFonts w:eastAsiaTheme="minorHAnsi"/>
                <w:color w:val="0000FF"/>
                <w:lang w:bidi="ar-SA"/>
              </w:rPr>
              <w:t xml:space="preserve"> provides recommendations for patients with acute cerebral ischemic symptoms that have not yet resolved. Three recommendations support the measure’s clinical intent.</w:t>
            </w:r>
          </w:p>
          <w:p w14:paraId="79618D55" w14:textId="71FC3437" w:rsidR="00B079BA" w:rsidRPr="0046006A" w:rsidRDefault="00B079BA" w:rsidP="008427CD">
            <w:pPr>
              <w:widowControl/>
              <w:adjustRightInd w:val="0"/>
              <w:spacing w:before="45" w:after="45"/>
              <w:ind w:left="144"/>
              <w:jc w:val="both"/>
              <w:rPr>
                <w:rFonts w:eastAsiaTheme="minorHAnsi"/>
                <w:color w:val="0000FF"/>
                <w:u w:val="single"/>
                <w:lang w:bidi="ar-SA"/>
              </w:rPr>
            </w:pPr>
            <w:r w:rsidRPr="0046006A">
              <w:rPr>
                <w:rFonts w:eastAsiaTheme="minorHAnsi"/>
                <w:color w:val="0000FF"/>
                <w:u w:val="single"/>
                <w:lang w:bidi="ar-SA"/>
              </w:rPr>
              <w:t>Guideline 1 Recommendations: American Heart Association/ American Stroke Association</w:t>
            </w:r>
          </w:p>
          <w:p w14:paraId="2E77EAB2" w14:textId="7EB6B55F" w:rsidR="00B079BA" w:rsidRPr="00B079BA" w:rsidRDefault="00B079BA" w:rsidP="008427CD">
            <w:pPr>
              <w:pStyle w:val="ListParagraph"/>
              <w:widowControl/>
              <w:numPr>
                <w:ilvl w:val="0"/>
                <w:numId w:val="21"/>
              </w:numPr>
              <w:adjustRightInd w:val="0"/>
              <w:spacing w:before="45" w:after="45"/>
              <w:jc w:val="both"/>
              <w:rPr>
                <w:rFonts w:eastAsiaTheme="minorHAnsi"/>
                <w:color w:val="0000FF"/>
                <w:lang w:bidi="ar-SA"/>
              </w:rPr>
            </w:pPr>
            <w:r w:rsidRPr="00B079BA">
              <w:rPr>
                <w:rFonts w:eastAsiaTheme="minorHAnsi"/>
                <w:color w:val="0000FF"/>
                <w:lang w:bidi="ar-SA"/>
              </w:rPr>
              <w:t>Emergency imaging of the brain is recommended before initiating any specific therapy to treat acute ischemic stroke. In most instances, NECT [non-contrast-enhanced computed tomography] will provide the necessary information to make decisions about emergency management. (Unchanged from the previous guideline). (Class I, Level of Evidence A; pg. 18).</w:t>
            </w:r>
          </w:p>
          <w:p w14:paraId="49736908" w14:textId="3C5CD356" w:rsidR="00B079BA" w:rsidRPr="00B079BA" w:rsidRDefault="00B079BA" w:rsidP="008427CD">
            <w:pPr>
              <w:pStyle w:val="ListParagraph"/>
              <w:widowControl/>
              <w:numPr>
                <w:ilvl w:val="0"/>
                <w:numId w:val="21"/>
              </w:numPr>
              <w:adjustRightInd w:val="0"/>
              <w:spacing w:before="45" w:after="45"/>
              <w:jc w:val="both"/>
              <w:rPr>
                <w:rFonts w:eastAsiaTheme="minorHAnsi"/>
                <w:color w:val="0000FF"/>
                <w:lang w:bidi="ar-SA"/>
              </w:rPr>
            </w:pPr>
            <w:r w:rsidRPr="00B079BA">
              <w:rPr>
                <w:rFonts w:eastAsiaTheme="minorHAnsi"/>
                <w:color w:val="0000FF"/>
                <w:lang w:bidi="ar-SA"/>
              </w:rPr>
              <w:t xml:space="preserve">Either NECT or MRI is recommended before intravenous </w:t>
            </w:r>
            <w:proofErr w:type="spellStart"/>
            <w:r w:rsidRPr="00B079BA">
              <w:rPr>
                <w:rFonts w:eastAsiaTheme="minorHAnsi"/>
                <w:color w:val="0000FF"/>
                <w:lang w:bidi="ar-SA"/>
              </w:rPr>
              <w:t>rtPA</w:t>
            </w:r>
            <w:proofErr w:type="spellEnd"/>
            <w:r w:rsidRPr="00B079BA">
              <w:rPr>
                <w:rFonts w:eastAsiaTheme="minorHAnsi"/>
                <w:color w:val="0000FF"/>
                <w:lang w:bidi="ar-SA"/>
              </w:rPr>
              <w:t xml:space="preserve"> administration to exclude ICH [intracranial hemorrhage] (absolute contraindication) and to determine whether CT hypodensity or MRI hyperintensity of ischemia is present. (Revised from the 2009 imaging scientific statement). (Class I, Level of Evidence A; pg. 18).</w:t>
            </w:r>
          </w:p>
          <w:p w14:paraId="6B9144DA" w14:textId="54CC45E4" w:rsidR="00B079BA" w:rsidRPr="00B079BA" w:rsidRDefault="00B079BA" w:rsidP="008427CD">
            <w:pPr>
              <w:pStyle w:val="ListParagraph"/>
              <w:widowControl/>
              <w:numPr>
                <w:ilvl w:val="0"/>
                <w:numId w:val="21"/>
              </w:numPr>
              <w:adjustRightInd w:val="0"/>
              <w:spacing w:before="45" w:after="110"/>
              <w:jc w:val="both"/>
              <w:rPr>
                <w:rFonts w:eastAsiaTheme="minorHAnsi"/>
                <w:color w:val="0000FF"/>
                <w:lang w:bidi="ar-SA"/>
              </w:rPr>
            </w:pPr>
            <w:r w:rsidRPr="00B079BA">
              <w:rPr>
                <w:rFonts w:eastAsiaTheme="minorHAnsi"/>
                <w:color w:val="0000FF"/>
                <w:lang w:bidi="ar-SA"/>
              </w:rPr>
              <w:t>In intravenous fibrinolysis candidates, the brain imaging study should be interpreted within 45 minutes of patient arrival in the emergency department by a physician with expertise in reading CT and MRI studies of the brain parenchyma. (Revised from the previous guideline) (Class I, Level of Evidence C; pg. 3).</w:t>
            </w:r>
          </w:p>
          <w:p w14:paraId="3F0B3D15" w14:textId="77777777" w:rsidR="00B079BA" w:rsidRPr="00B079BA" w:rsidRDefault="00B079BA" w:rsidP="008427CD">
            <w:pPr>
              <w:widowControl/>
              <w:adjustRightInd w:val="0"/>
              <w:spacing w:before="45" w:after="45"/>
              <w:ind w:left="144"/>
              <w:jc w:val="both"/>
              <w:rPr>
                <w:rFonts w:eastAsiaTheme="minorHAnsi"/>
                <w:color w:val="0000FF"/>
                <w:lang w:bidi="ar-SA"/>
              </w:rPr>
            </w:pPr>
            <w:r w:rsidRPr="0046006A">
              <w:rPr>
                <w:rFonts w:eastAsiaTheme="minorHAnsi"/>
                <w:i/>
                <w:color w:val="0000FF"/>
                <w:lang w:bidi="ar-SA"/>
              </w:rPr>
              <w:t>Guideline 2</w:t>
            </w:r>
            <w:r w:rsidRPr="00B079BA">
              <w:rPr>
                <w:rFonts w:eastAsiaTheme="minorHAnsi"/>
                <w:color w:val="0000FF"/>
                <w:lang w:bidi="ar-SA"/>
              </w:rPr>
              <w:t xml:space="preserve"> provides a focused update of the current recommendations for the endovascular treatment of acute ischemic stroke. One recommendation supports the measure’s clinical intent.</w:t>
            </w:r>
          </w:p>
          <w:p w14:paraId="64BEB59D" w14:textId="3F01FE6D" w:rsidR="00B079BA" w:rsidRPr="0046006A" w:rsidRDefault="00B079BA" w:rsidP="008427CD">
            <w:pPr>
              <w:widowControl/>
              <w:adjustRightInd w:val="0"/>
              <w:spacing w:before="45" w:after="45"/>
              <w:ind w:left="144"/>
              <w:jc w:val="both"/>
              <w:rPr>
                <w:rFonts w:eastAsiaTheme="minorHAnsi"/>
                <w:color w:val="0000FF"/>
                <w:u w:val="single"/>
                <w:lang w:bidi="ar-SA"/>
              </w:rPr>
            </w:pPr>
            <w:r w:rsidRPr="0046006A">
              <w:rPr>
                <w:rFonts w:eastAsiaTheme="minorHAnsi"/>
                <w:color w:val="0000FF"/>
                <w:u w:val="single"/>
                <w:lang w:bidi="ar-SA"/>
              </w:rPr>
              <w:t xml:space="preserve">Guideline #2 Recommendation: American Heart Association/ American Stroke Association </w:t>
            </w:r>
          </w:p>
          <w:p w14:paraId="034A3C2E" w14:textId="528B7EE4" w:rsidR="00B079BA" w:rsidRPr="00B079BA" w:rsidRDefault="00B079BA" w:rsidP="008427CD">
            <w:pPr>
              <w:pStyle w:val="ListParagraph"/>
              <w:widowControl/>
              <w:numPr>
                <w:ilvl w:val="0"/>
                <w:numId w:val="22"/>
              </w:numPr>
              <w:adjustRightInd w:val="0"/>
              <w:spacing w:before="45" w:after="110"/>
              <w:jc w:val="both"/>
              <w:rPr>
                <w:rFonts w:eastAsiaTheme="minorHAnsi"/>
                <w:color w:val="0000FF"/>
                <w:lang w:bidi="ar-SA"/>
              </w:rPr>
            </w:pPr>
            <w:r w:rsidRPr="00B079BA">
              <w:rPr>
                <w:rFonts w:eastAsiaTheme="minorHAnsi"/>
                <w:color w:val="0000FF"/>
                <w:lang w:bidi="ar-SA"/>
              </w:rPr>
              <w:t xml:space="preserve">Emergency imaging of the brain is recommended before initiating any specific treatment for acute stroke. In most instances, nonenhanced CT will provide the necessary information to make decisions about emergency management. (Unchanged from the 2013 guideline). (Class I, Level of Evidence A; pg. </w:t>
            </w:r>
            <w:r w:rsidR="002E64CC">
              <w:rPr>
                <w:rFonts w:eastAsiaTheme="minorHAnsi"/>
                <w:color w:val="0000FF"/>
                <w:lang w:bidi="ar-SA"/>
              </w:rPr>
              <w:t>3032)</w:t>
            </w:r>
            <w:r w:rsidRPr="00B079BA">
              <w:rPr>
                <w:rFonts w:eastAsiaTheme="minorHAnsi"/>
                <w:color w:val="0000FF"/>
                <w:lang w:bidi="ar-SA"/>
              </w:rPr>
              <w:t>.</w:t>
            </w:r>
          </w:p>
          <w:p w14:paraId="0E61ABDA" w14:textId="5BB914CC" w:rsidR="00B079BA" w:rsidRPr="009C212D" w:rsidRDefault="00B079BA" w:rsidP="008427CD">
            <w:pPr>
              <w:widowControl/>
              <w:autoSpaceDE/>
              <w:autoSpaceDN/>
              <w:spacing w:before="45" w:after="45"/>
              <w:ind w:left="144"/>
              <w:jc w:val="both"/>
              <w:rPr>
                <w:color w:val="0000FF"/>
              </w:rPr>
            </w:pPr>
            <w:r>
              <w:rPr>
                <w:i/>
                <w:color w:val="0000FF"/>
              </w:rPr>
              <w:t xml:space="preserve">Guideline 3 </w:t>
            </w:r>
            <w:r>
              <w:rPr>
                <w:color w:val="0000FF"/>
              </w:rPr>
              <w:t>provides</w:t>
            </w:r>
            <w:r w:rsidR="00BB5BEC">
              <w:rPr>
                <w:color w:val="0000FF"/>
              </w:rPr>
              <w:t xml:space="preserve"> a comprehensive and</w:t>
            </w:r>
            <w:r>
              <w:rPr>
                <w:color w:val="0000FF"/>
              </w:rPr>
              <w:t xml:space="preserve"> </w:t>
            </w:r>
            <w:r w:rsidR="00BB5BEC">
              <w:rPr>
                <w:color w:val="0000FF"/>
              </w:rPr>
              <w:t>updated set of recommendations for patients with acute arterial ischemic stroke. Two</w:t>
            </w:r>
            <w:r w:rsidR="005947BA">
              <w:rPr>
                <w:color w:val="0000FF"/>
              </w:rPr>
              <w:t xml:space="preserve"> of the recommendations </w:t>
            </w:r>
            <w:r w:rsidR="006238CE">
              <w:rPr>
                <w:color w:val="0000FF"/>
              </w:rPr>
              <w:t>support</w:t>
            </w:r>
            <w:r w:rsidR="005947BA">
              <w:rPr>
                <w:color w:val="0000FF"/>
              </w:rPr>
              <w:t xml:space="preserve"> the measure’s intent.</w:t>
            </w:r>
            <w:r w:rsidR="00BB5BEC">
              <w:rPr>
                <w:color w:val="0000FF"/>
              </w:rPr>
              <w:t xml:space="preserve"> </w:t>
            </w:r>
            <w:r w:rsidR="00965F6A">
              <w:rPr>
                <w:color w:val="0000FF"/>
              </w:rPr>
              <w:t xml:space="preserve"> </w:t>
            </w:r>
          </w:p>
          <w:p w14:paraId="540A74FA" w14:textId="77777777" w:rsidR="00B079BA" w:rsidRDefault="00B079BA" w:rsidP="008427CD">
            <w:pPr>
              <w:widowControl/>
              <w:autoSpaceDE/>
              <w:autoSpaceDN/>
              <w:spacing w:before="45" w:after="45"/>
              <w:ind w:left="144"/>
              <w:jc w:val="both"/>
              <w:rPr>
                <w:color w:val="0000FF"/>
              </w:rPr>
            </w:pPr>
            <w:r w:rsidRPr="005914D7">
              <w:rPr>
                <w:color w:val="0000FF"/>
              </w:rPr>
              <w:t>Guideline #3</w:t>
            </w:r>
            <w:r>
              <w:rPr>
                <w:i/>
                <w:color w:val="0000FF"/>
              </w:rPr>
              <w:t xml:space="preserve"> Recommendation: </w:t>
            </w:r>
            <w:r w:rsidDel="003C6EA0">
              <w:rPr>
                <w:color w:val="0000FF"/>
              </w:rPr>
              <w:t xml:space="preserve">American </w:t>
            </w:r>
            <w:r>
              <w:rPr>
                <w:color w:val="0000FF"/>
              </w:rPr>
              <w:t>Heart Association/ American Stroke Association</w:t>
            </w:r>
          </w:p>
          <w:p w14:paraId="102D41E9" w14:textId="5E35C5C0" w:rsidR="006E0526" w:rsidRPr="00882A9B" w:rsidRDefault="006E0526" w:rsidP="008427CD">
            <w:pPr>
              <w:pStyle w:val="ListParagraph"/>
              <w:widowControl/>
              <w:numPr>
                <w:ilvl w:val="0"/>
                <w:numId w:val="23"/>
              </w:numPr>
              <w:autoSpaceDE/>
              <w:autoSpaceDN/>
              <w:spacing w:before="45" w:after="45"/>
              <w:jc w:val="both"/>
              <w:rPr>
                <w:color w:val="0000FF"/>
              </w:rPr>
            </w:pPr>
            <w:r w:rsidRPr="00283386">
              <w:rPr>
                <w:color w:val="0000FF"/>
              </w:rPr>
              <w:t xml:space="preserve">All patients admitted to hospital with suspected acute stroke should receive brain imaging evaluation on arrival to hospital. In most cases, </w:t>
            </w:r>
            <w:proofErr w:type="spellStart"/>
            <w:r w:rsidRPr="00283386">
              <w:rPr>
                <w:color w:val="0000FF"/>
              </w:rPr>
              <w:t>noncontrast</w:t>
            </w:r>
            <w:proofErr w:type="spellEnd"/>
            <w:r w:rsidRPr="00283386">
              <w:rPr>
                <w:color w:val="0000FF"/>
              </w:rPr>
              <w:t xml:space="preserve"> CT (NCCT) will provide the necessary information to make decisions about acute management. (Recommendation revised from 2013 guideline). (Class </w:t>
            </w:r>
            <w:r w:rsidR="002E64CC">
              <w:rPr>
                <w:color w:val="0000FF"/>
              </w:rPr>
              <w:t>I</w:t>
            </w:r>
            <w:r w:rsidRPr="00283386">
              <w:rPr>
                <w:color w:val="0000FF"/>
              </w:rPr>
              <w:t xml:space="preserve">, Level of Evidence </w:t>
            </w:r>
            <w:r w:rsidR="00BB5BEC" w:rsidRPr="00283386">
              <w:rPr>
                <w:color w:val="0000FF"/>
              </w:rPr>
              <w:t>B Nonrandomized</w:t>
            </w:r>
            <w:r w:rsidRPr="00283386">
              <w:rPr>
                <w:color w:val="0000FF"/>
              </w:rPr>
              <w:t>; pg.e58).</w:t>
            </w:r>
          </w:p>
          <w:p w14:paraId="79DBE5BF" w14:textId="4F845FFF" w:rsidR="00B079BA" w:rsidRPr="00882A9B" w:rsidRDefault="006E0526" w:rsidP="008427CD">
            <w:pPr>
              <w:pStyle w:val="ListParagraph"/>
              <w:widowControl/>
              <w:numPr>
                <w:ilvl w:val="0"/>
                <w:numId w:val="23"/>
              </w:numPr>
              <w:autoSpaceDE/>
              <w:autoSpaceDN/>
              <w:spacing w:before="45" w:after="45"/>
              <w:jc w:val="both"/>
              <w:rPr>
                <w:color w:val="0000FF"/>
              </w:rPr>
            </w:pPr>
            <w:r w:rsidRPr="00283386">
              <w:rPr>
                <w:color w:val="0000FF"/>
              </w:rPr>
              <w:t xml:space="preserve">Systems should be established so that brain imaging studies can be performed within 20 minutes of arrival in the ED in at least 50% of patients who may be candidates for IV alteplase and/or mechanical thrombectomy. (New recommendation). (Class </w:t>
            </w:r>
            <w:r w:rsidR="002E64CC">
              <w:rPr>
                <w:color w:val="0000FF"/>
              </w:rPr>
              <w:t>I</w:t>
            </w:r>
            <w:r w:rsidRPr="00283386">
              <w:rPr>
                <w:color w:val="0000FF"/>
              </w:rPr>
              <w:t xml:space="preserve">, Level of Evidence </w:t>
            </w:r>
            <w:r w:rsidR="00BB5BEC" w:rsidRPr="00283386">
              <w:rPr>
                <w:color w:val="0000FF"/>
              </w:rPr>
              <w:t>B Nonrandomized</w:t>
            </w:r>
            <w:r w:rsidRPr="00283386">
              <w:rPr>
                <w:color w:val="0000FF"/>
              </w:rPr>
              <w:t>; pg.e58).</w:t>
            </w:r>
          </w:p>
        </w:tc>
      </w:tr>
      <w:tr w:rsidR="00F44A21" w14:paraId="2C6DF062" w14:textId="77777777" w:rsidTr="00790A20">
        <w:trPr>
          <w:trHeight w:val="806"/>
        </w:trPr>
        <w:tc>
          <w:tcPr>
            <w:tcW w:w="3380" w:type="dxa"/>
          </w:tcPr>
          <w:p w14:paraId="04A2E47D" w14:textId="77777777" w:rsidR="00F44A21" w:rsidRDefault="00FB19DA" w:rsidP="00225CBD">
            <w:pPr>
              <w:pStyle w:val="TableParagraph"/>
              <w:ind w:left="144"/>
            </w:pPr>
            <w:r>
              <w:t xml:space="preserve">Grade assigned to the </w:t>
            </w:r>
            <w:r>
              <w:rPr>
                <w:b/>
              </w:rPr>
              <w:t xml:space="preserve">evidence </w:t>
            </w:r>
            <w:r>
              <w:t>associated with the recommendation with the</w:t>
            </w:r>
          </w:p>
          <w:p w14:paraId="78244EF2" w14:textId="77777777" w:rsidR="00F44A21" w:rsidRDefault="00FB19DA" w:rsidP="00225CBD">
            <w:pPr>
              <w:pStyle w:val="TableParagraph"/>
              <w:ind w:left="144"/>
            </w:pPr>
            <w:r>
              <w:t>definition of the grade</w:t>
            </w:r>
          </w:p>
        </w:tc>
        <w:tc>
          <w:tcPr>
            <w:tcW w:w="7110" w:type="dxa"/>
          </w:tcPr>
          <w:p w14:paraId="3026BCA0" w14:textId="2DBD1F8B" w:rsidR="00B079BA" w:rsidRPr="00F537D5" w:rsidRDefault="00B079BA" w:rsidP="008427CD">
            <w:pPr>
              <w:spacing w:before="45" w:after="45"/>
              <w:ind w:left="144" w:right="144"/>
              <w:jc w:val="both"/>
              <w:rPr>
                <w:color w:val="0000FF"/>
              </w:rPr>
            </w:pPr>
            <w:r>
              <w:rPr>
                <w:color w:val="0000FF"/>
              </w:rPr>
              <w:t>All relevant r</w:t>
            </w:r>
            <w:r w:rsidRPr="00D054F5">
              <w:rPr>
                <w:color w:val="0000FF"/>
              </w:rPr>
              <w:t xml:space="preserve">ecommendations </w:t>
            </w:r>
            <w:r>
              <w:rPr>
                <w:color w:val="0000FF"/>
              </w:rPr>
              <w:t>from</w:t>
            </w:r>
            <w:r w:rsidRPr="00D054F5">
              <w:rPr>
                <w:color w:val="0000FF"/>
              </w:rPr>
              <w:t xml:space="preserve"> </w:t>
            </w:r>
            <w:r w:rsidRPr="00D054F5">
              <w:rPr>
                <w:i/>
                <w:color w:val="0000FF"/>
              </w:rPr>
              <w:t>Guideline 1</w:t>
            </w:r>
            <w:r w:rsidRPr="00D054F5">
              <w:rPr>
                <w:color w:val="0000FF"/>
              </w:rPr>
              <w:t xml:space="preserve"> </w:t>
            </w:r>
            <w:r>
              <w:rPr>
                <w:color w:val="0000FF"/>
              </w:rPr>
              <w:t xml:space="preserve">received a </w:t>
            </w:r>
            <w:r w:rsidRPr="00D054F5">
              <w:rPr>
                <w:color w:val="0000FF"/>
                <w:u w:val="single"/>
              </w:rPr>
              <w:t>Class I</w:t>
            </w:r>
            <w:r w:rsidRPr="00D054F5">
              <w:rPr>
                <w:color w:val="0000FF"/>
              </w:rPr>
              <w:t xml:space="preserve"> </w:t>
            </w:r>
            <w:r>
              <w:rPr>
                <w:color w:val="0000FF"/>
              </w:rPr>
              <w:t xml:space="preserve">designation. </w:t>
            </w:r>
            <w:r w:rsidRPr="00D054F5">
              <w:rPr>
                <w:color w:val="0000FF"/>
              </w:rPr>
              <w:t xml:space="preserve">The evidence </w:t>
            </w:r>
            <w:r w:rsidRPr="00D569F5">
              <w:rPr>
                <w:color w:val="0000FF"/>
              </w:rPr>
              <w:t>(level of evidence</w:t>
            </w:r>
            <w:r>
              <w:rPr>
                <w:color w:val="0000FF"/>
              </w:rPr>
              <w:t xml:space="preserve"> A</w:t>
            </w:r>
            <w:r w:rsidRPr="00D569F5">
              <w:rPr>
                <w:color w:val="0000FF"/>
              </w:rPr>
              <w:t>) strongly and unambiguously support the recommendation</w:t>
            </w:r>
            <w:r>
              <w:rPr>
                <w:color w:val="0000FF"/>
              </w:rPr>
              <w:t xml:space="preserve">s to perform either an NECT or MRI before initiating treatment (and specifically before administering </w:t>
            </w:r>
            <w:proofErr w:type="spellStart"/>
            <w:r>
              <w:rPr>
                <w:color w:val="0000FF"/>
              </w:rPr>
              <w:t>tPA</w:t>
            </w:r>
            <w:proofErr w:type="spellEnd"/>
            <w:r>
              <w:rPr>
                <w:color w:val="0000FF"/>
              </w:rPr>
              <w:t>) for acute ischemic stroke</w:t>
            </w:r>
            <w:r w:rsidRPr="00D569F5">
              <w:rPr>
                <w:color w:val="0000FF"/>
              </w:rPr>
              <w:t xml:space="preserve">. </w:t>
            </w:r>
            <w:r w:rsidR="00A80D0B" w:rsidRPr="00D569F5">
              <w:rPr>
                <w:color w:val="0000FF"/>
              </w:rPr>
              <w:t>Additionally,</w:t>
            </w:r>
            <w:r w:rsidRPr="00D569F5">
              <w:rPr>
                <w:color w:val="0000FF"/>
              </w:rPr>
              <w:t xml:space="preserve"> there is a broad consensus in the medical community </w:t>
            </w:r>
            <w:r>
              <w:rPr>
                <w:color w:val="0000FF"/>
              </w:rPr>
              <w:t xml:space="preserve">(level of evidence C) </w:t>
            </w:r>
            <w:r w:rsidRPr="00D569F5">
              <w:rPr>
                <w:color w:val="0000FF"/>
              </w:rPr>
              <w:t>supporting th</w:t>
            </w:r>
            <w:r>
              <w:rPr>
                <w:color w:val="0000FF"/>
              </w:rPr>
              <w:t>e</w:t>
            </w:r>
            <w:r w:rsidRPr="00D569F5">
              <w:rPr>
                <w:color w:val="0000FF"/>
              </w:rPr>
              <w:t xml:space="preserve"> recommendation</w:t>
            </w:r>
            <w:r>
              <w:rPr>
                <w:color w:val="0000FF"/>
              </w:rPr>
              <w:t xml:space="preserve"> that the brain imaging should be interpreted within 45 minutes of ED arrival. The AHA Stroke Council asserts that</w:t>
            </w:r>
            <w:r w:rsidRPr="004C2E61">
              <w:rPr>
                <w:color w:val="0000FF"/>
              </w:rPr>
              <w:t xml:space="preserve"> </w:t>
            </w:r>
            <w:r>
              <w:rPr>
                <w:color w:val="0000FF"/>
              </w:rPr>
              <w:t xml:space="preserve">a </w:t>
            </w:r>
            <w:r w:rsidRPr="004C2E61">
              <w:rPr>
                <w:color w:val="0000FF"/>
              </w:rPr>
              <w:t xml:space="preserve">recommendation with Level of Evidence B or C does not imply </w:t>
            </w:r>
            <w:r>
              <w:rPr>
                <w:color w:val="0000FF"/>
              </w:rPr>
              <w:t>that the recommendation is weak, as m</w:t>
            </w:r>
            <w:r w:rsidRPr="004C2E61">
              <w:rPr>
                <w:color w:val="0000FF"/>
              </w:rPr>
              <w:t>any important clinical questions addressed in the guidelines do</w:t>
            </w:r>
            <w:r>
              <w:rPr>
                <w:color w:val="0000FF"/>
              </w:rPr>
              <w:t xml:space="preserve"> </w:t>
            </w:r>
            <w:r w:rsidRPr="004C2E61">
              <w:rPr>
                <w:color w:val="0000FF"/>
              </w:rPr>
              <w:t xml:space="preserve">not lend themselves to clinical trials. </w:t>
            </w:r>
            <w:r>
              <w:rPr>
                <w:color w:val="0000FF"/>
              </w:rPr>
              <w:t xml:space="preserve">Despite a limited pool of randomized control trial, there may be </w:t>
            </w:r>
            <w:r w:rsidRPr="004C2E61">
              <w:rPr>
                <w:color w:val="0000FF"/>
              </w:rPr>
              <w:t>clear clinical consensus that a particular test or therapy is useful</w:t>
            </w:r>
            <w:r>
              <w:rPr>
                <w:color w:val="0000FF"/>
              </w:rPr>
              <w:t xml:space="preserve"> </w:t>
            </w:r>
            <w:r w:rsidRPr="004C2E61">
              <w:rPr>
                <w:color w:val="0000FF"/>
              </w:rPr>
              <w:t xml:space="preserve">or effective. </w:t>
            </w:r>
            <w:r>
              <w:rPr>
                <w:color w:val="0000FF"/>
              </w:rPr>
              <w:t>Collectively, the evidence</w:t>
            </w:r>
            <w:r w:rsidRPr="00D569F5">
              <w:rPr>
                <w:color w:val="0000FF"/>
              </w:rPr>
              <w:t xml:space="preserve"> </w:t>
            </w:r>
            <w:r w:rsidRPr="00D054F5">
              <w:rPr>
                <w:color w:val="0000FF"/>
              </w:rPr>
              <w:t>support</w:t>
            </w:r>
            <w:r>
              <w:rPr>
                <w:color w:val="0000FF"/>
              </w:rPr>
              <w:t>s</w:t>
            </w:r>
            <w:r w:rsidRPr="00D054F5">
              <w:rPr>
                <w:color w:val="0000FF"/>
              </w:rPr>
              <w:t xml:space="preserve"> these recommendations</w:t>
            </w:r>
            <w:r>
              <w:rPr>
                <w:color w:val="0000FF"/>
              </w:rPr>
              <w:t>,</w:t>
            </w:r>
            <w:r w:rsidRPr="00D054F5">
              <w:rPr>
                <w:color w:val="0000FF"/>
              </w:rPr>
              <w:t xml:space="preserve"> demonstrat</w:t>
            </w:r>
            <w:r>
              <w:rPr>
                <w:color w:val="0000FF"/>
              </w:rPr>
              <w:t>ing</w:t>
            </w:r>
            <w:r w:rsidRPr="00D054F5">
              <w:rPr>
                <w:color w:val="0000FF"/>
              </w:rPr>
              <w:t xml:space="preserve"> consensus within the clinical community that </w:t>
            </w:r>
            <w:r>
              <w:rPr>
                <w:color w:val="0000FF"/>
              </w:rPr>
              <w:t xml:space="preserve">patients eligible for fibrinolysis should receive emergency imaging of the brain that should </w:t>
            </w:r>
            <w:r w:rsidRPr="00F537D5">
              <w:rPr>
                <w:color w:val="0000FF"/>
              </w:rPr>
              <w:t xml:space="preserve">be interpreted within 45 minutes of </w:t>
            </w:r>
            <w:r>
              <w:rPr>
                <w:color w:val="0000FF"/>
              </w:rPr>
              <w:t xml:space="preserve">ED </w:t>
            </w:r>
            <w:r w:rsidRPr="00F537D5">
              <w:rPr>
                <w:color w:val="0000FF"/>
              </w:rPr>
              <w:t xml:space="preserve">arrival by a qualified physician. </w:t>
            </w:r>
          </w:p>
          <w:p w14:paraId="17078FCD" w14:textId="77777777" w:rsidR="00B079BA" w:rsidRPr="00F537D5" w:rsidRDefault="00B079BA" w:rsidP="008427CD">
            <w:pPr>
              <w:spacing w:before="45" w:after="110"/>
              <w:ind w:left="144" w:right="144"/>
              <w:jc w:val="both"/>
              <w:rPr>
                <w:color w:val="0000FF"/>
                <w:u w:val="single"/>
              </w:rPr>
            </w:pPr>
            <w:r>
              <w:rPr>
                <w:color w:val="0000FF"/>
              </w:rPr>
              <w:t xml:space="preserve">The </w:t>
            </w:r>
            <w:r w:rsidRPr="008F2D27">
              <w:rPr>
                <w:color w:val="0000FF"/>
                <w:u w:val="single"/>
              </w:rPr>
              <w:t>Class I</w:t>
            </w:r>
            <w:r>
              <w:rPr>
                <w:color w:val="0000FF"/>
              </w:rPr>
              <w:t xml:space="preserve"> r</w:t>
            </w:r>
            <w:r w:rsidRPr="00F537D5">
              <w:rPr>
                <w:color w:val="0000FF"/>
              </w:rPr>
              <w:t xml:space="preserve">ecommendation </w:t>
            </w:r>
            <w:r>
              <w:rPr>
                <w:color w:val="0000FF"/>
              </w:rPr>
              <w:t>from</w:t>
            </w:r>
            <w:r w:rsidRPr="00F537D5">
              <w:rPr>
                <w:color w:val="0000FF"/>
              </w:rPr>
              <w:t xml:space="preserve"> </w:t>
            </w:r>
            <w:r w:rsidRPr="00F537D5">
              <w:rPr>
                <w:i/>
                <w:color w:val="0000FF"/>
              </w:rPr>
              <w:t>Guideline 2</w:t>
            </w:r>
            <w:r w:rsidRPr="00F537D5">
              <w:rPr>
                <w:color w:val="0000FF"/>
              </w:rPr>
              <w:t xml:space="preserve"> relate</w:t>
            </w:r>
            <w:r>
              <w:rPr>
                <w:color w:val="0000FF"/>
              </w:rPr>
              <w:t>s</w:t>
            </w:r>
            <w:r w:rsidRPr="00F537D5">
              <w:rPr>
                <w:color w:val="0000FF"/>
              </w:rPr>
              <w:t xml:space="preserve"> to the importance of expedited imaging</w:t>
            </w:r>
            <w:r>
              <w:rPr>
                <w:color w:val="0000FF"/>
              </w:rPr>
              <w:t>,</w:t>
            </w:r>
            <w:r w:rsidRPr="00F537D5">
              <w:rPr>
                <w:color w:val="0000FF"/>
              </w:rPr>
              <w:t xml:space="preserve"> </w:t>
            </w:r>
            <w:r>
              <w:rPr>
                <w:color w:val="0000FF"/>
              </w:rPr>
              <w:t>indicating</w:t>
            </w:r>
            <w:r w:rsidRPr="00F537D5">
              <w:rPr>
                <w:color w:val="0000FF"/>
              </w:rPr>
              <w:t xml:space="preserve"> consensus within the clinical community that emergency imaging is recommended regardless of the specific treatment being considered for acute stroke. </w:t>
            </w:r>
          </w:p>
          <w:p w14:paraId="48AE672E" w14:textId="77777777" w:rsidR="00B079BA" w:rsidRPr="00C1396F" w:rsidRDefault="00B079BA" w:rsidP="008427CD">
            <w:pPr>
              <w:spacing w:before="45" w:after="45"/>
              <w:ind w:left="144" w:right="144"/>
              <w:jc w:val="both"/>
              <w:rPr>
                <w:color w:val="0000FF"/>
              </w:rPr>
            </w:pPr>
            <w:r w:rsidRPr="00D37975">
              <w:rPr>
                <w:color w:val="0000FF"/>
                <w:u w:val="single"/>
              </w:rPr>
              <w:t>The following grading scale a</w:t>
            </w:r>
            <w:r>
              <w:rPr>
                <w:color w:val="0000FF"/>
                <w:u w:val="single"/>
              </w:rPr>
              <w:t xml:space="preserve">pplies to recommendations from </w:t>
            </w:r>
            <w:r w:rsidRPr="00391F2F">
              <w:rPr>
                <w:i/>
                <w:color w:val="0000FF"/>
                <w:u w:val="single"/>
              </w:rPr>
              <w:t>Guideline 1</w:t>
            </w:r>
            <w:r w:rsidRPr="00D37975">
              <w:rPr>
                <w:color w:val="0000FF"/>
                <w:u w:val="single"/>
              </w:rPr>
              <w:t>:</w:t>
            </w:r>
          </w:p>
          <w:p w14:paraId="65B92008" w14:textId="323511A0" w:rsidR="00B079BA" w:rsidRPr="00C1396F" w:rsidRDefault="00B079BA" w:rsidP="008427CD">
            <w:pPr>
              <w:spacing w:before="45" w:after="45"/>
              <w:ind w:left="144" w:right="144"/>
              <w:jc w:val="both"/>
              <w:rPr>
                <w:color w:val="0000FF"/>
              </w:rPr>
            </w:pPr>
            <w:r w:rsidRPr="00E05D6F">
              <w:rPr>
                <w:i/>
                <w:color w:val="0000FF"/>
                <w:u w:val="single"/>
              </w:rPr>
              <w:t>Recommendation A:</w:t>
            </w:r>
            <w:r>
              <w:rPr>
                <w:i/>
                <w:color w:val="0000FF"/>
              </w:rPr>
              <w:t xml:space="preserve"> Class I</w:t>
            </w:r>
            <w:r w:rsidRPr="00BA25D2">
              <w:rPr>
                <w:i/>
                <w:color w:val="0000FF"/>
              </w:rPr>
              <w:t>:</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0A0EC853" w14:textId="6350EA30" w:rsidR="00B079BA" w:rsidRPr="00C1396F" w:rsidRDefault="00B079BA" w:rsidP="008427CD">
            <w:pPr>
              <w:spacing w:before="45" w:after="45"/>
              <w:ind w:left="144" w:right="144"/>
              <w:jc w:val="both"/>
              <w:rPr>
                <w:color w:val="0000FF"/>
              </w:rPr>
            </w:pPr>
            <w:r w:rsidRPr="00E05D6F">
              <w:rPr>
                <w:i/>
                <w:color w:val="0000FF"/>
                <w:u w:val="single"/>
              </w:rPr>
              <w:t>Recommendation B:</w:t>
            </w:r>
            <w:r w:rsidRPr="00BA25D2">
              <w:rPr>
                <w:i/>
                <w:color w:val="0000FF"/>
              </w:rPr>
              <w:t xml:space="preserve"> Class I:</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7427BD77" w14:textId="71ABB523" w:rsidR="00B079BA" w:rsidRPr="00C1396F" w:rsidRDefault="00B079BA" w:rsidP="008427CD">
            <w:pPr>
              <w:spacing w:before="45" w:after="110"/>
              <w:ind w:left="144" w:right="144"/>
              <w:jc w:val="both"/>
              <w:rPr>
                <w:color w:val="0000FF"/>
              </w:rPr>
            </w:pPr>
            <w:r w:rsidRPr="00E05D6F">
              <w:rPr>
                <w:i/>
                <w:color w:val="0000FF"/>
                <w:u w:val="single"/>
              </w:rPr>
              <w:t>Recommendation C:</w:t>
            </w:r>
            <w:r w:rsidRPr="00BA25D2">
              <w:rPr>
                <w:i/>
                <w:color w:val="0000FF"/>
              </w:rPr>
              <w:t xml:space="preserve"> </w:t>
            </w:r>
            <w:r>
              <w:rPr>
                <w:i/>
                <w:color w:val="0000FF"/>
              </w:rPr>
              <w:t>Class I</w:t>
            </w:r>
            <w:r w:rsidRPr="00BA25D2">
              <w:rPr>
                <w:i/>
                <w:color w:val="0000FF"/>
              </w:rPr>
              <w:t>:</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128C1E07" w14:textId="77777777" w:rsidR="00B079BA" w:rsidRPr="00C1396F" w:rsidRDefault="00B079BA" w:rsidP="008427CD">
            <w:pPr>
              <w:spacing w:before="45" w:after="45"/>
              <w:ind w:left="144" w:right="144"/>
              <w:jc w:val="both"/>
              <w:rPr>
                <w:color w:val="0000FF"/>
              </w:rPr>
            </w:pPr>
            <w:r>
              <w:rPr>
                <w:color w:val="0000FF"/>
                <w:u w:val="single"/>
              </w:rPr>
              <w:t>The following evidence</w:t>
            </w:r>
            <w:r w:rsidRPr="00D37975">
              <w:rPr>
                <w:color w:val="0000FF"/>
                <w:u w:val="single"/>
              </w:rPr>
              <w:t xml:space="preserve"> scale</w:t>
            </w:r>
            <w:r>
              <w:rPr>
                <w:color w:val="0000FF"/>
                <w:u w:val="single"/>
              </w:rPr>
              <w:t>s</w:t>
            </w:r>
            <w:r w:rsidRPr="00D37975">
              <w:rPr>
                <w:color w:val="0000FF"/>
                <w:u w:val="single"/>
              </w:rPr>
              <w:t xml:space="preserve"> a</w:t>
            </w:r>
            <w:r>
              <w:rPr>
                <w:color w:val="0000FF"/>
                <w:u w:val="single"/>
              </w:rPr>
              <w:t xml:space="preserve">pply to recommendations from </w:t>
            </w:r>
            <w:r w:rsidRPr="00391F2F">
              <w:rPr>
                <w:i/>
                <w:color w:val="0000FF"/>
                <w:u w:val="single"/>
              </w:rPr>
              <w:t>Guideline 1</w:t>
            </w:r>
            <w:r w:rsidRPr="00D37975">
              <w:rPr>
                <w:color w:val="0000FF"/>
                <w:u w:val="single"/>
              </w:rPr>
              <w:t>:</w:t>
            </w:r>
          </w:p>
          <w:p w14:paraId="2468A74B" w14:textId="77777777" w:rsidR="00B079BA" w:rsidRPr="00C1396F" w:rsidRDefault="00B079BA" w:rsidP="008427CD">
            <w:pPr>
              <w:spacing w:before="45" w:after="45"/>
              <w:ind w:left="144" w:right="144"/>
              <w:jc w:val="both"/>
              <w:rPr>
                <w:color w:val="0000FF"/>
              </w:rPr>
            </w:pPr>
            <w:r>
              <w:rPr>
                <w:color w:val="0000FF"/>
              </w:rPr>
              <w:t>One class of recommendations: Class I</w:t>
            </w:r>
          </w:p>
          <w:p w14:paraId="5DE6BD4A" w14:textId="77777777" w:rsidR="00B079BA" w:rsidRPr="00C1396F" w:rsidRDefault="00B079BA" w:rsidP="008427CD">
            <w:pPr>
              <w:spacing w:before="45" w:after="45"/>
              <w:ind w:left="144" w:right="144"/>
              <w:jc w:val="both"/>
              <w:rPr>
                <w:color w:val="0000FF"/>
              </w:rPr>
            </w:pPr>
            <w:r w:rsidRPr="00147889">
              <w:rPr>
                <w:i/>
                <w:color w:val="0000FF"/>
              </w:rPr>
              <w:t>Class I:</w:t>
            </w:r>
            <w:r w:rsidRPr="00C1396F">
              <w:rPr>
                <w:color w:val="0000FF"/>
              </w:rPr>
              <w:t xml:space="preserve"> Evidence and/or general agreement that given treatment or procedure is beneficial, useful, and effective. </w:t>
            </w:r>
          </w:p>
          <w:p w14:paraId="181CB526" w14:textId="77777777" w:rsidR="00B079BA" w:rsidRPr="00C1396F" w:rsidRDefault="00B079BA" w:rsidP="008427CD">
            <w:pPr>
              <w:spacing w:before="45" w:after="45"/>
              <w:ind w:left="144" w:right="144"/>
              <w:jc w:val="both"/>
              <w:rPr>
                <w:color w:val="0000FF"/>
              </w:rPr>
            </w:pPr>
            <w:r>
              <w:rPr>
                <w:color w:val="0000FF"/>
              </w:rPr>
              <w:t xml:space="preserve">Two levels of evidence: Level A </w:t>
            </w:r>
            <w:r w:rsidRPr="00C1396F">
              <w:rPr>
                <w:color w:val="0000FF"/>
              </w:rPr>
              <w:t xml:space="preserve">and Level C. </w:t>
            </w:r>
          </w:p>
          <w:p w14:paraId="205E2921" w14:textId="77777777" w:rsidR="00B079BA" w:rsidRPr="00C1396F" w:rsidRDefault="00B079BA" w:rsidP="008427CD">
            <w:pPr>
              <w:spacing w:before="45" w:after="45"/>
              <w:ind w:left="144" w:right="144"/>
              <w:jc w:val="both"/>
              <w:rPr>
                <w:color w:val="0000FF"/>
              </w:rPr>
            </w:pPr>
            <w:r w:rsidRPr="00474DF7">
              <w:rPr>
                <w:i/>
                <w:color w:val="0000FF"/>
              </w:rPr>
              <w:t>Level A:</w:t>
            </w:r>
            <w:r w:rsidRPr="00C1396F">
              <w:rPr>
                <w:color w:val="0000FF"/>
              </w:rPr>
              <w:t xml:space="preserve"> Data derived from multiple randomized clinical trials or meta-analyses. </w:t>
            </w:r>
          </w:p>
          <w:p w14:paraId="1B231875" w14:textId="5203332C" w:rsidR="00BD22CD" w:rsidRPr="0046006A" w:rsidRDefault="00B079BA" w:rsidP="008427CD">
            <w:pPr>
              <w:spacing w:before="45" w:after="45"/>
              <w:ind w:left="144" w:right="144"/>
              <w:jc w:val="both"/>
              <w:rPr>
                <w:color w:val="0000FF"/>
              </w:rPr>
            </w:pPr>
            <w:r w:rsidRPr="00474DF7">
              <w:rPr>
                <w:i/>
                <w:color w:val="0000FF"/>
              </w:rPr>
              <w:t>Level C:</w:t>
            </w:r>
            <w:r w:rsidRPr="00C1396F">
              <w:rPr>
                <w:color w:val="0000FF"/>
              </w:rPr>
              <w:t xml:space="preserve"> Consensus of opinion of the experts and/or small studies, retrospective studies, registries.</w:t>
            </w:r>
          </w:p>
        </w:tc>
      </w:tr>
      <w:tr w:rsidR="00F44A21" w14:paraId="1455D1CA" w14:textId="77777777" w:rsidTr="00790A20">
        <w:trPr>
          <w:trHeight w:val="537"/>
        </w:trPr>
        <w:tc>
          <w:tcPr>
            <w:tcW w:w="3380" w:type="dxa"/>
          </w:tcPr>
          <w:p w14:paraId="275A9133" w14:textId="33366248" w:rsidR="00F44A21" w:rsidRDefault="00FB19DA" w:rsidP="0038625E">
            <w:pPr>
              <w:pStyle w:val="TableParagraph"/>
              <w:ind w:left="144"/>
            </w:pPr>
            <w:r>
              <w:t>Provide all other grades and definitions</w:t>
            </w:r>
            <w:r w:rsidR="0038625E">
              <w:t xml:space="preserve"> </w:t>
            </w:r>
            <w:r>
              <w:t>from the evidence grading system</w:t>
            </w:r>
          </w:p>
        </w:tc>
        <w:tc>
          <w:tcPr>
            <w:tcW w:w="7110" w:type="dxa"/>
          </w:tcPr>
          <w:p w14:paraId="1ABC9326" w14:textId="77777777" w:rsidR="00B22713" w:rsidRPr="005C6F63" w:rsidRDefault="00B22713" w:rsidP="0038625E">
            <w:pPr>
              <w:spacing w:before="45" w:after="45"/>
              <w:ind w:left="144" w:right="144"/>
              <w:jc w:val="both"/>
              <w:rPr>
                <w:b/>
                <w:color w:val="0000FF"/>
              </w:rPr>
            </w:pPr>
            <w:r w:rsidRPr="005C6F63">
              <w:rPr>
                <w:b/>
                <w:color w:val="0000FF"/>
                <w:u w:val="single"/>
              </w:rPr>
              <w:t xml:space="preserve">The following grading scale applies to recommendations from </w:t>
            </w:r>
            <w:r w:rsidRPr="005C6F63">
              <w:rPr>
                <w:b/>
                <w:i/>
                <w:color w:val="0000FF"/>
                <w:u w:val="single"/>
              </w:rPr>
              <w:t>Guideline 2</w:t>
            </w:r>
            <w:r w:rsidRPr="005C6F63">
              <w:rPr>
                <w:b/>
                <w:color w:val="0000FF"/>
                <w:u w:val="single"/>
              </w:rPr>
              <w:t>:</w:t>
            </w:r>
          </w:p>
          <w:p w14:paraId="4F65E5C1" w14:textId="77777777" w:rsidR="00B22713" w:rsidRPr="00C1396F" w:rsidRDefault="00B22713" w:rsidP="0038625E">
            <w:pPr>
              <w:spacing w:before="45" w:after="45"/>
              <w:ind w:left="144" w:right="144"/>
              <w:jc w:val="both"/>
              <w:rPr>
                <w:color w:val="0000FF"/>
              </w:rPr>
            </w:pPr>
            <w:r w:rsidRPr="00E05D6F">
              <w:rPr>
                <w:i/>
                <w:color w:val="0000FF"/>
                <w:u w:val="single"/>
              </w:rPr>
              <w:t>Recommendation A:</w:t>
            </w:r>
            <w:r>
              <w:rPr>
                <w:i/>
                <w:color w:val="0000FF"/>
              </w:rPr>
              <w:t xml:space="preserve"> Class I, Level A</w:t>
            </w:r>
            <w:r w:rsidRPr="00BA25D2">
              <w:rPr>
                <w:i/>
                <w:color w:val="0000FF"/>
              </w:rPr>
              <w:t>:</w:t>
            </w:r>
            <w:r w:rsidRPr="00C1396F">
              <w:rPr>
                <w:color w:val="0000FF"/>
              </w:rPr>
              <w:t xml:space="preserve"> Usefulness/efficacy is well established by evidence/opinion.</w:t>
            </w:r>
          </w:p>
          <w:p w14:paraId="1BCFBC3C" w14:textId="77777777" w:rsidR="00B22713" w:rsidRPr="00C1396F" w:rsidRDefault="00B22713" w:rsidP="0038625E">
            <w:pPr>
              <w:spacing w:before="45" w:after="45"/>
              <w:ind w:left="144" w:right="144"/>
              <w:jc w:val="both"/>
              <w:rPr>
                <w:color w:val="0000FF"/>
              </w:rPr>
            </w:pPr>
            <w:r>
              <w:rPr>
                <w:color w:val="0000FF"/>
                <w:u w:val="single"/>
              </w:rPr>
              <w:t>The following evidence</w:t>
            </w:r>
            <w:r w:rsidRPr="00D37975">
              <w:rPr>
                <w:color w:val="0000FF"/>
                <w:u w:val="single"/>
              </w:rPr>
              <w:t xml:space="preserve"> scale</w:t>
            </w:r>
            <w:r>
              <w:rPr>
                <w:color w:val="0000FF"/>
                <w:u w:val="single"/>
              </w:rPr>
              <w:t>s</w:t>
            </w:r>
            <w:r w:rsidRPr="00D37975">
              <w:rPr>
                <w:color w:val="0000FF"/>
                <w:u w:val="single"/>
              </w:rPr>
              <w:t xml:space="preserve"> a</w:t>
            </w:r>
            <w:r>
              <w:rPr>
                <w:color w:val="0000FF"/>
                <w:u w:val="single"/>
              </w:rPr>
              <w:t>pply to recommendations from Guideline 2</w:t>
            </w:r>
            <w:r w:rsidRPr="00D37975">
              <w:rPr>
                <w:color w:val="0000FF"/>
                <w:u w:val="single"/>
              </w:rPr>
              <w:t>:</w:t>
            </w:r>
          </w:p>
          <w:p w14:paraId="0B74FDF3" w14:textId="77777777" w:rsidR="00B22713" w:rsidRPr="00C1396F" w:rsidRDefault="00B22713" w:rsidP="0038625E">
            <w:pPr>
              <w:spacing w:before="45" w:after="45"/>
              <w:ind w:left="144" w:right="144"/>
              <w:jc w:val="both"/>
              <w:rPr>
                <w:color w:val="0000FF"/>
              </w:rPr>
            </w:pPr>
            <w:r>
              <w:rPr>
                <w:color w:val="0000FF"/>
              </w:rPr>
              <w:t>Two</w:t>
            </w:r>
            <w:r w:rsidRPr="00C1396F">
              <w:rPr>
                <w:color w:val="0000FF"/>
              </w:rPr>
              <w:t xml:space="preserve"> classes of reco</w:t>
            </w:r>
            <w:r>
              <w:rPr>
                <w:color w:val="0000FF"/>
              </w:rPr>
              <w:t>mmendations: Class I and Class IIb</w:t>
            </w:r>
          </w:p>
          <w:p w14:paraId="223F16F1" w14:textId="28014BEB" w:rsidR="00B22713" w:rsidRPr="00C1396F" w:rsidRDefault="00B22713" w:rsidP="0038625E">
            <w:pPr>
              <w:spacing w:before="45" w:after="45"/>
              <w:ind w:left="144" w:right="144"/>
              <w:jc w:val="both"/>
              <w:rPr>
                <w:color w:val="0000FF"/>
              </w:rPr>
            </w:pPr>
            <w:r w:rsidRPr="00953640">
              <w:rPr>
                <w:i/>
                <w:color w:val="0000FF"/>
              </w:rPr>
              <w:t>Class I:</w:t>
            </w:r>
            <w:r w:rsidRPr="00C1396F">
              <w:rPr>
                <w:color w:val="0000FF"/>
              </w:rPr>
              <w:t xml:space="preserve"> Benefit &gt;&gt;&gt; Risk. </w:t>
            </w:r>
            <w:r>
              <w:rPr>
                <w:color w:val="0000FF"/>
              </w:rPr>
              <w:t>Procedure/treatment SHOULD be performed/</w:t>
            </w:r>
            <w:r w:rsidR="0038625E">
              <w:rPr>
                <w:color w:val="0000FF"/>
              </w:rPr>
              <w:t xml:space="preserve"> </w:t>
            </w:r>
            <w:r w:rsidRPr="00C1396F">
              <w:rPr>
                <w:color w:val="0000FF"/>
              </w:rPr>
              <w:t xml:space="preserve">administered. </w:t>
            </w:r>
          </w:p>
          <w:p w14:paraId="1BB5AFCB" w14:textId="77777777" w:rsidR="00B22713" w:rsidRPr="00C1396F" w:rsidRDefault="00B22713" w:rsidP="0038625E">
            <w:pPr>
              <w:spacing w:before="45" w:after="45"/>
              <w:ind w:left="144" w:right="144"/>
              <w:jc w:val="both"/>
              <w:rPr>
                <w:color w:val="0000FF"/>
              </w:rPr>
            </w:pPr>
            <w:r>
              <w:rPr>
                <w:color w:val="0000FF"/>
              </w:rPr>
              <w:t>One</w:t>
            </w:r>
            <w:r w:rsidRPr="00C1396F">
              <w:rPr>
                <w:color w:val="0000FF"/>
              </w:rPr>
              <w:t xml:space="preserve"> level of evidence: Level A. </w:t>
            </w:r>
          </w:p>
          <w:p w14:paraId="6037F926" w14:textId="77777777" w:rsidR="00F44A21" w:rsidRDefault="00B22713" w:rsidP="0038625E">
            <w:pPr>
              <w:spacing w:before="45" w:after="110"/>
              <w:ind w:left="144" w:right="144"/>
              <w:jc w:val="both"/>
              <w:rPr>
                <w:color w:val="0000FF"/>
              </w:rPr>
            </w:pPr>
            <w:r w:rsidRPr="00147889">
              <w:rPr>
                <w:i/>
                <w:color w:val="0000FF"/>
              </w:rPr>
              <w:t>Level A:</w:t>
            </w:r>
            <w:r w:rsidRPr="00C1396F">
              <w:rPr>
                <w:color w:val="0000FF"/>
              </w:rPr>
              <w:t xml:space="preserve"> Data derived from multiple randomized clinical trials or meta-analyses. </w:t>
            </w:r>
          </w:p>
          <w:p w14:paraId="40650336" w14:textId="77777777" w:rsidR="00E35CB4" w:rsidRDefault="00B22713" w:rsidP="0038625E">
            <w:pPr>
              <w:spacing w:before="45" w:after="45"/>
              <w:ind w:left="144" w:right="144"/>
              <w:jc w:val="both"/>
              <w:rPr>
                <w:b/>
                <w:i/>
                <w:color w:val="0000FF"/>
                <w:u w:val="single"/>
              </w:rPr>
            </w:pPr>
            <w:r w:rsidRPr="005C6F63">
              <w:rPr>
                <w:b/>
                <w:color w:val="0000FF"/>
                <w:u w:val="single"/>
              </w:rPr>
              <w:t>The following grading scale applies to recommendations from</w:t>
            </w:r>
            <w:r>
              <w:rPr>
                <w:b/>
                <w:color w:val="0000FF"/>
                <w:u w:val="single"/>
              </w:rPr>
              <w:t xml:space="preserve"> </w:t>
            </w:r>
            <w:r>
              <w:rPr>
                <w:b/>
                <w:i/>
                <w:color w:val="0000FF"/>
                <w:u w:val="single"/>
              </w:rPr>
              <w:t>Guideline 3</w:t>
            </w:r>
            <w:r w:rsidR="00E35CB4">
              <w:rPr>
                <w:b/>
                <w:i/>
                <w:color w:val="0000FF"/>
                <w:u w:val="single"/>
              </w:rPr>
              <w:t>:</w:t>
            </w:r>
          </w:p>
          <w:p w14:paraId="453488F0" w14:textId="2FB1505E" w:rsidR="00B22713" w:rsidRPr="00E35CB4" w:rsidRDefault="005947BA" w:rsidP="0038625E">
            <w:pPr>
              <w:spacing w:before="45" w:after="45"/>
              <w:ind w:left="144" w:right="144"/>
              <w:jc w:val="both"/>
              <w:rPr>
                <w:i/>
                <w:color w:val="0000FF"/>
              </w:rPr>
            </w:pPr>
            <w:r w:rsidRPr="00E35CB4">
              <w:rPr>
                <w:i/>
                <w:color w:val="0000FF"/>
              </w:rPr>
              <w:t xml:space="preserve">Recommendation A: Class </w:t>
            </w:r>
            <w:r w:rsidR="002E64CC" w:rsidRPr="00E35CB4">
              <w:rPr>
                <w:i/>
                <w:color w:val="0000FF"/>
              </w:rPr>
              <w:t>I</w:t>
            </w:r>
            <w:r w:rsidRPr="00E35CB4">
              <w:rPr>
                <w:i/>
                <w:color w:val="0000FF"/>
              </w:rPr>
              <w:t>, Level B</w:t>
            </w:r>
            <w:r w:rsidR="00283386" w:rsidRPr="00E35CB4">
              <w:rPr>
                <w:i/>
                <w:color w:val="0000FF"/>
              </w:rPr>
              <w:t>-NR (Nonrandomized)</w:t>
            </w:r>
            <w:r w:rsidRPr="00E35CB4">
              <w:rPr>
                <w:i/>
                <w:color w:val="0000FF"/>
              </w:rPr>
              <w:t>:</w:t>
            </w:r>
            <w:r w:rsidR="00283386" w:rsidRPr="00E35CB4">
              <w:rPr>
                <w:i/>
                <w:color w:val="0000FF"/>
              </w:rPr>
              <w:t xml:space="preserve"> </w:t>
            </w:r>
            <w:r w:rsidR="00283386" w:rsidRPr="00E35CB4">
              <w:rPr>
                <w:color w:val="0000FF"/>
              </w:rPr>
              <w:t>moderate-quality evidence from 1 or more well-designed, well-executed nonrandomized studies, observational studies, or registry studies; meta-analyses of such studies.</w:t>
            </w:r>
            <w:r w:rsidRPr="00E35CB4">
              <w:rPr>
                <w:i/>
                <w:color w:val="0000FF"/>
              </w:rPr>
              <w:t xml:space="preserve"> </w:t>
            </w:r>
          </w:p>
          <w:p w14:paraId="7235C865" w14:textId="61C1D14C" w:rsidR="005947BA" w:rsidRPr="00882A9B" w:rsidRDefault="005947BA" w:rsidP="0038625E">
            <w:pPr>
              <w:spacing w:before="45" w:after="45"/>
              <w:ind w:left="144" w:right="144"/>
              <w:jc w:val="both"/>
              <w:rPr>
                <w:i/>
                <w:color w:val="0000FF"/>
              </w:rPr>
            </w:pPr>
            <w:r w:rsidRPr="00E35CB4">
              <w:rPr>
                <w:i/>
                <w:color w:val="0000FF"/>
              </w:rPr>
              <w:t xml:space="preserve">Recommendation B: Class </w:t>
            </w:r>
            <w:r w:rsidR="002E64CC" w:rsidRPr="00E35CB4">
              <w:rPr>
                <w:i/>
                <w:color w:val="0000FF"/>
              </w:rPr>
              <w:t>I</w:t>
            </w:r>
            <w:r w:rsidRPr="00E35CB4">
              <w:rPr>
                <w:i/>
                <w:color w:val="0000FF"/>
              </w:rPr>
              <w:t>, Level B</w:t>
            </w:r>
            <w:r w:rsidR="00283386" w:rsidRPr="00E35CB4">
              <w:rPr>
                <w:i/>
                <w:color w:val="0000FF"/>
              </w:rPr>
              <w:t xml:space="preserve">-NR: </w:t>
            </w:r>
            <w:r w:rsidR="00283386" w:rsidRPr="00E35CB4">
              <w:rPr>
                <w:color w:val="0000FF"/>
              </w:rPr>
              <w:t>moderate-quality evidence from 1 or more well-designed, well-executed nonrandomized studies, observational studies, or registry studies; meta-analyses of such studies</w:t>
            </w:r>
            <w:r w:rsidR="00283386" w:rsidRPr="00E35CB4">
              <w:rPr>
                <w:i/>
                <w:color w:val="0000FF"/>
              </w:rPr>
              <w:t>.</w:t>
            </w:r>
          </w:p>
        </w:tc>
      </w:tr>
      <w:tr w:rsidR="00F44A21" w14:paraId="6B1A6B7A" w14:textId="77777777" w:rsidTr="00790A20">
        <w:trPr>
          <w:trHeight w:val="537"/>
        </w:trPr>
        <w:tc>
          <w:tcPr>
            <w:tcW w:w="3380" w:type="dxa"/>
          </w:tcPr>
          <w:p w14:paraId="1F27D97D" w14:textId="6ACC8210" w:rsidR="00F44A21" w:rsidRDefault="00FB19DA" w:rsidP="0038625E">
            <w:pPr>
              <w:pStyle w:val="TableParagraph"/>
              <w:ind w:left="144"/>
            </w:pPr>
            <w:r>
              <w:t xml:space="preserve">Grade assigned to the </w:t>
            </w:r>
            <w:r>
              <w:rPr>
                <w:b/>
              </w:rPr>
              <w:t>recommendation</w:t>
            </w:r>
            <w:r w:rsidR="0038625E">
              <w:rPr>
                <w:b/>
              </w:rPr>
              <w:t xml:space="preserve"> </w:t>
            </w:r>
            <w:r>
              <w:t>with definition of the grade</w:t>
            </w:r>
          </w:p>
        </w:tc>
        <w:tc>
          <w:tcPr>
            <w:tcW w:w="7110" w:type="dxa"/>
          </w:tcPr>
          <w:p w14:paraId="34789637" w14:textId="16FF280C" w:rsidR="00B22713" w:rsidRPr="00F537D5" w:rsidRDefault="005F036B" w:rsidP="0038625E">
            <w:pPr>
              <w:spacing w:before="45" w:after="110"/>
              <w:ind w:left="144" w:right="144"/>
              <w:jc w:val="both"/>
              <w:rPr>
                <w:color w:val="0000FF"/>
              </w:rPr>
            </w:pPr>
            <w:r w:rsidRPr="008E2707">
              <w:rPr>
                <w:rFonts w:asciiTheme="minorHAnsi" w:hAnsiTheme="minorHAnsi"/>
                <w:color w:val="0000FF"/>
              </w:rPr>
              <w:t xml:space="preserve"> </w:t>
            </w:r>
            <w:r w:rsidR="00B22713">
              <w:rPr>
                <w:color w:val="0000FF"/>
              </w:rPr>
              <w:t>All relevant r</w:t>
            </w:r>
            <w:r w:rsidR="00B22713" w:rsidRPr="00D054F5">
              <w:rPr>
                <w:color w:val="0000FF"/>
              </w:rPr>
              <w:t xml:space="preserve">ecommendations </w:t>
            </w:r>
            <w:r w:rsidR="00B22713">
              <w:rPr>
                <w:color w:val="0000FF"/>
              </w:rPr>
              <w:t>from</w:t>
            </w:r>
            <w:r w:rsidR="00B22713" w:rsidRPr="00D054F5">
              <w:rPr>
                <w:color w:val="0000FF"/>
              </w:rPr>
              <w:t xml:space="preserve"> </w:t>
            </w:r>
            <w:r w:rsidR="00B22713" w:rsidRPr="00D054F5">
              <w:rPr>
                <w:i/>
                <w:color w:val="0000FF"/>
              </w:rPr>
              <w:t>Guideline 1</w:t>
            </w:r>
            <w:r w:rsidR="00B22713" w:rsidRPr="00D054F5">
              <w:rPr>
                <w:color w:val="0000FF"/>
              </w:rPr>
              <w:t xml:space="preserve"> </w:t>
            </w:r>
            <w:r w:rsidR="00B22713">
              <w:rPr>
                <w:color w:val="0000FF"/>
              </w:rPr>
              <w:t xml:space="preserve">received a </w:t>
            </w:r>
            <w:r w:rsidR="00B22713" w:rsidRPr="00D054F5">
              <w:rPr>
                <w:color w:val="0000FF"/>
                <w:u w:val="single"/>
              </w:rPr>
              <w:t>Class I</w:t>
            </w:r>
            <w:r w:rsidR="00B22713" w:rsidRPr="00D054F5">
              <w:rPr>
                <w:color w:val="0000FF"/>
              </w:rPr>
              <w:t xml:space="preserve"> </w:t>
            </w:r>
            <w:r w:rsidR="00B22713">
              <w:rPr>
                <w:color w:val="0000FF"/>
              </w:rPr>
              <w:t xml:space="preserve">designation. </w:t>
            </w:r>
            <w:r w:rsidR="00B22713" w:rsidRPr="00D054F5">
              <w:rPr>
                <w:color w:val="0000FF"/>
              </w:rPr>
              <w:t xml:space="preserve">The evidence </w:t>
            </w:r>
            <w:r w:rsidR="00B22713" w:rsidRPr="00D569F5">
              <w:rPr>
                <w:color w:val="0000FF"/>
              </w:rPr>
              <w:t>(level of evidence</w:t>
            </w:r>
            <w:r w:rsidR="00B22713">
              <w:rPr>
                <w:color w:val="0000FF"/>
              </w:rPr>
              <w:t xml:space="preserve"> A</w:t>
            </w:r>
            <w:r w:rsidR="00B22713" w:rsidRPr="00D569F5">
              <w:rPr>
                <w:color w:val="0000FF"/>
              </w:rPr>
              <w:t>) strongly and unambiguously support the recommendation</w:t>
            </w:r>
            <w:r w:rsidR="00B22713">
              <w:rPr>
                <w:color w:val="0000FF"/>
              </w:rPr>
              <w:t xml:space="preserve">s to perform either an NECT or MRI before initiating treatment (and specifically before administering </w:t>
            </w:r>
            <w:proofErr w:type="spellStart"/>
            <w:r w:rsidR="00B22713">
              <w:rPr>
                <w:color w:val="0000FF"/>
              </w:rPr>
              <w:t>tPA</w:t>
            </w:r>
            <w:proofErr w:type="spellEnd"/>
            <w:r w:rsidR="00B22713">
              <w:rPr>
                <w:color w:val="0000FF"/>
              </w:rPr>
              <w:t>) for acute ischemic stroke</w:t>
            </w:r>
            <w:r w:rsidR="00B22713" w:rsidRPr="00D569F5">
              <w:rPr>
                <w:color w:val="0000FF"/>
              </w:rPr>
              <w:t xml:space="preserve">. </w:t>
            </w:r>
            <w:r w:rsidR="00A80D0B" w:rsidRPr="00D569F5">
              <w:rPr>
                <w:color w:val="0000FF"/>
              </w:rPr>
              <w:t>Additionally,</w:t>
            </w:r>
            <w:r w:rsidR="00B22713" w:rsidRPr="00D569F5">
              <w:rPr>
                <w:color w:val="0000FF"/>
              </w:rPr>
              <w:t xml:space="preserve"> </w:t>
            </w:r>
            <w:bookmarkStart w:id="3" w:name="_GoBack"/>
            <w:bookmarkEnd w:id="3"/>
            <w:r w:rsidR="00B22713" w:rsidRPr="00D569F5">
              <w:rPr>
                <w:color w:val="0000FF"/>
              </w:rPr>
              <w:t xml:space="preserve">there is a broad consensus in the medical community </w:t>
            </w:r>
            <w:r w:rsidR="00B22713">
              <w:rPr>
                <w:color w:val="0000FF"/>
              </w:rPr>
              <w:t xml:space="preserve">(level of evidence C) </w:t>
            </w:r>
            <w:r w:rsidR="00B22713" w:rsidRPr="00D569F5">
              <w:rPr>
                <w:color w:val="0000FF"/>
              </w:rPr>
              <w:t>supporting th</w:t>
            </w:r>
            <w:r w:rsidR="00B22713">
              <w:rPr>
                <w:color w:val="0000FF"/>
              </w:rPr>
              <w:t>e</w:t>
            </w:r>
            <w:r w:rsidR="00B22713" w:rsidRPr="00D569F5">
              <w:rPr>
                <w:color w:val="0000FF"/>
              </w:rPr>
              <w:t xml:space="preserve"> recommendation</w:t>
            </w:r>
            <w:r w:rsidR="00B22713">
              <w:rPr>
                <w:color w:val="0000FF"/>
              </w:rPr>
              <w:t xml:space="preserve"> that the brain imaging should be interpreted within 45 minutes of ED arrival. The AHA Stroke Council asserts that</w:t>
            </w:r>
            <w:r w:rsidR="00B22713" w:rsidRPr="004C2E61">
              <w:rPr>
                <w:color w:val="0000FF"/>
              </w:rPr>
              <w:t xml:space="preserve"> </w:t>
            </w:r>
            <w:r w:rsidR="00B22713">
              <w:rPr>
                <w:color w:val="0000FF"/>
              </w:rPr>
              <w:t xml:space="preserve">a </w:t>
            </w:r>
            <w:r w:rsidR="00B22713" w:rsidRPr="004C2E61">
              <w:rPr>
                <w:color w:val="0000FF"/>
              </w:rPr>
              <w:t xml:space="preserve">recommendation with Level of Evidence B or C does not imply </w:t>
            </w:r>
            <w:r w:rsidR="00B22713">
              <w:rPr>
                <w:color w:val="0000FF"/>
              </w:rPr>
              <w:t>that the recommendation is weak, as m</w:t>
            </w:r>
            <w:r w:rsidR="00B22713" w:rsidRPr="004C2E61">
              <w:rPr>
                <w:color w:val="0000FF"/>
              </w:rPr>
              <w:t>any important clinical questions addressed in the guidelines do</w:t>
            </w:r>
            <w:r w:rsidR="00B22713">
              <w:rPr>
                <w:color w:val="0000FF"/>
              </w:rPr>
              <w:t xml:space="preserve"> </w:t>
            </w:r>
            <w:r w:rsidR="00B22713" w:rsidRPr="004C2E61">
              <w:rPr>
                <w:color w:val="0000FF"/>
              </w:rPr>
              <w:t xml:space="preserve">not lend themselves to clinical trials. </w:t>
            </w:r>
            <w:r w:rsidR="00B22713">
              <w:rPr>
                <w:color w:val="0000FF"/>
              </w:rPr>
              <w:t xml:space="preserve">Despite a limited pool of randomized control trial, there may be </w:t>
            </w:r>
            <w:r w:rsidR="00B22713" w:rsidRPr="004C2E61">
              <w:rPr>
                <w:color w:val="0000FF"/>
              </w:rPr>
              <w:t>clear clinical consensus that a particular test or therapy is useful</w:t>
            </w:r>
            <w:r w:rsidR="00B22713">
              <w:rPr>
                <w:color w:val="0000FF"/>
              </w:rPr>
              <w:t xml:space="preserve"> </w:t>
            </w:r>
            <w:r w:rsidR="00B22713" w:rsidRPr="004C2E61">
              <w:rPr>
                <w:color w:val="0000FF"/>
              </w:rPr>
              <w:t xml:space="preserve">or effective. </w:t>
            </w:r>
            <w:r w:rsidR="00B22713">
              <w:rPr>
                <w:color w:val="0000FF"/>
              </w:rPr>
              <w:t>Collectively, the evidence</w:t>
            </w:r>
            <w:r w:rsidR="00B22713" w:rsidRPr="00D569F5">
              <w:rPr>
                <w:color w:val="0000FF"/>
              </w:rPr>
              <w:t xml:space="preserve"> </w:t>
            </w:r>
            <w:r w:rsidR="00B22713" w:rsidRPr="00D054F5">
              <w:rPr>
                <w:color w:val="0000FF"/>
              </w:rPr>
              <w:t>support</w:t>
            </w:r>
            <w:r w:rsidR="00B22713">
              <w:rPr>
                <w:color w:val="0000FF"/>
              </w:rPr>
              <w:t>s</w:t>
            </w:r>
            <w:r w:rsidR="00B22713" w:rsidRPr="00D054F5">
              <w:rPr>
                <w:color w:val="0000FF"/>
              </w:rPr>
              <w:t xml:space="preserve"> these recommendations</w:t>
            </w:r>
            <w:r w:rsidR="00B22713">
              <w:rPr>
                <w:color w:val="0000FF"/>
              </w:rPr>
              <w:t>,</w:t>
            </w:r>
            <w:r w:rsidR="00B22713" w:rsidRPr="00D054F5">
              <w:rPr>
                <w:color w:val="0000FF"/>
              </w:rPr>
              <w:t xml:space="preserve"> demonstrat</w:t>
            </w:r>
            <w:r w:rsidR="00B22713">
              <w:rPr>
                <w:color w:val="0000FF"/>
              </w:rPr>
              <w:t>ing</w:t>
            </w:r>
            <w:r w:rsidR="00B22713" w:rsidRPr="00D054F5">
              <w:rPr>
                <w:color w:val="0000FF"/>
              </w:rPr>
              <w:t xml:space="preserve"> consensus within the clinical community that </w:t>
            </w:r>
            <w:r w:rsidR="00B22713">
              <w:rPr>
                <w:color w:val="0000FF"/>
              </w:rPr>
              <w:t xml:space="preserve">patients eligible for fibrinolysis should receive emergency imaging of the brain that should </w:t>
            </w:r>
            <w:r w:rsidR="00B22713" w:rsidRPr="00F537D5">
              <w:rPr>
                <w:color w:val="0000FF"/>
              </w:rPr>
              <w:t xml:space="preserve">be interpreted within 45 minutes of </w:t>
            </w:r>
            <w:r w:rsidR="00B22713">
              <w:rPr>
                <w:color w:val="0000FF"/>
              </w:rPr>
              <w:t xml:space="preserve">ED </w:t>
            </w:r>
            <w:r w:rsidR="00B22713" w:rsidRPr="00F537D5">
              <w:rPr>
                <w:color w:val="0000FF"/>
              </w:rPr>
              <w:t xml:space="preserve">arrival by a qualified physician. </w:t>
            </w:r>
          </w:p>
          <w:p w14:paraId="342A67CD" w14:textId="235657BF" w:rsidR="00B22713" w:rsidRPr="00F537D5" w:rsidRDefault="00B22713" w:rsidP="0038625E">
            <w:pPr>
              <w:spacing w:before="45" w:after="110"/>
              <w:ind w:left="144" w:right="144"/>
              <w:jc w:val="both"/>
              <w:rPr>
                <w:color w:val="0000FF"/>
                <w:u w:val="single"/>
              </w:rPr>
            </w:pPr>
            <w:r>
              <w:rPr>
                <w:color w:val="0000FF"/>
              </w:rPr>
              <w:t xml:space="preserve">The </w:t>
            </w:r>
            <w:r w:rsidRPr="008F2D27">
              <w:rPr>
                <w:color w:val="0000FF"/>
                <w:u w:val="single"/>
              </w:rPr>
              <w:t>Class I</w:t>
            </w:r>
            <w:r>
              <w:rPr>
                <w:color w:val="0000FF"/>
              </w:rPr>
              <w:t xml:space="preserve"> r</w:t>
            </w:r>
            <w:r w:rsidRPr="00F537D5">
              <w:rPr>
                <w:color w:val="0000FF"/>
              </w:rPr>
              <w:t xml:space="preserve">ecommendation </w:t>
            </w:r>
            <w:r>
              <w:rPr>
                <w:color w:val="0000FF"/>
              </w:rPr>
              <w:t>from</w:t>
            </w:r>
            <w:r w:rsidRPr="00F537D5">
              <w:rPr>
                <w:color w:val="0000FF"/>
              </w:rPr>
              <w:t xml:space="preserve"> </w:t>
            </w:r>
            <w:r w:rsidRPr="00F537D5">
              <w:rPr>
                <w:i/>
                <w:color w:val="0000FF"/>
              </w:rPr>
              <w:t>Guideline 2</w:t>
            </w:r>
            <w:r w:rsidRPr="00F537D5">
              <w:rPr>
                <w:color w:val="0000FF"/>
              </w:rPr>
              <w:t xml:space="preserve"> relate</w:t>
            </w:r>
            <w:r>
              <w:rPr>
                <w:color w:val="0000FF"/>
              </w:rPr>
              <w:t>s</w:t>
            </w:r>
            <w:r w:rsidRPr="00F537D5">
              <w:rPr>
                <w:color w:val="0000FF"/>
              </w:rPr>
              <w:t xml:space="preserve"> to the importance of expedited imaging</w:t>
            </w:r>
            <w:r>
              <w:rPr>
                <w:color w:val="0000FF"/>
              </w:rPr>
              <w:t>,</w:t>
            </w:r>
            <w:r w:rsidRPr="00F537D5">
              <w:rPr>
                <w:color w:val="0000FF"/>
              </w:rPr>
              <w:t xml:space="preserve"> </w:t>
            </w:r>
            <w:r>
              <w:rPr>
                <w:color w:val="0000FF"/>
              </w:rPr>
              <w:t>indicating</w:t>
            </w:r>
            <w:r w:rsidRPr="00F537D5">
              <w:rPr>
                <w:color w:val="0000FF"/>
              </w:rPr>
              <w:t xml:space="preserve"> consensus within the clinical community that emergency imaging is recommended regardless of the specific treatment being considered for acute stroke. </w:t>
            </w:r>
          </w:p>
          <w:p w14:paraId="0D9B5B7D" w14:textId="426121B1" w:rsidR="00B22713" w:rsidRPr="00C1396F" w:rsidRDefault="00B22713" w:rsidP="0038625E">
            <w:pPr>
              <w:spacing w:before="45" w:after="45"/>
              <w:ind w:left="144" w:right="144"/>
              <w:jc w:val="both"/>
              <w:rPr>
                <w:color w:val="0000FF"/>
              </w:rPr>
            </w:pPr>
            <w:r w:rsidRPr="00D37975">
              <w:rPr>
                <w:color w:val="0000FF"/>
                <w:u w:val="single"/>
              </w:rPr>
              <w:t>The following grading scale a</w:t>
            </w:r>
            <w:r>
              <w:rPr>
                <w:color w:val="0000FF"/>
                <w:u w:val="single"/>
              </w:rPr>
              <w:t xml:space="preserve">pplies to recommendations from </w:t>
            </w:r>
            <w:r w:rsidRPr="00391F2F">
              <w:rPr>
                <w:i/>
                <w:color w:val="0000FF"/>
                <w:u w:val="single"/>
              </w:rPr>
              <w:t>Guideline 1</w:t>
            </w:r>
            <w:r w:rsidRPr="00D37975">
              <w:rPr>
                <w:color w:val="0000FF"/>
                <w:u w:val="single"/>
              </w:rPr>
              <w:t>:</w:t>
            </w:r>
          </w:p>
          <w:p w14:paraId="1C1181DC" w14:textId="54CA4C50" w:rsidR="00B22713" w:rsidRPr="00C1396F" w:rsidRDefault="00B22713" w:rsidP="0038625E">
            <w:pPr>
              <w:spacing w:before="45" w:after="45"/>
              <w:ind w:left="144" w:right="144"/>
              <w:jc w:val="both"/>
              <w:rPr>
                <w:color w:val="0000FF"/>
              </w:rPr>
            </w:pPr>
            <w:r w:rsidRPr="00E05D6F">
              <w:rPr>
                <w:i/>
                <w:color w:val="0000FF"/>
                <w:u w:val="single"/>
              </w:rPr>
              <w:t>Recommendation A:</w:t>
            </w:r>
            <w:r>
              <w:rPr>
                <w:i/>
                <w:color w:val="0000FF"/>
              </w:rPr>
              <w:t xml:space="preserve"> Class I</w:t>
            </w:r>
            <w:r w:rsidRPr="00BA25D2">
              <w:rPr>
                <w:i/>
                <w:color w:val="0000FF"/>
              </w:rPr>
              <w:t>:</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66AF9848" w14:textId="6FDE8E66" w:rsidR="00B22713" w:rsidRPr="00C1396F" w:rsidRDefault="00B22713" w:rsidP="0038625E">
            <w:pPr>
              <w:spacing w:before="45" w:after="45"/>
              <w:ind w:left="144" w:right="144"/>
              <w:jc w:val="both"/>
              <w:rPr>
                <w:color w:val="0000FF"/>
              </w:rPr>
            </w:pPr>
            <w:r w:rsidRPr="00E05D6F">
              <w:rPr>
                <w:i/>
                <w:color w:val="0000FF"/>
                <w:u w:val="single"/>
              </w:rPr>
              <w:t>Recommendation B:</w:t>
            </w:r>
            <w:r w:rsidRPr="00BA25D2">
              <w:rPr>
                <w:i/>
                <w:color w:val="0000FF"/>
              </w:rPr>
              <w:t xml:space="preserve"> Class I:</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7971E74E" w14:textId="4809CA21" w:rsidR="00B22713" w:rsidRPr="00C1396F" w:rsidRDefault="00B22713" w:rsidP="0038625E">
            <w:pPr>
              <w:spacing w:before="45" w:after="110"/>
              <w:ind w:left="144" w:right="144"/>
              <w:jc w:val="both"/>
              <w:rPr>
                <w:color w:val="0000FF"/>
              </w:rPr>
            </w:pPr>
            <w:r w:rsidRPr="00E05D6F">
              <w:rPr>
                <w:i/>
                <w:color w:val="0000FF"/>
                <w:u w:val="single"/>
              </w:rPr>
              <w:t>Recommendation C:</w:t>
            </w:r>
            <w:r w:rsidRPr="00BA25D2">
              <w:rPr>
                <w:i/>
                <w:color w:val="0000FF"/>
              </w:rPr>
              <w:t xml:space="preserve"> </w:t>
            </w:r>
            <w:r>
              <w:rPr>
                <w:i/>
                <w:color w:val="0000FF"/>
              </w:rPr>
              <w:t>Class I</w:t>
            </w:r>
            <w:r w:rsidRPr="00BA25D2">
              <w:rPr>
                <w:i/>
                <w:color w:val="0000FF"/>
              </w:rPr>
              <w:t>:</w:t>
            </w:r>
            <w:r w:rsidRPr="00C1396F">
              <w:rPr>
                <w:color w:val="0000FF"/>
              </w:rPr>
              <w:t xml:space="preserve"> Usefulness/efficacy is well established by evidence/</w:t>
            </w:r>
            <w:r w:rsidR="0038625E">
              <w:rPr>
                <w:color w:val="0000FF"/>
              </w:rPr>
              <w:t xml:space="preserve"> </w:t>
            </w:r>
            <w:r w:rsidRPr="00C1396F">
              <w:rPr>
                <w:color w:val="0000FF"/>
              </w:rPr>
              <w:t>opinion.</w:t>
            </w:r>
          </w:p>
          <w:p w14:paraId="696F00A7" w14:textId="77777777" w:rsidR="00B22713" w:rsidRPr="00C1396F" w:rsidRDefault="00B22713" w:rsidP="0038625E">
            <w:pPr>
              <w:spacing w:before="45" w:after="45"/>
              <w:ind w:left="144" w:right="144"/>
              <w:jc w:val="both"/>
              <w:rPr>
                <w:color w:val="0000FF"/>
              </w:rPr>
            </w:pPr>
            <w:r>
              <w:rPr>
                <w:color w:val="0000FF"/>
                <w:u w:val="single"/>
              </w:rPr>
              <w:t>The following evidence</w:t>
            </w:r>
            <w:r w:rsidRPr="00D37975">
              <w:rPr>
                <w:color w:val="0000FF"/>
                <w:u w:val="single"/>
              </w:rPr>
              <w:t xml:space="preserve"> scale</w:t>
            </w:r>
            <w:r>
              <w:rPr>
                <w:color w:val="0000FF"/>
                <w:u w:val="single"/>
              </w:rPr>
              <w:t>s</w:t>
            </w:r>
            <w:r w:rsidRPr="00D37975">
              <w:rPr>
                <w:color w:val="0000FF"/>
                <w:u w:val="single"/>
              </w:rPr>
              <w:t xml:space="preserve"> a</w:t>
            </w:r>
            <w:r>
              <w:rPr>
                <w:color w:val="0000FF"/>
                <w:u w:val="single"/>
              </w:rPr>
              <w:t xml:space="preserve">pply to recommendations from </w:t>
            </w:r>
            <w:r w:rsidRPr="00391F2F">
              <w:rPr>
                <w:i/>
                <w:color w:val="0000FF"/>
                <w:u w:val="single"/>
              </w:rPr>
              <w:t>Guideline 1</w:t>
            </w:r>
            <w:r w:rsidRPr="00D37975">
              <w:rPr>
                <w:color w:val="0000FF"/>
                <w:u w:val="single"/>
              </w:rPr>
              <w:t>:</w:t>
            </w:r>
          </w:p>
          <w:p w14:paraId="6278EE11" w14:textId="77777777" w:rsidR="00B22713" w:rsidRPr="00C1396F" w:rsidRDefault="00B22713" w:rsidP="0038625E">
            <w:pPr>
              <w:spacing w:before="45" w:after="45"/>
              <w:ind w:left="144" w:right="144"/>
              <w:jc w:val="both"/>
              <w:rPr>
                <w:color w:val="0000FF"/>
              </w:rPr>
            </w:pPr>
            <w:r>
              <w:rPr>
                <w:color w:val="0000FF"/>
              </w:rPr>
              <w:t>One class of recommendations: Class I</w:t>
            </w:r>
          </w:p>
          <w:p w14:paraId="5451F57D" w14:textId="77777777" w:rsidR="00B22713" w:rsidRPr="00C1396F" w:rsidRDefault="00B22713" w:rsidP="0038625E">
            <w:pPr>
              <w:spacing w:before="45" w:after="45"/>
              <w:ind w:left="144" w:right="144"/>
              <w:jc w:val="both"/>
              <w:rPr>
                <w:color w:val="0000FF"/>
              </w:rPr>
            </w:pPr>
            <w:r w:rsidRPr="00147889">
              <w:rPr>
                <w:i/>
                <w:color w:val="0000FF"/>
              </w:rPr>
              <w:t>Class I:</w:t>
            </w:r>
            <w:r w:rsidRPr="00C1396F">
              <w:rPr>
                <w:color w:val="0000FF"/>
              </w:rPr>
              <w:t xml:space="preserve"> Evidence and/or general agreement that given treatment or procedure is beneficial, useful, and effective. </w:t>
            </w:r>
          </w:p>
          <w:p w14:paraId="2A09E2D7" w14:textId="77777777" w:rsidR="00B22713" w:rsidRPr="00C1396F" w:rsidRDefault="00B22713" w:rsidP="0038625E">
            <w:pPr>
              <w:spacing w:before="45" w:after="45"/>
              <w:ind w:left="144" w:right="144"/>
              <w:jc w:val="both"/>
              <w:rPr>
                <w:color w:val="0000FF"/>
              </w:rPr>
            </w:pPr>
            <w:r>
              <w:rPr>
                <w:color w:val="0000FF"/>
              </w:rPr>
              <w:t xml:space="preserve">Two levels of evidence: Level A </w:t>
            </w:r>
            <w:r w:rsidRPr="00C1396F">
              <w:rPr>
                <w:color w:val="0000FF"/>
              </w:rPr>
              <w:t xml:space="preserve">and Level C. </w:t>
            </w:r>
          </w:p>
          <w:p w14:paraId="58502C9E" w14:textId="77777777" w:rsidR="00B22713" w:rsidRPr="00C1396F" w:rsidRDefault="00B22713" w:rsidP="0038625E">
            <w:pPr>
              <w:spacing w:before="45" w:after="45"/>
              <w:ind w:left="144" w:right="144"/>
              <w:jc w:val="both"/>
              <w:rPr>
                <w:color w:val="0000FF"/>
              </w:rPr>
            </w:pPr>
            <w:r w:rsidRPr="00474DF7">
              <w:rPr>
                <w:i/>
                <w:color w:val="0000FF"/>
              </w:rPr>
              <w:t>Level A:</w:t>
            </w:r>
            <w:r w:rsidRPr="00C1396F">
              <w:rPr>
                <w:color w:val="0000FF"/>
              </w:rPr>
              <w:t xml:space="preserve"> Data derived from multiple randomized clinical trials or meta-analyses. </w:t>
            </w:r>
          </w:p>
          <w:p w14:paraId="4A599E4A" w14:textId="414070E6" w:rsidR="00F44A21" w:rsidRPr="00B22713" w:rsidRDefault="00B22713" w:rsidP="0038625E">
            <w:pPr>
              <w:spacing w:before="45" w:after="45"/>
              <w:ind w:left="144" w:right="144"/>
              <w:jc w:val="both"/>
              <w:rPr>
                <w:color w:val="0000FF"/>
              </w:rPr>
            </w:pPr>
            <w:r w:rsidRPr="00474DF7">
              <w:rPr>
                <w:i/>
                <w:color w:val="0000FF"/>
              </w:rPr>
              <w:t>Level C:</w:t>
            </w:r>
            <w:r w:rsidRPr="00C1396F">
              <w:rPr>
                <w:color w:val="0000FF"/>
              </w:rPr>
              <w:t xml:space="preserve"> Consensus of opinion of the experts and/or small studies, retrospective studies, registries.</w:t>
            </w:r>
            <w:r>
              <w:rPr>
                <w:color w:val="0000FF"/>
              </w:rPr>
              <w:t xml:space="preserve"> </w:t>
            </w:r>
          </w:p>
        </w:tc>
      </w:tr>
      <w:tr w:rsidR="00F44A21" w14:paraId="2C8896F0" w14:textId="77777777" w:rsidTr="00790A20">
        <w:trPr>
          <w:trHeight w:val="537"/>
        </w:trPr>
        <w:tc>
          <w:tcPr>
            <w:tcW w:w="3380" w:type="dxa"/>
          </w:tcPr>
          <w:p w14:paraId="0478990F" w14:textId="1218CC67" w:rsidR="00F44A21" w:rsidRDefault="00FB19DA" w:rsidP="0038625E">
            <w:pPr>
              <w:pStyle w:val="TableParagraph"/>
              <w:ind w:left="144"/>
            </w:pPr>
            <w:r>
              <w:t>Provide all other grades and definitions</w:t>
            </w:r>
            <w:r w:rsidR="0038625E">
              <w:t xml:space="preserve"> </w:t>
            </w:r>
            <w:r>
              <w:t xml:space="preserve">from the </w:t>
            </w:r>
            <w:r w:rsidRPr="008E2707">
              <w:rPr>
                <w:b/>
              </w:rPr>
              <w:t>recommendation</w:t>
            </w:r>
            <w:r>
              <w:t xml:space="preserve"> grading system</w:t>
            </w:r>
          </w:p>
        </w:tc>
        <w:tc>
          <w:tcPr>
            <w:tcW w:w="7110" w:type="dxa"/>
          </w:tcPr>
          <w:p w14:paraId="14C7AE08" w14:textId="77777777" w:rsidR="00283386" w:rsidRPr="005C6F63" w:rsidRDefault="003076B4" w:rsidP="00DE5BAB">
            <w:pPr>
              <w:spacing w:before="45" w:after="45"/>
              <w:ind w:left="144" w:right="144"/>
              <w:jc w:val="both"/>
              <w:rPr>
                <w:b/>
                <w:color w:val="0000FF"/>
              </w:rPr>
            </w:pPr>
            <w:r w:rsidRPr="008E2707">
              <w:rPr>
                <w:rFonts w:asciiTheme="minorHAnsi" w:hAnsiTheme="minorHAnsi"/>
                <w:color w:val="0000FF"/>
              </w:rPr>
              <w:t xml:space="preserve"> </w:t>
            </w:r>
            <w:r w:rsidR="00283386" w:rsidRPr="005C6F63">
              <w:rPr>
                <w:b/>
                <w:color w:val="0000FF"/>
                <w:u w:val="single"/>
              </w:rPr>
              <w:t xml:space="preserve">The following grading scale applies to recommendations from </w:t>
            </w:r>
            <w:r w:rsidR="00283386" w:rsidRPr="005C6F63">
              <w:rPr>
                <w:b/>
                <w:i/>
                <w:color w:val="0000FF"/>
                <w:u w:val="single"/>
              </w:rPr>
              <w:t>Guideline 2</w:t>
            </w:r>
            <w:r w:rsidR="00283386" w:rsidRPr="005C6F63">
              <w:rPr>
                <w:b/>
                <w:color w:val="0000FF"/>
                <w:u w:val="single"/>
              </w:rPr>
              <w:t>:</w:t>
            </w:r>
          </w:p>
          <w:p w14:paraId="4B6C229A" w14:textId="77777777" w:rsidR="00283386" w:rsidRPr="00C1396F" w:rsidRDefault="00283386" w:rsidP="00DE5BAB">
            <w:pPr>
              <w:spacing w:before="45" w:after="45"/>
              <w:ind w:left="144" w:right="144"/>
              <w:jc w:val="both"/>
              <w:rPr>
                <w:color w:val="0000FF"/>
              </w:rPr>
            </w:pPr>
            <w:r w:rsidRPr="00E05D6F">
              <w:rPr>
                <w:i/>
                <w:color w:val="0000FF"/>
                <w:u w:val="single"/>
              </w:rPr>
              <w:t>Recommendation A:</w:t>
            </w:r>
            <w:r>
              <w:rPr>
                <w:i/>
                <w:color w:val="0000FF"/>
              </w:rPr>
              <w:t xml:space="preserve"> Class I, Level A</w:t>
            </w:r>
            <w:r w:rsidRPr="00BA25D2">
              <w:rPr>
                <w:i/>
                <w:color w:val="0000FF"/>
              </w:rPr>
              <w:t>:</w:t>
            </w:r>
            <w:r w:rsidRPr="00C1396F">
              <w:rPr>
                <w:color w:val="0000FF"/>
              </w:rPr>
              <w:t xml:space="preserve"> Usefulness/efficacy is well established by evidence/opinion.</w:t>
            </w:r>
          </w:p>
          <w:p w14:paraId="369D84BF" w14:textId="77777777" w:rsidR="00283386" w:rsidRPr="00C1396F" w:rsidRDefault="00283386" w:rsidP="00DE5BAB">
            <w:pPr>
              <w:spacing w:before="45" w:after="45"/>
              <w:ind w:left="144" w:right="144"/>
              <w:jc w:val="both"/>
              <w:rPr>
                <w:color w:val="0000FF"/>
              </w:rPr>
            </w:pPr>
            <w:r>
              <w:rPr>
                <w:color w:val="0000FF"/>
                <w:u w:val="single"/>
              </w:rPr>
              <w:t>The following evidence</w:t>
            </w:r>
            <w:r w:rsidRPr="00D37975">
              <w:rPr>
                <w:color w:val="0000FF"/>
                <w:u w:val="single"/>
              </w:rPr>
              <w:t xml:space="preserve"> scale</w:t>
            </w:r>
            <w:r>
              <w:rPr>
                <w:color w:val="0000FF"/>
                <w:u w:val="single"/>
              </w:rPr>
              <w:t>s</w:t>
            </w:r>
            <w:r w:rsidRPr="00D37975">
              <w:rPr>
                <w:color w:val="0000FF"/>
                <w:u w:val="single"/>
              </w:rPr>
              <w:t xml:space="preserve"> a</w:t>
            </w:r>
            <w:r>
              <w:rPr>
                <w:color w:val="0000FF"/>
                <w:u w:val="single"/>
              </w:rPr>
              <w:t>pply to recommendations from Guideline 2</w:t>
            </w:r>
            <w:r w:rsidRPr="00D37975">
              <w:rPr>
                <w:color w:val="0000FF"/>
                <w:u w:val="single"/>
              </w:rPr>
              <w:t>:</w:t>
            </w:r>
          </w:p>
          <w:p w14:paraId="53FA5A58" w14:textId="77777777" w:rsidR="00283386" w:rsidRPr="00C1396F" w:rsidRDefault="00283386" w:rsidP="00DE5BAB">
            <w:pPr>
              <w:spacing w:before="45" w:after="45"/>
              <w:ind w:left="144" w:right="144"/>
              <w:jc w:val="both"/>
              <w:rPr>
                <w:color w:val="0000FF"/>
              </w:rPr>
            </w:pPr>
            <w:r>
              <w:rPr>
                <w:color w:val="0000FF"/>
              </w:rPr>
              <w:t>Two</w:t>
            </w:r>
            <w:r w:rsidRPr="00C1396F">
              <w:rPr>
                <w:color w:val="0000FF"/>
              </w:rPr>
              <w:t xml:space="preserve"> classes of reco</w:t>
            </w:r>
            <w:r>
              <w:rPr>
                <w:color w:val="0000FF"/>
              </w:rPr>
              <w:t>mmendations: Class I and Class IIb</w:t>
            </w:r>
          </w:p>
          <w:p w14:paraId="4668BC55" w14:textId="07B456D9" w:rsidR="00283386" w:rsidRPr="00C1396F" w:rsidRDefault="00283386" w:rsidP="00DE5BAB">
            <w:pPr>
              <w:spacing w:before="45" w:after="45"/>
              <w:ind w:left="144" w:right="144"/>
              <w:jc w:val="both"/>
              <w:rPr>
                <w:color w:val="0000FF"/>
              </w:rPr>
            </w:pPr>
            <w:r w:rsidRPr="00953640">
              <w:rPr>
                <w:i/>
                <w:color w:val="0000FF"/>
              </w:rPr>
              <w:t>Class I:</w:t>
            </w:r>
            <w:r w:rsidRPr="00C1396F">
              <w:rPr>
                <w:color w:val="0000FF"/>
              </w:rPr>
              <w:t xml:space="preserve"> Benefit &gt;&gt;&gt; Risk. </w:t>
            </w:r>
            <w:r>
              <w:rPr>
                <w:color w:val="0000FF"/>
              </w:rPr>
              <w:t>Procedure/treatment SHOULD be performed/</w:t>
            </w:r>
            <w:r w:rsidR="00DE5BAB">
              <w:rPr>
                <w:color w:val="0000FF"/>
              </w:rPr>
              <w:t xml:space="preserve"> </w:t>
            </w:r>
            <w:r w:rsidRPr="00C1396F">
              <w:rPr>
                <w:color w:val="0000FF"/>
              </w:rPr>
              <w:t xml:space="preserve">administered. </w:t>
            </w:r>
          </w:p>
          <w:p w14:paraId="1F15BAA3" w14:textId="77777777" w:rsidR="00283386" w:rsidRPr="00C1396F" w:rsidRDefault="00283386" w:rsidP="00DE5BAB">
            <w:pPr>
              <w:spacing w:before="45" w:after="45"/>
              <w:ind w:left="144" w:right="144"/>
              <w:jc w:val="both"/>
              <w:rPr>
                <w:color w:val="0000FF"/>
              </w:rPr>
            </w:pPr>
            <w:r>
              <w:rPr>
                <w:color w:val="0000FF"/>
              </w:rPr>
              <w:t>One</w:t>
            </w:r>
            <w:r w:rsidRPr="00C1396F">
              <w:rPr>
                <w:color w:val="0000FF"/>
              </w:rPr>
              <w:t xml:space="preserve"> level of evidence: Level A. </w:t>
            </w:r>
          </w:p>
          <w:p w14:paraId="1FA5D011" w14:textId="77777777" w:rsidR="00283386" w:rsidRDefault="00283386" w:rsidP="00DE5BAB">
            <w:pPr>
              <w:spacing w:before="45" w:after="110"/>
              <w:ind w:left="144" w:right="144"/>
              <w:jc w:val="both"/>
              <w:rPr>
                <w:color w:val="0000FF"/>
              </w:rPr>
            </w:pPr>
            <w:r w:rsidRPr="00147889">
              <w:rPr>
                <w:i/>
                <w:color w:val="0000FF"/>
              </w:rPr>
              <w:t>Level A:</w:t>
            </w:r>
            <w:r w:rsidRPr="00C1396F">
              <w:rPr>
                <w:color w:val="0000FF"/>
              </w:rPr>
              <w:t xml:space="preserve"> Data derived from multiple randomized clinical trials or meta-analyses. </w:t>
            </w:r>
          </w:p>
          <w:p w14:paraId="20610AA4" w14:textId="77777777" w:rsidR="00234F59" w:rsidRDefault="00283386" w:rsidP="00DE5BAB">
            <w:pPr>
              <w:spacing w:before="45" w:after="45"/>
              <w:ind w:left="144" w:right="144"/>
              <w:jc w:val="both"/>
              <w:rPr>
                <w:b/>
                <w:i/>
                <w:color w:val="0000FF"/>
                <w:u w:val="single"/>
              </w:rPr>
            </w:pPr>
            <w:r w:rsidRPr="005C6F63">
              <w:rPr>
                <w:b/>
                <w:color w:val="0000FF"/>
                <w:u w:val="single"/>
              </w:rPr>
              <w:t>The following grading scale applies to recommendations from</w:t>
            </w:r>
            <w:r>
              <w:rPr>
                <w:b/>
                <w:color w:val="0000FF"/>
                <w:u w:val="single"/>
              </w:rPr>
              <w:t xml:space="preserve"> </w:t>
            </w:r>
            <w:r>
              <w:rPr>
                <w:b/>
                <w:i/>
                <w:color w:val="0000FF"/>
                <w:u w:val="single"/>
              </w:rPr>
              <w:t>Guideline 3</w:t>
            </w:r>
            <w:r w:rsidR="00234F59">
              <w:rPr>
                <w:b/>
                <w:i/>
                <w:color w:val="0000FF"/>
                <w:u w:val="single"/>
              </w:rPr>
              <w:t>:</w:t>
            </w:r>
          </w:p>
          <w:p w14:paraId="0E6A30DA" w14:textId="40CD55CA" w:rsidR="00283386" w:rsidRPr="00283386" w:rsidRDefault="00283386" w:rsidP="00DE5BAB">
            <w:pPr>
              <w:spacing w:before="45" w:after="45"/>
              <w:ind w:left="144" w:right="144"/>
              <w:jc w:val="both"/>
              <w:rPr>
                <w:i/>
                <w:color w:val="0000FF"/>
                <w:u w:val="single"/>
              </w:rPr>
            </w:pPr>
            <w:r w:rsidRPr="00234F59">
              <w:rPr>
                <w:i/>
                <w:color w:val="0000FF"/>
              </w:rPr>
              <w:t xml:space="preserve">Recommendation A: Class </w:t>
            </w:r>
            <w:r w:rsidR="002E64CC" w:rsidRPr="00234F59">
              <w:rPr>
                <w:i/>
                <w:color w:val="0000FF"/>
              </w:rPr>
              <w:t>I</w:t>
            </w:r>
            <w:r w:rsidRPr="00234F59">
              <w:rPr>
                <w:i/>
                <w:color w:val="0000FF"/>
              </w:rPr>
              <w:t xml:space="preserve">, Level B-NR: </w:t>
            </w:r>
            <w:r w:rsidRPr="00234F59">
              <w:rPr>
                <w:color w:val="0000FF"/>
              </w:rPr>
              <w:t xml:space="preserve">moderate-quality evidence from 1 or more well-designed, well-executed nonrandomized studies, observational studies, or registry studies; meta-analyses of such studies. </w:t>
            </w:r>
          </w:p>
          <w:p w14:paraId="57A9EA26" w14:textId="3DD389B2" w:rsidR="00283386" w:rsidRPr="00234F59" w:rsidRDefault="00283386" w:rsidP="00DE5BAB">
            <w:pPr>
              <w:pStyle w:val="TableParagraph"/>
              <w:spacing w:before="45" w:after="45"/>
              <w:ind w:left="144" w:right="144"/>
              <w:jc w:val="both"/>
              <w:rPr>
                <w:rFonts w:asciiTheme="minorHAnsi" w:hAnsiTheme="minorHAnsi"/>
                <w:color w:val="0000FF"/>
              </w:rPr>
            </w:pPr>
            <w:r w:rsidRPr="00234F59">
              <w:rPr>
                <w:i/>
                <w:color w:val="0000FF"/>
              </w:rPr>
              <w:t xml:space="preserve">Recommendation B: Class </w:t>
            </w:r>
            <w:r w:rsidR="009E2086" w:rsidRPr="00234F59">
              <w:rPr>
                <w:i/>
                <w:color w:val="0000FF"/>
              </w:rPr>
              <w:t>I</w:t>
            </w:r>
            <w:r w:rsidRPr="00234F59">
              <w:rPr>
                <w:i/>
                <w:color w:val="0000FF"/>
              </w:rPr>
              <w:t xml:space="preserve">, Level B-NR: </w:t>
            </w:r>
            <w:r w:rsidRPr="00234F59">
              <w:rPr>
                <w:color w:val="0000FF"/>
              </w:rPr>
              <w:t>moderate-quality evidence from 1 or more well-designed, well-executed nonrandomized studies, observational studies, or registry studies; meta-analyses of such studies.</w:t>
            </w:r>
          </w:p>
        </w:tc>
      </w:tr>
      <w:tr w:rsidR="00F44A21" w14:paraId="2DF74AFE" w14:textId="77777777" w:rsidTr="00790A20">
        <w:trPr>
          <w:trHeight w:val="1110"/>
        </w:trPr>
        <w:tc>
          <w:tcPr>
            <w:tcW w:w="3380" w:type="dxa"/>
          </w:tcPr>
          <w:p w14:paraId="0F133495" w14:textId="45E1EA67" w:rsidR="00F44A21" w:rsidRPr="005B5F8B" w:rsidRDefault="00FB19DA" w:rsidP="005B5F8B">
            <w:pPr>
              <w:pStyle w:val="TableParagraph"/>
              <w:spacing w:after="45"/>
              <w:ind w:left="144"/>
              <w:rPr>
                <w:b/>
              </w:rPr>
            </w:pPr>
            <w:r w:rsidRPr="005B5F8B">
              <w:rPr>
                <w:b/>
              </w:rPr>
              <w:t>Body of evidence:</w:t>
            </w:r>
          </w:p>
          <w:p w14:paraId="6ED4DEDD" w14:textId="3C11BA10" w:rsidR="00F44A21" w:rsidRPr="005B5F8B" w:rsidRDefault="005B5F8B" w:rsidP="005B5F8B">
            <w:pPr>
              <w:pStyle w:val="TableParagraph"/>
              <w:numPr>
                <w:ilvl w:val="0"/>
                <w:numId w:val="1"/>
              </w:numPr>
              <w:tabs>
                <w:tab w:val="left" w:pos="827"/>
                <w:tab w:val="left" w:pos="828"/>
              </w:tabs>
              <w:spacing w:after="45"/>
              <w:ind w:left="504" w:hanging="360"/>
              <w:rPr>
                <w:b/>
              </w:rPr>
            </w:pPr>
            <w:r>
              <w:rPr>
                <w:b/>
              </w:rPr>
              <w:t>Quantity—</w:t>
            </w:r>
            <w:r w:rsidR="00FB19DA" w:rsidRPr="005B5F8B">
              <w:rPr>
                <w:b/>
              </w:rPr>
              <w:t>how many</w:t>
            </w:r>
            <w:r w:rsidR="00FB19DA" w:rsidRPr="005B5F8B">
              <w:rPr>
                <w:b/>
                <w:spacing w:val="-7"/>
              </w:rPr>
              <w:t xml:space="preserve"> </w:t>
            </w:r>
            <w:r w:rsidR="00FB19DA" w:rsidRPr="005B5F8B">
              <w:rPr>
                <w:b/>
              </w:rPr>
              <w:t>studies?</w:t>
            </w:r>
          </w:p>
          <w:p w14:paraId="7776C0F6" w14:textId="328F5DF8" w:rsidR="00F44A21" w:rsidRDefault="005B5F8B" w:rsidP="005B5F8B">
            <w:pPr>
              <w:pStyle w:val="TableParagraph"/>
              <w:numPr>
                <w:ilvl w:val="0"/>
                <w:numId w:val="1"/>
              </w:numPr>
              <w:tabs>
                <w:tab w:val="left" w:pos="827"/>
                <w:tab w:val="left" w:pos="828"/>
              </w:tabs>
              <w:spacing w:after="45"/>
              <w:ind w:left="504" w:hanging="360"/>
            </w:pPr>
            <w:r>
              <w:rPr>
                <w:b/>
              </w:rPr>
              <w:t>Quality—</w:t>
            </w:r>
            <w:r w:rsidR="00FB19DA" w:rsidRPr="005B5F8B">
              <w:rPr>
                <w:b/>
              </w:rPr>
              <w:t>what type of</w:t>
            </w:r>
            <w:r w:rsidR="00FB19DA" w:rsidRPr="005B5F8B">
              <w:rPr>
                <w:b/>
                <w:spacing w:val="-8"/>
              </w:rPr>
              <w:t xml:space="preserve"> </w:t>
            </w:r>
            <w:r w:rsidR="00FB19DA" w:rsidRPr="005B5F8B">
              <w:rPr>
                <w:b/>
              </w:rPr>
              <w:t>studies?</w:t>
            </w:r>
          </w:p>
        </w:tc>
        <w:tc>
          <w:tcPr>
            <w:tcW w:w="7110" w:type="dxa"/>
          </w:tcPr>
          <w:p w14:paraId="41DADAE8" w14:textId="3B2D4B0F" w:rsidR="00283386" w:rsidRDefault="00834346" w:rsidP="00DE5BAB">
            <w:pPr>
              <w:spacing w:before="45" w:after="45"/>
              <w:ind w:left="144" w:right="144"/>
              <w:jc w:val="both"/>
              <w:rPr>
                <w:color w:val="0000FF"/>
              </w:rPr>
            </w:pPr>
            <w:r>
              <w:rPr>
                <w:color w:val="0000FF"/>
              </w:rPr>
              <w:t>The three g</w:t>
            </w:r>
            <w:r w:rsidR="00283386" w:rsidRPr="00C1396F">
              <w:rPr>
                <w:color w:val="0000FF"/>
              </w:rPr>
              <w:t xml:space="preserve">uidelines are evidenced based; details are provided </w:t>
            </w:r>
            <w:r>
              <w:rPr>
                <w:color w:val="0000FF"/>
              </w:rPr>
              <w:t>below.</w:t>
            </w:r>
            <w:r w:rsidR="00283386">
              <w:rPr>
                <w:color w:val="0000FF"/>
              </w:rPr>
              <w:t xml:space="preserve"> </w:t>
            </w:r>
          </w:p>
          <w:p w14:paraId="67B77390" w14:textId="035BB349" w:rsidR="002E64CC" w:rsidRDefault="002E64CC" w:rsidP="00DE5BAB">
            <w:pPr>
              <w:spacing w:before="45" w:after="45"/>
              <w:ind w:left="144" w:right="144"/>
              <w:jc w:val="both"/>
              <w:rPr>
                <w:noProof/>
                <w:color w:val="0000FF"/>
              </w:rPr>
            </w:pPr>
            <w:r w:rsidRPr="008157AD">
              <w:rPr>
                <w:noProof/>
                <w:color w:val="0000FF"/>
                <w:u w:val="single"/>
              </w:rPr>
              <w:t xml:space="preserve">Guideline </w:t>
            </w:r>
            <w:r>
              <w:rPr>
                <w:noProof/>
                <w:color w:val="0000FF"/>
                <w:u w:val="single"/>
              </w:rPr>
              <w:t>1</w:t>
            </w:r>
            <w:r>
              <w:rPr>
                <w:noProof/>
                <w:color w:val="0000FF"/>
              </w:rPr>
              <w:t xml:space="preserve"> does not indicate the specific number or type of study designs included in the body of evidence; however, two of the recommendations are Level A, which are based on data from multiple randomized clinical trials or meta analyses, and the third recommendation is Level C, which is based on consensus opinion of experts, case studies, or standard of care. The imaging recommendations referenced 228 unique citations with evidence from 3 systematic reviews, 5 guidelines, 20 randomized control trials, and 173 observational studies. </w:t>
            </w:r>
          </w:p>
          <w:p w14:paraId="4000FD85" w14:textId="587DDD2A" w:rsidR="002E64CC" w:rsidRDefault="00234F59" w:rsidP="00DE5BAB">
            <w:pPr>
              <w:spacing w:before="45" w:after="45"/>
              <w:ind w:left="144" w:right="144"/>
              <w:jc w:val="both"/>
              <w:rPr>
                <w:noProof/>
                <w:color w:val="0000FF"/>
              </w:rPr>
            </w:pPr>
            <w:r>
              <w:rPr>
                <w:noProof/>
                <w:color w:val="0000FF"/>
                <w:u w:val="single"/>
              </w:rPr>
              <w:t xml:space="preserve">Guideline </w:t>
            </w:r>
            <w:r w:rsidR="002E64CC">
              <w:rPr>
                <w:noProof/>
                <w:color w:val="0000FF"/>
                <w:u w:val="single"/>
              </w:rPr>
              <w:t>1</w:t>
            </w:r>
            <w:r w:rsidR="002E64CC">
              <w:rPr>
                <w:noProof/>
                <w:color w:val="0000FF"/>
              </w:rPr>
              <w:t xml:space="preserve"> provides three Class I recommendations, indicating that the benefits clearly outweigh the risks and the recommendation can be applied to most patients in most circumstances. The two Level A recommendations are based on randomized control trials (RCTs) with no important limitations or exceptionally strong evidence from observational studies, and further evidence is unlikely to change the confidence in the estimate of the the effect. </w:t>
            </w:r>
            <w:r w:rsidR="002E64CC" w:rsidRPr="001B1DB1">
              <w:rPr>
                <w:noProof/>
                <w:color w:val="0000FF"/>
              </w:rPr>
              <w:t>A Level A study of diagnostic or prognostic accuracy would be a prospective cohort survey. Investigators would start with a group of patients suspected of having a disease (the cohort). The diagnostic test would be performed on this cohort. Some patients would have a positive test, others a negative test. The cohort would then have the actual presence or absence of the disease determined by an independent reference standard (the gold standard). Quantitative measures of the diagnostic accuracy of the test (or predictor) such as the sensitivity or specificity could then be calculated. For a study to be graded Level A, an investigator who is unaware of the results of the diagnostic test (presence or absence of the prognostic predictor) should apply the reference standard to determine the true presence of the disease (outcome).</w:t>
            </w:r>
            <w:r w:rsidR="002E64CC">
              <w:rPr>
                <w:noProof/>
                <w:color w:val="0000FF"/>
              </w:rPr>
              <w:t xml:space="preserve"> The third recommendation (Level C) is based on observational studies, case series, or indirect evidence, such as the</w:t>
            </w:r>
            <w:r w:rsidR="002E64CC" w:rsidRPr="001B6A40">
              <w:rPr>
                <w:noProof/>
                <w:color w:val="0000FF"/>
              </w:rPr>
              <w:t xml:space="preserve"> consensus opinion of experts or standard of care.</w:t>
            </w:r>
          </w:p>
          <w:p w14:paraId="27B2BAFB" w14:textId="1205CC30" w:rsidR="002E64CC" w:rsidRDefault="00234F59" w:rsidP="00DE5BAB">
            <w:pPr>
              <w:pStyle w:val="Default"/>
              <w:spacing w:before="45" w:after="45"/>
              <w:ind w:left="144" w:right="144"/>
              <w:jc w:val="both"/>
              <w:rPr>
                <w:rFonts w:asciiTheme="minorHAnsi" w:hAnsiTheme="minorHAnsi"/>
                <w:color w:val="0000FF"/>
                <w:sz w:val="22"/>
              </w:rPr>
            </w:pPr>
            <w:r>
              <w:rPr>
                <w:rFonts w:asciiTheme="minorHAnsi" w:hAnsiTheme="minorHAnsi"/>
                <w:color w:val="0000FF"/>
                <w:sz w:val="22"/>
                <w:u w:val="single"/>
              </w:rPr>
              <w:t xml:space="preserve">Guideline </w:t>
            </w:r>
            <w:r w:rsidR="002E64CC">
              <w:rPr>
                <w:rFonts w:asciiTheme="minorHAnsi" w:hAnsiTheme="minorHAnsi"/>
                <w:color w:val="0000FF"/>
                <w:sz w:val="22"/>
                <w:u w:val="single"/>
              </w:rPr>
              <w:t>2</w:t>
            </w:r>
            <w:r w:rsidR="002E64CC">
              <w:rPr>
                <w:rFonts w:asciiTheme="minorHAnsi" w:hAnsiTheme="minorHAnsi"/>
                <w:color w:val="0000FF"/>
                <w:sz w:val="22"/>
              </w:rPr>
              <w:t xml:space="preserve"> </w:t>
            </w:r>
            <w:r w:rsidR="002E64CC" w:rsidRPr="002E64CC">
              <w:rPr>
                <w:rFonts w:asciiTheme="minorHAnsi" w:hAnsiTheme="minorHAnsi"/>
                <w:color w:val="0000FF"/>
                <w:sz w:val="22"/>
              </w:rPr>
              <w:t xml:space="preserve">does not indicate the specific number or type of study designs included in the body of evidence; however, </w:t>
            </w:r>
            <w:r w:rsidR="002E64CC">
              <w:rPr>
                <w:rFonts w:asciiTheme="minorHAnsi" w:hAnsiTheme="minorHAnsi"/>
                <w:color w:val="0000FF"/>
                <w:sz w:val="22"/>
              </w:rPr>
              <w:t>the Class I recommendation</w:t>
            </w:r>
            <w:r w:rsidR="002E64CC" w:rsidRPr="002E64CC">
              <w:rPr>
                <w:rFonts w:asciiTheme="minorHAnsi" w:hAnsiTheme="minorHAnsi"/>
                <w:color w:val="0000FF"/>
                <w:sz w:val="22"/>
              </w:rPr>
              <w:t xml:space="preserve"> </w:t>
            </w:r>
            <w:r w:rsidR="002E64CC">
              <w:rPr>
                <w:rFonts w:asciiTheme="minorHAnsi" w:hAnsiTheme="minorHAnsi"/>
                <w:color w:val="0000FF"/>
                <w:sz w:val="22"/>
              </w:rPr>
              <w:t>is</w:t>
            </w:r>
            <w:r w:rsidR="002E64CC" w:rsidRPr="002E64CC">
              <w:rPr>
                <w:rFonts w:asciiTheme="minorHAnsi" w:hAnsiTheme="minorHAnsi"/>
                <w:color w:val="0000FF"/>
                <w:sz w:val="22"/>
              </w:rPr>
              <w:t xml:space="preserve"> Level A</w:t>
            </w:r>
            <w:r w:rsidR="002E64CC">
              <w:rPr>
                <w:rFonts w:asciiTheme="minorHAnsi" w:hAnsiTheme="minorHAnsi"/>
                <w:color w:val="0000FF"/>
                <w:sz w:val="22"/>
              </w:rPr>
              <w:t xml:space="preserve"> evidence and unchanged from the 2013 guideline.</w:t>
            </w:r>
            <w:r w:rsidR="009E2086">
              <w:rPr>
                <w:rFonts w:asciiTheme="minorHAnsi" w:hAnsiTheme="minorHAnsi"/>
                <w:color w:val="0000FF"/>
                <w:sz w:val="22"/>
              </w:rPr>
              <w:t xml:space="preserve"> Level A evidence is defined as high-quality evidence from more than 1 RCT, meta-analyses of high-quality RCTs, or one or more RCTs corroborated by high-quality registry studies.</w:t>
            </w:r>
          </w:p>
          <w:p w14:paraId="4C066FAE" w14:textId="3B655F2C" w:rsidR="002E64CC" w:rsidRPr="00882A9B" w:rsidRDefault="002E64CC" w:rsidP="00DE5BAB">
            <w:pPr>
              <w:pStyle w:val="Default"/>
              <w:spacing w:before="45" w:after="45"/>
              <w:ind w:left="144" w:right="144"/>
              <w:jc w:val="both"/>
              <w:rPr>
                <w:rFonts w:asciiTheme="minorHAnsi" w:hAnsiTheme="minorHAnsi"/>
                <w:color w:val="0000FF"/>
                <w:sz w:val="22"/>
                <w:u w:val="single"/>
              </w:rPr>
            </w:pPr>
            <w:r>
              <w:rPr>
                <w:rFonts w:asciiTheme="minorHAnsi" w:hAnsiTheme="minorHAnsi"/>
                <w:color w:val="0000FF"/>
                <w:sz w:val="22"/>
                <w:u w:val="single"/>
              </w:rPr>
              <w:t>Guideline #3</w:t>
            </w:r>
            <w:r w:rsidR="009E2086">
              <w:t xml:space="preserve"> </w:t>
            </w:r>
            <w:r w:rsidR="009E2086" w:rsidRPr="00882A9B">
              <w:rPr>
                <w:rFonts w:asciiTheme="minorHAnsi" w:hAnsiTheme="minorHAnsi"/>
                <w:color w:val="0000FF"/>
                <w:sz w:val="22"/>
              </w:rPr>
              <w:t xml:space="preserve">does not indicate the specific number or type of study designs included in the body of evidence; however, </w:t>
            </w:r>
            <w:r w:rsidR="009E2086">
              <w:rPr>
                <w:rFonts w:asciiTheme="minorHAnsi" w:hAnsiTheme="minorHAnsi"/>
                <w:color w:val="0000FF"/>
                <w:sz w:val="22"/>
              </w:rPr>
              <w:t>the two Class I</w:t>
            </w:r>
            <w:r w:rsidR="009E2086" w:rsidRPr="00882A9B">
              <w:rPr>
                <w:rFonts w:asciiTheme="minorHAnsi" w:hAnsiTheme="minorHAnsi"/>
                <w:color w:val="0000FF"/>
                <w:sz w:val="22"/>
              </w:rPr>
              <w:t xml:space="preserve"> recommendations are Level </w:t>
            </w:r>
            <w:r w:rsidR="009E2086">
              <w:rPr>
                <w:rFonts w:asciiTheme="minorHAnsi" w:hAnsiTheme="minorHAnsi"/>
                <w:color w:val="0000FF"/>
                <w:sz w:val="22"/>
              </w:rPr>
              <w:t xml:space="preserve">B-NR. Level B-NR evidence is </w:t>
            </w:r>
            <w:r w:rsidR="009E2086" w:rsidRPr="009E2086">
              <w:rPr>
                <w:rFonts w:asciiTheme="minorHAnsi" w:hAnsiTheme="minorHAnsi"/>
                <w:color w:val="0000FF"/>
                <w:sz w:val="22"/>
              </w:rPr>
              <w:t>moderate-quality evidence from 1 or more well-designed, well-executed nonrandomized studies, observation</w:t>
            </w:r>
            <w:r w:rsidR="009E2086">
              <w:rPr>
                <w:rFonts w:asciiTheme="minorHAnsi" w:hAnsiTheme="minorHAnsi"/>
                <w:color w:val="0000FF"/>
                <w:sz w:val="22"/>
              </w:rPr>
              <w:t>al studies, or registry studies, or</w:t>
            </w:r>
            <w:r w:rsidR="009E2086" w:rsidRPr="009E2086">
              <w:rPr>
                <w:rFonts w:asciiTheme="minorHAnsi" w:hAnsiTheme="minorHAnsi"/>
                <w:color w:val="0000FF"/>
                <w:sz w:val="22"/>
              </w:rPr>
              <w:t xml:space="preserve"> meta-analyses of such studies</w:t>
            </w:r>
            <w:r w:rsidR="009E2086">
              <w:rPr>
                <w:rFonts w:asciiTheme="minorHAnsi" w:hAnsiTheme="minorHAnsi"/>
                <w:color w:val="0000FF"/>
                <w:sz w:val="22"/>
              </w:rPr>
              <w:t xml:space="preserve">. </w:t>
            </w:r>
            <w:r w:rsidR="009E2086" w:rsidRPr="009E2086">
              <w:rPr>
                <w:rFonts w:asciiTheme="minorHAnsi" w:hAnsiTheme="minorHAnsi"/>
                <w:color w:val="0000FF"/>
                <w:sz w:val="22"/>
              </w:rPr>
              <w:t xml:space="preserve">The </w:t>
            </w:r>
            <w:r w:rsidR="009E2086">
              <w:rPr>
                <w:rFonts w:asciiTheme="minorHAnsi" w:hAnsiTheme="minorHAnsi"/>
                <w:color w:val="0000FF"/>
                <w:sz w:val="22"/>
              </w:rPr>
              <w:t xml:space="preserve">two </w:t>
            </w:r>
            <w:r w:rsidR="009E2086" w:rsidRPr="009E2086">
              <w:rPr>
                <w:rFonts w:asciiTheme="minorHAnsi" w:hAnsiTheme="minorHAnsi"/>
                <w:color w:val="0000FF"/>
                <w:sz w:val="22"/>
              </w:rPr>
              <w:t xml:space="preserve">recommendations referenced </w:t>
            </w:r>
            <w:r w:rsidR="009E2086">
              <w:rPr>
                <w:rFonts w:asciiTheme="minorHAnsi" w:hAnsiTheme="minorHAnsi"/>
                <w:color w:val="0000FF"/>
                <w:sz w:val="22"/>
              </w:rPr>
              <w:t>12</w:t>
            </w:r>
            <w:r w:rsidR="009E2086" w:rsidRPr="009E2086">
              <w:rPr>
                <w:rFonts w:asciiTheme="minorHAnsi" w:hAnsiTheme="minorHAnsi"/>
                <w:color w:val="0000FF"/>
                <w:sz w:val="22"/>
              </w:rPr>
              <w:t xml:space="preserve"> uniq</w:t>
            </w:r>
            <w:r w:rsidR="007B14C5">
              <w:rPr>
                <w:rFonts w:asciiTheme="minorHAnsi" w:hAnsiTheme="minorHAnsi"/>
                <w:color w:val="0000FF"/>
                <w:sz w:val="22"/>
              </w:rPr>
              <w:t>ue citations with evidence from</w:t>
            </w:r>
            <w:r w:rsidR="009E2086" w:rsidRPr="009E2086">
              <w:rPr>
                <w:rFonts w:asciiTheme="minorHAnsi" w:hAnsiTheme="minorHAnsi"/>
                <w:color w:val="0000FF"/>
                <w:sz w:val="22"/>
              </w:rPr>
              <w:t xml:space="preserve"> systematic reviews, </w:t>
            </w:r>
            <w:r w:rsidR="007B14C5">
              <w:rPr>
                <w:rFonts w:asciiTheme="minorHAnsi" w:hAnsiTheme="minorHAnsi"/>
                <w:color w:val="0000FF"/>
                <w:sz w:val="22"/>
              </w:rPr>
              <w:t>nonrandomized</w:t>
            </w:r>
            <w:r w:rsidR="009E2086" w:rsidRPr="009E2086">
              <w:rPr>
                <w:rFonts w:asciiTheme="minorHAnsi" w:hAnsiTheme="minorHAnsi"/>
                <w:color w:val="0000FF"/>
                <w:sz w:val="22"/>
              </w:rPr>
              <w:t xml:space="preserve"> </w:t>
            </w:r>
            <w:r w:rsidR="007B14C5">
              <w:rPr>
                <w:rFonts w:asciiTheme="minorHAnsi" w:hAnsiTheme="minorHAnsi"/>
                <w:color w:val="0000FF"/>
                <w:sz w:val="22"/>
              </w:rPr>
              <w:t>studies</w:t>
            </w:r>
            <w:r w:rsidR="009E2086" w:rsidRPr="009E2086">
              <w:rPr>
                <w:rFonts w:asciiTheme="minorHAnsi" w:hAnsiTheme="minorHAnsi"/>
                <w:color w:val="0000FF"/>
                <w:sz w:val="22"/>
              </w:rPr>
              <w:t>, and observational studies.</w:t>
            </w:r>
          </w:p>
        </w:tc>
      </w:tr>
      <w:tr w:rsidR="00F44A21" w14:paraId="4AF13E7F" w14:textId="77777777" w:rsidTr="00790A20">
        <w:trPr>
          <w:trHeight w:val="537"/>
        </w:trPr>
        <w:tc>
          <w:tcPr>
            <w:tcW w:w="3380" w:type="dxa"/>
          </w:tcPr>
          <w:p w14:paraId="0304B184" w14:textId="0EBC080D" w:rsidR="00F44A21" w:rsidRPr="002C1EBF" w:rsidRDefault="00FB19DA" w:rsidP="002C1EBF">
            <w:pPr>
              <w:pStyle w:val="TableParagraph"/>
              <w:ind w:left="144"/>
              <w:rPr>
                <w:b/>
              </w:rPr>
            </w:pPr>
            <w:r w:rsidRPr="002C1EBF">
              <w:rPr>
                <w:b/>
              </w:rPr>
              <w:t>Estimates of benefit and consistency</w:t>
            </w:r>
          </w:p>
          <w:p w14:paraId="661AD41E" w14:textId="77777777" w:rsidR="00F44A21" w:rsidRDefault="00FB19DA" w:rsidP="002C1EBF">
            <w:pPr>
              <w:pStyle w:val="TableParagraph"/>
              <w:ind w:left="144"/>
            </w:pPr>
            <w:r w:rsidRPr="002C1EBF">
              <w:rPr>
                <w:b/>
              </w:rPr>
              <w:t>across studies</w:t>
            </w:r>
          </w:p>
        </w:tc>
        <w:tc>
          <w:tcPr>
            <w:tcW w:w="7110" w:type="dxa"/>
            <w:vAlign w:val="center"/>
          </w:tcPr>
          <w:p w14:paraId="1E20CDB3" w14:textId="2C53BD2E" w:rsidR="0010779E" w:rsidRPr="00882A9B" w:rsidRDefault="0010779E" w:rsidP="00DE5BAB">
            <w:pPr>
              <w:pStyle w:val="TableParagraph"/>
              <w:spacing w:before="45" w:after="45"/>
              <w:ind w:left="144" w:right="144"/>
              <w:jc w:val="both"/>
              <w:rPr>
                <w:color w:val="0000FF"/>
              </w:rPr>
            </w:pPr>
            <w:r w:rsidRPr="00882A9B">
              <w:rPr>
                <w:i/>
                <w:color w:val="0000FF"/>
              </w:rPr>
              <w:t>Guideline #3, Recommendation A</w:t>
            </w:r>
            <w:r w:rsidRPr="00882A9B">
              <w:rPr>
                <w:color w:val="0000FF"/>
              </w:rPr>
              <w:t>:</w:t>
            </w:r>
          </w:p>
          <w:p w14:paraId="200A6C80" w14:textId="26675A42" w:rsidR="00F44A21" w:rsidRDefault="0010779E" w:rsidP="00DE5BAB">
            <w:pPr>
              <w:pStyle w:val="TableParagraph"/>
              <w:spacing w:before="45" w:after="45"/>
              <w:ind w:left="144" w:right="144"/>
              <w:jc w:val="both"/>
              <w:rPr>
                <w:rFonts w:ascii="Times New Roman"/>
              </w:rPr>
            </w:pPr>
            <w:r w:rsidRPr="00882A9B">
              <w:rPr>
                <w:color w:val="0000FF"/>
              </w:rPr>
              <w:t>“Diagnostic testing is most cost-effective when it leads to a change in treatment that improves outcomes, not just a change in treatment. Although diffusion-weighted magnetic resonance imaging (DW-MRI) is more sensitive than CT for detecting AIS,</w:t>
            </w:r>
            <w:r w:rsidR="00010AF4">
              <w:rPr>
                <w:color w:val="0000FF"/>
                <w:vertAlign w:val="superscript"/>
              </w:rPr>
              <w:t xml:space="preserve"> </w:t>
            </w:r>
            <w:r w:rsidRPr="00882A9B">
              <w:rPr>
                <w:color w:val="0000FF"/>
              </w:rPr>
              <w:t>routine use in all patients</w:t>
            </w:r>
            <w:r w:rsidR="00010AF4">
              <w:rPr>
                <w:color w:val="0000FF"/>
              </w:rPr>
              <w:t xml:space="preserve"> with AIS is not cost-effective.</w:t>
            </w:r>
            <w:r w:rsidRPr="00882A9B">
              <w:rPr>
                <w:color w:val="0000FF"/>
              </w:rPr>
              <w:t>”</w:t>
            </w:r>
          </w:p>
        </w:tc>
      </w:tr>
      <w:tr w:rsidR="00F44A21" w14:paraId="30BC197C" w14:textId="77777777" w:rsidTr="00790A20">
        <w:trPr>
          <w:trHeight w:val="268"/>
        </w:trPr>
        <w:tc>
          <w:tcPr>
            <w:tcW w:w="3380" w:type="dxa"/>
          </w:tcPr>
          <w:p w14:paraId="23F7595E" w14:textId="54405066" w:rsidR="00F44A21" w:rsidRPr="000763E0" w:rsidRDefault="00FB19DA">
            <w:pPr>
              <w:pStyle w:val="TableParagraph"/>
              <w:spacing w:line="248" w:lineRule="exact"/>
              <w:rPr>
                <w:b/>
              </w:rPr>
            </w:pPr>
            <w:r w:rsidRPr="000763E0">
              <w:rPr>
                <w:b/>
              </w:rPr>
              <w:t>What harms were identified?</w:t>
            </w:r>
          </w:p>
        </w:tc>
        <w:tc>
          <w:tcPr>
            <w:tcW w:w="7110" w:type="dxa"/>
            <w:vAlign w:val="center"/>
          </w:tcPr>
          <w:p w14:paraId="632C2CB5" w14:textId="576BCC9D" w:rsidR="00F44A21" w:rsidRPr="008E2707" w:rsidRDefault="007B14C5" w:rsidP="00DE5BAB">
            <w:pPr>
              <w:spacing w:before="45" w:after="45"/>
              <w:ind w:left="144" w:right="144"/>
              <w:jc w:val="both"/>
              <w:rPr>
                <w:rFonts w:ascii="Times New Roman"/>
                <w:color w:val="0000FF"/>
                <w:sz w:val="18"/>
              </w:rPr>
            </w:pPr>
            <w:r w:rsidRPr="00010AF4">
              <w:rPr>
                <w:noProof/>
                <w:color w:val="0000FF"/>
              </w:rPr>
              <w:t>The guidelines</w:t>
            </w:r>
            <w:r w:rsidR="002E64CC">
              <w:rPr>
                <w:noProof/>
                <w:color w:val="0000FF"/>
              </w:rPr>
              <w:t xml:space="preserve"> do not provide details about potential harms associated with expedited brain imaging of acut</w:t>
            </w:r>
            <w:r>
              <w:rPr>
                <w:noProof/>
                <w:color w:val="0000FF"/>
              </w:rPr>
              <w:t>e</w:t>
            </w:r>
            <w:r w:rsidR="002E64CC">
              <w:rPr>
                <w:noProof/>
                <w:color w:val="0000FF"/>
              </w:rPr>
              <w:t xml:space="preserve"> stroke patients that were iden</w:t>
            </w:r>
            <w:r w:rsidR="00010AF4">
              <w:rPr>
                <w:noProof/>
                <w:color w:val="0000FF"/>
              </w:rPr>
              <w:t>tified in the body of evidence.</w:t>
            </w:r>
          </w:p>
        </w:tc>
      </w:tr>
      <w:tr w:rsidR="00F44A21" w14:paraId="2F8AF18B" w14:textId="77777777" w:rsidTr="00790A20">
        <w:trPr>
          <w:trHeight w:val="805"/>
        </w:trPr>
        <w:tc>
          <w:tcPr>
            <w:tcW w:w="3380" w:type="dxa"/>
          </w:tcPr>
          <w:p w14:paraId="67E1BAD8" w14:textId="118AA298" w:rsidR="00F44A21" w:rsidRPr="000763E0" w:rsidRDefault="00FB19DA" w:rsidP="000763E0">
            <w:pPr>
              <w:pStyle w:val="TableParagraph"/>
              <w:ind w:left="144"/>
              <w:rPr>
                <w:b/>
              </w:rPr>
            </w:pPr>
            <w:r w:rsidRPr="000763E0">
              <w:rPr>
                <w:b/>
              </w:rPr>
              <w:t>Identify any new studies conducted since</w:t>
            </w:r>
            <w:r w:rsidR="000763E0" w:rsidRPr="000763E0">
              <w:rPr>
                <w:b/>
              </w:rPr>
              <w:t xml:space="preserve"> </w:t>
            </w:r>
            <w:r w:rsidRPr="000763E0">
              <w:rPr>
                <w:b/>
              </w:rPr>
              <w:t>the SR. Do the new studies change the conclusions from the SR?</w:t>
            </w:r>
          </w:p>
        </w:tc>
        <w:tc>
          <w:tcPr>
            <w:tcW w:w="7110" w:type="dxa"/>
            <w:vAlign w:val="center"/>
          </w:tcPr>
          <w:p w14:paraId="59C9D8B1" w14:textId="496B40A3" w:rsidR="00F44A21" w:rsidRPr="00DE5BAB" w:rsidRDefault="00DE5BAB" w:rsidP="00F30853">
            <w:pPr>
              <w:pStyle w:val="TableParagraph"/>
              <w:spacing w:before="45" w:after="45"/>
              <w:ind w:left="144"/>
              <w:rPr>
                <w:rFonts w:ascii="Times New Roman"/>
                <w:color w:val="0000FF"/>
              </w:rPr>
            </w:pPr>
            <w:r>
              <w:rPr>
                <w:noProof/>
                <w:color w:val="0000FF"/>
              </w:rPr>
              <w:t xml:space="preserve">Additional evidence identified as part of the contractor’s annual review of the clinical literature is described in </w:t>
            </w:r>
            <w:r w:rsidRPr="00645BE3">
              <w:rPr>
                <w:noProof/>
                <w:color w:val="0000FF"/>
              </w:rPr>
              <w:t xml:space="preserve">Section </w:t>
            </w:r>
            <w:r>
              <w:rPr>
                <w:b/>
                <w:noProof/>
                <w:color w:val="0000FF"/>
              </w:rPr>
              <w:t>1a.4</w:t>
            </w:r>
            <w:r>
              <w:rPr>
                <w:noProof/>
                <w:color w:val="0000FF"/>
              </w:rPr>
              <w:t>.</w:t>
            </w:r>
          </w:p>
        </w:tc>
      </w:tr>
    </w:tbl>
    <w:p w14:paraId="29850E13" w14:textId="5DEE3959" w:rsidR="00F44A21" w:rsidRDefault="0002213A" w:rsidP="00DE5BAB">
      <w:pPr>
        <w:spacing w:before="220" w:after="45"/>
        <w:ind w:left="720" w:hanging="720"/>
        <w:jc w:val="both"/>
        <w:rPr>
          <w:b/>
        </w:rPr>
      </w:pPr>
      <w:r>
        <w:rPr>
          <w:b/>
        </w:rPr>
        <w:t>1a.4</w:t>
      </w:r>
      <w:r>
        <w:rPr>
          <w:b/>
        </w:rPr>
        <w:tab/>
      </w:r>
      <w:r w:rsidR="00FB19DA">
        <w:rPr>
          <w:b/>
        </w:rPr>
        <w:t>OTHER SOURCE OF EVIDENCE</w:t>
      </w:r>
    </w:p>
    <w:p w14:paraId="7079C90A" w14:textId="77777777" w:rsidR="00F44A21" w:rsidRDefault="00FB19DA" w:rsidP="00DE5BAB">
      <w:pPr>
        <w:spacing w:after="220"/>
        <w:ind w:left="720"/>
        <w:jc w:val="both"/>
        <w:rPr>
          <w:i/>
        </w:rPr>
      </w:pPr>
      <w:r>
        <w:rPr>
          <w:i/>
        </w:rPr>
        <w:t>If source of evidence is NOT from a clinical practice guideline, USPSTF, or systematic review, please describe the evidence on which you are basing the performance measure.</w:t>
      </w:r>
    </w:p>
    <w:p w14:paraId="45AAFEEF" w14:textId="7D536807" w:rsidR="00F44A21" w:rsidRDefault="0002213A" w:rsidP="00DE5BAB">
      <w:pPr>
        <w:spacing w:after="45"/>
        <w:ind w:left="720" w:hanging="720"/>
        <w:jc w:val="both"/>
      </w:pPr>
      <w:r>
        <w:rPr>
          <w:b/>
        </w:rPr>
        <w:t>1a.4.1</w:t>
      </w:r>
      <w:r>
        <w:rPr>
          <w:b/>
        </w:rPr>
        <w:tab/>
      </w:r>
      <w:r w:rsidR="00FB19DA">
        <w:rPr>
          <w:b/>
        </w:rPr>
        <w:t xml:space="preserve">Briefly SYNTHESIZE the evidence that supports the measure. </w:t>
      </w:r>
      <w:r w:rsidR="00FB19DA">
        <w:t>A list of references without a summary is not acceptable.</w:t>
      </w:r>
    </w:p>
    <w:p w14:paraId="4C0302DF" w14:textId="460B62B8" w:rsidR="00F44A21" w:rsidRPr="008E2707" w:rsidRDefault="006D0050" w:rsidP="00DE5BAB">
      <w:pPr>
        <w:pStyle w:val="BodyText"/>
        <w:spacing w:after="220"/>
        <w:ind w:left="720"/>
        <w:jc w:val="both"/>
        <w:rPr>
          <w:color w:val="0000FF"/>
          <w:sz w:val="22"/>
        </w:rPr>
      </w:pPr>
      <w:r>
        <w:rPr>
          <w:color w:val="0000FF"/>
          <w:sz w:val="22"/>
        </w:rPr>
        <w:t>Additional evidence supporting the measure was identified through a review of clinical literature and related policy</w:t>
      </w:r>
      <w:r w:rsidR="002D500E">
        <w:rPr>
          <w:color w:val="0000FF"/>
          <w:sz w:val="22"/>
        </w:rPr>
        <w:t>,</w:t>
      </w:r>
      <w:r>
        <w:rPr>
          <w:color w:val="0000FF"/>
          <w:sz w:val="22"/>
        </w:rPr>
        <w:t xml:space="preserve"> as </w:t>
      </w:r>
      <w:r w:rsidR="002D500E">
        <w:rPr>
          <w:color w:val="0000FF"/>
          <w:sz w:val="22"/>
        </w:rPr>
        <w:t xml:space="preserve">further </w:t>
      </w:r>
      <w:r>
        <w:rPr>
          <w:color w:val="0000FF"/>
          <w:sz w:val="22"/>
        </w:rPr>
        <w:t xml:space="preserve">described and referenced in Sections </w:t>
      </w:r>
      <w:r w:rsidRPr="002D500E">
        <w:rPr>
          <w:b/>
          <w:color w:val="0000FF"/>
          <w:sz w:val="22"/>
        </w:rPr>
        <w:t>1a.4.2</w:t>
      </w:r>
      <w:r>
        <w:rPr>
          <w:color w:val="0000FF"/>
          <w:sz w:val="22"/>
        </w:rPr>
        <w:t xml:space="preserve"> and </w:t>
      </w:r>
      <w:r w:rsidRPr="002D500E">
        <w:rPr>
          <w:b/>
          <w:color w:val="0000FF"/>
          <w:sz w:val="22"/>
        </w:rPr>
        <w:t>1a.4.3</w:t>
      </w:r>
      <w:r>
        <w:rPr>
          <w:color w:val="0000FF"/>
          <w:sz w:val="22"/>
        </w:rPr>
        <w:t>. The</w:t>
      </w:r>
      <w:r w:rsidR="002D500E">
        <w:rPr>
          <w:color w:val="0000FF"/>
          <w:sz w:val="22"/>
        </w:rPr>
        <w:t>se additional</w:t>
      </w:r>
      <w:r>
        <w:rPr>
          <w:color w:val="0000FF"/>
          <w:sz w:val="22"/>
        </w:rPr>
        <w:t xml:space="preserve"> references provide evidence</w:t>
      </w:r>
      <w:r w:rsidR="00D558AB">
        <w:rPr>
          <w:color w:val="0000FF"/>
          <w:sz w:val="22"/>
        </w:rPr>
        <w:t xml:space="preserve"> that stroke remains the fifth leading cause of death and that improved outcomes</w:t>
      </w:r>
      <w:r w:rsidR="002D500E">
        <w:rPr>
          <w:color w:val="0000FF"/>
          <w:sz w:val="22"/>
        </w:rPr>
        <w:t xml:space="preserve">, based on practice and </w:t>
      </w:r>
      <w:r w:rsidR="00D558AB">
        <w:rPr>
          <w:color w:val="0000FF"/>
          <w:sz w:val="22"/>
        </w:rPr>
        <w:t>studies, is associated with early interventions and</w:t>
      </w:r>
      <w:r>
        <w:rPr>
          <w:color w:val="0000FF"/>
          <w:sz w:val="22"/>
        </w:rPr>
        <w:t xml:space="preserve"> </w:t>
      </w:r>
      <w:r w:rsidR="002D500E">
        <w:rPr>
          <w:color w:val="0000FF"/>
          <w:sz w:val="22"/>
        </w:rPr>
        <w:t>time</w:t>
      </w:r>
      <w:r w:rsidR="00D558AB">
        <w:rPr>
          <w:color w:val="0000FF"/>
          <w:sz w:val="22"/>
        </w:rPr>
        <w:t xml:space="preserve">frames </w:t>
      </w:r>
      <w:r w:rsidR="002D500E">
        <w:rPr>
          <w:color w:val="0000FF"/>
          <w:sz w:val="22"/>
        </w:rPr>
        <w:t xml:space="preserve">from </w:t>
      </w:r>
      <w:r>
        <w:rPr>
          <w:color w:val="0000FF"/>
          <w:sz w:val="22"/>
        </w:rPr>
        <w:t>door-to-</w:t>
      </w:r>
      <w:r w:rsidR="00D558AB">
        <w:rPr>
          <w:color w:val="0000FF"/>
          <w:sz w:val="22"/>
        </w:rPr>
        <w:t>imaging and door-to-</w:t>
      </w:r>
      <w:r w:rsidR="002D500E">
        <w:rPr>
          <w:color w:val="0000FF"/>
          <w:sz w:val="22"/>
        </w:rPr>
        <w:t>treatment for patients presenting with acute ischemic stroke.</w:t>
      </w:r>
      <w:r w:rsidR="0081521C">
        <w:rPr>
          <w:color w:val="0000FF"/>
          <w:sz w:val="22"/>
        </w:rPr>
        <w:t xml:space="preserve"> </w:t>
      </w:r>
      <w:r>
        <w:rPr>
          <w:color w:val="0000FF"/>
          <w:sz w:val="22"/>
        </w:rPr>
        <w:t xml:space="preserve"> </w:t>
      </w:r>
      <w:r w:rsidR="00FB19DA">
        <w:rPr>
          <w:color w:val="0000FF"/>
          <w:sz w:val="22"/>
        </w:rPr>
        <w:t xml:space="preserve"> </w:t>
      </w:r>
    </w:p>
    <w:p w14:paraId="59A06ABE" w14:textId="77777777" w:rsidR="0002213A" w:rsidRDefault="0002213A" w:rsidP="00DE5BAB">
      <w:pPr>
        <w:pStyle w:val="Heading1"/>
        <w:spacing w:after="45"/>
        <w:ind w:left="720" w:hanging="720"/>
        <w:jc w:val="both"/>
      </w:pPr>
      <w:r>
        <w:t>1a.4.2</w:t>
      </w:r>
      <w:r>
        <w:tab/>
      </w:r>
      <w:r w:rsidR="00FB19DA">
        <w:t xml:space="preserve">What process was used to identify the evidence? </w:t>
      </w:r>
    </w:p>
    <w:p w14:paraId="514FFC33" w14:textId="09C4CF34" w:rsidR="00EE0121" w:rsidRPr="00C1396F" w:rsidRDefault="00EE0121" w:rsidP="00DE5BAB">
      <w:pPr>
        <w:spacing w:before="45" w:after="220"/>
        <w:ind w:left="720"/>
        <w:jc w:val="both"/>
        <w:rPr>
          <w:color w:val="0000FF"/>
        </w:rPr>
      </w:pPr>
      <w:r w:rsidRPr="00C1396F">
        <w:rPr>
          <w:color w:val="0000FF"/>
        </w:rPr>
        <w:t>In addition to the t</w:t>
      </w:r>
      <w:r w:rsidR="00A369E8">
        <w:rPr>
          <w:color w:val="0000FF"/>
        </w:rPr>
        <w:t>hree</w:t>
      </w:r>
      <w:r w:rsidRPr="00C1396F">
        <w:rPr>
          <w:color w:val="0000FF"/>
        </w:rPr>
        <w:t xml:space="preserve"> guidelines cited above, a review of the clinical literature </w:t>
      </w:r>
      <w:r>
        <w:rPr>
          <w:color w:val="0000FF"/>
        </w:rPr>
        <w:t xml:space="preserve">and related policy </w:t>
      </w:r>
      <w:r w:rsidRPr="00C1396F">
        <w:rPr>
          <w:color w:val="0000FF"/>
        </w:rPr>
        <w:t xml:space="preserve">was conducted during the measure contractor’s annual review of the literature for additional evidence and/or new studies that support the measure’s intent. </w:t>
      </w:r>
      <w:r>
        <w:rPr>
          <w:color w:val="0000FF"/>
        </w:rPr>
        <w:t>The measure contractor</w:t>
      </w:r>
      <w:r w:rsidRPr="00AC4A61">
        <w:rPr>
          <w:color w:val="0000FF"/>
        </w:rPr>
        <w:t xml:space="preserve"> identified relevant peer-reviewed publications by searching the PubMed MEDLINE database from January 1, 2013 to </w:t>
      </w:r>
      <w:r>
        <w:rPr>
          <w:color w:val="0000FF"/>
        </w:rPr>
        <w:t>February 15</w:t>
      </w:r>
      <w:r w:rsidRPr="00AC4A61">
        <w:rPr>
          <w:color w:val="0000FF"/>
        </w:rPr>
        <w:t>, 2015</w:t>
      </w:r>
      <w:r w:rsidR="00106D56">
        <w:rPr>
          <w:color w:val="0000FF"/>
        </w:rPr>
        <w:t xml:space="preserve"> and October 1, 2017 to March 31, 2019. Search results were</w:t>
      </w:r>
      <w:r>
        <w:rPr>
          <w:color w:val="0000FF"/>
        </w:rPr>
        <w:t xml:space="preserve"> </w:t>
      </w:r>
      <w:r w:rsidRPr="00AC4A61">
        <w:rPr>
          <w:color w:val="0000FF"/>
        </w:rPr>
        <w:t>limit</w:t>
      </w:r>
      <w:r w:rsidR="00106D56">
        <w:rPr>
          <w:color w:val="0000FF"/>
        </w:rPr>
        <w:t>ed</w:t>
      </w:r>
      <w:r>
        <w:rPr>
          <w:color w:val="0000FF"/>
        </w:rPr>
        <w:t xml:space="preserve"> </w:t>
      </w:r>
      <w:r w:rsidRPr="00AC4A61">
        <w:rPr>
          <w:color w:val="0000FF"/>
        </w:rPr>
        <w:t>to those published in the English language and that had abstracts available in PubMed.</w:t>
      </w:r>
      <w:r w:rsidR="00106D56">
        <w:rPr>
          <w:color w:val="0000FF"/>
        </w:rPr>
        <w:t xml:space="preserve"> A</w:t>
      </w:r>
      <w:r>
        <w:rPr>
          <w:color w:val="0000FF"/>
        </w:rPr>
        <w:t xml:space="preserve"> further review by the contractor’s clinical and measure-development team resulted in the inclusion of </w:t>
      </w:r>
      <w:r w:rsidR="00E140B5">
        <w:rPr>
          <w:color w:val="0000FF"/>
        </w:rPr>
        <w:t>eight</w:t>
      </w:r>
      <w:r w:rsidR="00106D56">
        <w:rPr>
          <w:color w:val="0000FF"/>
        </w:rPr>
        <w:t xml:space="preserve"> </w:t>
      </w:r>
      <w:r>
        <w:rPr>
          <w:color w:val="0000FF"/>
        </w:rPr>
        <w:t xml:space="preserve">articles in the body of evidence below. </w:t>
      </w:r>
      <w:r w:rsidRPr="00C1396F">
        <w:rPr>
          <w:color w:val="0000FF"/>
        </w:rPr>
        <w:t xml:space="preserve">Citations and summaries for the </w:t>
      </w:r>
      <w:r w:rsidR="006D0050">
        <w:rPr>
          <w:color w:val="0000FF"/>
        </w:rPr>
        <w:t xml:space="preserve">eight </w:t>
      </w:r>
      <w:r w:rsidRPr="00C1396F">
        <w:rPr>
          <w:color w:val="0000FF"/>
        </w:rPr>
        <w:t xml:space="preserve">items included in this review can be found in </w:t>
      </w:r>
      <w:r w:rsidRPr="00BF210C">
        <w:rPr>
          <w:color w:val="0000FF"/>
        </w:rPr>
        <w:t>Section</w:t>
      </w:r>
      <w:r w:rsidRPr="00132BAA">
        <w:rPr>
          <w:b/>
          <w:color w:val="0000FF"/>
        </w:rPr>
        <w:t xml:space="preserve"> 1a.</w:t>
      </w:r>
      <w:r w:rsidR="00106D56">
        <w:rPr>
          <w:b/>
          <w:color w:val="0000FF"/>
        </w:rPr>
        <w:t>4</w:t>
      </w:r>
      <w:r w:rsidRPr="00132BAA">
        <w:rPr>
          <w:b/>
          <w:color w:val="0000FF"/>
        </w:rPr>
        <w:t>.</w:t>
      </w:r>
      <w:r w:rsidR="00106D56">
        <w:rPr>
          <w:b/>
          <w:color w:val="0000FF"/>
        </w:rPr>
        <w:t>3</w:t>
      </w:r>
      <w:r w:rsidRPr="00C1396F">
        <w:rPr>
          <w:color w:val="0000FF"/>
        </w:rPr>
        <w:t>.</w:t>
      </w:r>
    </w:p>
    <w:p w14:paraId="5641B960" w14:textId="25C38221" w:rsidR="00FB19DA" w:rsidRDefault="00EA7F75" w:rsidP="00DE5BAB">
      <w:pPr>
        <w:pStyle w:val="Heading1"/>
        <w:spacing w:after="45"/>
        <w:ind w:left="720" w:hanging="720"/>
        <w:jc w:val="both"/>
      </w:pPr>
      <w:r>
        <w:t>1a.4.3.</w:t>
      </w:r>
      <w:r>
        <w:tab/>
      </w:r>
      <w:r w:rsidR="00FB19DA">
        <w:t>Provide the citation(s) for the evidence.</w:t>
      </w:r>
    </w:p>
    <w:p w14:paraId="5D7B2699" w14:textId="77777777" w:rsidR="00DF5B42" w:rsidRDefault="00DF5B42" w:rsidP="00DE5BAB">
      <w:pPr>
        <w:tabs>
          <w:tab w:val="left" w:pos="0"/>
        </w:tabs>
        <w:spacing w:after="45"/>
        <w:ind w:left="720"/>
        <w:jc w:val="both"/>
        <w:rPr>
          <w:color w:val="0000FF"/>
          <w:u w:val="single"/>
        </w:rPr>
      </w:pPr>
      <w:r w:rsidRPr="00612966">
        <w:rPr>
          <w:color w:val="0000FF"/>
          <w:u w:val="single"/>
        </w:rPr>
        <w:t xml:space="preserve">Choi J, Jang M, Kang K, et al. Comparative effectiveness of standard care with IV thrombolysis versus without IV thrombolysis for mild ischemic stroke. </w:t>
      </w:r>
      <w:r w:rsidRPr="00E140B5">
        <w:rPr>
          <w:i/>
          <w:color w:val="0000FF"/>
          <w:u w:val="single"/>
        </w:rPr>
        <w:t>Journal of the American Heart Association</w:t>
      </w:r>
      <w:r w:rsidRPr="00612966">
        <w:rPr>
          <w:color w:val="0000FF"/>
          <w:u w:val="single"/>
        </w:rPr>
        <w:t>. 2015; 4(1):e001306.</w:t>
      </w:r>
    </w:p>
    <w:p w14:paraId="5884926C" w14:textId="77777777" w:rsidR="00DF5B42" w:rsidRDefault="00DF5B42" w:rsidP="00DE5BAB">
      <w:pPr>
        <w:tabs>
          <w:tab w:val="left" w:pos="0"/>
        </w:tabs>
        <w:spacing w:after="220"/>
        <w:ind w:left="720"/>
        <w:jc w:val="both"/>
        <w:rPr>
          <w:color w:val="0000FF"/>
        </w:rPr>
      </w:pPr>
      <w:r>
        <w:rPr>
          <w:color w:val="0000FF"/>
        </w:rPr>
        <w:t xml:space="preserve">Choi et al. conducted an observational registry-based study to evaluate the comparative effectiveness of standard care with intravenous thrombolysis (IVT) versus without IVT in mild stroke patients. Choi et al. identified patients with acute ischemic stroke who presented within 4.5 hours of symptom onset and had National Institutes of Health Stroke Scale Scores of 5 or higher. Of 13,117 patients with stroke who were hospitalized between April 2008 and May 2012, 1,386 met eligibility criteria and 194 were treated with IVT. Choi et al. found that standard care with IVT is more effective than not receiving IVT in mild ischemic stroke patients, and there is a statistically insignificant risk of symptomatic hemorrhagic transformation.  </w:t>
      </w:r>
    </w:p>
    <w:p w14:paraId="14D20F0C" w14:textId="5A1B76B6" w:rsidR="00DF5B42" w:rsidRDefault="00DF5B42" w:rsidP="00DE5BAB">
      <w:pPr>
        <w:tabs>
          <w:tab w:val="left" w:pos="0"/>
        </w:tabs>
        <w:spacing w:after="45"/>
        <w:ind w:left="720"/>
        <w:jc w:val="both"/>
        <w:rPr>
          <w:rFonts w:eastAsia="Times New Roman" w:cs="Times New Roman"/>
          <w:color w:val="0000FF"/>
          <w:spacing w:val="-1"/>
          <w:szCs w:val="24"/>
        </w:rPr>
      </w:pPr>
      <w:r w:rsidRPr="00612966">
        <w:rPr>
          <w:rFonts w:eastAsia="Times New Roman" w:cs="Times New Roman"/>
          <w:color w:val="0000FF"/>
          <w:spacing w:val="-1"/>
          <w:szCs w:val="24"/>
          <w:u w:val="single"/>
        </w:rPr>
        <w:t xml:space="preserve">Ciccone A, </w:t>
      </w:r>
      <w:proofErr w:type="spellStart"/>
      <w:r w:rsidRPr="00612966">
        <w:rPr>
          <w:rFonts w:eastAsia="Times New Roman" w:cs="Times New Roman"/>
          <w:color w:val="0000FF"/>
          <w:spacing w:val="-1"/>
          <w:szCs w:val="24"/>
          <w:u w:val="single"/>
        </w:rPr>
        <w:t>Valvassori</w:t>
      </w:r>
      <w:proofErr w:type="spellEnd"/>
      <w:r w:rsidRPr="00612966">
        <w:rPr>
          <w:rFonts w:eastAsia="Times New Roman" w:cs="Times New Roman"/>
          <w:color w:val="0000FF"/>
          <w:spacing w:val="-1"/>
          <w:szCs w:val="24"/>
          <w:u w:val="single"/>
        </w:rPr>
        <w:t xml:space="preserve"> L, </w:t>
      </w:r>
      <w:proofErr w:type="spellStart"/>
      <w:r w:rsidRPr="00612966">
        <w:rPr>
          <w:rFonts w:eastAsia="Times New Roman" w:cs="Times New Roman"/>
          <w:color w:val="0000FF"/>
          <w:spacing w:val="-1"/>
          <w:szCs w:val="24"/>
          <w:u w:val="single"/>
        </w:rPr>
        <w:t>Nichelatti</w:t>
      </w:r>
      <w:proofErr w:type="spellEnd"/>
      <w:r w:rsidRPr="00612966">
        <w:rPr>
          <w:rFonts w:eastAsia="Times New Roman" w:cs="Times New Roman"/>
          <w:color w:val="0000FF"/>
          <w:spacing w:val="-1"/>
          <w:szCs w:val="24"/>
          <w:u w:val="single"/>
        </w:rPr>
        <w:t xml:space="preserve"> M, </w:t>
      </w:r>
      <w:proofErr w:type="spellStart"/>
      <w:r w:rsidRPr="00612966">
        <w:rPr>
          <w:rFonts w:eastAsia="Times New Roman" w:cs="Times New Roman"/>
          <w:color w:val="0000FF"/>
          <w:spacing w:val="-1"/>
          <w:szCs w:val="24"/>
          <w:u w:val="single"/>
        </w:rPr>
        <w:t>Sgoifo</w:t>
      </w:r>
      <w:proofErr w:type="spellEnd"/>
      <w:r w:rsidRPr="00612966">
        <w:rPr>
          <w:rFonts w:eastAsia="Times New Roman" w:cs="Times New Roman"/>
          <w:color w:val="0000FF"/>
          <w:spacing w:val="-1"/>
          <w:szCs w:val="24"/>
          <w:u w:val="single"/>
        </w:rPr>
        <w:t xml:space="preserve"> A, et al. Endovascular treatment for acute ischemic</w:t>
      </w:r>
      <w:r>
        <w:rPr>
          <w:rFonts w:eastAsia="Times New Roman" w:cs="Times New Roman"/>
          <w:color w:val="0000FF"/>
          <w:spacing w:val="-1"/>
          <w:szCs w:val="24"/>
          <w:u w:val="single"/>
        </w:rPr>
        <w:t xml:space="preserve"> </w:t>
      </w:r>
      <w:r w:rsidRPr="00612966">
        <w:rPr>
          <w:rFonts w:eastAsia="Times New Roman" w:cs="Times New Roman"/>
          <w:color w:val="0000FF"/>
          <w:spacing w:val="-1"/>
          <w:szCs w:val="24"/>
          <w:u w:val="single"/>
        </w:rPr>
        <w:t xml:space="preserve">stroke. </w:t>
      </w:r>
      <w:r w:rsidRPr="006B5F96">
        <w:rPr>
          <w:rFonts w:eastAsia="Times New Roman" w:cs="Times New Roman"/>
          <w:i/>
          <w:color w:val="0000FF"/>
          <w:spacing w:val="-1"/>
          <w:szCs w:val="24"/>
          <w:u w:val="single"/>
        </w:rPr>
        <w:t>The New England Journal of Medicine</w:t>
      </w:r>
      <w:r w:rsidR="006B5F96">
        <w:rPr>
          <w:rFonts w:eastAsia="Times New Roman" w:cs="Times New Roman"/>
          <w:color w:val="0000FF"/>
          <w:spacing w:val="-1"/>
          <w:szCs w:val="24"/>
          <w:u w:val="single"/>
        </w:rPr>
        <w:t>. 2013; 368(10):904–9</w:t>
      </w:r>
      <w:r w:rsidRPr="00612966">
        <w:rPr>
          <w:rFonts w:eastAsia="Times New Roman" w:cs="Times New Roman"/>
          <w:color w:val="0000FF"/>
          <w:spacing w:val="-1"/>
          <w:szCs w:val="24"/>
          <w:u w:val="single"/>
        </w:rPr>
        <w:t xml:space="preserve">13. </w:t>
      </w:r>
    </w:p>
    <w:p w14:paraId="5997FEAC" w14:textId="7E376439" w:rsidR="00DF5B42" w:rsidRDefault="00DF5B42" w:rsidP="00DE5BAB">
      <w:pPr>
        <w:tabs>
          <w:tab w:val="left" w:pos="360"/>
        </w:tabs>
        <w:spacing w:after="220"/>
        <w:ind w:left="720"/>
        <w:jc w:val="both"/>
        <w:rPr>
          <w:color w:val="0000FF"/>
        </w:rPr>
      </w:pPr>
      <w:r>
        <w:rPr>
          <w:color w:val="0000FF"/>
        </w:rPr>
        <w:t xml:space="preserve">Ciccone et al. conducted a randomized control trial of 362 patients with acute ischemic stroke who arrived within 4.5 hours after onset to compare the clinical efficacy of endovascular therapy and intravenous </w:t>
      </w:r>
      <w:proofErr w:type="spellStart"/>
      <w:r>
        <w:rPr>
          <w:color w:val="0000FF"/>
        </w:rPr>
        <w:t>tPA</w:t>
      </w:r>
      <w:proofErr w:type="spellEnd"/>
      <w:r>
        <w:rPr>
          <w:color w:val="0000FF"/>
        </w:rPr>
        <w:t xml:space="preserve">. The median time from stroke onset to start of treatment was 3.75 hours for endovascular therapy and 2.75 hours for intravenous </w:t>
      </w:r>
      <w:proofErr w:type="spellStart"/>
      <w:r>
        <w:rPr>
          <w:color w:val="0000FF"/>
        </w:rPr>
        <w:t>tPA</w:t>
      </w:r>
      <w:proofErr w:type="spellEnd"/>
      <w:r>
        <w:rPr>
          <w:color w:val="0000FF"/>
        </w:rPr>
        <w:t xml:space="preserve"> (p = 0.001). There were no significant differences between groups in the rates of other serious adverse events or the case fatality rate, suggesting that endovascular therapy is not superior to the</w:t>
      </w:r>
      <w:r w:rsidR="006B5F96">
        <w:rPr>
          <w:color w:val="0000FF"/>
        </w:rPr>
        <w:t xml:space="preserve"> current gold standard of </w:t>
      </w:r>
      <w:proofErr w:type="spellStart"/>
      <w:r w:rsidR="006B5F96">
        <w:rPr>
          <w:color w:val="0000FF"/>
        </w:rPr>
        <w:t>tPA</w:t>
      </w:r>
      <w:proofErr w:type="spellEnd"/>
      <w:r w:rsidR="006B5F96">
        <w:rPr>
          <w:color w:val="0000FF"/>
        </w:rPr>
        <w:t>.</w:t>
      </w:r>
    </w:p>
    <w:p w14:paraId="6CD24F8B" w14:textId="77777777" w:rsidR="000A491A" w:rsidRDefault="000A491A" w:rsidP="000A491A">
      <w:pPr>
        <w:spacing w:after="45"/>
        <w:ind w:left="720"/>
        <w:jc w:val="both"/>
        <w:rPr>
          <w:color w:val="0000FF"/>
          <w:u w:val="single"/>
        </w:rPr>
      </w:pPr>
      <w:proofErr w:type="spellStart"/>
      <w:r w:rsidRPr="00612966">
        <w:rPr>
          <w:color w:val="0000FF"/>
          <w:u w:val="single"/>
        </w:rPr>
        <w:t>Edlow</w:t>
      </w:r>
      <w:proofErr w:type="spellEnd"/>
      <w:r w:rsidRPr="00612966">
        <w:rPr>
          <w:color w:val="0000FF"/>
          <w:u w:val="single"/>
        </w:rPr>
        <w:t xml:space="preserve"> J, Smith E, Stead L, </w:t>
      </w:r>
      <w:proofErr w:type="spellStart"/>
      <w:r w:rsidRPr="00612966">
        <w:rPr>
          <w:color w:val="0000FF"/>
          <w:u w:val="single"/>
        </w:rPr>
        <w:t>Gronseth</w:t>
      </w:r>
      <w:proofErr w:type="spellEnd"/>
      <w:r w:rsidRPr="00612966">
        <w:rPr>
          <w:color w:val="0000FF"/>
          <w:u w:val="single"/>
        </w:rPr>
        <w:t xml:space="preserve"> G, et al. American College of Emergency Physicians, American Academy </w:t>
      </w:r>
      <w:r>
        <w:rPr>
          <w:color w:val="0000FF"/>
          <w:u w:val="single"/>
        </w:rPr>
        <w:t>of Neurology. Clinical policy: U</w:t>
      </w:r>
      <w:r w:rsidRPr="00612966">
        <w:rPr>
          <w:color w:val="0000FF"/>
          <w:u w:val="single"/>
        </w:rPr>
        <w:t xml:space="preserve">se of intravenous </w:t>
      </w:r>
      <w:proofErr w:type="spellStart"/>
      <w:r w:rsidRPr="00612966">
        <w:rPr>
          <w:color w:val="0000FF"/>
          <w:u w:val="single"/>
        </w:rPr>
        <w:t>tPA</w:t>
      </w:r>
      <w:proofErr w:type="spellEnd"/>
      <w:r w:rsidRPr="00612966">
        <w:rPr>
          <w:color w:val="0000FF"/>
          <w:u w:val="single"/>
        </w:rPr>
        <w:t xml:space="preserve"> for the management of acute ischemic stroke in the emergency department. </w:t>
      </w:r>
      <w:r w:rsidRPr="00E140B5">
        <w:rPr>
          <w:i/>
          <w:color w:val="0000FF"/>
          <w:u w:val="single"/>
        </w:rPr>
        <w:t xml:space="preserve">Ann </w:t>
      </w:r>
      <w:proofErr w:type="spellStart"/>
      <w:r w:rsidRPr="00E140B5">
        <w:rPr>
          <w:i/>
          <w:color w:val="0000FF"/>
          <w:u w:val="single"/>
        </w:rPr>
        <w:t>Emerg</w:t>
      </w:r>
      <w:proofErr w:type="spellEnd"/>
      <w:r w:rsidRPr="00E140B5">
        <w:rPr>
          <w:i/>
          <w:color w:val="0000FF"/>
          <w:u w:val="single"/>
        </w:rPr>
        <w:t xml:space="preserve"> Med</w:t>
      </w:r>
      <w:r w:rsidRPr="00612966">
        <w:rPr>
          <w:color w:val="0000FF"/>
          <w:u w:val="single"/>
        </w:rPr>
        <w:t>. 2013; 61(</w:t>
      </w:r>
      <w:r>
        <w:rPr>
          <w:color w:val="0000FF"/>
          <w:u w:val="single"/>
        </w:rPr>
        <w:t>2):225–2</w:t>
      </w:r>
      <w:r w:rsidRPr="00612966">
        <w:rPr>
          <w:color w:val="0000FF"/>
          <w:u w:val="single"/>
        </w:rPr>
        <w:t xml:space="preserve">43. </w:t>
      </w:r>
    </w:p>
    <w:p w14:paraId="5B42824D" w14:textId="77777777" w:rsidR="000A491A" w:rsidRDefault="000A491A" w:rsidP="000A491A">
      <w:pPr>
        <w:spacing w:after="220"/>
        <w:ind w:left="720"/>
        <w:jc w:val="both"/>
        <w:rPr>
          <w:color w:val="0000FF"/>
        </w:rPr>
      </w:pPr>
      <w:r>
        <w:rPr>
          <w:color w:val="0000FF"/>
        </w:rPr>
        <w:t xml:space="preserve">A joint writing panel of the </w:t>
      </w:r>
      <w:r w:rsidRPr="00763536">
        <w:rPr>
          <w:color w:val="0000FF"/>
        </w:rPr>
        <w:t>American College of Emergency Physicians and the American Academy of Neurology</w:t>
      </w:r>
      <w:r>
        <w:rPr>
          <w:color w:val="0000FF"/>
        </w:rPr>
        <w:t xml:space="preserve"> reviewed literature, graded evidence, and made recommendations based on the strength of available data. Recommendations were developed to help clinicians answer questions including:</w:t>
      </w:r>
      <w:r w:rsidRPr="00763536">
        <w:rPr>
          <w:color w:val="0000FF"/>
        </w:rPr>
        <w:t xml:space="preserve"> (1) Is intravenous tissue plasminogen activator (</w:t>
      </w:r>
      <w:proofErr w:type="spellStart"/>
      <w:r w:rsidRPr="00763536">
        <w:rPr>
          <w:color w:val="0000FF"/>
        </w:rPr>
        <w:t>tPA</w:t>
      </w:r>
      <w:proofErr w:type="spellEnd"/>
      <w:r w:rsidRPr="00763536">
        <w:rPr>
          <w:color w:val="0000FF"/>
        </w:rPr>
        <w:t xml:space="preserve">) safe and effective for acute ischemic stroke patients if given within 3 hours of symptom onset? (2) Is intravenous </w:t>
      </w:r>
      <w:proofErr w:type="spellStart"/>
      <w:r w:rsidRPr="00763536">
        <w:rPr>
          <w:color w:val="0000FF"/>
        </w:rPr>
        <w:t>tPA</w:t>
      </w:r>
      <w:proofErr w:type="spellEnd"/>
      <w:r w:rsidRPr="00763536">
        <w:rPr>
          <w:color w:val="0000FF"/>
        </w:rPr>
        <w:t xml:space="preserve"> safe and effective for acute ischemic stroke patients treated between 3 to 4.5 hours after symptom onset?</w:t>
      </w:r>
      <w:r>
        <w:rPr>
          <w:color w:val="0000FF"/>
        </w:rPr>
        <w:t xml:space="preserve"> The authors indicate that although the time window for </w:t>
      </w:r>
      <w:proofErr w:type="spellStart"/>
      <w:r>
        <w:rPr>
          <w:color w:val="0000FF"/>
        </w:rPr>
        <w:t>tPA</w:t>
      </w:r>
      <w:proofErr w:type="spellEnd"/>
      <w:r>
        <w:rPr>
          <w:color w:val="0000FF"/>
        </w:rPr>
        <w:t xml:space="preserve"> may have been lengthened to 4.5 hours, patient outcomes are optimized by the earliest possible intervention after brain imaging and clinical evaluation.</w:t>
      </w:r>
    </w:p>
    <w:p w14:paraId="47898F9F" w14:textId="24634571" w:rsidR="00DF5B42" w:rsidRDefault="00DF5B42" w:rsidP="00DE5BAB">
      <w:pPr>
        <w:spacing w:after="45"/>
        <w:ind w:left="720"/>
        <w:jc w:val="both"/>
        <w:rPr>
          <w:color w:val="0000FF"/>
          <w:u w:val="single"/>
        </w:rPr>
      </w:pPr>
      <w:proofErr w:type="spellStart"/>
      <w:r w:rsidRPr="00763536">
        <w:rPr>
          <w:color w:val="0000FF"/>
          <w:u w:val="single"/>
        </w:rPr>
        <w:t>Haršány</w:t>
      </w:r>
      <w:proofErr w:type="spellEnd"/>
      <w:r w:rsidRPr="00763536" w:rsidDel="00763536">
        <w:rPr>
          <w:color w:val="0000FF"/>
          <w:u w:val="single"/>
        </w:rPr>
        <w:t xml:space="preserve"> </w:t>
      </w:r>
      <w:r w:rsidRPr="00612966">
        <w:rPr>
          <w:color w:val="0000FF"/>
          <w:u w:val="single"/>
        </w:rPr>
        <w:t xml:space="preserve">M, </w:t>
      </w:r>
      <w:proofErr w:type="spellStart"/>
      <w:r w:rsidRPr="00612966">
        <w:rPr>
          <w:color w:val="0000FF"/>
          <w:u w:val="single"/>
        </w:rPr>
        <w:t>Tsivgoulis</w:t>
      </w:r>
      <w:proofErr w:type="spellEnd"/>
      <w:r w:rsidRPr="00612966">
        <w:rPr>
          <w:color w:val="0000FF"/>
          <w:u w:val="single"/>
        </w:rPr>
        <w:t xml:space="preserve"> G, </w:t>
      </w:r>
      <w:proofErr w:type="spellStart"/>
      <w:r w:rsidRPr="00612966">
        <w:rPr>
          <w:color w:val="0000FF"/>
          <w:u w:val="single"/>
        </w:rPr>
        <w:t>Alexandrov</w:t>
      </w:r>
      <w:proofErr w:type="spellEnd"/>
      <w:r w:rsidRPr="00612966">
        <w:rPr>
          <w:color w:val="0000FF"/>
          <w:u w:val="single"/>
        </w:rPr>
        <w:t xml:space="preserve"> A. Intravenous thrombol</w:t>
      </w:r>
      <w:r w:rsidR="006B5F96">
        <w:rPr>
          <w:color w:val="0000FF"/>
          <w:u w:val="single"/>
        </w:rPr>
        <w:t>ysis in acute ischemic stroke: S</w:t>
      </w:r>
      <w:r w:rsidRPr="00612966">
        <w:rPr>
          <w:color w:val="0000FF"/>
          <w:u w:val="single"/>
        </w:rPr>
        <w:t xml:space="preserve">tandard and potential future applications. </w:t>
      </w:r>
      <w:r w:rsidRPr="006B5F96">
        <w:rPr>
          <w:i/>
          <w:color w:val="0000FF"/>
          <w:u w:val="single"/>
        </w:rPr>
        <w:t>Expert Review of Neurotherapeutics</w:t>
      </w:r>
      <w:r w:rsidRPr="00612966">
        <w:rPr>
          <w:color w:val="0000FF"/>
          <w:u w:val="single"/>
        </w:rPr>
        <w:t>. 2014; 14(8):879</w:t>
      </w:r>
      <w:r w:rsidR="006B5F96">
        <w:rPr>
          <w:color w:val="0000FF"/>
          <w:u w:val="single"/>
        </w:rPr>
        <w:t>–8</w:t>
      </w:r>
      <w:r w:rsidRPr="00612966">
        <w:rPr>
          <w:color w:val="0000FF"/>
          <w:u w:val="single"/>
        </w:rPr>
        <w:t>92.</w:t>
      </w:r>
    </w:p>
    <w:p w14:paraId="0357A9D2" w14:textId="77777777" w:rsidR="00DF5B42" w:rsidRDefault="00DF5B42" w:rsidP="00DE5BAB">
      <w:pPr>
        <w:spacing w:after="220"/>
        <w:ind w:left="720"/>
        <w:jc w:val="both"/>
        <w:rPr>
          <w:color w:val="0000FF"/>
        </w:rPr>
      </w:pPr>
      <w:proofErr w:type="spellStart"/>
      <w:r w:rsidRPr="00445B86">
        <w:rPr>
          <w:color w:val="0000FF"/>
        </w:rPr>
        <w:t>Haršány</w:t>
      </w:r>
      <w:proofErr w:type="spellEnd"/>
      <w:r w:rsidRPr="00445B86">
        <w:rPr>
          <w:color w:val="0000FF"/>
        </w:rPr>
        <w:t xml:space="preserve"> et al. reviewed studies providing evidence that intravenous thrombolysis with </w:t>
      </w:r>
      <w:proofErr w:type="spellStart"/>
      <w:r w:rsidRPr="00445B86">
        <w:rPr>
          <w:color w:val="0000FF"/>
        </w:rPr>
        <w:t>tPA</w:t>
      </w:r>
      <w:proofErr w:type="spellEnd"/>
      <w:r w:rsidRPr="00445B86">
        <w:rPr>
          <w:color w:val="0000FF"/>
        </w:rPr>
        <w:t xml:space="preserve"> improves early functional outcomes in acute ischemic stroke patients.</w:t>
      </w:r>
      <w:r>
        <w:rPr>
          <w:color w:val="0000FF"/>
        </w:rPr>
        <w:t xml:space="preserve"> </w:t>
      </w:r>
      <w:r w:rsidRPr="00445B86">
        <w:rPr>
          <w:color w:val="0000FF"/>
        </w:rPr>
        <w:t xml:space="preserve">Additionally, successful use of intravenous thrombolysis is dependent upon the organization of the treatment team and it should be standard that intravenous </w:t>
      </w:r>
      <w:proofErr w:type="spellStart"/>
      <w:r>
        <w:rPr>
          <w:color w:val="0000FF"/>
        </w:rPr>
        <w:t>t</w:t>
      </w:r>
      <w:r w:rsidRPr="00445B86">
        <w:rPr>
          <w:color w:val="0000FF"/>
        </w:rPr>
        <w:t>PA</w:t>
      </w:r>
      <w:proofErr w:type="spellEnd"/>
      <w:r w:rsidRPr="00445B86">
        <w:rPr>
          <w:color w:val="0000FF"/>
        </w:rPr>
        <w:t xml:space="preserve"> be administered within 4.5 hours of the onset of stroke </w:t>
      </w:r>
      <w:r>
        <w:rPr>
          <w:color w:val="0000FF"/>
        </w:rPr>
        <w:t>sy</w:t>
      </w:r>
      <w:r w:rsidRPr="00445B86">
        <w:rPr>
          <w:color w:val="0000FF"/>
        </w:rPr>
        <w:t>mptoms.</w:t>
      </w:r>
      <w:r>
        <w:rPr>
          <w:color w:val="0000FF"/>
        </w:rPr>
        <w:t xml:space="preserve"> </w:t>
      </w:r>
    </w:p>
    <w:p w14:paraId="0B9937A5" w14:textId="2A43807E" w:rsidR="006B5F96" w:rsidRPr="00882A9B" w:rsidRDefault="006B5F96" w:rsidP="006B5F96">
      <w:pPr>
        <w:spacing w:after="45"/>
        <w:ind w:left="720"/>
        <w:jc w:val="both"/>
        <w:rPr>
          <w:rFonts w:asciiTheme="minorHAnsi" w:eastAsia="Times New Roman" w:hAnsiTheme="minorHAnsi" w:cs="Times New Roman"/>
          <w:color w:val="0000FF"/>
          <w:spacing w:val="-1"/>
          <w:u w:val="single"/>
        </w:rPr>
      </w:pPr>
      <w:r w:rsidRPr="00882A9B">
        <w:rPr>
          <w:rFonts w:asciiTheme="minorHAnsi" w:eastAsia="Times New Roman" w:hAnsiTheme="minorHAnsi" w:cs="Times New Roman"/>
          <w:color w:val="0000FF"/>
          <w:u w:val="single"/>
        </w:rPr>
        <w:t xml:space="preserve">Heron, Melonie. Deaths: Leading </w:t>
      </w:r>
      <w:r w:rsidR="000A491A">
        <w:rPr>
          <w:rFonts w:asciiTheme="minorHAnsi" w:eastAsia="Times New Roman" w:hAnsiTheme="minorHAnsi" w:cs="Times New Roman"/>
          <w:color w:val="0000FF"/>
          <w:u w:val="single"/>
        </w:rPr>
        <w:t>c</w:t>
      </w:r>
      <w:r w:rsidRPr="00882A9B">
        <w:rPr>
          <w:rFonts w:asciiTheme="minorHAnsi" w:eastAsia="Times New Roman" w:hAnsiTheme="minorHAnsi" w:cs="Times New Roman"/>
          <w:color w:val="0000FF"/>
          <w:u w:val="single"/>
        </w:rPr>
        <w:t>auses for 2016.</w:t>
      </w:r>
      <w:r w:rsidRPr="00882A9B">
        <w:rPr>
          <w:rFonts w:asciiTheme="minorHAnsi" w:eastAsia="Times New Roman" w:hAnsiTheme="minorHAnsi" w:cs="Times New Roman"/>
          <w:i/>
          <w:color w:val="0000FF"/>
          <w:u w:val="single"/>
        </w:rPr>
        <w:t xml:space="preserve"> National Vital Statistics Reports</w:t>
      </w:r>
      <w:r w:rsidRPr="00882A9B">
        <w:rPr>
          <w:rFonts w:asciiTheme="minorHAnsi" w:eastAsia="Times New Roman" w:hAnsiTheme="minorHAnsi" w:cs="Times New Roman"/>
          <w:color w:val="0000FF"/>
          <w:u w:val="single"/>
        </w:rPr>
        <w:t xml:space="preserve">. </w:t>
      </w:r>
      <w:r w:rsidR="000A491A">
        <w:rPr>
          <w:rFonts w:asciiTheme="minorHAnsi" w:eastAsia="Times New Roman" w:hAnsiTheme="minorHAnsi" w:cs="Times New Roman"/>
          <w:color w:val="0000FF"/>
          <w:u w:val="single"/>
        </w:rPr>
        <w:t xml:space="preserve">2018; </w:t>
      </w:r>
      <w:r w:rsidRPr="000A491A">
        <w:rPr>
          <w:rFonts w:asciiTheme="minorHAnsi" w:eastAsia="Times New Roman" w:hAnsiTheme="minorHAnsi" w:cs="Times New Roman"/>
          <w:color w:val="0000FF"/>
          <w:u w:val="single"/>
        </w:rPr>
        <w:t>67</w:t>
      </w:r>
      <w:r w:rsidRPr="00882A9B">
        <w:rPr>
          <w:rFonts w:asciiTheme="minorHAnsi" w:eastAsia="Times New Roman" w:hAnsiTheme="minorHAnsi" w:cs="Times New Roman"/>
          <w:color w:val="0000FF"/>
          <w:u w:val="single"/>
        </w:rPr>
        <w:t xml:space="preserve">(6). </w:t>
      </w:r>
      <w:hyperlink r:id="rId16" w:history="1">
        <w:r w:rsidR="000A491A" w:rsidRPr="008E7D22">
          <w:rPr>
            <w:rStyle w:val="Hyperlink"/>
            <w:rFonts w:asciiTheme="minorHAnsi" w:eastAsia="Times New Roman" w:hAnsiTheme="minorHAnsi" w:cs="Times New Roman"/>
          </w:rPr>
          <w:t>https://www</w:t>
        </w:r>
      </w:hyperlink>
      <w:r w:rsidRPr="00882A9B">
        <w:rPr>
          <w:rFonts w:asciiTheme="minorHAnsi" w:eastAsia="Times New Roman" w:hAnsiTheme="minorHAnsi" w:cs="Times New Roman"/>
          <w:color w:val="0000FF"/>
          <w:u w:val="single"/>
        </w:rPr>
        <w:t>.</w:t>
      </w:r>
      <w:r w:rsidR="000A491A">
        <w:rPr>
          <w:rFonts w:asciiTheme="minorHAnsi" w:eastAsia="Times New Roman" w:hAnsiTheme="minorHAnsi" w:cs="Times New Roman"/>
          <w:color w:val="0000FF"/>
          <w:u w:val="single"/>
        </w:rPr>
        <w:t xml:space="preserve"> </w:t>
      </w:r>
      <w:r w:rsidRPr="00882A9B">
        <w:rPr>
          <w:rFonts w:asciiTheme="minorHAnsi" w:eastAsia="Times New Roman" w:hAnsiTheme="minorHAnsi" w:cs="Times New Roman"/>
          <w:color w:val="0000FF"/>
          <w:u w:val="single"/>
        </w:rPr>
        <w:t>cdc.gov/</w:t>
      </w:r>
      <w:r w:rsidR="000A491A">
        <w:rPr>
          <w:rFonts w:asciiTheme="minorHAnsi" w:eastAsia="Times New Roman" w:hAnsiTheme="minorHAnsi" w:cs="Times New Roman"/>
          <w:color w:val="0000FF"/>
          <w:u w:val="single"/>
        </w:rPr>
        <w:t xml:space="preserve"> </w:t>
      </w:r>
      <w:proofErr w:type="spellStart"/>
      <w:r w:rsidRPr="00882A9B">
        <w:rPr>
          <w:rFonts w:asciiTheme="minorHAnsi" w:eastAsia="Times New Roman" w:hAnsiTheme="minorHAnsi" w:cs="Times New Roman"/>
          <w:color w:val="0000FF"/>
          <w:u w:val="single"/>
        </w:rPr>
        <w:t>nchs</w:t>
      </w:r>
      <w:proofErr w:type="spellEnd"/>
      <w:r w:rsidRPr="00882A9B">
        <w:rPr>
          <w:rFonts w:asciiTheme="minorHAnsi" w:eastAsia="Times New Roman" w:hAnsiTheme="minorHAnsi" w:cs="Times New Roman"/>
          <w:color w:val="0000FF"/>
          <w:u w:val="single"/>
        </w:rPr>
        <w:t>/data/</w:t>
      </w:r>
      <w:proofErr w:type="spellStart"/>
      <w:r w:rsidRPr="00882A9B">
        <w:rPr>
          <w:rFonts w:asciiTheme="minorHAnsi" w:eastAsia="Times New Roman" w:hAnsiTheme="minorHAnsi" w:cs="Times New Roman"/>
          <w:color w:val="0000FF"/>
          <w:u w:val="single"/>
        </w:rPr>
        <w:t>nvsr</w:t>
      </w:r>
      <w:proofErr w:type="spellEnd"/>
      <w:r w:rsidRPr="00882A9B">
        <w:rPr>
          <w:rFonts w:asciiTheme="minorHAnsi" w:eastAsia="Times New Roman" w:hAnsiTheme="minorHAnsi" w:cs="Times New Roman"/>
          <w:color w:val="0000FF"/>
          <w:u w:val="single"/>
        </w:rPr>
        <w:t>/nvsr67/nvsr67_06.pdf.</w:t>
      </w:r>
    </w:p>
    <w:p w14:paraId="0FF87C9D" w14:textId="77777777" w:rsidR="006B5F96" w:rsidRDefault="006B5F96" w:rsidP="006B5F96">
      <w:pPr>
        <w:pStyle w:val="Heading1"/>
        <w:spacing w:after="220"/>
        <w:ind w:left="720"/>
        <w:jc w:val="both"/>
        <w:rPr>
          <w:b w:val="0"/>
          <w:color w:val="0000FF"/>
        </w:rPr>
      </w:pPr>
      <w:r>
        <w:rPr>
          <w:b w:val="0"/>
          <w:color w:val="0000FF"/>
        </w:rPr>
        <w:t>This report shares the leading causes of death in the United States by age, sex, race, and Hispanic origin using 2016 data from 50 states and the District of Columbia.</w:t>
      </w:r>
    </w:p>
    <w:p w14:paraId="30545397" w14:textId="77777777" w:rsidR="000A491A" w:rsidRDefault="000A491A" w:rsidP="000A491A">
      <w:pPr>
        <w:spacing w:after="45"/>
        <w:ind w:left="720"/>
        <w:jc w:val="both"/>
        <w:rPr>
          <w:color w:val="0000FF"/>
          <w:u w:val="single"/>
        </w:rPr>
      </w:pPr>
      <w:r w:rsidRPr="00612966">
        <w:rPr>
          <w:color w:val="0000FF"/>
          <w:u w:val="single"/>
        </w:rPr>
        <w:t xml:space="preserve">Lang C, Bland M, Cheng N, </w:t>
      </w:r>
      <w:proofErr w:type="spellStart"/>
      <w:r w:rsidRPr="00612966">
        <w:rPr>
          <w:color w:val="0000FF"/>
          <w:u w:val="single"/>
        </w:rPr>
        <w:t>Corbetta</w:t>
      </w:r>
      <w:proofErr w:type="spellEnd"/>
      <w:r w:rsidRPr="00612966">
        <w:rPr>
          <w:color w:val="0000FF"/>
          <w:u w:val="single"/>
        </w:rPr>
        <w:t xml:space="preserve"> M, et al. A case-control study of the effectiveness of tissue plasminogen </w:t>
      </w:r>
      <w:r>
        <w:rPr>
          <w:color w:val="0000FF"/>
          <w:u w:val="single"/>
        </w:rPr>
        <w:t>activator on 6 month patients—R</w:t>
      </w:r>
      <w:r w:rsidRPr="00612966">
        <w:rPr>
          <w:color w:val="0000FF"/>
          <w:u w:val="single"/>
        </w:rPr>
        <w:t xml:space="preserve">eported outcomes and health care utilization. </w:t>
      </w:r>
      <w:r w:rsidRPr="00E140B5">
        <w:rPr>
          <w:i/>
          <w:color w:val="0000FF"/>
          <w:u w:val="single"/>
        </w:rPr>
        <w:t>Journal of Stroke and Cerebrovascular Diseases: The Official Journal of National Stroke Association</w:t>
      </w:r>
      <w:r>
        <w:rPr>
          <w:color w:val="0000FF"/>
          <w:u w:val="single"/>
        </w:rPr>
        <w:t>. 2014; 23(10):2914–291</w:t>
      </w:r>
      <w:r w:rsidRPr="00612966">
        <w:rPr>
          <w:color w:val="0000FF"/>
          <w:u w:val="single"/>
        </w:rPr>
        <w:t xml:space="preserve">9. </w:t>
      </w:r>
    </w:p>
    <w:p w14:paraId="04B50A2F" w14:textId="2E178945" w:rsidR="000A491A" w:rsidRPr="000A491A" w:rsidRDefault="000A491A" w:rsidP="000A491A">
      <w:pPr>
        <w:pStyle w:val="Heading1"/>
        <w:spacing w:after="220"/>
        <w:ind w:left="720"/>
        <w:jc w:val="both"/>
        <w:rPr>
          <w:b w:val="0"/>
          <w:color w:val="0000FF"/>
        </w:rPr>
      </w:pPr>
      <w:r w:rsidRPr="000A491A">
        <w:rPr>
          <w:b w:val="0"/>
          <w:color w:val="0000FF"/>
        </w:rPr>
        <w:t xml:space="preserve">Lang et al. performed a cohort study to examine the benefit of </w:t>
      </w:r>
      <w:proofErr w:type="spellStart"/>
      <w:r w:rsidRPr="000A491A">
        <w:rPr>
          <w:b w:val="0"/>
          <w:color w:val="0000FF"/>
        </w:rPr>
        <w:t>tPA</w:t>
      </w:r>
      <w:proofErr w:type="spellEnd"/>
      <w:r w:rsidRPr="000A491A">
        <w:rPr>
          <w:b w:val="0"/>
          <w:color w:val="0000FF"/>
        </w:rPr>
        <w:t xml:space="preserve"> on patient-reported outcomes and health care utilization on 6-month stroke patients by analyzing patients who received </w:t>
      </w:r>
      <w:proofErr w:type="spellStart"/>
      <w:r w:rsidRPr="000A491A">
        <w:rPr>
          <w:b w:val="0"/>
          <w:color w:val="0000FF"/>
        </w:rPr>
        <w:t>tPA</w:t>
      </w:r>
      <w:proofErr w:type="spellEnd"/>
      <w:r w:rsidRPr="000A491A">
        <w:rPr>
          <w:b w:val="0"/>
          <w:color w:val="0000FF"/>
        </w:rPr>
        <w:t xml:space="preserve"> as part of usual stroke management and patients who would have received </w:t>
      </w:r>
      <w:proofErr w:type="spellStart"/>
      <w:r w:rsidRPr="000A491A">
        <w:rPr>
          <w:b w:val="0"/>
          <w:color w:val="0000FF"/>
        </w:rPr>
        <w:t>tPA</w:t>
      </w:r>
      <w:proofErr w:type="spellEnd"/>
      <w:r w:rsidRPr="000A491A">
        <w:rPr>
          <w:b w:val="0"/>
          <w:color w:val="0000FF"/>
        </w:rPr>
        <w:t xml:space="preserve"> had they arrived to the hospital within the therapeutic time window. Data were collected from surveys 6 months after stroke using standardized patient-reported outcome measures and questions about health care utilization. Demographic and medical data were acquired from hospital records. The </w:t>
      </w:r>
      <w:proofErr w:type="spellStart"/>
      <w:r w:rsidRPr="000A491A">
        <w:rPr>
          <w:b w:val="0"/>
          <w:color w:val="0000FF"/>
        </w:rPr>
        <w:t>tPA</w:t>
      </w:r>
      <w:proofErr w:type="spellEnd"/>
      <w:r w:rsidRPr="000A491A">
        <w:rPr>
          <w:b w:val="0"/>
          <w:color w:val="0000FF"/>
        </w:rPr>
        <w:t xml:space="preserve"> (n = 78) and control (n = 156) groups were matched across variables, except for stroke severity, which was better in the control group; subsequent analyses controlled for this mismatch. Patients who received </w:t>
      </w:r>
      <w:proofErr w:type="spellStart"/>
      <w:r w:rsidRPr="000A491A">
        <w:rPr>
          <w:b w:val="0"/>
          <w:color w:val="0000FF"/>
        </w:rPr>
        <w:t>tPA</w:t>
      </w:r>
      <w:proofErr w:type="spellEnd"/>
      <w:r w:rsidRPr="000A491A">
        <w:rPr>
          <w:b w:val="0"/>
          <w:color w:val="0000FF"/>
        </w:rPr>
        <w:t xml:space="preserve"> were compared with those who would have received </w:t>
      </w:r>
      <w:proofErr w:type="spellStart"/>
      <w:r w:rsidRPr="000A491A">
        <w:rPr>
          <w:b w:val="0"/>
          <w:color w:val="0000FF"/>
        </w:rPr>
        <w:t>tPA</w:t>
      </w:r>
      <w:proofErr w:type="spellEnd"/>
      <w:r w:rsidRPr="000A491A">
        <w:rPr>
          <w:b w:val="0"/>
          <w:color w:val="0000FF"/>
        </w:rPr>
        <w:t xml:space="preserve"> had they arrived to the hospital within the therapeutic window. The </w:t>
      </w:r>
      <w:proofErr w:type="spellStart"/>
      <w:r w:rsidRPr="000A491A">
        <w:rPr>
          <w:b w:val="0"/>
          <w:color w:val="0000FF"/>
        </w:rPr>
        <w:t>tPA</w:t>
      </w:r>
      <w:proofErr w:type="spellEnd"/>
      <w:r w:rsidRPr="000A491A">
        <w:rPr>
          <w:b w:val="0"/>
          <w:color w:val="0000FF"/>
        </w:rPr>
        <w:t xml:space="preserve"> group reported better physical function, communication, cognitive ability, depressive symptomatology, and quality of life/participation compared with the control group and fewer people in the </w:t>
      </w:r>
      <w:proofErr w:type="spellStart"/>
      <w:r w:rsidRPr="000A491A">
        <w:rPr>
          <w:b w:val="0"/>
          <w:color w:val="0000FF"/>
        </w:rPr>
        <w:t>tPA</w:t>
      </w:r>
      <w:proofErr w:type="spellEnd"/>
      <w:r w:rsidRPr="000A491A">
        <w:rPr>
          <w:b w:val="0"/>
          <w:color w:val="0000FF"/>
        </w:rPr>
        <w:t xml:space="preserve"> group reported skilled nursing facility stays, emergency department visits, and rehospitalizations after their stroke. Lang et al. found that the use of </w:t>
      </w:r>
      <w:proofErr w:type="spellStart"/>
      <w:r w:rsidRPr="000A491A">
        <w:rPr>
          <w:b w:val="0"/>
          <w:color w:val="0000FF"/>
        </w:rPr>
        <w:t>tPA</w:t>
      </w:r>
      <w:proofErr w:type="spellEnd"/>
      <w:r w:rsidRPr="000A491A">
        <w:rPr>
          <w:b w:val="0"/>
          <w:color w:val="0000FF"/>
        </w:rPr>
        <w:t xml:space="preserve"> provides a large benefit to the daily lives of people with ischemic stroke.</w:t>
      </w:r>
    </w:p>
    <w:p w14:paraId="06D7E4FD" w14:textId="18CE8627" w:rsidR="00221D5A" w:rsidRPr="00882A9B" w:rsidRDefault="00221D5A" w:rsidP="00DE5BAB">
      <w:pPr>
        <w:spacing w:after="45"/>
        <w:ind w:left="720"/>
        <w:jc w:val="both"/>
        <w:rPr>
          <w:rFonts w:asciiTheme="minorHAnsi" w:eastAsia="Times New Roman" w:hAnsiTheme="minorHAnsi" w:cs="Times New Roman"/>
          <w:color w:val="0000FF"/>
          <w:u w:val="single"/>
        </w:rPr>
      </w:pPr>
      <w:proofErr w:type="spellStart"/>
      <w:r w:rsidRPr="00882A9B">
        <w:rPr>
          <w:rFonts w:asciiTheme="minorHAnsi" w:eastAsia="Times New Roman" w:hAnsiTheme="minorHAnsi" w:cs="Times New Roman"/>
          <w:color w:val="0000FF"/>
          <w:u w:val="single"/>
        </w:rPr>
        <w:t>Metts</w:t>
      </w:r>
      <w:proofErr w:type="spellEnd"/>
      <w:r w:rsidRPr="00882A9B">
        <w:rPr>
          <w:rFonts w:asciiTheme="minorHAnsi" w:eastAsia="Times New Roman" w:hAnsiTheme="minorHAnsi" w:cs="Times New Roman"/>
          <w:color w:val="0000FF"/>
          <w:u w:val="single"/>
        </w:rPr>
        <w:t xml:space="preserve">, E. L., A. M. Bailey, K. A. </w:t>
      </w:r>
      <w:proofErr w:type="spellStart"/>
      <w:r w:rsidRPr="00882A9B">
        <w:rPr>
          <w:rFonts w:asciiTheme="minorHAnsi" w:eastAsia="Times New Roman" w:hAnsiTheme="minorHAnsi" w:cs="Times New Roman"/>
          <w:color w:val="0000FF"/>
          <w:u w:val="single"/>
        </w:rPr>
        <w:t>W</w:t>
      </w:r>
      <w:r w:rsidR="006B5F96">
        <w:rPr>
          <w:rFonts w:asciiTheme="minorHAnsi" w:eastAsia="Times New Roman" w:hAnsiTheme="minorHAnsi" w:cs="Times New Roman"/>
          <w:color w:val="0000FF"/>
          <w:u w:val="single"/>
        </w:rPr>
        <w:t>eant</w:t>
      </w:r>
      <w:proofErr w:type="spellEnd"/>
      <w:r w:rsidR="006B5F96">
        <w:rPr>
          <w:rFonts w:asciiTheme="minorHAnsi" w:eastAsia="Times New Roman" w:hAnsiTheme="minorHAnsi" w:cs="Times New Roman"/>
          <w:color w:val="0000FF"/>
          <w:u w:val="single"/>
        </w:rPr>
        <w:t xml:space="preserve"> and S. B. Justice. </w:t>
      </w:r>
      <w:r w:rsidRPr="00882A9B">
        <w:rPr>
          <w:rFonts w:asciiTheme="minorHAnsi" w:eastAsia="Times New Roman" w:hAnsiTheme="minorHAnsi" w:cs="Times New Roman"/>
          <w:color w:val="0000FF"/>
          <w:u w:val="single"/>
        </w:rPr>
        <w:t xml:space="preserve">Identification of </w:t>
      </w:r>
      <w:r w:rsidR="006B5F96" w:rsidRPr="00882A9B">
        <w:rPr>
          <w:rFonts w:asciiTheme="minorHAnsi" w:eastAsia="Times New Roman" w:hAnsiTheme="minorHAnsi" w:cs="Times New Roman"/>
          <w:color w:val="0000FF"/>
          <w:u w:val="single"/>
        </w:rPr>
        <w:t>rate-limiting steps in the provision of thrombolytics for acute ischemic stro</w:t>
      </w:r>
      <w:r w:rsidRPr="00882A9B">
        <w:rPr>
          <w:rFonts w:asciiTheme="minorHAnsi" w:eastAsia="Times New Roman" w:hAnsiTheme="minorHAnsi" w:cs="Times New Roman"/>
          <w:color w:val="0000FF"/>
          <w:u w:val="single"/>
        </w:rPr>
        <w:t xml:space="preserve">ke. </w:t>
      </w:r>
      <w:r w:rsidRPr="00882A9B">
        <w:rPr>
          <w:rFonts w:asciiTheme="minorHAnsi" w:eastAsia="Times New Roman" w:hAnsiTheme="minorHAnsi" w:cs="Times New Roman"/>
          <w:i/>
          <w:color w:val="0000FF"/>
          <w:u w:val="single"/>
        </w:rPr>
        <w:t xml:space="preserve">J Pharm </w:t>
      </w:r>
      <w:proofErr w:type="spellStart"/>
      <w:r w:rsidRPr="00882A9B">
        <w:rPr>
          <w:rFonts w:asciiTheme="minorHAnsi" w:eastAsia="Times New Roman" w:hAnsiTheme="minorHAnsi" w:cs="Times New Roman"/>
          <w:i/>
          <w:color w:val="0000FF"/>
          <w:u w:val="single"/>
        </w:rPr>
        <w:t>Pract</w:t>
      </w:r>
      <w:proofErr w:type="spellEnd"/>
      <w:r w:rsidRPr="00882A9B">
        <w:rPr>
          <w:rFonts w:asciiTheme="minorHAnsi" w:eastAsia="Times New Roman" w:hAnsiTheme="minorHAnsi" w:cs="Times New Roman"/>
          <w:i/>
          <w:color w:val="0000FF"/>
          <w:u w:val="single"/>
        </w:rPr>
        <w:t>.</w:t>
      </w:r>
      <w:r w:rsidR="006B5F96">
        <w:rPr>
          <w:rFonts w:asciiTheme="minorHAnsi" w:eastAsia="Times New Roman" w:hAnsiTheme="minorHAnsi" w:cs="Times New Roman"/>
          <w:color w:val="0000FF"/>
          <w:u w:val="single"/>
        </w:rPr>
        <w:t xml:space="preserve"> 2017; 30(6), 606–</w:t>
      </w:r>
      <w:r w:rsidRPr="00882A9B">
        <w:rPr>
          <w:rFonts w:asciiTheme="minorHAnsi" w:eastAsia="Times New Roman" w:hAnsiTheme="minorHAnsi" w:cs="Times New Roman"/>
          <w:color w:val="0000FF"/>
          <w:u w:val="single"/>
        </w:rPr>
        <w:t>611.</w:t>
      </w:r>
    </w:p>
    <w:p w14:paraId="40B55057" w14:textId="5CEA81A5" w:rsidR="00221D5A" w:rsidRDefault="00221D5A" w:rsidP="00DE5BAB">
      <w:pPr>
        <w:spacing w:after="220"/>
        <w:ind w:left="720"/>
        <w:jc w:val="both"/>
        <w:rPr>
          <w:rFonts w:asciiTheme="minorHAnsi" w:eastAsia="Times New Roman" w:hAnsiTheme="minorHAnsi" w:cs="Times New Roman"/>
          <w:color w:val="0000FF"/>
        </w:rPr>
      </w:pPr>
      <w:r w:rsidRPr="00882A9B">
        <w:rPr>
          <w:rFonts w:asciiTheme="minorHAnsi" w:eastAsia="Times New Roman" w:hAnsiTheme="minorHAnsi" w:cs="Times New Roman"/>
          <w:color w:val="0000FF"/>
        </w:rPr>
        <w:t xml:space="preserve">A retrospective chart review identified a number of factors that contribute to delays in DTN times greater than the guideline recommended 60 minutes. The study suggested that patient care protocols should focus on reducing </w:t>
      </w:r>
      <w:r w:rsidRPr="00882A9B">
        <w:rPr>
          <w:rFonts w:asciiTheme="minorHAnsi" w:eastAsia="Times New Roman" w:hAnsiTheme="minorHAnsi" w:cs="Times New Roman"/>
          <w:i/>
          <w:color w:val="0000FF"/>
        </w:rPr>
        <w:t>potential</w:t>
      </w:r>
      <w:r w:rsidR="007B14C5">
        <w:rPr>
          <w:rFonts w:asciiTheme="minorHAnsi" w:eastAsia="Times New Roman" w:hAnsiTheme="minorHAnsi" w:cs="Times New Roman"/>
          <w:color w:val="0000FF"/>
        </w:rPr>
        <w:t xml:space="preserve"> delays in stroke treatment</w:t>
      </w:r>
      <w:r w:rsidRPr="00882A9B">
        <w:rPr>
          <w:rFonts w:asciiTheme="minorHAnsi" w:eastAsia="Times New Roman" w:hAnsiTheme="minorHAnsi" w:cs="Times New Roman"/>
          <w:color w:val="0000FF"/>
        </w:rPr>
        <w:t>.</w:t>
      </w:r>
    </w:p>
    <w:p w14:paraId="242DDA79" w14:textId="77777777" w:rsidR="000A491A" w:rsidRPr="00445B86" w:rsidRDefault="000A491A" w:rsidP="000A491A">
      <w:pPr>
        <w:keepNext/>
        <w:keepLines/>
        <w:spacing w:after="45"/>
        <w:ind w:left="720"/>
        <w:jc w:val="both"/>
        <w:rPr>
          <w:color w:val="0000FF"/>
          <w:u w:val="single"/>
        </w:rPr>
      </w:pPr>
      <w:proofErr w:type="spellStart"/>
      <w:r w:rsidRPr="00445B86">
        <w:rPr>
          <w:color w:val="0000FF"/>
          <w:u w:val="single"/>
        </w:rPr>
        <w:t>Schwamm</w:t>
      </w:r>
      <w:proofErr w:type="spellEnd"/>
      <w:r w:rsidRPr="00445B86">
        <w:rPr>
          <w:color w:val="0000FF"/>
          <w:u w:val="single"/>
        </w:rPr>
        <w:t xml:space="preserve"> L, Ali S, Reeves M, Smith E, et al. Temporal trends in patient characteristics and treatment</w:t>
      </w:r>
      <w:r>
        <w:rPr>
          <w:color w:val="0000FF"/>
          <w:u w:val="single"/>
        </w:rPr>
        <w:t xml:space="preserve"> </w:t>
      </w:r>
      <w:r w:rsidRPr="00445B86">
        <w:rPr>
          <w:color w:val="0000FF"/>
          <w:u w:val="single"/>
        </w:rPr>
        <w:t>with intravenous thrombolysis among acute ischemic stroke pati</w:t>
      </w:r>
      <w:r>
        <w:rPr>
          <w:color w:val="0000FF"/>
          <w:u w:val="single"/>
        </w:rPr>
        <w:t>ents at Get With The Guidelines—</w:t>
      </w:r>
      <w:r w:rsidRPr="00445B86">
        <w:rPr>
          <w:color w:val="0000FF"/>
          <w:u w:val="single"/>
        </w:rPr>
        <w:t>Stroke</w:t>
      </w:r>
      <w:r>
        <w:rPr>
          <w:color w:val="0000FF"/>
          <w:u w:val="single"/>
        </w:rPr>
        <w:t xml:space="preserve"> </w:t>
      </w:r>
      <w:r w:rsidRPr="00445B86">
        <w:rPr>
          <w:color w:val="0000FF"/>
          <w:u w:val="single"/>
        </w:rPr>
        <w:t xml:space="preserve">hospitals. </w:t>
      </w:r>
      <w:r w:rsidRPr="00E140B5">
        <w:rPr>
          <w:i/>
          <w:color w:val="0000FF"/>
          <w:u w:val="single"/>
        </w:rPr>
        <w:t>Circulation</w:t>
      </w:r>
      <w:r w:rsidRPr="00445B86">
        <w:rPr>
          <w:color w:val="0000FF"/>
          <w:u w:val="single"/>
        </w:rPr>
        <w:t>. Cardiovascular Quali</w:t>
      </w:r>
      <w:r>
        <w:rPr>
          <w:color w:val="0000FF"/>
          <w:u w:val="single"/>
        </w:rPr>
        <w:t>ty and Outcomes. 2013; 6(5):543–54</w:t>
      </w:r>
      <w:r w:rsidRPr="00445B86">
        <w:rPr>
          <w:color w:val="0000FF"/>
          <w:u w:val="single"/>
        </w:rPr>
        <w:t>9.</w:t>
      </w:r>
    </w:p>
    <w:p w14:paraId="55D69563" w14:textId="7222F082" w:rsidR="000A491A" w:rsidRPr="000A491A" w:rsidRDefault="000A491A" w:rsidP="000A491A">
      <w:pPr>
        <w:spacing w:after="220"/>
        <w:ind w:left="720"/>
        <w:jc w:val="both"/>
        <w:rPr>
          <w:color w:val="0000FF"/>
        </w:rPr>
      </w:pPr>
      <w:proofErr w:type="spellStart"/>
      <w:r w:rsidRPr="00445B86">
        <w:rPr>
          <w:color w:val="0000FF"/>
        </w:rPr>
        <w:t>Schwamm</w:t>
      </w:r>
      <w:proofErr w:type="spellEnd"/>
      <w:r w:rsidRPr="00445B86">
        <w:rPr>
          <w:color w:val="0000FF"/>
        </w:rPr>
        <w:t xml:space="preserve"> et al. analyzed all acute ischemic stroke patients arriving within two hours of symptom onset and treated with </w:t>
      </w:r>
      <w:proofErr w:type="spellStart"/>
      <w:r w:rsidRPr="00445B86">
        <w:rPr>
          <w:color w:val="0000FF"/>
        </w:rPr>
        <w:t>tPA</w:t>
      </w:r>
      <w:proofErr w:type="spellEnd"/>
      <w:r w:rsidRPr="00445B86">
        <w:rPr>
          <w:color w:val="0000FF"/>
        </w:rPr>
        <w:t xml:space="preserve"> within three hours of symptom onset from 2003 to 2011 in the American Heart Association's Get with the Guideline-Stroke (GWTG-Stroke). A univariate analysis revealed that </w:t>
      </w:r>
      <w:proofErr w:type="spellStart"/>
      <w:r w:rsidRPr="00445B86">
        <w:rPr>
          <w:color w:val="0000FF"/>
        </w:rPr>
        <w:t>tPA</w:t>
      </w:r>
      <w:proofErr w:type="spellEnd"/>
      <w:r w:rsidRPr="00445B86">
        <w:rPr>
          <w:color w:val="0000FF"/>
        </w:rPr>
        <w:t xml:space="preserve"> use increased over time, particularly in those aged older than 85 years, nonwhite, and with milder strokes.</w:t>
      </w:r>
      <w:r>
        <w:rPr>
          <w:color w:val="0000FF"/>
        </w:rPr>
        <w:t xml:space="preserve"> </w:t>
      </w:r>
      <w:r w:rsidRPr="00445B86">
        <w:rPr>
          <w:color w:val="0000FF"/>
        </w:rPr>
        <w:t>Additionally, door-to-image and door-to-</w:t>
      </w:r>
      <w:proofErr w:type="spellStart"/>
      <w:r w:rsidRPr="00445B86">
        <w:rPr>
          <w:color w:val="0000FF"/>
        </w:rPr>
        <w:t>tPA</w:t>
      </w:r>
      <w:proofErr w:type="spellEnd"/>
      <w:r w:rsidRPr="00445B86">
        <w:rPr>
          <w:color w:val="0000FF"/>
        </w:rPr>
        <w:t xml:space="preserve"> times also improved.</w:t>
      </w:r>
      <w:r>
        <w:rPr>
          <w:color w:val="0000FF"/>
        </w:rPr>
        <w:t xml:space="preserve"> </w:t>
      </w:r>
      <w:proofErr w:type="spellStart"/>
      <w:r w:rsidRPr="00445B86">
        <w:rPr>
          <w:color w:val="0000FF"/>
        </w:rPr>
        <w:t>Schwamm</w:t>
      </w:r>
      <w:proofErr w:type="spellEnd"/>
      <w:r w:rsidRPr="00445B86">
        <w:rPr>
          <w:color w:val="0000FF"/>
        </w:rPr>
        <w:t xml:space="preserve"> et al. found that the frequency of intravenous </w:t>
      </w:r>
      <w:proofErr w:type="spellStart"/>
      <w:r w:rsidRPr="00445B86">
        <w:rPr>
          <w:color w:val="0000FF"/>
        </w:rPr>
        <w:t>tPA</w:t>
      </w:r>
      <w:proofErr w:type="spellEnd"/>
      <w:r w:rsidRPr="00445B86">
        <w:rPr>
          <w:color w:val="0000FF"/>
        </w:rPr>
        <w:t xml:space="preserve"> use among all acute ischemic stroke patients nearly doubled from 2003 to 2011.</w:t>
      </w:r>
    </w:p>
    <w:sectPr w:rsidR="000A491A" w:rsidRPr="000A491A" w:rsidSect="00713CDD">
      <w:footerReference w:type="default" r:id="rId17"/>
      <w:pgSz w:w="12240" w:h="15840"/>
      <w:pgMar w:top="720" w:right="720" w:bottom="720" w:left="720" w:header="0" w:footer="74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0D8DC" w14:textId="77777777" w:rsidR="008D34E4" w:rsidRDefault="008D34E4">
      <w:r>
        <w:separator/>
      </w:r>
    </w:p>
  </w:endnote>
  <w:endnote w:type="continuationSeparator" w:id="0">
    <w:p w14:paraId="34A45788" w14:textId="77777777" w:rsidR="008D34E4" w:rsidRDefault="008D3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36518" w14:textId="3DC65374" w:rsidR="00F44A21" w:rsidRPr="00E06B9F" w:rsidRDefault="00E06B9F" w:rsidP="00E06B9F">
    <w:pPr>
      <w:spacing w:line="245" w:lineRule="exact"/>
      <w:ind w:left="20"/>
    </w:pPr>
    <w:r>
      <w:t>Version 7.1 9/6/17</w:t>
    </w:r>
    <w:r>
      <w:ptab w:relativeTo="margin" w:alignment="center" w:leader="none"/>
    </w:r>
    <w:r>
      <w:ptab w:relativeTo="margin" w:alignment="right" w:leader="none"/>
    </w:r>
    <w:r>
      <w:fldChar w:fldCharType="begin"/>
    </w:r>
    <w:r>
      <w:instrText xml:space="preserve"> PAGE   \* MERGEFORMAT </w:instrText>
    </w:r>
    <w:r>
      <w:fldChar w:fldCharType="separate"/>
    </w:r>
    <w:r w:rsidR="00BE7FAD">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6B6DA" w14:textId="77777777" w:rsidR="008D34E4" w:rsidRDefault="008D34E4">
      <w:r>
        <w:separator/>
      </w:r>
    </w:p>
  </w:footnote>
  <w:footnote w:type="continuationSeparator" w:id="0">
    <w:p w14:paraId="441E9E10" w14:textId="77777777" w:rsidR="008D34E4" w:rsidRDefault="008D34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32AA1"/>
    <w:multiLevelType w:val="hybridMultilevel"/>
    <w:tmpl w:val="557AC4D4"/>
    <w:lvl w:ilvl="0" w:tplc="9A36857C">
      <w:numFmt w:val="bullet"/>
      <w:lvlText w:val=""/>
      <w:lvlJc w:val="left"/>
      <w:pPr>
        <w:ind w:left="827" w:hanging="361"/>
      </w:pPr>
      <w:rPr>
        <w:rFonts w:ascii="Symbol" w:eastAsia="Symbol" w:hAnsi="Symbol" w:cs="Symbol" w:hint="default"/>
        <w:w w:val="100"/>
        <w:sz w:val="22"/>
        <w:szCs w:val="22"/>
        <w:lang w:val="en-US" w:eastAsia="en-US" w:bidi="en-US"/>
      </w:rPr>
    </w:lvl>
    <w:lvl w:ilvl="1" w:tplc="83AE2E9C">
      <w:numFmt w:val="bullet"/>
      <w:lvlText w:val="•"/>
      <w:lvlJc w:val="left"/>
      <w:pPr>
        <w:ind w:left="1143" w:hanging="361"/>
      </w:pPr>
      <w:rPr>
        <w:rFonts w:hint="default"/>
        <w:lang w:val="en-US" w:eastAsia="en-US" w:bidi="en-US"/>
      </w:rPr>
    </w:lvl>
    <w:lvl w:ilvl="2" w:tplc="968A945A">
      <w:numFmt w:val="bullet"/>
      <w:lvlText w:val="•"/>
      <w:lvlJc w:val="left"/>
      <w:pPr>
        <w:ind w:left="1467" w:hanging="361"/>
      </w:pPr>
      <w:rPr>
        <w:rFonts w:hint="default"/>
        <w:lang w:val="en-US" w:eastAsia="en-US" w:bidi="en-US"/>
      </w:rPr>
    </w:lvl>
    <w:lvl w:ilvl="3" w:tplc="E13EA3E8">
      <w:numFmt w:val="bullet"/>
      <w:lvlText w:val="•"/>
      <w:lvlJc w:val="left"/>
      <w:pPr>
        <w:ind w:left="1791" w:hanging="361"/>
      </w:pPr>
      <w:rPr>
        <w:rFonts w:hint="default"/>
        <w:lang w:val="en-US" w:eastAsia="en-US" w:bidi="en-US"/>
      </w:rPr>
    </w:lvl>
    <w:lvl w:ilvl="4" w:tplc="87BE0BD4">
      <w:numFmt w:val="bullet"/>
      <w:lvlText w:val="•"/>
      <w:lvlJc w:val="left"/>
      <w:pPr>
        <w:ind w:left="2115" w:hanging="361"/>
      </w:pPr>
      <w:rPr>
        <w:rFonts w:hint="default"/>
        <w:lang w:val="en-US" w:eastAsia="en-US" w:bidi="en-US"/>
      </w:rPr>
    </w:lvl>
    <w:lvl w:ilvl="5" w:tplc="29E22F3C">
      <w:numFmt w:val="bullet"/>
      <w:lvlText w:val="•"/>
      <w:lvlJc w:val="left"/>
      <w:pPr>
        <w:ind w:left="2439" w:hanging="361"/>
      </w:pPr>
      <w:rPr>
        <w:rFonts w:hint="default"/>
        <w:lang w:val="en-US" w:eastAsia="en-US" w:bidi="en-US"/>
      </w:rPr>
    </w:lvl>
    <w:lvl w:ilvl="6" w:tplc="6680D5D0">
      <w:numFmt w:val="bullet"/>
      <w:lvlText w:val="•"/>
      <w:lvlJc w:val="left"/>
      <w:pPr>
        <w:ind w:left="2762" w:hanging="361"/>
      </w:pPr>
      <w:rPr>
        <w:rFonts w:hint="default"/>
        <w:lang w:val="en-US" w:eastAsia="en-US" w:bidi="en-US"/>
      </w:rPr>
    </w:lvl>
    <w:lvl w:ilvl="7" w:tplc="210628AC">
      <w:numFmt w:val="bullet"/>
      <w:lvlText w:val="•"/>
      <w:lvlJc w:val="left"/>
      <w:pPr>
        <w:ind w:left="3086" w:hanging="361"/>
      </w:pPr>
      <w:rPr>
        <w:rFonts w:hint="default"/>
        <w:lang w:val="en-US" w:eastAsia="en-US" w:bidi="en-US"/>
      </w:rPr>
    </w:lvl>
    <w:lvl w:ilvl="8" w:tplc="CD1C55EC">
      <w:numFmt w:val="bullet"/>
      <w:lvlText w:val="•"/>
      <w:lvlJc w:val="left"/>
      <w:pPr>
        <w:ind w:left="3410" w:hanging="361"/>
      </w:pPr>
      <w:rPr>
        <w:rFonts w:hint="default"/>
        <w:lang w:val="en-US" w:eastAsia="en-US" w:bidi="en-US"/>
      </w:rPr>
    </w:lvl>
  </w:abstractNum>
  <w:abstractNum w:abstractNumId="1" w15:restartNumberingAfterBreak="0">
    <w:nsid w:val="0F92775C"/>
    <w:multiLevelType w:val="hybridMultilevel"/>
    <w:tmpl w:val="C2F4A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8E5C38"/>
    <w:multiLevelType w:val="hybridMultilevel"/>
    <w:tmpl w:val="451A7E2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18FB0859"/>
    <w:multiLevelType w:val="hybridMultilevel"/>
    <w:tmpl w:val="E4A64DE0"/>
    <w:lvl w:ilvl="0" w:tplc="DEC855F8">
      <w:numFmt w:val="bullet"/>
      <w:lvlText w:val=""/>
      <w:lvlJc w:val="left"/>
      <w:pPr>
        <w:ind w:left="827" w:hanging="361"/>
      </w:pPr>
      <w:rPr>
        <w:rFonts w:ascii="Symbol" w:eastAsia="Symbol" w:hAnsi="Symbol" w:cs="Symbol" w:hint="default"/>
        <w:w w:val="100"/>
        <w:sz w:val="22"/>
        <w:szCs w:val="22"/>
        <w:lang w:val="en-US" w:eastAsia="en-US" w:bidi="en-US"/>
      </w:rPr>
    </w:lvl>
    <w:lvl w:ilvl="1" w:tplc="6CF20416">
      <w:numFmt w:val="bullet"/>
      <w:lvlText w:val="•"/>
      <w:lvlJc w:val="left"/>
      <w:pPr>
        <w:ind w:left="1143" w:hanging="361"/>
      </w:pPr>
      <w:rPr>
        <w:rFonts w:hint="default"/>
        <w:lang w:val="en-US" w:eastAsia="en-US" w:bidi="en-US"/>
      </w:rPr>
    </w:lvl>
    <w:lvl w:ilvl="2" w:tplc="32263978">
      <w:numFmt w:val="bullet"/>
      <w:lvlText w:val="•"/>
      <w:lvlJc w:val="left"/>
      <w:pPr>
        <w:ind w:left="1467" w:hanging="361"/>
      </w:pPr>
      <w:rPr>
        <w:rFonts w:hint="default"/>
        <w:lang w:val="en-US" w:eastAsia="en-US" w:bidi="en-US"/>
      </w:rPr>
    </w:lvl>
    <w:lvl w:ilvl="3" w:tplc="F9A02888">
      <w:numFmt w:val="bullet"/>
      <w:lvlText w:val="•"/>
      <w:lvlJc w:val="left"/>
      <w:pPr>
        <w:ind w:left="1791" w:hanging="361"/>
      </w:pPr>
      <w:rPr>
        <w:rFonts w:hint="default"/>
        <w:lang w:val="en-US" w:eastAsia="en-US" w:bidi="en-US"/>
      </w:rPr>
    </w:lvl>
    <w:lvl w:ilvl="4" w:tplc="2EA829F0">
      <w:numFmt w:val="bullet"/>
      <w:lvlText w:val="•"/>
      <w:lvlJc w:val="left"/>
      <w:pPr>
        <w:ind w:left="2115" w:hanging="361"/>
      </w:pPr>
      <w:rPr>
        <w:rFonts w:hint="default"/>
        <w:lang w:val="en-US" w:eastAsia="en-US" w:bidi="en-US"/>
      </w:rPr>
    </w:lvl>
    <w:lvl w:ilvl="5" w:tplc="4E1E335A">
      <w:numFmt w:val="bullet"/>
      <w:lvlText w:val="•"/>
      <w:lvlJc w:val="left"/>
      <w:pPr>
        <w:ind w:left="2439" w:hanging="361"/>
      </w:pPr>
      <w:rPr>
        <w:rFonts w:hint="default"/>
        <w:lang w:val="en-US" w:eastAsia="en-US" w:bidi="en-US"/>
      </w:rPr>
    </w:lvl>
    <w:lvl w:ilvl="6" w:tplc="890AAF9E">
      <w:numFmt w:val="bullet"/>
      <w:lvlText w:val="•"/>
      <w:lvlJc w:val="left"/>
      <w:pPr>
        <w:ind w:left="2762" w:hanging="361"/>
      </w:pPr>
      <w:rPr>
        <w:rFonts w:hint="default"/>
        <w:lang w:val="en-US" w:eastAsia="en-US" w:bidi="en-US"/>
      </w:rPr>
    </w:lvl>
    <w:lvl w:ilvl="7" w:tplc="E21A99A8">
      <w:numFmt w:val="bullet"/>
      <w:lvlText w:val="•"/>
      <w:lvlJc w:val="left"/>
      <w:pPr>
        <w:ind w:left="3086" w:hanging="361"/>
      </w:pPr>
      <w:rPr>
        <w:rFonts w:hint="default"/>
        <w:lang w:val="en-US" w:eastAsia="en-US" w:bidi="en-US"/>
      </w:rPr>
    </w:lvl>
    <w:lvl w:ilvl="8" w:tplc="2FEE2000">
      <w:numFmt w:val="bullet"/>
      <w:lvlText w:val="•"/>
      <w:lvlJc w:val="left"/>
      <w:pPr>
        <w:ind w:left="3410" w:hanging="361"/>
      </w:pPr>
      <w:rPr>
        <w:rFonts w:hint="default"/>
        <w:lang w:val="en-US" w:eastAsia="en-US" w:bidi="en-US"/>
      </w:rPr>
    </w:lvl>
  </w:abstractNum>
  <w:abstractNum w:abstractNumId="4" w15:restartNumberingAfterBreak="0">
    <w:nsid w:val="197F492C"/>
    <w:multiLevelType w:val="hybridMultilevel"/>
    <w:tmpl w:val="CDFCC8C2"/>
    <w:lvl w:ilvl="0" w:tplc="5394E33E">
      <w:numFmt w:val="bullet"/>
      <w:lvlText w:val="☐"/>
      <w:lvlJc w:val="left"/>
      <w:pPr>
        <w:ind w:left="1300" w:hanging="360"/>
      </w:pPr>
      <w:rPr>
        <w:rFonts w:hint="default"/>
        <w:w w:val="100"/>
        <w:lang w:val="en-US" w:eastAsia="en-US" w:bidi="en-US"/>
      </w:rPr>
    </w:lvl>
    <w:lvl w:ilvl="1" w:tplc="04090003" w:tentative="1">
      <w:start w:val="1"/>
      <w:numFmt w:val="bullet"/>
      <w:lvlText w:val="o"/>
      <w:lvlJc w:val="left"/>
      <w:pPr>
        <w:ind w:left="2020" w:hanging="360"/>
      </w:pPr>
      <w:rPr>
        <w:rFonts w:ascii="Courier New" w:hAnsi="Courier New" w:cs="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cs="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cs="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5" w15:restartNumberingAfterBreak="0">
    <w:nsid w:val="1AB00AFF"/>
    <w:multiLevelType w:val="hybridMultilevel"/>
    <w:tmpl w:val="334A253C"/>
    <w:lvl w:ilvl="0" w:tplc="B172E3A2">
      <w:numFmt w:val="bullet"/>
      <w:lvlText w:val=""/>
      <w:lvlJc w:val="left"/>
      <w:pPr>
        <w:ind w:left="463" w:hanging="361"/>
      </w:pPr>
      <w:rPr>
        <w:rFonts w:ascii="Symbol" w:eastAsia="Symbol" w:hAnsi="Symbol" w:cs="Symbol" w:hint="default"/>
        <w:w w:val="100"/>
        <w:sz w:val="22"/>
        <w:szCs w:val="22"/>
        <w:lang w:val="en-US" w:eastAsia="en-US" w:bidi="en-US"/>
      </w:rPr>
    </w:lvl>
    <w:lvl w:ilvl="1" w:tplc="6EA8B1EE">
      <w:numFmt w:val="bullet"/>
      <w:lvlText w:val="o"/>
      <w:lvlJc w:val="left"/>
      <w:pPr>
        <w:ind w:left="895" w:hanging="411"/>
      </w:pPr>
      <w:rPr>
        <w:rFonts w:ascii="Courier New" w:eastAsia="Courier New" w:hAnsi="Courier New" w:cs="Courier New" w:hint="default"/>
        <w:w w:val="100"/>
        <w:sz w:val="22"/>
        <w:szCs w:val="22"/>
        <w:lang w:val="en-US" w:eastAsia="en-US" w:bidi="en-US"/>
      </w:rPr>
    </w:lvl>
    <w:lvl w:ilvl="2" w:tplc="A13CF1F2">
      <w:numFmt w:val="bullet"/>
      <w:lvlText w:val="•"/>
      <w:lvlJc w:val="left"/>
      <w:pPr>
        <w:ind w:left="1941" w:hanging="411"/>
      </w:pPr>
      <w:rPr>
        <w:rFonts w:hint="default"/>
        <w:lang w:val="en-US" w:eastAsia="en-US" w:bidi="en-US"/>
      </w:rPr>
    </w:lvl>
    <w:lvl w:ilvl="3" w:tplc="62248F62">
      <w:numFmt w:val="bullet"/>
      <w:lvlText w:val="•"/>
      <w:lvlJc w:val="left"/>
      <w:pPr>
        <w:ind w:left="2983" w:hanging="411"/>
      </w:pPr>
      <w:rPr>
        <w:rFonts w:hint="default"/>
        <w:lang w:val="en-US" w:eastAsia="en-US" w:bidi="en-US"/>
      </w:rPr>
    </w:lvl>
    <w:lvl w:ilvl="4" w:tplc="47E21A44">
      <w:numFmt w:val="bullet"/>
      <w:lvlText w:val="•"/>
      <w:lvlJc w:val="left"/>
      <w:pPr>
        <w:ind w:left="4025" w:hanging="411"/>
      </w:pPr>
      <w:rPr>
        <w:rFonts w:hint="default"/>
        <w:lang w:val="en-US" w:eastAsia="en-US" w:bidi="en-US"/>
      </w:rPr>
    </w:lvl>
    <w:lvl w:ilvl="5" w:tplc="ED80E6E6">
      <w:numFmt w:val="bullet"/>
      <w:lvlText w:val="•"/>
      <w:lvlJc w:val="left"/>
      <w:pPr>
        <w:ind w:left="5067" w:hanging="411"/>
      </w:pPr>
      <w:rPr>
        <w:rFonts w:hint="default"/>
        <w:lang w:val="en-US" w:eastAsia="en-US" w:bidi="en-US"/>
      </w:rPr>
    </w:lvl>
    <w:lvl w:ilvl="6" w:tplc="AB768140">
      <w:numFmt w:val="bullet"/>
      <w:lvlText w:val="•"/>
      <w:lvlJc w:val="left"/>
      <w:pPr>
        <w:ind w:left="6109" w:hanging="411"/>
      </w:pPr>
      <w:rPr>
        <w:rFonts w:hint="default"/>
        <w:lang w:val="en-US" w:eastAsia="en-US" w:bidi="en-US"/>
      </w:rPr>
    </w:lvl>
    <w:lvl w:ilvl="7" w:tplc="FCE2FBE6">
      <w:numFmt w:val="bullet"/>
      <w:lvlText w:val="•"/>
      <w:lvlJc w:val="left"/>
      <w:pPr>
        <w:ind w:left="7151" w:hanging="411"/>
      </w:pPr>
      <w:rPr>
        <w:rFonts w:hint="default"/>
        <w:lang w:val="en-US" w:eastAsia="en-US" w:bidi="en-US"/>
      </w:rPr>
    </w:lvl>
    <w:lvl w:ilvl="8" w:tplc="3D5C5CBE">
      <w:numFmt w:val="bullet"/>
      <w:lvlText w:val="•"/>
      <w:lvlJc w:val="left"/>
      <w:pPr>
        <w:ind w:left="8193" w:hanging="411"/>
      </w:pPr>
      <w:rPr>
        <w:rFonts w:hint="default"/>
        <w:lang w:val="en-US" w:eastAsia="en-US" w:bidi="en-US"/>
      </w:rPr>
    </w:lvl>
  </w:abstractNum>
  <w:abstractNum w:abstractNumId="6" w15:restartNumberingAfterBreak="0">
    <w:nsid w:val="1C603CF9"/>
    <w:multiLevelType w:val="hybridMultilevel"/>
    <w:tmpl w:val="4D96F7CC"/>
    <w:lvl w:ilvl="0" w:tplc="F5C2963E">
      <w:numFmt w:val="bullet"/>
      <w:lvlText w:val="•"/>
      <w:lvlJc w:val="left"/>
      <w:pPr>
        <w:ind w:left="504" w:hanging="360"/>
      </w:pPr>
      <w:rPr>
        <w:rFonts w:ascii="Calibri" w:eastAsia="Calibri" w:hAnsi="Calibri" w:cs="Calibri" w:hint="default"/>
      </w:rPr>
    </w:lvl>
    <w:lvl w:ilvl="1" w:tplc="04090003">
      <w:start w:val="1"/>
      <w:numFmt w:val="bullet"/>
      <w:lvlText w:val="o"/>
      <w:lvlJc w:val="left"/>
      <w:pPr>
        <w:ind w:left="1224" w:hanging="360"/>
      </w:pPr>
      <w:rPr>
        <w:rFonts w:ascii="Courier New" w:hAnsi="Courier New" w:cs="Courier New" w:hint="default"/>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7" w15:restartNumberingAfterBreak="0">
    <w:nsid w:val="1CB342B3"/>
    <w:multiLevelType w:val="hybridMultilevel"/>
    <w:tmpl w:val="4B2C24CA"/>
    <w:lvl w:ilvl="0" w:tplc="1A2A0DDC">
      <w:start w:val="1"/>
      <w:numFmt w:val="decimal"/>
      <w:lvlText w:val="%1)"/>
      <w:lvlJc w:val="left"/>
      <w:pPr>
        <w:ind w:left="360" w:hanging="360"/>
      </w:pPr>
      <w:rPr>
        <w:color w:val="0000FF"/>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C94A52E">
      <w:start w:val="1"/>
      <w:numFmt w:val="decimal"/>
      <w:lvlText w:val="%4."/>
      <w:lvlJc w:val="left"/>
      <w:pPr>
        <w:ind w:left="810" w:hanging="360"/>
      </w:pPr>
      <w:rPr>
        <w:rFonts w:ascii="Calibri" w:hAnsi="Calibri" w:hint="default"/>
        <w:b w:val="0"/>
        <w:i w:val="0"/>
        <w:color w:val="0000FF"/>
        <w:sz w:val="22"/>
        <w:u w:val="none"/>
      </w:r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8" w15:restartNumberingAfterBreak="0">
    <w:nsid w:val="1CE24B64"/>
    <w:multiLevelType w:val="multilevel"/>
    <w:tmpl w:val="D8444D18"/>
    <w:lvl w:ilvl="0">
      <w:start w:val="1"/>
      <w:numFmt w:val="bullet"/>
      <w:lvlText w:val=""/>
      <w:lvlJc w:val="left"/>
      <w:pPr>
        <w:ind w:left="432" w:firstLine="0"/>
      </w:pPr>
      <w:rPr>
        <w:rFonts w:ascii="Symbol" w:hAnsi="Symbol" w:hint="default"/>
        <w:color w:val="000000" w:themeColor="text1"/>
        <w:sz w:val="24"/>
      </w:rPr>
    </w:lvl>
    <w:lvl w:ilvl="1">
      <w:start w:val="1"/>
      <w:numFmt w:val="bullet"/>
      <w:lvlText w:val="o"/>
      <w:lvlJc w:val="left"/>
      <w:pPr>
        <w:ind w:left="864" w:firstLine="0"/>
      </w:pPr>
      <w:rPr>
        <w:rFonts w:ascii="Courier New" w:hAnsi="Courier New" w:hint="default"/>
      </w:rPr>
    </w:lvl>
    <w:lvl w:ilvl="2">
      <w:start w:val="1"/>
      <w:numFmt w:val="bullet"/>
      <w:lvlText w:val=""/>
      <w:lvlJc w:val="left"/>
      <w:pPr>
        <w:ind w:left="1296" w:firstLine="0"/>
      </w:pPr>
      <w:rPr>
        <w:rFonts w:ascii="Wingdings" w:hAnsi="Wingdings" w:hint="default"/>
      </w:rPr>
    </w:lvl>
    <w:lvl w:ilvl="3">
      <w:start w:val="1"/>
      <w:numFmt w:val="bullet"/>
      <w:lvlText w:val=""/>
      <w:lvlJc w:val="left"/>
      <w:pPr>
        <w:ind w:left="1728" w:firstLine="0"/>
      </w:pPr>
      <w:rPr>
        <w:rFonts w:ascii="Symbol" w:hAnsi="Symbol" w:hint="default"/>
      </w:rPr>
    </w:lvl>
    <w:lvl w:ilvl="4">
      <w:start w:val="1"/>
      <w:numFmt w:val="bullet"/>
      <w:lvlText w:val="o"/>
      <w:lvlJc w:val="left"/>
      <w:pPr>
        <w:ind w:left="2160" w:firstLine="0"/>
      </w:pPr>
      <w:rPr>
        <w:rFonts w:ascii="Courier New" w:hAnsi="Courier New" w:cs="Courier New" w:hint="default"/>
      </w:rPr>
    </w:lvl>
    <w:lvl w:ilvl="5">
      <w:start w:val="1"/>
      <w:numFmt w:val="bullet"/>
      <w:lvlText w:val=""/>
      <w:lvlJc w:val="left"/>
      <w:pPr>
        <w:ind w:left="2592" w:firstLine="0"/>
      </w:pPr>
      <w:rPr>
        <w:rFonts w:ascii="Wingdings" w:hAnsi="Wingdings" w:hint="default"/>
      </w:rPr>
    </w:lvl>
    <w:lvl w:ilvl="6">
      <w:start w:val="1"/>
      <w:numFmt w:val="bullet"/>
      <w:lvlText w:val=""/>
      <w:lvlJc w:val="left"/>
      <w:pPr>
        <w:ind w:left="3024" w:firstLine="0"/>
      </w:pPr>
      <w:rPr>
        <w:rFonts w:ascii="Symbol" w:hAnsi="Symbol" w:hint="default"/>
      </w:rPr>
    </w:lvl>
    <w:lvl w:ilvl="7">
      <w:start w:val="1"/>
      <w:numFmt w:val="bullet"/>
      <w:lvlText w:val="o"/>
      <w:lvlJc w:val="left"/>
      <w:pPr>
        <w:ind w:left="3456" w:firstLine="0"/>
      </w:pPr>
      <w:rPr>
        <w:rFonts w:ascii="Courier New" w:hAnsi="Courier New" w:cs="Courier New" w:hint="default"/>
      </w:rPr>
    </w:lvl>
    <w:lvl w:ilvl="8">
      <w:start w:val="1"/>
      <w:numFmt w:val="bullet"/>
      <w:lvlText w:val=""/>
      <w:lvlJc w:val="left"/>
      <w:pPr>
        <w:ind w:left="3888" w:firstLine="0"/>
      </w:pPr>
      <w:rPr>
        <w:rFonts w:ascii="Wingdings" w:hAnsi="Wingdings" w:hint="default"/>
      </w:rPr>
    </w:lvl>
  </w:abstractNum>
  <w:abstractNum w:abstractNumId="9" w15:restartNumberingAfterBreak="0">
    <w:nsid w:val="27F75A80"/>
    <w:multiLevelType w:val="hybridMultilevel"/>
    <w:tmpl w:val="389052C4"/>
    <w:lvl w:ilvl="0" w:tplc="9B8CF898">
      <w:numFmt w:val="bullet"/>
      <w:lvlText w:val=""/>
      <w:lvlJc w:val="left"/>
      <w:pPr>
        <w:ind w:left="440" w:hanging="217"/>
      </w:pPr>
      <w:rPr>
        <w:rFonts w:ascii="Symbol" w:eastAsia="Symbol" w:hAnsi="Symbol" w:cs="Symbol" w:hint="default"/>
        <w:w w:val="99"/>
        <w:sz w:val="20"/>
        <w:szCs w:val="20"/>
        <w:lang w:val="en-US" w:eastAsia="en-US" w:bidi="en-US"/>
      </w:rPr>
    </w:lvl>
    <w:lvl w:ilvl="1" w:tplc="A5183592">
      <w:numFmt w:val="bullet"/>
      <w:lvlText w:val="•"/>
      <w:lvlJc w:val="left"/>
      <w:pPr>
        <w:ind w:left="1448" w:hanging="217"/>
      </w:pPr>
      <w:rPr>
        <w:rFonts w:hint="default"/>
        <w:lang w:val="en-US" w:eastAsia="en-US" w:bidi="en-US"/>
      </w:rPr>
    </w:lvl>
    <w:lvl w:ilvl="2" w:tplc="72C68A58">
      <w:numFmt w:val="bullet"/>
      <w:lvlText w:val="•"/>
      <w:lvlJc w:val="left"/>
      <w:pPr>
        <w:ind w:left="2456" w:hanging="217"/>
      </w:pPr>
      <w:rPr>
        <w:rFonts w:hint="default"/>
        <w:lang w:val="en-US" w:eastAsia="en-US" w:bidi="en-US"/>
      </w:rPr>
    </w:lvl>
    <w:lvl w:ilvl="3" w:tplc="CE7E4D00">
      <w:numFmt w:val="bullet"/>
      <w:lvlText w:val="•"/>
      <w:lvlJc w:val="left"/>
      <w:pPr>
        <w:ind w:left="3464" w:hanging="217"/>
      </w:pPr>
      <w:rPr>
        <w:rFonts w:hint="default"/>
        <w:lang w:val="en-US" w:eastAsia="en-US" w:bidi="en-US"/>
      </w:rPr>
    </w:lvl>
    <w:lvl w:ilvl="4" w:tplc="66CE7A72">
      <w:numFmt w:val="bullet"/>
      <w:lvlText w:val="•"/>
      <w:lvlJc w:val="left"/>
      <w:pPr>
        <w:ind w:left="4472" w:hanging="217"/>
      </w:pPr>
      <w:rPr>
        <w:rFonts w:hint="default"/>
        <w:lang w:val="en-US" w:eastAsia="en-US" w:bidi="en-US"/>
      </w:rPr>
    </w:lvl>
    <w:lvl w:ilvl="5" w:tplc="0AA82E1C">
      <w:numFmt w:val="bullet"/>
      <w:lvlText w:val="•"/>
      <w:lvlJc w:val="left"/>
      <w:pPr>
        <w:ind w:left="5480" w:hanging="217"/>
      </w:pPr>
      <w:rPr>
        <w:rFonts w:hint="default"/>
        <w:lang w:val="en-US" w:eastAsia="en-US" w:bidi="en-US"/>
      </w:rPr>
    </w:lvl>
    <w:lvl w:ilvl="6" w:tplc="3DD6C1F4">
      <w:numFmt w:val="bullet"/>
      <w:lvlText w:val="•"/>
      <w:lvlJc w:val="left"/>
      <w:pPr>
        <w:ind w:left="6488" w:hanging="217"/>
      </w:pPr>
      <w:rPr>
        <w:rFonts w:hint="default"/>
        <w:lang w:val="en-US" w:eastAsia="en-US" w:bidi="en-US"/>
      </w:rPr>
    </w:lvl>
    <w:lvl w:ilvl="7" w:tplc="4E8A6E2C">
      <w:numFmt w:val="bullet"/>
      <w:lvlText w:val="•"/>
      <w:lvlJc w:val="left"/>
      <w:pPr>
        <w:ind w:left="7496" w:hanging="217"/>
      </w:pPr>
      <w:rPr>
        <w:rFonts w:hint="default"/>
        <w:lang w:val="en-US" w:eastAsia="en-US" w:bidi="en-US"/>
      </w:rPr>
    </w:lvl>
    <w:lvl w:ilvl="8" w:tplc="E7A2F96C">
      <w:numFmt w:val="bullet"/>
      <w:lvlText w:val="•"/>
      <w:lvlJc w:val="left"/>
      <w:pPr>
        <w:ind w:left="8504" w:hanging="217"/>
      </w:pPr>
      <w:rPr>
        <w:rFonts w:hint="default"/>
        <w:lang w:val="en-US" w:eastAsia="en-US" w:bidi="en-US"/>
      </w:rPr>
    </w:lvl>
  </w:abstractNum>
  <w:abstractNum w:abstractNumId="10" w15:restartNumberingAfterBreak="0">
    <w:nsid w:val="28FC091D"/>
    <w:multiLevelType w:val="hybridMultilevel"/>
    <w:tmpl w:val="60B0D11E"/>
    <w:lvl w:ilvl="0" w:tplc="DF648C4A">
      <w:start w:val="3"/>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2FB437DF"/>
    <w:multiLevelType w:val="hybridMultilevel"/>
    <w:tmpl w:val="552E288C"/>
    <w:lvl w:ilvl="0" w:tplc="0E7019DC">
      <w:start w:val="6"/>
      <w:numFmt w:val="decimal"/>
      <w:lvlText w:val="%1."/>
      <w:lvlJc w:val="left"/>
      <w:pPr>
        <w:ind w:left="86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090E14"/>
    <w:multiLevelType w:val="hybridMultilevel"/>
    <w:tmpl w:val="F7925E82"/>
    <w:lvl w:ilvl="0" w:tplc="4FFAAAD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3" w15:restartNumberingAfterBreak="0">
    <w:nsid w:val="32BD2FE8"/>
    <w:multiLevelType w:val="hybridMultilevel"/>
    <w:tmpl w:val="4A66AB56"/>
    <w:lvl w:ilvl="0" w:tplc="44D06F38">
      <w:numFmt w:val="bullet"/>
      <w:lvlText w:val="☐"/>
      <w:lvlJc w:val="left"/>
      <w:pPr>
        <w:ind w:left="819" w:hanging="241"/>
      </w:pPr>
      <w:rPr>
        <w:rFonts w:ascii="MS Gothic" w:eastAsia="MS Gothic" w:hAnsi="MS Gothic" w:cs="MS Gothic" w:hint="default"/>
        <w:color w:val="0000FF"/>
        <w:w w:val="100"/>
        <w:sz w:val="22"/>
        <w:szCs w:val="22"/>
        <w:lang w:val="en-US" w:eastAsia="en-US" w:bidi="en-US"/>
      </w:rPr>
    </w:lvl>
    <w:lvl w:ilvl="1" w:tplc="B58ADBBC">
      <w:numFmt w:val="bullet"/>
      <w:lvlText w:val="•"/>
      <w:lvlJc w:val="left"/>
      <w:pPr>
        <w:ind w:left="1790" w:hanging="241"/>
      </w:pPr>
      <w:rPr>
        <w:rFonts w:hint="default"/>
        <w:lang w:val="en-US" w:eastAsia="en-US" w:bidi="en-US"/>
      </w:rPr>
    </w:lvl>
    <w:lvl w:ilvl="2" w:tplc="53D0CA4C">
      <w:numFmt w:val="bullet"/>
      <w:lvlText w:val="•"/>
      <w:lvlJc w:val="left"/>
      <w:pPr>
        <w:ind w:left="2760" w:hanging="241"/>
      </w:pPr>
      <w:rPr>
        <w:rFonts w:hint="default"/>
        <w:lang w:val="en-US" w:eastAsia="en-US" w:bidi="en-US"/>
      </w:rPr>
    </w:lvl>
    <w:lvl w:ilvl="3" w:tplc="670802F4">
      <w:numFmt w:val="bullet"/>
      <w:lvlText w:val="•"/>
      <w:lvlJc w:val="left"/>
      <w:pPr>
        <w:ind w:left="3730" w:hanging="241"/>
      </w:pPr>
      <w:rPr>
        <w:rFonts w:hint="default"/>
        <w:lang w:val="en-US" w:eastAsia="en-US" w:bidi="en-US"/>
      </w:rPr>
    </w:lvl>
    <w:lvl w:ilvl="4" w:tplc="B538B5B2">
      <w:numFmt w:val="bullet"/>
      <w:lvlText w:val="•"/>
      <w:lvlJc w:val="left"/>
      <w:pPr>
        <w:ind w:left="4700" w:hanging="241"/>
      </w:pPr>
      <w:rPr>
        <w:rFonts w:hint="default"/>
        <w:lang w:val="en-US" w:eastAsia="en-US" w:bidi="en-US"/>
      </w:rPr>
    </w:lvl>
    <w:lvl w:ilvl="5" w:tplc="EC6A3A4A">
      <w:numFmt w:val="bullet"/>
      <w:lvlText w:val="•"/>
      <w:lvlJc w:val="left"/>
      <w:pPr>
        <w:ind w:left="5670" w:hanging="241"/>
      </w:pPr>
      <w:rPr>
        <w:rFonts w:hint="default"/>
        <w:lang w:val="en-US" w:eastAsia="en-US" w:bidi="en-US"/>
      </w:rPr>
    </w:lvl>
    <w:lvl w:ilvl="6" w:tplc="9BF82524">
      <w:numFmt w:val="bullet"/>
      <w:lvlText w:val="•"/>
      <w:lvlJc w:val="left"/>
      <w:pPr>
        <w:ind w:left="6640" w:hanging="241"/>
      </w:pPr>
      <w:rPr>
        <w:rFonts w:hint="default"/>
        <w:lang w:val="en-US" w:eastAsia="en-US" w:bidi="en-US"/>
      </w:rPr>
    </w:lvl>
    <w:lvl w:ilvl="7" w:tplc="4CA23A72">
      <w:numFmt w:val="bullet"/>
      <w:lvlText w:val="•"/>
      <w:lvlJc w:val="left"/>
      <w:pPr>
        <w:ind w:left="7610" w:hanging="241"/>
      </w:pPr>
      <w:rPr>
        <w:rFonts w:hint="default"/>
        <w:lang w:val="en-US" w:eastAsia="en-US" w:bidi="en-US"/>
      </w:rPr>
    </w:lvl>
    <w:lvl w:ilvl="8" w:tplc="B594A496">
      <w:numFmt w:val="bullet"/>
      <w:lvlText w:val="•"/>
      <w:lvlJc w:val="left"/>
      <w:pPr>
        <w:ind w:left="8580" w:hanging="241"/>
      </w:pPr>
      <w:rPr>
        <w:rFonts w:hint="default"/>
        <w:lang w:val="en-US" w:eastAsia="en-US" w:bidi="en-US"/>
      </w:rPr>
    </w:lvl>
  </w:abstractNum>
  <w:abstractNum w:abstractNumId="14" w15:restartNumberingAfterBreak="0">
    <w:nsid w:val="32DC6C05"/>
    <w:multiLevelType w:val="hybridMultilevel"/>
    <w:tmpl w:val="50AE7B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C55A66"/>
    <w:multiLevelType w:val="hybridMultilevel"/>
    <w:tmpl w:val="453C947A"/>
    <w:lvl w:ilvl="0" w:tplc="7E2A866C">
      <w:start w:val="3"/>
      <w:numFmt w:val="decimal"/>
      <w:lvlText w:val="%1."/>
      <w:lvlJc w:val="left"/>
      <w:pPr>
        <w:ind w:left="224" w:hanging="200"/>
      </w:pPr>
      <w:rPr>
        <w:rFonts w:ascii="Calibri" w:eastAsia="Calibri" w:hAnsi="Calibri" w:cs="Calibri" w:hint="default"/>
        <w:b/>
        <w:bCs/>
        <w:spacing w:val="-1"/>
        <w:w w:val="99"/>
        <w:sz w:val="20"/>
        <w:szCs w:val="20"/>
        <w:lang w:val="en-US" w:eastAsia="en-US" w:bidi="en-US"/>
      </w:rPr>
    </w:lvl>
    <w:lvl w:ilvl="1" w:tplc="44D06F38">
      <w:numFmt w:val="bullet"/>
      <w:lvlText w:val="☐"/>
      <w:lvlJc w:val="left"/>
      <w:pPr>
        <w:ind w:left="850" w:hanging="272"/>
      </w:pPr>
      <w:rPr>
        <w:rFonts w:ascii="MS Gothic" w:eastAsia="MS Gothic" w:hAnsi="MS Gothic" w:cs="MS Gothic" w:hint="default"/>
        <w:color w:val="0000FF"/>
        <w:w w:val="100"/>
        <w:sz w:val="22"/>
        <w:szCs w:val="22"/>
        <w:lang w:val="en-US" w:eastAsia="en-US" w:bidi="en-US"/>
      </w:rPr>
    </w:lvl>
    <w:lvl w:ilvl="2" w:tplc="44D06F38">
      <w:numFmt w:val="bullet"/>
      <w:lvlText w:val="☐"/>
      <w:lvlJc w:val="left"/>
      <w:pPr>
        <w:ind w:left="1233" w:hanging="222"/>
      </w:pPr>
      <w:rPr>
        <w:rFonts w:ascii="MS Gothic" w:eastAsia="MS Gothic" w:hAnsi="MS Gothic" w:cs="MS Gothic" w:hint="default"/>
        <w:color w:val="0000FF"/>
        <w:w w:val="100"/>
        <w:sz w:val="22"/>
        <w:szCs w:val="22"/>
        <w:lang w:val="en-US" w:eastAsia="en-US" w:bidi="en-US"/>
      </w:rPr>
    </w:lvl>
    <w:lvl w:ilvl="3" w:tplc="FCAA896C">
      <w:numFmt w:val="bullet"/>
      <w:lvlText w:val="•"/>
      <w:lvlJc w:val="left"/>
      <w:pPr>
        <w:ind w:left="2400" w:hanging="222"/>
      </w:pPr>
      <w:rPr>
        <w:rFonts w:hint="default"/>
        <w:lang w:val="en-US" w:eastAsia="en-US" w:bidi="en-US"/>
      </w:rPr>
    </w:lvl>
    <w:lvl w:ilvl="4" w:tplc="60E25A38">
      <w:numFmt w:val="bullet"/>
      <w:lvlText w:val="•"/>
      <w:lvlJc w:val="left"/>
      <w:pPr>
        <w:ind w:left="3560" w:hanging="222"/>
      </w:pPr>
      <w:rPr>
        <w:rFonts w:hint="default"/>
        <w:lang w:val="en-US" w:eastAsia="en-US" w:bidi="en-US"/>
      </w:rPr>
    </w:lvl>
    <w:lvl w:ilvl="5" w:tplc="92EAA5EE">
      <w:numFmt w:val="bullet"/>
      <w:lvlText w:val="•"/>
      <w:lvlJc w:val="left"/>
      <w:pPr>
        <w:ind w:left="4720" w:hanging="222"/>
      </w:pPr>
      <w:rPr>
        <w:rFonts w:hint="default"/>
        <w:lang w:val="en-US" w:eastAsia="en-US" w:bidi="en-US"/>
      </w:rPr>
    </w:lvl>
    <w:lvl w:ilvl="6" w:tplc="42DEB2B8">
      <w:numFmt w:val="bullet"/>
      <w:lvlText w:val="•"/>
      <w:lvlJc w:val="left"/>
      <w:pPr>
        <w:ind w:left="5880" w:hanging="222"/>
      </w:pPr>
      <w:rPr>
        <w:rFonts w:hint="default"/>
        <w:lang w:val="en-US" w:eastAsia="en-US" w:bidi="en-US"/>
      </w:rPr>
    </w:lvl>
    <w:lvl w:ilvl="7" w:tplc="C7FE1614">
      <w:numFmt w:val="bullet"/>
      <w:lvlText w:val="•"/>
      <w:lvlJc w:val="left"/>
      <w:pPr>
        <w:ind w:left="7040" w:hanging="222"/>
      </w:pPr>
      <w:rPr>
        <w:rFonts w:hint="default"/>
        <w:lang w:val="en-US" w:eastAsia="en-US" w:bidi="en-US"/>
      </w:rPr>
    </w:lvl>
    <w:lvl w:ilvl="8" w:tplc="4224DA24">
      <w:numFmt w:val="bullet"/>
      <w:lvlText w:val="•"/>
      <w:lvlJc w:val="left"/>
      <w:pPr>
        <w:ind w:left="8200" w:hanging="222"/>
      </w:pPr>
      <w:rPr>
        <w:rFonts w:hint="default"/>
        <w:lang w:val="en-US" w:eastAsia="en-US" w:bidi="en-US"/>
      </w:rPr>
    </w:lvl>
  </w:abstractNum>
  <w:abstractNum w:abstractNumId="16" w15:restartNumberingAfterBreak="0">
    <w:nsid w:val="42586974"/>
    <w:multiLevelType w:val="hybridMultilevel"/>
    <w:tmpl w:val="BE32151E"/>
    <w:lvl w:ilvl="0" w:tplc="66E274C2">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7" w15:restartNumberingAfterBreak="0">
    <w:nsid w:val="46F26300"/>
    <w:multiLevelType w:val="hybridMultilevel"/>
    <w:tmpl w:val="AAA2A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D31E90"/>
    <w:multiLevelType w:val="hybridMultilevel"/>
    <w:tmpl w:val="5BD2F84E"/>
    <w:lvl w:ilvl="0" w:tplc="44D06F38">
      <w:numFmt w:val="bullet"/>
      <w:lvlText w:val="☐"/>
      <w:lvlJc w:val="left"/>
      <w:pPr>
        <w:ind w:left="580" w:hanging="272"/>
      </w:pPr>
      <w:rPr>
        <w:rFonts w:ascii="MS Gothic" w:eastAsia="MS Gothic" w:hAnsi="MS Gothic" w:cs="MS Gothic" w:hint="default"/>
        <w:color w:val="0000FF"/>
        <w:w w:val="100"/>
        <w:sz w:val="22"/>
        <w:szCs w:val="22"/>
        <w:lang w:val="en-US" w:eastAsia="en-US" w:bidi="en-US"/>
      </w:rPr>
    </w:lvl>
    <w:lvl w:ilvl="1" w:tplc="44D06F38">
      <w:numFmt w:val="bullet"/>
      <w:lvlText w:val="☐"/>
      <w:lvlJc w:val="left"/>
      <w:pPr>
        <w:ind w:left="1352" w:hanging="332"/>
      </w:pPr>
      <w:rPr>
        <w:rFonts w:ascii="MS Gothic" w:eastAsia="MS Gothic" w:hAnsi="MS Gothic" w:cs="MS Gothic" w:hint="default"/>
        <w:color w:val="0000FF"/>
        <w:w w:val="100"/>
        <w:sz w:val="22"/>
        <w:szCs w:val="22"/>
        <w:lang w:val="en-US" w:eastAsia="en-US" w:bidi="en-US"/>
      </w:rPr>
    </w:lvl>
    <w:lvl w:ilvl="2" w:tplc="44DC3380">
      <w:numFmt w:val="bullet"/>
      <w:lvlText w:val="•"/>
      <w:lvlJc w:val="left"/>
      <w:pPr>
        <w:ind w:left="2377" w:hanging="332"/>
      </w:pPr>
      <w:rPr>
        <w:rFonts w:hint="default"/>
        <w:lang w:val="en-US" w:eastAsia="en-US" w:bidi="en-US"/>
      </w:rPr>
    </w:lvl>
    <w:lvl w:ilvl="3" w:tplc="24A29E5A">
      <w:numFmt w:val="bullet"/>
      <w:lvlText w:val="•"/>
      <w:lvlJc w:val="left"/>
      <w:pPr>
        <w:ind w:left="3395" w:hanging="332"/>
      </w:pPr>
      <w:rPr>
        <w:rFonts w:hint="default"/>
        <w:lang w:val="en-US" w:eastAsia="en-US" w:bidi="en-US"/>
      </w:rPr>
    </w:lvl>
    <w:lvl w:ilvl="4" w:tplc="85C685D4">
      <w:numFmt w:val="bullet"/>
      <w:lvlText w:val="•"/>
      <w:lvlJc w:val="left"/>
      <w:pPr>
        <w:ind w:left="4413" w:hanging="332"/>
      </w:pPr>
      <w:rPr>
        <w:rFonts w:hint="default"/>
        <w:lang w:val="en-US" w:eastAsia="en-US" w:bidi="en-US"/>
      </w:rPr>
    </w:lvl>
    <w:lvl w:ilvl="5" w:tplc="BC9EB47E">
      <w:numFmt w:val="bullet"/>
      <w:lvlText w:val="•"/>
      <w:lvlJc w:val="left"/>
      <w:pPr>
        <w:ind w:left="5431" w:hanging="332"/>
      </w:pPr>
      <w:rPr>
        <w:rFonts w:hint="default"/>
        <w:lang w:val="en-US" w:eastAsia="en-US" w:bidi="en-US"/>
      </w:rPr>
    </w:lvl>
    <w:lvl w:ilvl="6" w:tplc="FB7C76BA">
      <w:numFmt w:val="bullet"/>
      <w:lvlText w:val="•"/>
      <w:lvlJc w:val="left"/>
      <w:pPr>
        <w:ind w:left="6448" w:hanging="332"/>
      </w:pPr>
      <w:rPr>
        <w:rFonts w:hint="default"/>
        <w:lang w:val="en-US" w:eastAsia="en-US" w:bidi="en-US"/>
      </w:rPr>
    </w:lvl>
    <w:lvl w:ilvl="7" w:tplc="1C2C0BCA">
      <w:numFmt w:val="bullet"/>
      <w:lvlText w:val="•"/>
      <w:lvlJc w:val="left"/>
      <w:pPr>
        <w:ind w:left="7466" w:hanging="332"/>
      </w:pPr>
      <w:rPr>
        <w:rFonts w:hint="default"/>
        <w:lang w:val="en-US" w:eastAsia="en-US" w:bidi="en-US"/>
      </w:rPr>
    </w:lvl>
    <w:lvl w:ilvl="8" w:tplc="998AD40C">
      <w:numFmt w:val="bullet"/>
      <w:lvlText w:val="•"/>
      <w:lvlJc w:val="left"/>
      <w:pPr>
        <w:ind w:left="8484" w:hanging="332"/>
      </w:pPr>
      <w:rPr>
        <w:rFonts w:hint="default"/>
        <w:lang w:val="en-US" w:eastAsia="en-US" w:bidi="en-US"/>
      </w:rPr>
    </w:lvl>
  </w:abstractNum>
  <w:abstractNum w:abstractNumId="19" w15:restartNumberingAfterBreak="0">
    <w:nsid w:val="61BC3EA8"/>
    <w:multiLevelType w:val="hybridMultilevel"/>
    <w:tmpl w:val="C878421C"/>
    <w:lvl w:ilvl="0" w:tplc="8C94A52E">
      <w:start w:val="1"/>
      <w:numFmt w:val="decimal"/>
      <w:lvlText w:val="%1."/>
      <w:lvlJc w:val="left"/>
      <w:pPr>
        <w:ind w:left="2709" w:hanging="360"/>
      </w:pPr>
      <w:rPr>
        <w:rFonts w:ascii="Calibri" w:hAnsi="Calibri" w:hint="default"/>
        <w:b w:val="0"/>
        <w:i w:val="0"/>
        <w:color w:val="0000FF"/>
        <w:sz w:val="22"/>
        <w:u w:val="none"/>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63700512"/>
    <w:multiLevelType w:val="hybridMultilevel"/>
    <w:tmpl w:val="29D05366"/>
    <w:lvl w:ilvl="0" w:tplc="ED800CF4">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21" w15:restartNumberingAfterBreak="0">
    <w:nsid w:val="645608B9"/>
    <w:multiLevelType w:val="hybridMultilevel"/>
    <w:tmpl w:val="02B8933E"/>
    <w:lvl w:ilvl="0" w:tplc="DF9873B0">
      <w:numFmt w:val="bullet"/>
      <w:lvlText w:val="☒"/>
      <w:lvlJc w:val="left"/>
      <w:pPr>
        <w:ind w:left="938" w:hanging="360"/>
      </w:pPr>
      <w:rPr>
        <w:rFonts w:ascii="MS Gothic" w:eastAsia="MS Gothic" w:hAnsi="MS Gothic" w:cs="MS Gothic" w:hint="eastAsia"/>
        <w:color w:val="0000FF"/>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4F016D"/>
    <w:multiLevelType w:val="hybridMultilevel"/>
    <w:tmpl w:val="04E06F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BC597C"/>
    <w:multiLevelType w:val="hybridMultilevel"/>
    <w:tmpl w:val="48402C0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FEBE33C"/>
    <w:multiLevelType w:val="hybridMultilevel"/>
    <w:tmpl w:val="7683D3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18"/>
  </w:num>
  <w:num w:numId="4">
    <w:abstractNumId w:val="13"/>
  </w:num>
  <w:num w:numId="5">
    <w:abstractNumId w:val="15"/>
  </w:num>
  <w:num w:numId="6">
    <w:abstractNumId w:val="9"/>
  </w:num>
  <w:num w:numId="7">
    <w:abstractNumId w:val="5"/>
  </w:num>
  <w:num w:numId="8">
    <w:abstractNumId w:val="7"/>
  </w:num>
  <w:num w:numId="9">
    <w:abstractNumId w:val="7"/>
  </w:num>
  <w:num w:numId="10">
    <w:abstractNumId w:val="17"/>
  </w:num>
  <w:num w:numId="11">
    <w:abstractNumId w:val="1"/>
  </w:num>
  <w:num w:numId="12">
    <w:abstractNumId w:val="4"/>
  </w:num>
  <w:num w:numId="13">
    <w:abstractNumId w:val="5"/>
  </w:num>
  <w:num w:numId="14">
    <w:abstractNumId w:val="2"/>
  </w:num>
  <w:num w:numId="15">
    <w:abstractNumId w:val="6"/>
  </w:num>
  <w:num w:numId="16">
    <w:abstractNumId w:val="10"/>
  </w:num>
  <w:num w:numId="17">
    <w:abstractNumId w:val="11"/>
  </w:num>
  <w:num w:numId="18">
    <w:abstractNumId w:val="21"/>
  </w:num>
  <w:num w:numId="19">
    <w:abstractNumId w:val="12"/>
  </w:num>
  <w:num w:numId="20">
    <w:abstractNumId w:val="19"/>
  </w:num>
  <w:num w:numId="21">
    <w:abstractNumId w:val="16"/>
  </w:num>
  <w:num w:numId="22">
    <w:abstractNumId w:val="20"/>
  </w:num>
  <w:num w:numId="23">
    <w:abstractNumId w:val="22"/>
  </w:num>
  <w:num w:numId="24">
    <w:abstractNumId w:val="8"/>
  </w:num>
  <w:num w:numId="25">
    <w:abstractNumId w:val="23"/>
  </w:num>
  <w:num w:numId="26">
    <w:abstractNumId w:val="24"/>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A21"/>
    <w:rsid w:val="00010AF4"/>
    <w:rsid w:val="0002213A"/>
    <w:rsid w:val="00067F3E"/>
    <w:rsid w:val="000754DF"/>
    <w:rsid w:val="000763E0"/>
    <w:rsid w:val="000A351C"/>
    <w:rsid w:val="000A491A"/>
    <w:rsid w:val="000E6ECE"/>
    <w:rsid w:val="00106D56"/>
    <w:rsid w:val="0010779E"/>
    <w:rsid w:val="00110183"/>
    <w:rsid w:val="001259C9"/>
    <w:rsid w:val="001345B4"/>
    <w:rsid w:val="001A10FD"/>
    <w:rsid w:val="001D7E7D"/>
    <w:rsid w:val="00221D5A"/>
    <w:rsid w:val="002238F3"/>
    <w:rsid w:val="00225CBD"/>
    <w:rsid w:val="00234F59"/>
    <w:rsid w:val="00283386"/>
    <w:rsid w:val="002A4EF1"/>
    <w:rsid w:val="002C1EBF"/>
    <w:rsid w:val="002D4D11"/>
    <w:rsid w:val="002D500E"/>
    <w:rsid w:val="002E64CC"/>
    <w:rsid w:val="003076B4"/>
    <w:rsid w:val="00333640"/>
    <w:rsid w:val="0038625E"/>
    <w:rsid w:val="00397781"/>
    <w:rsid w:val="003C56D3"/>
    <w:rsid w:val="003E3CA4"/>
    <w:rsid w:val="00420F5A"/>
    <w:rsid w:val="00453771"/>
    <w:rsid w:val="0046006A"/>
    <w:rsid w:val="00461357"/>
    <w:rsid w:val="00477EBF"/>
    <w:rsid w:val="00516062"/>
    <w:rsid w:val="00517FB4"/>
    <w:rsid w:val="00567702"/>
    <w:rsid w:val="0059186C"/>
    <w:rsid w:val="005947BA"/>
    <w:rsid w:val="005A5A6F"/>
    <w:rsid w:val="005B2CBB"/>
    <w:rsid w:val="005B5F8B"/>
    <w:rsid w:val="005F036B"/>
    <w:rsid w:val="006238CE"/>
    <w:rsid w:val="00645BE3"/>
    <w:rsid w:val="00670C22"/>
    <w:rsid w:val="006769C2"/>
    <w:rsid w:val="00697B00"/>
    <w:rsid w:val="006B5F96"/>
    <w:rsid w:val="006B7956"/>
    <w:rsid w:val="006D0050"/>
    <w:rsid w:val="006E0526"/>
    <w:rsid w:val="00713CDD"/>
    <w:rsid w:val="00717745"/>
    <w:rsid w:val="007800F0"/>
    <w:rsid w:val="00780EA0"/>
    <w:rsid w:val="00781648"/>
    <w:rsid w:val="00790A20"/>
    <w:rsid w:val="007B14C5"/>
    <w:rsid w:val="007E0FF4"/>
    <w:rsid w:val="0081521C"/>
    <w:rsid w:val="00834346"/>
    <w:rsid w:val="008427CD"/>
    <w:rsid w:val="00850B98"/>
    <w:rsid w:val="00882A9B"/>
    <w:rsid w:val="00890B62"/>
    <w:rsid w:val="008D34E4"/>
    <w:rsid w:val="008E2707"/>
    <w:rsid w:val="00965B6C"/>
    <w:rsid w:val="00965F6A"/>
    <w:rsid w:val="009B584C"/>
    <w:rsid w:val="009E2086"/>
    <w:rsid w:val="009F43D5"/>
    <w:rsid w:val="00A369E8"/>
    <w:rsid w:val="00A54141"/>
    <w:rsid w:val="00A80D0B"/>
    <w:rsid w:val="00A82F72"/>
    <w:rsid w:val="00AA6EE5"/>
    <w:rsid w:val="00AB0066"/>
    <w:rsid w:val="00AE675D"/>
    <w:rsid w:val="00AF617B"/>
    <w:rsid w:val="00B079BA"/>
    <w:rsid w:val="00B22713"/>
    <w:rsid w:val="00B35EC6"/>
    <w:rsid w:val="00B62C31"/>
    <w:rsid w:val="00B820FD"/>
    <w:rsid w:val="00B902AA"/>
    <w:rsid w:val="00BB5BEC"/>
    <w:rsid w:val="00BC0016"/>
    <w:rsid w:val="00BD22CD"/>
    <w:rsid w:val="00BE7FAD"/>
    <w:rsid w:val="00BF0277"/>
    <w:rsid w:val="00C122E3"/>
    <w:rsid w:val="00C422C2"/>
    <w:rsid w:val="00C67EB2"/>
    <w:rsid w:val="00CF5137"/>
    <w:rsid w:val="00D213D2"/>
    <w:rsid w:val="00D32E07"/>
    <w:rsid w:val="00D40990"/>
    <w:rsid w:val="00D558AB"/>
    <w:rsid w:val="00DC00B9"/>
    <w:rsid w:val="00DE5BAB"/>
    <w:rsid w:val="00DF2A7D"/>
    <w:rsid w:val="00DF5B42"/>
    <w:rsid w:val="00E06B9F"/>
    <w:rsid w:val="00E140B5"/>
    <w:rsid w:val="00E35CB4"/>
    <w:rsid w:val="00E91B0F"/>
    <w:rsid w:val="00EA249E"/>
    <w:rsid w:val="00EA7F75"/>
    <w:rsid w:val="00ED6010"/>
    <w:rsid w:val="00EE0121"/>
    <w:rsid w:val="00F2356D"/>
    <w:rsid w:val="00F30853"/>
    <w:rsid w:val="00F44A21"/>
    <w:rsid w:val="00F7392E"/>
    <w:rsid w:val="00F7633D"/>
    <w:rsid w:val="00F83FFC"/>
    <w:rsid w:val="00FB1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F97EDF"/>
  <w15:docId w15:val="{FAAC708F-054E-4C9F-BA8D-C5A26CB3F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Pr>
      <w:rFonts w:ascii="Calibri" w:eastAsia="Calibri" w:hAnsi="Calibri" w:cs="Calibri"/>
      <w:lang w:bidi="en-US"/>
    </w:rPr>
  </w:style>
  <w:style w:type="paragraph" w:styleId="Heading1">
    <w:name w:val="heading 1"/>
    <w:basedOn w:val="Normal"/>
    <w:link w:val="Heading1Char"/>
    <w:uiPriority w:val="1"/>
    <w:qFormat/>
    <w:pPr>
      <w:ind w:left="579"/>
      <w:outlineLvl w:val="0"/>
    </w:pPr>
    <w:rPr>
      <w:b/>
      <w:bCs/>
    </w:rPr>
  </w:style>
  <w:style w:type="paragraph" w:styleId="Heading2">
    <w:name w:val="heading 2"/>
    <w:basedOn w:val="Normal"/>
    <w:uiPriority w:val="1"/>
    <w:qFormat/>
    <w:pPr>
      <w:ind w:left="463" w:hanging="360"/>
      <w:outlineLvl w:val="1"/>
    </w:pPr>
  </w:style>
  <w:style w:type="paragraph" w:styleId="Heading3">
    <w:name w:val="heading 3"/>
    <w:basedOn w:val="Normal"/>
    <w:uiPriority w:val="1"/>
    <w:qFormat/>
    <w:pPr>
      <w:ind w:left="224"/>
      <w:outlineLvl w:val="2"/>
    </w:pPr>
    <w:rPr>
      <w:b/>
      <w:bCs/>
      <w:sz w:val="20"/>
      <w:szCs w:val="2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ListParagraph">
    <w:name w:val="List Paragraph"/>
    <w:basedOn w:val="Normal"/>
    <w:uiPriority w:val="34"/>
    <w:qFormat/>
    <w:pPr>
      <w:ind w:left="440" w:hanging="216"/>
    </w:pPr>
  </w:style>
  <w:style w:type="paragraph" w:customStyle="1" w:styleId="TableParagraph">
    <w:name w:val="Table Paragraph"/>
    <w:basedOn w:val="Normal"/>
    <w:uiPriority w:val="1"/>
    <w:qFormat/>
    <w:pPr>
      <w:ind w:left="107"/>
    </w:pPr>
  </w:style>
  <w:style w:type="character" w:styleId="CommentReference">
    <w:name w:val="annotation reference"/>
    <w:basedOn w:val="DefaultParagraphFont"/>
    <w:semiHidden/>
    <w:unhideWhenUsed/>
    <w:rsid w:val="00517FB4"/>
    <w:rPr>
      <w:sz w:val="16"/>
      <w:szCs w:val="16"/>
    </w:rPr>
  </w:style>
  <w:style w:type="paragraph" w:styleId="CommentText">
    <w:name w:val="annotation text"/>
    <w:basedOn w:val="Normal"/>
    <w:link w:val="CommentTextChar"/>
    <w:uiPriority w:val="99"/>
    <w:semiHidden/>
    <w:unhideWhenUsed/>
    <w:rsid w:val="00517FB4"/>
    <w:rPr>
      <w:sz w:val="20"/>
      <w:szCs w:val="20"/>
    </w:rPr>
  </w:style>
  <w:style w:type="character" w:customStyle="1" w:styleId="CommentTextChar">
    <w:name w:val="Comment Text Char"/>
    <w:basedOn w:val="DefaultParagraphFont"/>
    <w:link w:val="CommentText"/>
    <w:uiPriority w:val="99"/>
    <w:semiHidden/>
    <w:rsid w:val="00517FB4"/>
    <w:rPr>
      <w:rFonts w:ascii="Calibri" w:eastAsia="Calibri" w:hAnsi="Calibri" w:cs="Calibri"/>
      <w:sz w:val="20"/>
      <w:szCs w:val="20"/>
      <w:lang w:bidi="en-US"/>
    </w:rPr>
  </w:style>
  <w:style w:type="paragraph" w:styleId="CommentSubject">
    <w:name w:val="annotation subject"/>
    <w:basedOn w:val="CommentText"/>
    <w:next w:val="CommentText"/>
    <w:link w:val="CommentSubjectChar"/>
    <w:uiPriority w:val="99"/>
    <w:semiHidden/>
    <w:unhideWhenUsed/>
    <w:rsid w:val="00517FB4"/>
    <w:rPr>
      <w:b/>
      <w:bCs/>
    </w:rPr>
  </w:style>
  <w:style w:type="character" w:customStyle="1" w:styleId="CommentSubjectChar">
    <w:name w:val="Comment Subject Char"/>
    <w:basedOn w:val="CommentTextChar"/>
    <w:link w:val="CommentSubject"/>
    <w:uiPriority w:val="99"/>
    <w:semiHidden/>
    <w:rsid w:val="00517FB4"/>
    <w:rPr>
      <w:rFonts w:ascii="Calibri" w:eastAsia="Calibri" w:hAnsi="Calibri" w:cs="Calibri"/>
      <w:b/>
      <w:bCs/>
      <w:sz w:val="20"/>
      <w:szCs w:val="20"/>
      <w:lang w:bidi="en-US"/>
    </w:rPr>
  </w:style>
  <w:style w:type="paragraph" w:styleId="BalloonText">
    <w:name w:val="Balloon Text"/>
    <w:basedOn w:val="Normal"/>
    <w:link w:val="BalloonTextChar"/>
    <w:uiPriority w:val="99"/>
    <w:semiHidden/>
    <w:unhideWhenUsed/>
    <w:rsid w:val="00517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FB4"/>
    <w:rPr>
      <w:rFonts w:ascii="Segoe UI" w:eastAsia="Calibri" w:hAnsi="Segoe UI" w:cs="Segoe UI"/>
      <w:sz w:val="18"/>
      <w:szCs w:val="18"/>
      <w:lang w:bidi="en-US"/>
    </w:rPr>
  </w:style>
  <w:style w:type="character" w:styleId="Hyperlink">
    <w:name w:val="Hyperlink"/>
    <w:basedOn w:val="DefaultParagraphFont"/>
    <w:uiPriority w:val="99"/>
    <w:unhideWhenUsed/>
    <w:rsid w:val="00B35EC6"/>
    <w:rPr>
      <w:color w:val="0000FF" w:themeColor="hyperlink"/>
      <w:u w:val="single"/>
    </w:rPr>
  </w:style>
  <w:style w:type="paragraph" w:customStyle="1" w:styleId="Default">
    <w:name w:val="Default"/>
    <w:rsid w:val="005F036B"/>
    <w:pPr>
      <w:widowControl/>
      <w:adjustRightInd w:val="0"/>
    </w:pPr>
    <w:rPr>
      <w:rFonts w:ascii="Calibri" w:hAnsi="Calibri" w:cs="Calibri"/>
      <w:color w:val="000000"/>
      <w:sz w:val="24"/>
      <w:szCs w:val="24"/>
    </w:rPr>
  </w:style>
  <w:style w:type="character" w:customStyle="1" w:styleId="BodyTextChar">
    <w:name w:val="Body Text Char"/>
    <w:basedOn w:val="DefaultParagraphFont"/>
    <w:link w:val="BodyText"/>
    <w:uiPriority w:val="1"/>
    <w:rsid w:val="00CF5137"/>
    <w:rPr>
      <w:rFonts w:ascii="Calibri" w:eastAsia="Calibri" w:hAnsi="Calibri" w:cs="Calibri"/>
      <w:sz w:val="20"/>
      <w:szCs w:val="20"/>
      <w:lang w:bidi="en-US"/>
    </w:rPr>
  </w:style>
  <w:style w:type="paragraph" w:styleId="Header">
    <w:name w:val="header"/>
    <w:basedOn w:val="Normal"/>
    <w:link w:val="HeaderChar"/>
    <w:uiPriority w:val="99"/>
    <w:unhideWhenUsed/>
    <w:rsid w:val="00E06B9F"/>
    <w:pPr>
      <w:tabs>
        <w:tab w:val="center" w:pos="4680"/>
        <w:tab w:val="right" w:pos="9360"/>
      </w:tabs>
    </w:pPr>
  </w:style>
  <w:style w:type="character" w:customStyle="1" w:styleId="HeaderChar">
    <w:name w:val="Header Char"/>
    <w:basedOn w:val="DefaultParagraphFont"/>
    <w:link w:val="Header"/>
    <w:uiPriority w:val="99"/>
    <w:rsid w:val="00E06B9F"/>
    <w:rPr>
      <w:rFonts w:ascii="Calibri" w:eastAsia="Calibri" w:hAnsi="Calibri" w:cs="Calibri"/>
      <w:lang w:bidi="en-US"/>
    </w:rPr>
  </w:style>
  <w:style w:type="paragraph" w:styleId="Footer">
    <w:name w:val="footer"/>
    <w:basedOn w:val="Normal"/>
    <w:link w:val="FooterChar"/>
    <w:uiPriority w:val="99"/>
    <w:unhideWhenUsed/>
    <w:rsid w:val="00E06B9F"/>
    <w:pPr>
      <w:tabs>
        <w:tab w:val="center" w:pos="4680"/>
        <w:tab w:val="right" w:pos="9360"/>
      </w:tabs>
    </w:pPr>
  </w:style>
  <w:style w:type="character" w:customStyle="1" w:styleId="FooterChar">
    <w:name w:val="Footer Char"/>
    <w:basedOn w:val="DefaultParagraphFont"/>
    <w:link w:val="Footer"/>
    <w:uiPriority w:val="99"/>
    <w:rsid w:val="00E06B9F"/>
    <w:rPr>
      <w:rFonts w:ascii="Calibri" w:eastAsia="Calibri" w:hAnsi="Calibri" w:cs="Calibri"/>
      <w:lang w:bidi="en-US"/>
    </w:rPr>
  </w:style>
  <w:style w:type="character" w:customStyle="1" w:styleId="Style1">
    <w:name w:val="Style1"/>
    <w:basedOn w:val="DefaultParagraphFont"/>
    <w:uiPriority w:val="1"/>
    <w:rsid w:val="003E3CA4"/>
    <w:rPr>
      <w:rFonts w:asciiTheme="minorHAnsi" w:hAnsiTheme="minorHAnsi"/>
      <w:color w:val="0000FF"/>
      <w:sz w:val="22"/>
    </w:rPr>
  </w:style>
  <w:style w:type="character" w:customStyle="1" w:styleId="Style2">
    <w:name w:val="Style2"/>
    <w:basedOn w:val="DefaultParagraphFont"/>
    <w:uiPriority w:val="1"/>
    <w:rsid w:val="003E3CA4"/>
    <w:rPr>
      <w:rFonts w:asciiTheme="minorHAnsi" w:hAnsiTheme="minorHAnsi"/>
      <w:color w:val="0000FF"/>
      <w:sz w:val="22"/>
      <w:u w:val="single"/>
    </w:rPr>
  </w:style>
  <w:style w:type="paragraph" w:styleId="FootnoteText">
    <w:name w:val="footnote text"/>
    <w:basedOn w:val="Normal"/>
    <w:link w:val="FootnoteTextChar"/>
    <w:qFormat/>
    <w:rsid w:val="00D213D2"/>
    <w:pPr>
      <w:widowControl/>
      <w:autoSpaceDE/>
      <w:autoSpaceDN/>
      <w:spacing w:after="120"/>
      <w:jc w:val="both"/>
    </w:pPr>
    <w:rPr>
      <w:rFonts w:ascii="Times New Roman" w:eastAsia="Times New Roman" w:hAnsi="Times New Roman" w:cs="Times New Roman"/>
      <w:sz w:val="20"/>
      <w:szCs w:val="20"/>
      <w:lang w:bidi="ar-SA"/>
    </w:rPr>
  </w:style>
  <w:style w:type="character" w:customStyle="1" w:styleId="FootnoteTextChar">
    <w:name w:val="Footnote Text Char"/>
    <w:basedOn w:val="DefaultParagraphFont"/>
    <w:link w:val="FootnoteText"/>
    <w:rsid w:val="00D213D2"/>
    <w:rPr>
      <w:rFonts w:ascii="Times New Roman" w:eastAsia="Times New Roman" w:hAnsi="Times New Roman" w:cs="Times New Roman"/>
      <w:sz w:val="20"/>
      <w:szCs w:val="20"/>
    </w:rPr>
  </w:style>
  <w:style w:type="character" w:styleId="FootnoteReference">
    <w:name w:val="footnote reference"/>
    <w:basedOn w:val="DefaultParagraphFont"/>
    <w:qFormat/>
    <w:rsid w:val="00D213D2"/>
    <w:rPr>
      <w:rFonts w:ascii="Times New Roman" w:hAnsi="Times New Roman"/>
      <w:color w:val="auto"/>
      <w:spacing w:val="0"/>
      <w:position w:val="0"/>
      <w:sz w:val="24"/>
      <w:u w:color="000080"/>
      <w:effect w:val="none"/>
      <w:vertAlign w:val="superscript"/>
    </w:rPr>
  </w:style>
  <w:style w:type="character" w:customStyle="1" w:styleId="Heading1Char">
    <w:name w:val="Heading 1 Char"/>
    <w:basedOn w:val="DefaultParagraphFont"/>
    <w:link w:val="Heading1"/>
    <w:uiPriority w:val="1"/>
    <w:rsid w:val="006B5F96"/>
    <w:rPr>
      <w:rFonts w:ascii="Calibri" w:eastAsia="Calibri" w:hAnsi="Calibri" w:cs="Calibri"/>
      <w:b/>
      <w:bCs/>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30380">
      <w:bodyDiv w:val="1"/>
      <w:marLeft w:val="0"/>
      <w:marRight w:val="0"/>
      <w:marTop w:val="0"/>
      <w:marBottom w:val="0"/>
      <w:divBdr>
        <w:top w:val="none" w:sz="0" w:space="0" w:color="auto"/>
        <w:left w:val="none" w:sz="0" w:space="0" w:color="auto"/>
        <w:bottom w:val="none" w:sz="0" w:space="0" w:color="auto"/>
        <w:right w:val="none" w:sz="0" w:space="0" w:color="auto"/>
      </w:divBdr>
    </w:div>
    <w:div w:id="237401685">
      <w:bodyDiv w:val="1"/>
      <w:marLeft w:val="0"/>
      <w:marRight w:val="0"/>
      <w:marTop w:val="0"/>
      <w:marBottom w:val="0"/>
      <w:divBdr>
        <w:top w:val="none" w:sz="0" w:space="0" w:color="auto"/>
        <w:left w:val="none" w:sz="0" w:space="0" w:color="auto"/>
        <w:bottom w:val="none" w:sz="0" w:space="0" w:color="auto"/>
        <w:right w:val="none" w:sz="0" w:space="0" w:color="auto"/>
      </w:divBdr>
    </w:div>
    <w:div w:id="15962034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roke.ahajournals.org/content/early/2013/01/31/%20STR.0b013e318284056a.full.pdf+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www.ahajournals.org/doi/pdf/%2010.1161/STR.0000000000000158"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roke.ahajournals.org/content/early/2015/06/26/%20STR.0000000000000074.full.pdf+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23C315515D45D5ABF2B5A7B346F4C7"/>
        <w:category>
          <w:name w:val="General"/>
          <w:gallery w:val="placeholder"/>
        </w:category>
        <w:types>
          <w:type w:val="bbPlcHdr"/>
        </w:types>
        <w:behaviors>
          <w:behavior w:val="content"/>
        </w:behaviors>
        <w:guid w:val="{2C5017D8-9300-470F-AC2C-9BA5EAE8667B}"/>
      </w:docPartPr>
      <w:docPartBody>
        <w:p w:rsidR="008F18E4" w:rsidRDefault="00A74378" w:rsidP="00A74378">
          <w:pPr>
            <w:pStyle w:val="E923C315515D45D5ABF2B5A7B346F4C7"/>
          </w:pPr>
          <w:r w:rsidRPr="003B1CC5">
            <w:rPr>
              <w:rStyle w:val="PlaceholderText"/>
            </w:rPr>
            <w:t>Click here to enter NQF number</w:t>
          </w:r>
        </w:p>
      </w:docPartBody>
    </w:docPart>
    <w:docPart>
      <w:docPartPr>
        <w:name w:val="122576AD764C4EFCB88A6727F8E55A1B"/>
        <w:category>
          <w:name w:val="General"/>
          <w:gallery w:val="placeholder"/>
        </w:category>
        <w:types>
          <w:type w:val="bbPlcHdr"/>
        </w:types>
        <w:behaviors>
          <w:behavior w:val="content"/>
        </w:behaviors>
        <w:guid w:val="{DB83F22F-ED38-44E5-A03D-C9D4F5DA598F}"/>
      </w:docPartPr>
      <w:docPartBody>
        <w:p w:rsidR="008F18E4" w:rsidRDefault="00A74378" w:rsidP="00A74378">
          <w:pPr>
            <w:pStyle w:val="122576AD764C4EFCB88A6727F8E55A1B"/>
          </w:pPr>
          <w:r w:rsidRPr="003B1CC5">
            <w:rPr>
              <w:rStyle w:val="PlaceholderText"/>
              <w:rFonts w:cstheme="minorHAnsi"/>
              <w:color w:val="A6A6A6" w:themeColor="background1" w:themeShade="A6"/>
            </w:rPr>
            <w:t>Click here to enter measure title</w:t>
          </w:r>
        </w:p>
      </w:docPartBody>
    </w:docPart>
    <w:docPart>
      <w:docPartPr>
        <w:name w:val="5170AE3F3728475E9DAEFDA3157B5A5A"/>
        <w:category>
          <w:name w:val="General"/>
          <w:gallery w:val="placeholder"/>
        </w:category>
        <w:types>
          <w:type w:val="bbPlcHdr"/>
        </w:types>
        <w:behaviors>
          <w:behavior w:val="content"/>
        </w:behaviors>
        <w:guid w:val="{7E18E253-4FE1-4995-AEC6-BC52C27AA29D}"/>
      </w:docPartPr>
      <w:docPartBody>
        <w:p w:rsidR="008F18E4" w:rsidRDefault="00A74378" w:rsidP="00A74378">
          <w:pPr>
            <w:pStyle w:val="5170AE3F3728475E9DAEFDA3157B5A5A"/>
          </w:pPr>
          <w:r w:rsidRPr="003B1CC5">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378"/>
    <w:rsid w:val="00273155"/>
    <w:rsid w:val="008F18E4"/>
    <w:rsid w:val="00A74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378"/>
    <w:rPr>
      <w:color w:val="808080"/>
    </w:rPr>
  </w:style>
  <w:style w:type="paragraph" w:customStyle="1" w:styleId="E923C315515D45D5ABF2B5A7B346F4C7">
    <w:name w:val="E923C315515D45D5ABF2B5A7B346F4C7"/>
    <w:rsid w:val="00A74378"/>
  </w:style>
  <w:style w:type="paragraph" w:customStyle="1" w:styleId="122576AD764C4EFCB88A6727F8E55A1B">
    <w:name w:val="122576AD764C4EFCB88A6727F8E55A1B"/>
    <w:rsid w:val="00A74378"/>
  </w:style>
  <w:style w:type="paragraph" w:customStyle="1" w:styleId="5170AE3F3728475E9DAEFDA3157B5A5A">
    <w:name w:val="5170AE3F3728475E9DAEFDA3157B5A5A"/>
    <w:rsid w:val="00A743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DE4D4E925EE44A48BA97C226E724D" ma:contentTypeVersion="0" ma:contentTypeDescription="Create a new document." ma:contentTypeScope="" ma:versionID="33b2859d5b62e3b917c6e10e72ad07a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3439C-4094-4635-9F77-AD010C65F2B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96039E-41BA-4CA6-B857-9F47B618FFB4}">
  <ds:schemaRefs>
    <ds:schemaRef ds:uri="http://schemas.microsoft.com/sharepoint/v3/contenttype/forms"/>
  </ds:schemaRefs>
</ds:datastoreItem>
</file>

<file path=customXml/itemProps3.xml><?xml version="1.0" encoding="utf-8"?>
<ds:datastoreItem xmlns:ds="http://schemas.openxmlformats.org/officeDocument/2006/customXml" ds:itemID="{D714A6B1-81B1-468C-BAAD-FE7BD48621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CC52A5-6D12-4B97-B1BE-B2D0A03EC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4590</Words>
  <Characters>26165</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NQF 0661 Measure Evidence Form</vt:lpstr>
    </vt:vector>
  </TitlesOfParts>
  <Manager>Colleen M. McKiernan</Manager>
  <Company>The Lewin Group</Company>
  <LinksUpToDate>false</LinksUpToDate>
  <CharactersWithSpaces>30694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NQF 0661 Measure Evidence Form</dc:title>
  <dc:subject>National Quality Forum Measure Evidence Form for NQF 0661</dc:subject>
  <dc:creator>The Lewin Group</dc:creator>
  <cp:keywords>evidence</cp:keywords>
  <cp:lastModifiedBy>Angela Flanagan</cp:lastModifiedBy>
  <cp:revision>4</cp:revision>
  <dcterms:created xsi:type="dcterms:W3CDTF">2019-08-02T18:26:00Z</dcterms:created>
  <dcterms:modified xsi:type="dcterms:W3CDTF">2019-10-28T13:36:00Z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2018-09-07T00:00:00Z</vt:filetime>
  </property>
  <property fmtid="{D5CDD505-2E9C-101B-9397-08002B2CF9AE}" pid="3" name="Creator">
    <vt:lpwstr>Acrobat PDFMaker 15 for Word</vt:lpwstr>
  </property>
  <property fmtid="{D5CDD505-2E9C-101B-9397-08002B2CF9AE}" pid="4" name="LastSaved">
    <vt:filetime>2019-07-03T00:00:00Z</vt:filetime>
  </property>
  <property fmtid="{D5CDD505-2E9C-101B-9397-08002B2CF9AE}" pid="5" name="ContentTypeId">
    <vt:lpwstr>0x0101008BADE4D4E925EE44A48BA97C226E724D</vt:lpwstr>
  </property>
</Properties>
</file>