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4ED173BA"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B1334C">
            <w:rPr>
              <w:rStyle w:val="Style1"/>
            </w:rPr>
            <w:t>1952</w:t>
          </w:r>
        </w:sdtContent>
      </w:sdt>
    </w:p>
    <w:p w14:paraId="55B8DA2F" w14:textId="67A3E4F3"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1334C" w:rsidRPr="00B1334C">
            <w:rPr>
              <w:rStyle w:val="Style1"/>
            </w:rPr>
            <w:t>Time to Intravenous Thrombolytic Therapy</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3E881FE"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u w:val="none"/>
          </w:rPr>
          <w:id w:val="-1689821638"/>
          <w:placeholder>
            <w:docPart w:val="6A100845774148B09AFD987423307E3B"/>
          </w:placeholder>
          <w:date w:fullDate="2019-11-01T00:00:00Z">
            <w:dateFormat w:val="M/d/yyyy"/>
            <w:lid w:val="en-US"/>
            <w:storeMappedDataAs w:val="dateTime"/>
            <w:calendar w:val="gregorian"/>
          </w:date>
        </w:sdtPr>
        <w:sdtEndPr>
          <w:rPr>
            <w:rStyle w:val="DefaultParagraphFont"/>
            <w:noProof/>
            <w:color w:val="auto"/>
          </w:rPr>
        </w:sdtEndPr>
        <w:sdtContent>
          <w:r w:rsidR="00B1334C" w:rsidRPr="00B1334C">
            <w:rPr>
              <w:rStyle w:val="Style2"/>
              <w:u w:val="none"/>
            </w:rPr>
            <w:t>11/1/2019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D14969" w:rsidRDefault="008659ED" w:rsidP="008659ED">
            <w:pPr>
              <w:numPr>
                <w:ilvl w:val="0"/>
                <w:numId w:val="7"/>
              </w:numPr>
              <w:rPr>
                <w:rFonts w:eastAsia="Calibri" w:cs="Calibri"/>
                <w:sz w:val="20"/>
                <w:szCs w:val="20"/>
                <w:highlight w:val="yellow"/>
              </w:rPr>
            </w:pPr>
            <w:r w:rsidRPr="00D14969">
              <w:rPr>
                <w:rFonts w:eastAsia="Calibri" w:cs="Calibri"/>
                <w:sz w:val="20"/>
                <w:szCs w:val="20"/>
                <w:highlight w:val="yellow"/>
                <w:u w:val="single"/>
              </w:rPr>
              <w:t>Process</w:t>
            </w:r>
            <w:r w:rsidRPr="00D14969">
              <w:rPr>
                <w:rFonts w:eastAsia="Calibri" w:cs="Calibri"/>
                <w:sz w:val="20"/>
                <w:szCs w:val="20"/>
                <w:highlight w:val="yellow"/>
              </w:rPr>
              <w:t xml:space="preserve">: </w:t>
            </w:r>
            <w:hyperlink w:anchor="Note5" w:history="1">
              <w:r w:rsidRPr="00D14969">
                <w:rPr>
                  <w:rStyle w:val="Hyperlink"/>
                  <w:rFonts w:eastAsia="Calibri" w:cs="Calibri"/>
                  <w:b/>
                  <w:sz w:val="20"/>
                  <w:szCs w:val="20"/>
                  <w:highlight w:val="yellow"/>
                  <w:vertAlign w:val="superscript"/>
                </w:rPr>
                <w:t>5</w:t>
              </w:r>
            </w:hyperlink>
            <w:r w:rsidRPr="00D14969">
              <w:rPr>
                <w:rFonts w:eastAsia="Calibri" w:cs="Calibri"/>
                <w:sz w:val="20"/>
                <w:szCs w:val="20"/>
                <w:highlight w:val="yellow"/>
              </w:rPr>
              <w:t xml:space="preserve"> a systematic assessment and grading of the quantity, quality, and consistency of the body of evidence </w:t>
            </w:r>
            <w:hyperlink w:anchor="Note4" w:history="1">
              <w:r w:rsidR="00CB1E41" w:rsidRPr="00D14969">
                <w:rPr>
                  <w:rStyle w:val="Hyperlink"/>
                  <w:rFonts w:eastAsia="Calibri" w:cs="Calibri"/>
                  <w:b/>
                  <w:sz w:val="20"/>
                  <w:szCs w:val="20"/>
                  <w:highlight w:val="yellow"/>
                  <w:vertAlign w:val="superscript"/>
                </w:rPr>
                <w:t>4</w:t>
              </w:r>
            </w:hyperlink>
            <w:r w:rsidRPr="00D14969">
              <w:rPr>
                <w:rFonts w:eastAsia="Calibri" w:cs="Calibri"/>
                <w:bCs/>
                <w:sz w:val="20"/>
                <w:szCs w:val="20"/>
                <w:highlight w:val="yellow"/>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F547E4"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F547E4"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F547E4"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1567D501" w:rsidR="00D73685" w:rsidRDefault="00F547E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B1334C">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sdt>
            <w:sdtPr>
              <w:rPr>
                <w:rStyle w:val="Style2"/>
                <w:rFonts w:cstheme="minorHAnsi"/>
              </w:rPr>
              <w:id w:val="321244333"/>
            </w:sdtPr>
            <w:sdtEndPr>
              <w:rPr>
                <w:rStyle w:val="DefaultParagraphFont"/>
                <w:rFonts w:cstheme="minorBidi"/>
                <w:bCs/>
                <w:color w:val="auto"/>
                <w:u w:val="none"/>
              </w:rPr>
            </w:sdtEndPr>
            <w:sdtContent>
              <w:r w:rsidR="006F060C">
                <w:rPr>
                  <w:rStyle w:val="Style2"/>
                  <w:rFonts w:cstheme="minorHAnsi"/>
                  <w:u w:val="none"/>
                </w:rPr>
                <w:t>Time from hospital arrival to initiation of intravenous alteplase, among ischemic stroke patients</w:t>
              </w:r>
            </w:sdtContent>
          </w:sdt>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F547E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F547E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B" w14:textId="5D49153E" w:rsidR="002B06BD" w:rsidRPr="006F060C" w:rsidRDefault="00676BD4" w:rsidP="006F060C">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C" w14:textId="57C0DB3E" w:rsidR="00676BD4" w:rsidRPr="006F060C" w:rsidRDefault="006F060C" w:rsidP="006F060C">
      <w:pPr>
        <w:ind w:left="432" w:hanging="432"/>
        <w:rPr>
          <w:color w:val="0000FF"/>
        </w:rPr>
      </w:pPr>
      <w:r>
        <w:rPr>
          <w:noProof/>
          <w:color w:val="0000FF"/>
        </w:rPr>
        <w:drawing>
          <wp:inline distT="0" distB="0" distL="0" distR="0" wp14:anchorId="64024213" wp14:editId="15B5EA89">
            <wp:extent cx="5379720" cy="1957754"/>
            <wp:effectExtent l="3810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lastRenderedPageBreak/>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1FF5B4C4" w:rsidR="00A9011D" w:rsidRPr="00A9011D" w:rsidRDefault="00F547E4" w:rsidP="00A9011D">
      <w:pPr>
        <w:ind w:left="0" w:firstLine="0"/>
        <w:rPr>
          <w:rFonts w:ascii="Calibri" w:eastAsia="Calibri" w:hAnsi="Calibri" w:cs="Times New Roman"/>
        </w:rPr>
      </w:pPr>
      <w:sdt>
        <w:sdtPr>
          <w:rPr>
            <w:bCs/>
            <w:color w:val="0000FF"/>
          </w:rPr>
          <w:id w:val="-468508862"/>
          <w14:checkbox>
            <w14:checked w14:val="1"/>
            <w14:checkedState w14:val="2612" w14:font="MS Gothic"/>
            <w14:uncheckedState w14:val="2610" w14:font="MS Gothic"/>
          </w14:checkbox>
        </w:sdtPr>
        <w:sdtEndPr/>
        <w:sdtContent>
          <w:r w:rsidR="006F060C">
            <w:rPr>
              <w:rFonts w:ascii="MS Gothic" w:eastAsia="MS Gothic" w:hAnsi="MS Gothic" w:hint="eastAsia"/>
              <w:bCs/>
              <w:color w:val="0000FF"/>
            </w:rPr>
            <w:t>☒</w:t>
          </w:r>
        </w:sdtContent>
      </w:sdt>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ayout w:type="fixed"/>
        <w:tblLook w:val="04A0" w:firstRow="1" w:lastRow="0" w:firstColumn="1" w:lastColumn="0" w:noHBand="0" w:noVBand="1"/>
      </w:tblPr>
      <w:tblGrid>
        <w:gridCol w:w="1795"/>
        <w:gridCol w:w="7555"/>
      </w:tblGrid>
      <w:tr w:rsidR="0059420F" w14:paraId="55B8DA76" w14:textId="77777777" w:rsidTr="00562955">
        <w:tc>
          <w:tcPr>
            <w:tcW w:w="179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7555" w:type="dxa"/>
          </w:tcPr>
          <w:p w14:paraId="70DF8473" w14:textId="120AC01F" w:rsidR="00BE387F" w:rsidRPr="00BE387F" w:rsidRDefault="00BE387F" w:rsidP="00384AB5">
            <w:pPr>
              <w:ind w:left="0" w:firstLine="0"/>
              <w:rPr>
                <w:color w:val="1F497D" w:themeColor="text2"/>
                <w:u w:val="single"/>
              </w:rPr>
            </w:pPr>
            <w:r w:rsidRPr="00F95030">
              <w:rPr>
                <w:color w:val="1F497D" w:themeColor="text2"/>
                <w:u w:val="single"/>
              </w:rPr>
              <w:t>AHA/ASA 2013 Guideline:</w:t>
            </w:r>
          </w:p>
          <w:p w14:paraId="78F16ADE" w14:textId="400A9413" w:rsidR="00384AB5" w:rsidRPr="00F95030" w:rsidRDefault="00384AB5" w:rsidP="00384AB5">
            <w:pPr>
              <w:ind w:left="0" w:firstLine="0"/>
              <w:rPr>
                <w:color w:val="1F497D" w:themeColor="text2"/>
              </w:rPr>
            </w:pPr>
            <w:r w:rsidRPr="00F95030">
              <w:rPr>
                <w:color w:val="1F497D" w:themeColor="text2"/>
              </w:rPr>
              <w:t xml:space="preserve">Jauch  EC, Saver  JL, Adams  HP, Bruno A, Connors JJ, </w:t>
            </w:r>
            <w:proofErr w:type="spellStart"/>
            <w:r w:rsidRPr="00F95030">
              <w:rPr>
                <w:color w:val="1F497D" w:themeColor="text2"/>
              </w:rPr>
              <w:t>Demaerschalk</w:t>
            </w:r>
            <w:proofErr w:type="spellEnd"/>
            <w:r w:rsidRPr="00F95030">
              <w:rPr>
                <w:color w:val="1F497D" w:themeColor="text2"/>
              </w:rPr>
              <w:t xml:space="preserve"> BM, et al; American Heart Association Stroke Council; Council on Cardiovascular Nursing; Council on Peripheral Vascular Disease; Council on Clinical Cardiology.  Guidelines for the early management of patients with acute ischemic stroke: a guideline for healthcare professionals from the American Heart Association/American Stroke Association. Stroke. 2013;44(3):870-947.</w:t>
            </w:r>
          </w:p>
          <w:p w14:paraId="528B64B0" w14:textId="77777777" w:rsidR="00AB4ECE" w:rsidRPr="00A11A58" w:rsidRDefault="00AB4ECE" w:rsidP="002E2177">
            <w:pPr>
              <w:ind w:left="0" w:firstLine="0"/>
              <w:rPr>
                <w:b/>
                <w:color w:val="FF0000"/>
              </w:rPr>
            </w:pPr>
          </w:p>
          <w:p w14:paraId="20B56AFE" w14:textId="79696779" w:rsidR="00384AB5" w:rsidRPr="00A11A58" w:rsidRDefault="00384AB5" w:rsidP="00384AB5">
            <w:pPr>
              <w:ind w:left="0" w:firstLine="0"/>
              <w:rPr>
                <w:rFonts w:cs="Arial"/>
                <w:i/>
                <w:color w:val="FF0000"/>
              </w:rPr>
            </w:pPr>
            <w:r w:rsidRPr="00A11A58">
              <w:rPr>
                <w:rFonts w:cs="Arial"/>
                <w:i/>
                <w:color w:val="FF0000"/>
              </w:rPr>
              <w:t>Note that while the</w:t>
            </w:r>
            <w:r w:rsidR="00792FC9">
              <w:rPr>
                <w:rFonts w:cs="Arial"/>
                <w:i/>
                <w:color w:val="FF0000"/>
              </w:rPr>
              <w:t xml:space="preserve"> American Heart Association / American Stroke Association (AHA/ASA)</w:t>
            </w:r>
            <w:r w:rsidRPr="00A11A58">
              <w:rPr>
                <w:rFonts w:cs="Arial"/>
                <w:i/>
                <w:color w:val="FF0000"/>
              </w:rPr>
              <w:t xml:space="preserve"> </w:t>
            </w:r>
            <w:r w:rsidR="00792FC9">
              <w:rPr>
                <w:rFonts w:cs="Arial"/>
                <w:i/>
                <w:color w:val="FF0000"/>
              </w:rPr>
              <w:t xml:space="preserve">has </w:t>
            </w:r>
            <w:r w:rsidRPr="00A11A58">
              <w:rPr>
                <w:rFonts w:cs="Arial"/>
                <w:i/>
                <w:color w:val="FF0000"/>
              </w:rPr>
              <w:t xml:space="preserve">made minor updates to this evidence attachment since the last NQF submission, the underlying evidence and intent of the measure have not changed. Updates were made to capture the current language in the most recent guideline, in support of the measure. </w:t>
            </w:r>
          </w:p>
          <w:p w14:paraId="7F265E0E" w14:textId="618B103B" w:rsidR="00384AB5" w:rsidRDefault="00384AB5" w:rsidP="00384AB5">
            <w:pPr>
              <w:ind w:left="0" w:firstLine="0"/>
              <w:rPr>
                <w:rFonts w:cs="Arial"/>
                <w:iCs/>
                <w:color w:val="FF0000"/>
              </w:rPr>
            </w:pPr>
          </w:p>
          <w:p w14:paraId="2EFA8EFC" w14:textId="4F846CD3" w:rsidR="00BE387F" w:rsidRPr="00BE387F" w:rsidRDefault="00BE387F" w:rsidP="00384AB5">
            <w:pPr>
              <w:ind w:left="0" w:firstLine="0"/>
              <w:rPr>
                <w:bCs/>
                <w:color w:val="FF0000"/>
                <w:u w:val="single"/>
              </w:rPr>
            </w:pPr>
            <w:r w:rsidRPr="00424E66">
              <w:rPr>
                <w:bCs/>
                <w:color w:val="FF0000"/>
                <w:u w:val="single"/>
              </w:rPr>
              <w:t>AHA/ASA 2018 Guideline</w:t>
            </w:r>
            <w:r>
              <w:rPr>
                <w:bCs/>
                <w:color w:val="FF0000"/>
                <w:u w:val="single"/>
              </w:rPr>
              <w:t>s</w:t>
            </w:r>
            <w:r w:rsidRPr="00424E66">
              <w:rPr>
                <w:bCs/>
                <w:color w:val="FF0000"/>
                <w:u w:val="single"/>
              </w:rPr>
              <w:t>:</w:t>
            </w:r>
          </w:p>
          <w:p w14:paraId="6E0402B4" w14:textId="67AFB1FE" w:rsidR="00A11A58" w:rsidRPr="0062286C" w:rsidRDefault="00A11A58" w:rsidP="0062286C">
            <w:pPr>
              <w:ind w:left="0" w:firstLine="0"/>
              <w:rPr>
                <w:b/>
                <w:color w:val="FF0000"/>
              </w:rPr>
            </w:pPr>
            <w:r w:rsidRPr="0062286C">
              <w:rPr>
                <w:b/>
                <w:color w:val="FF0000"/>
              </w:rPr>
              <w:t xml:space="preserve">Title: </w:t>
            </w:r>
            <w:r w:rsidRPr="0062286C">
              <w:rPr>
                <w:bCs/>
                <w:color w:val="FF0000"/>
              </w:rPr>
              <w:t>2018 Guidelines for the Early Management of</w:t>
            </w:r>
            <w:r w:rsidR="0062286C">
              <w:rPr>
                <w:bCs/>
                <w:color w:val="FF0000"/>
              </w:rPr>
              <w:t xml:space="preserve"> </w:t>
            </w:r>
            <w:r w:rsidRPr="0062286C">
              <w:rPr>
                <w:bCs/>
                <w:color w:val="FF0000"/>
              </w:rPr>
              <w:t xml:space="preserve">Patients </w:t>
            </w:r>
            <w:r w:rsidR="009F482B">
              <w:rPr>
                <w:bCs/>
                <w:color w:val="FF0000"/>
              </w:rPr>
              <w:t>w</w:t>
            </w:r>
            <w:r w:rsidRPr="0062286C">
              <w:rPr>
                <w:bCs/>
                <w:color w:val="FF0000"/>
              </w:rPr>
              <w:t>ith Acute Ischemic Stroke</w:t>
            </w:r>
          </w:p>
          <w:p w14:paraId="7D1A5760" w14:textId="77777777" w:rsidR="0062286C" w:rsidRDefault="0062286C" w:rsidP="0062286C">
            <w:pPr>
              <w:ind w:left="0" w:firstLine="0"/>
              <w:rPr>
                <w:bCs/>
                <w:color w:val="FF0000"/>
              </w:rPr>
            </w:pPr>
          </w:p>
          <w:p w14:paraId="3FA37221" w14:textId="4657BC3D" w:rsidR="0062286C" w:rsidRPr="0062286C" w:rsidRDefault="0062286C" w:rsidP="0062286C">
            <w:pPr>
              <w:ind w:left="0" w:firstLine="0"/>
              <w:rPr>
                <w:bCs/>
                <w:color w:val="FF0000"/>
              </w:rPr>
            </w:pPr>
            <w:r w:rsidRPr="0062286C">
              <w:rPr>
                <w:b/>
                <w:color w:val="FF0000"/>
              </w:rPr>
              <w:t>Author:</w:t>
            </w:r>
            <w:r>
              <w:rPr>
                <w:bCs/>
                <w:color w:val="FF0000"/>
              </w:rPr>
              <w:t xml:space="preserve"> </w:t>
            </w:r>
            <w:r w:rsidRPr="0062286C">
              <w:rPr>
                <w:bCs/>
                <w:color w:val="FF0000"/>
              </w:rPr>
              <w:t xml:space="preserve">William J. Powers, MD, FAHA, Chair; Alejandro A. </w:t>
            </w:r>
            <w:proofErr w:type="spellStart"/>
            <w:r w:rsidRPr="0062286C">
              <w:rPr>
                <w:bCs/>
                <w:color w:val="FF0000"/>
              </w:rPr>
              <w:t>Rabinstein</w:t>
            </w:r>
            <w:proofErr w:type="spellEnd"/>
            <w:r w:rsidRPr="0062286C">
              <w:rPr>
                <w:bCs/>
                <w:color w:val="FF0000"/>
              </w:rPr>
              <w:t>, MD, FAHA, Vice Chair;</w:t>
            </w:r>
            <w:r>
              <w:rPr>
                <w:bCs/>
                <w:color w:val="FF0000"/>
              </w:rPr>
              <w:t xml:space="preserve"> </w:t>
            </w:r>
            <w:r w:rsidRPr="0062286C">
              <w:rPr>
                <w:bCs/>
                <w:color w:val="FF0000"/>
              </w:rPr>
              <w:t xml:space="preserve">Teri Ackerson, BSN, RN; </w:t>
            </w:r>
            <w:proofErr w:type="spellStart"/>
            <w:r w:rsidRPr="0062286C">
              <w:rPr>
                <w:bCs/>
                <w:color w:val="FF0000"/>
              </w:rPr>
              <w:t>Opeolu</w:t>
            </w:r>
            <w:proofErr w:type="spellEnd"/>
            <w:r w:rsidRPr="0062286C">
              <w:rPr>
                <w:bCs/>
                <w:color w:val="FF0000"/>
              </w:rPr>
              <w:t xml:space="preserve"> M. Adeoye, MD, MS, FAHA;</w:t>
            </w:r>
            <w:r>
              <w:rPr>
                <w:bCs/>
                <w:color w:val="FF0000"/>
              </w:rPr>
              <w:t xml:space="preserve"> </w:t>
            </w:r>
            <w:r w:rsidRPr="0062286C">
              <w:rPr>
                <w:bCs/>
                <w:color w:val="FF0000"/>
              </w:rPr>
              <w:t>Nicholas C.</w:t>
            </w:r>
            <w:r>
              <w:rPr>
                <w:bCs/>
                <w:color w:val="FF0000"/>
              </w:rPr>
              <w:t xml:space="preserve"> </w:t>
            </w:r>
            <w:proofErr w:type="spellStart"/>
            <w:r w:rsidRPr="0062286C">
              <w:rPr>
                <w:bCs/>
                <w:color w:val="FF0000"/>
              </w:rPr>
              <w:t>Bambakidis</w:t>
            </w:r>
            <w:proofErr w:type="spellEnd"/>
            <w:r w:rsidRPr="0062286C">
              <w:rPr>
                <w:bCs/>
                <w:color w:val="FF0000"/>
              </w:rPr>
              <w:t>, MD, FAHA; Kyra Becker, MD, FAHA; José</w:t>
            </w:r>
            <w:r>
              <w:rPr>
                <w:bCs/>
                <w:color w:val="FF0000"/>
              </w:rPr>
              <w:t xml:space="preserve"> </w:t>
            </w:r>
            <w:r w:rsidRPr="0062286C">
              <w:rPr>
                <w:bCs/>
                <w:color w:val="FF0000"/>
              </w:rPr>
              <w:t>Biller, MD, FAHA;</w:t>
            </w:r>
            <w:r>
              <w:rPr>
                <w:bCs/>
                <w:color w:val="FF0000"/>
              </w:rPr>
              <w:t xml:space="preserve"> </w:t>
            </w:r>
            <w:r w:rsidRPr="0062286C">
              <w:rPr>
                <w:bCs/>
                <w:color w:val="FF0000"/>
              </w:rPr>
              <w:t xml:space="preserve">Michael Brown, MD, MSc; Bart M. </w:t>
            </w:r>
            <w:proofErr w:type="spellStart"/>
            <w:r w:rsidRPr="0062286C">
              <w:rPr>
                <w:bCs/>
                <w:color w:val="FF0000"/>
              </w:rPr>
              <w:t>Demaerschalk</w:t>
            </w:r>
            <w:proofErr w:type="spellEnd"/>
            <w:r w:rsidRPr="0062286C">
              <w:rPr>
                <w:bCs/>
                <w:color w:val="FF0000"/>
              </w:rPr>
              <w:t>, MD, MSc, FAHA; Brian Hoh, MD, FAHA;</w:t>
            </w:r>
            <w:r>
              <w:rPr>
                <w:bCs/>
                <w:color w:val="FF0000"/>
              </w:rPr>
              <w:t xml:space="preserve"> </w:t>
            </w:r>
            <w:r w:rsidRPr="0062286C">
              <w:rPr>
                <w:bCs/>
                <w:color w:val="FF0000"/>
              </w:rPr>
              <w:t>Edward C. Jauch, MD, MS, FAHA; Chelsea S. Kidwell,</w:t>
            </w:r>
            <w:r>
              <w:rPr>
                <w:bCs/>
                <w:color w:val="FF0000"/>
              </w:rPr>
              <w:t xml:space="preserve"> </w:t>
            </w:r>
            <w:r w:rsidRPr="0062286C">
              <w:rPr>
                <w:bCs/>
                <w:color w:val="FF0000"/>
              </w:rPr>
              <w:t>MD, FAHA;</w:t>
            </w:r>
            <w:r>
              <w:rPr>
                <w:bCs/>
                <w:color w:val="FF0000"/>
              </w:rPr>
              <w:t xml:space="preserve"> </w:t>
            </w:r>
            <w:proofErr w:type="spellStart"/>
            <w:r w:rsidRPr="0062286C">
              <w:rPr>
                <w:bCs/>
                <w:color w:val="FF0000"/>
              </w:rPr>
              <w:t>Thabele</w:t>
            </w:r>
            <w:proofErr w:type="spellEnd"/>
            <w:r w:rsidRPr="0062286C">
              <w:rPr>
                <w:bCs/>
                <w:color w:val="FF0000"/>
              </w:rPr>
              <w:t xml:space="preserve"> M. Leslie-</w:t>
            </w:r>
            <w:proofErr w:type="spellStart"/>
            <w:r w:rsidRPr="0062286C">
              <w:rPr>
                <w:bCs/>
                <w:color w:val="FF0000"/>
              </w:rPr>
              <w:t>Mazwi</w:t>
            </w:r>
            <w:proofErr w:type="spellEnd"/>
            <w:r w:rsidRPr="0062286C">
              <w:rPr>
                <w:bCs/>
                <w:color w:val="FF0000"/>
              </w:rPr>
              <w:t xml:space="preserve">, MD; Bruce </w:t>
            </w:r>
            <w:proofErr w:type="spellStart"/>
            <w:r w:rsidRPr="0062286C">
              <w:rPr>
                <w:bCs/>
                <w:color w:val="FF0000"/>
              </w:rPr>
              <w:t>Ovbiagele</w:t>
            </w:r>
            <w:proofErr w:type="spellEnd"/>
            <w:r w:rsidRPr="0062286C">
              <w:rPr>
                <w:bCs/>
                <w:color w:val="FF0000"/>
              </w:rPr>
              <w:t>, MD, MSc, MAS, MBA, FAHA;</w:t>
            </w:r>
            <w:r>
              <w:rPr>
                <w:bCs/>
                <w:color w:val="FF0000"/>
              </w:rPr>
              <w:t xml:space="preserve"> </w:t>
            </w:r>
            <w:r w:rsidRPr="0062286C">
              <w:rPr>
                <w:bCs/>
                <w:color w:val="FF0000"/>
              </w:rPr>
              <w:t>Phillip A. Scott, MD, MBA, FAHA; Kevin N. Sheth, MD, FAHA;</w:t>
            </w:r>
            <w:r>
              <w:rPr>
                <w:bCs/>
                <w:color w:val="FF0000"/>
              </w:rPr>
              <w:t xml:space="preserve"> </w:t>
            </w:r>
            <w:r w:rsidRPr="0062286C">
              <w:rPr>
                <w:bCs/>
                <w:color w:val="FF0000"/>
              </w:rPr>
              <w:t>Andrew M. Southerland, MD, MSc; Deborah V. Summers, MSN, RN, FAHA;</w:t>
            </w:r>
            <w:r>
              <w:rPr>
                <w:bCs/>
                <w:color w:val="FF0000"/>
              </w:rPr>
              <w:t xml:space="preserve"> </w:t>
            </w:r>
            <w:r w:rsidRPr="0062286C">
              <w:rPr>
                <w:bCs/>
                <w:color w:val="FF0000"/>
              </w:rPr>
              <w:t xml:space="preserve">David L. </w:t>
            </w:r>
            <w:proofErr w:type="spellStart"/>
            <w:r w:rsidRPr="0062286C">
              <w:rPr>
                <w:bCs/>
                <w:color w:val="FF0000"/>
              </w:rPr>
              <w:t>Tirschwell</w:t>
            </w:r>
            <w:proofErr w:type="spellEnd"/>
            <w:r w:rsidRPr="0062286C">
              <w:rPr>
                <w:bCs/>
                <w:color w:val="FF0000"/>
              </w:rPr>
              <w:t>, MD, MSc, FAHA; on behalf of the American Heart Association Stroke Council</w:t>
            </w:r>
            <w:r w:rsidRPr="0062286C">
              <w:rPr>
                <w:b/>
                <w:bCs/>
                <w:color w:val="FF0000"/>
              </w:rPr>
              <w:t xml:space="preserve"> </w:t>
            </w:r>
          </w:p>
          <w:p w14:paraId="422D5B41" w14:textId="2EDD3E03" w:rsidR="0062286C" w:rsidRDefault="0062286C" w:rsidP="0062286C">
            <w:pPr>
              <w:ind w:left="0" w:firstLine="0"/>
              <w:rPr>
                <w:b/>
                <w:color w:val="FF0000"/>
              </w:rPr>
            </w:pPr>
          </w:p>
          <w:p w14:paraId="78A0C85C" w14:textId="23CCB0C1" w:rsidR="0062286C" w:rsidRPr="0062286C" w:rsidRDefault="0062286C" w:rsidP="0062286C">
            <w:pPr>
              <w:ind w:left="0" w:firstLine="0"/>
              <w:rPr>
                <w:bCs/>
                <w:color w:val="FF0000"/>
              </w:rPr>
            </w:pPr>
            <w:r>
              <w:rPr>
                <w:b/>
                <w:color w:val="FF0000"/>
              </w:rPr>
              <w:t xml:space="preserve">Date: </w:t>
            </w:r>
            <w:r>
              <w:rPr>
                <w:bCs/>
                <w:color w:val="FF0000"/>
              </w:rPr>
              <w:t>December 11, 2017</w:t>
            </w:r>
          </w:p>
          <w:p w14:paraId="623D1EBA" w14:textId="77777777" w:rsidR="00384AB5" w:rsidRDefault="00384AB5" w:rsidP="0062286C">
            <w:pPr>
              <w:rPr>
                <w:b/>
              </w:rPr>
            </w:pPr>
          </w:p>
          <w:p w14:paraId="2EB8BBBD" w14:textId="1B2D6419" w:rsidR="0062286C" w:rsidRDefault="0062286C" w:rsidP="0062286C">
            <w:pPr>
              <w:ind w:left="0" w:firstLine="0"/>
              <w:rPr>
                <w:bCs/>
                <w:color w:val="FF0000"/>
              </w:rPr>
            </w:pPr>
            <w:r w:rsidRPr="0062286C">
              <w:rPr>
                <w:b/>
                <w:color w:val="FF0000"/>
              </w:rPr>
              <w:lastRenderedPageBreak/>
              <w:t xml:space="preserve">Citation, including page number: </w:t>
            </w:r>
            <w:r w:rsidRPr="0062286C">
              <w:rPr>
                <w:bCs/>
                <w:color w:val="FF0000"/>
              </w:rPr>
              <w:t>Powers WJ,</w:t>
            </w:r>
            <w:r>
              <w:rPr>
                <w:bCs/>
                <w:color w:val="FF0000"/>
              </w:rPr>
              <w:t xml:space="preserve"> </w:t>
            </w:r>
            <w:proofErr w:type="spellStart"/>
            <w:r w:rsidRPr="0062286C">
              <w:rPr>
                <w:bCs/>
                <w:color w:val="FF0000"/>
              </w:rPr>
              <w:t>Rabinstein</w:t>
            </w:r>
            <w:proofErr w:type="spellEnd"/>
            <w:r w:rsidRPr="0062286C">
              <w:rPr>
                <w:bCs/>
                <w:color w:val="FF0000"/>
              </w:rPr>
              <w:t xml:space="preserve"> AA, Ackerson T, Adeoye OM, </w:t>
            </w:r>
            <w:proofErr w:type="spellStart"/>
            <w:r w:rsidRPr="0062286C">
              <w:rPr>
                <w:bCs/>
                <w:color w:val="FF0000"/>
              </w:rPr>
              <w:t>Bambakidis</w:t>
            </w:r>
            <w:proofErr w:type="spellEnd"/>
            <w:r w:rsidRPr="0062286C">
              <w:rPr>
                <w:bCs/>
                <w:color w:val="FF0000"/>
              </w:rPr>
              <w:t xml:space="preserve"> NC,</w:t>
            </w:r>
            <w:r>
              <w:rPr>
                <w:bCs/>
                <w:color w:val="FF0000"/>
              </w:rPr>
              <w:t xml:space="preserve"> </w:t>
            </w:r>
            <w:r w:rsidRPr="0062286C">
              <w:rPr>
                <w:bCs/>
                <w:color w:val="FF0000"/>
              </w:rPr>
              <w:t xml:space="preserve">Becker K, Biller J, Brown M, </w:t>
            </w:r>
            <w:proofErr w:type="spellStart"/>
            <w:r w:rsidRPr="0062286C">
              <w:rPr>
                <w:bCs/>
                <w:color w:val="FF0000"/>
              </w:rPr>
              <w:t>Demaerschalk</w:t>
            </w:r>
            <w:proofErr w:type="spellEnd"/>
            <w:r w:rsidRPr="0062286C">
              <w:rPr>
                <w:bCs/>
                <w:color w:val="FF0000"/>
              </w:rPr>
              <w:t xml:space="preserve"> BM, Hoh B, Jauch EC, Kidwell CS, Leslie-</w:t>
            </w:r>
            <w:proofErr w:type="spellStart"/>
            <w:r w:rsidRPr="0062286C">
              <w:rPr>
                <w:bCs/>
                <w:color w:val="FF0000"/>
              </w:rPr>
              <w:t>Mazwi</w:t>
            </w:r>
            <w:proofErr w:type="spellEnd"/>
            <w:r w:rsidRPr="0062286C">
              <w:rPr>
                <w:bCs/>
                <w:color w:val="FF0000"/>
              </w:rPr>
              <w:t xml:space="preserve"> TM,</w:t>
            </w:r>
            <w:r>
              <w:rPr>
                <w:bCs/>
                <w:color w:val="FF0000"/>
              </w:rPr>
              <w:t xml:space="preserve"> </w:t>
            </w:r>
            <w:proofErr w:type="spellStart"/>
            <w:r w:rsidRPr="0062286C">
              <w:rPr>
                <w:bCs/>
                <w:color w:val="FF0000"/>
              </w:rPr>
              <w:t>Ovbiagele</w:t>
            </w:r>
            <w:proofErr w:type="spellEnd"/>
            <w:r w:rsidRPr="0062286C">
              <w:rPr>
                <w:bCs/>
                <w:color w:val="FF0000"/>
              </w:rPr>
              <w:t xml:space="preserve"> B, Scott PA, Sheth KN, Southerland AM,</w:t>
            </w:r>
            <w:r w:rsidR="001326BE">
              <w:rPr>
                <w:bCs/>
                <w:color w:val="FF0000"/>
              </w:rPr>
              <w:t xml:space="preserve"> </w:t>
            </w:r>
            <w:r w:rsidRPr="0062286C">
              <w:rPr>
                <w:bCs/>
                <w:color w:val="FF0000"/>
              </w:rPr>
              <w:t xml:space="preserve">Summers DV, </w:t>
            </w:r>
            <w:proofErr w:type="spellStart"/>
            <w:r w:rsidRPr="0062286C">
              <w:rPr>
                <w:bCs/>
                <w:color w:val="FF0000"/>
              </w:rPr>
              <w:t>Tirschwell</w:t>
            </w:r>
            <w:proofErr w:type="spellEnd"/>
            <w:r w:rsidRPr="0062286C">
              <w:rPr>
                <w:bCs/>
                <w:color w:val="FF0000"/>
              </w:rPr>
              <w:t xml:space="preserve"> DL; on behalf of the American Heart Association Stroke Council. 2018 Guidelines for the early management of patients with</w:t>
            </w:r>
            <w:r>
              <w:rPr>
                <w:bCs/>
                <w:color w:val="FF0000"/>
              </w:rPr>
              <w:t xml:space="preserve"> </w:t>
            </w:r>
            <w:r w:rsidRPr="0062286C">
              <w:rPr>
                <w:bCs/>
                <w:color w:val="FF0000"/>
              </w:rPr>
              <w:t>acute ischemic stroke: a guideline for healthcare professionals from the American Heart Association/American Stroke</w:t>
            </w:r>
            <w:r>
              <w:rPr>
                <w:bCs/>
                <w:color w:val="FF0000"/>
              </w:rPr>
              <w:t xml:space="preserve"> </w:t>
            </w:r>
            <w:r w:rsidRPr="0062286C">
              <w:rPr>
                <w:bCs/>
                <w:color w:val="FF0000"/>
              </w:rPr>
              <w:t xml:space="preserve">Association. </w:t>
            </w:r>
            <w:r w:rsidRPr="0062286C">
              <w:rPr>
                <w:bCs/>
                <w:i/>
                <w:iCs/>
                <w:color w:val="FF0000"/>
              </w:rPr>
              <w:t>Stroke</w:t>
            </w:r>
            <w:r w:rsidRPr="0062286C">
              <w:rPr>
                <w:bCs/>
                <w:color w:val="FF0000"/>
              </w:rPr>
              <w:t>. 2018;49:e</w:t>
            </w:r>
            <w:r w:rsidR="00792FC9">
              <w:rPr>
                <w:bCs/>
                <w:color w:val="FF0000"/>
              </w:rPr>
              <w:t>53 and e65</w:t>
            </w:r>
            <w:r w:rsidRPr="0062286C">
              <w:rPr>
                <w:bCs/>
                <w:color w:val="FF0000"/>
              </w:rPr>
              <w:t xml:space="preserve">. </w:t>
            </w:r>
            <w:proofErr w:type="spellStart"/>
            <w:r w:rsidRPr="0062286C">
              <w:rPr>
                <w:bCs/>
                <w:color w:val="FF0000"/>
              </w:rPr>
              <w:t>doi</w:t>
            </w:r>
            <w:proofErr w:type="spellEnd"/>
            <w:r w:rsidRPr="0062286C">
              <w:rPr>
                <w:bCs/>
                <w:color w:val="FF0000"/>
              </w:rPr>
              <w:t>:</w:t>
            </w:r>
            <w:r>
              <w:rPr>
                <w:bCs/>
                <w:color w:val="FF0000"/>
              </w:rPr>
              <w:t xml:space="preserve"> </w:t>
            </w:r>
            <w:r w:rsidRPr="0062286C">
              <w:rPr>
                <w:bCs/>
                <w:color w:val="FF0000"/>
              </w:rPr>
              <w:t>10.1161/STR.0000000000000158.</w:t>
            </w:r>
          </w:p>
          <w:p w14:paraId="26F40602" w14:textId="77777777" w:rsidR="0062286C" w:rsidRDefault="0062286C" w:rsidP="0062286C">
            <w:pPr>
              <w:ind w:left="0" w:firstLine="0"/>
              <w:rPr>
                <w:bCs/>
                <w:color w:val="FF0000"/>
              </w:rPr>
            </w:pPr>
          </w:p>
          <w:p w14:paraId="1868D0A5" w14:textId="33ED3F5F" w:rsidR="0062286C" w:rsidRDefault="0062286C" w:rsidP="0062286C">
            <w:pPr>
              <w:ind w:left="0" w:firstLine="0"/>
              <w:rPr>
                <w:bCs/>
                <w:color w:val="FF0000"/>
              </w:rPr>
            </w:pPr>
            <w:r w:rsidRPr="005667E4">
              <w:rPr>
                <w:b/>
                <w:color w:val="FF0000"/>
              </w:rPr>
              <w:t>URL:</w:t>
            </w:r>
            <w:r>
              <w:rPr>
                <w:bCs/>
                <w:color w:val="FF0000"/>
              </w:rPr>
              <w:t xml:space="preserve"> </w:t>
            </w:r>
            <w:r w:rsidRPr="005667E4">
              <w:rPr>
                <w:bCs/>
                <w:color w:val="FF0000"/>
              </w:rPr>
              <w:t>https://www.ahajournals.org/doi/full/10.1161/</w:t>
            </w:r>
          </w:p>
          <w:p w14:paraId="55B8DA75" w14:textId="55A790BF" w:rsidR="0062286C" w:rsidRPr="0062286C" w:rsidRDefault="0062286C" w:rsidP="0062286C">
            <w:pPr>
              <w:ind w:left="0" w:firstLine="0"/>
              <w:rPr>
                <w:bCs/>
                <w:color w:val="FF0000"/>
              </w:rPr>
            </w:pPr>
            <w:r w:rsidRPr="0062286C">
              <w:rPr>
                <w:bCs/>
                <w:color w:val="FF0000"/>
              </w:rPr>
              <w:t>STR.0000000000000158</w:t>
            </w:r>
          </w:p>
        </w:tc>
      </w:tr>
      <w:tr w:rsidR="0059420F" w14:paraId="55B8DA79" w14:textId="77777777" w:rsidTr="00562955">
        <w:tc>
          <w:tcPr>
            <w:tcW w:w="1795" w:type="dxa"/>
          </w:tcPr>
          <w:p w14:paraId="55B8DA77" w14:textId="77777777" w:rsidR="00AB4ECE" w:rsidRDefault="00AB4ECE" w:rsidP="002E2177">
            <w:pPr>
              <w:ind w:left="0" w:firstLine="0"/>
            </w:pPr>
            <w:r>
              <w:lastRenderedPageBreak/>
              <w:t>Quote the guideline or recommendation verbatim about the process, structure or intermediate outcome being measured.</w:t>
            </w:r>
            <w:r w:rsidR="000E5C93">
              <w:t xml:space="preserve"> If not a guideline, summarize the conclusions from the SR.</w:t>
            </w:r>
          </w:p>
        </w:tc>
        <w:tc>
          <w:tcPr>
            <w:tcW w:w="7555" w:type="dxa"/>
          </w:tcPr>
          <w:p w14:paraId="34842E70" w14:textId="77777777" w:rsidR="00EC10EB" w:rsidRPr="00F95030" w:rsidRDefault="00EC10EB" w:rsidP="00EC10EB">
            <w:pPr>
              <w:ind w:left="0" w:firstLine="0"/>
              <w:rPr>
                <w:color w:val="1F497D" w:themeColor="text2"/>
                <w:u w:val="single"/>
              </w:rPr>
            </w:pPr>
            <w:r w:rsidRPr="00F95030">
              <w:rPr>
                <w:color w:val="1F497D" w:themeColor="text2"/>
                <w:u w:val="single"/>
              </w:rPr>
              <w:t>AHA/ASA 2013 Guideline:</w:t>
            </w:r>
          </w:p>
          <w:p w14:paraId="4DF63FF3" w14:textId="60CB7D0B" w:rsidR="00EC10EB" w:rsidRDefault="00EC10EB" w:rsidP="00EC10EB">
            <w:pPr>
              <w:ind w:left="0" w:firstLine="0"/>
              <w:rPr>
                <w:color w:val="1F497D" w:themeColor="text2"/>
              </w:rPr>
            </w:pPr>
            <w:r w:rsidRPr="00F95030">
              <w:rPr>
                <w:color w:val="1F497D" w:themeColor="text2"/>
              </w:rPr>
              <w:t xml:space="preserve">In patients eligible for intravenous </w:t>
            </w:r>
            <w:proofErr w:type="spellStart"/>
            <w:r w:rsidRPr="00F95030">
              <w:rPr>
                <w:color w:val="1F497D" w:themeColor="text2"/>
              </w:rPr>
              <w:t>rtPA</w:t>
            </w:r>
            <w:proofErr w:type="spellEnd"/>
            <w:r w:rsidRPr="00F95030">
              <w:rPr>
                <w:color w:val="1F497D" w:themeColor="text2"/>
              </w:rPr>
              <w:t>, benefit of therapy is time dependent, and treatment should be initiated as quickly as possible. The door-to-needle time (time of bolus administration) should be within 60 minutes from hospital arrival. (Class I; Level of Evidence A) p. 898</w:t>
            </w:r>
          </w:p>
          <w:p w14:paraId="79890322" w14:textId="58A8D813" w:rsidR="00424E66" w:rsidRDefault="00424E66" w:rsidP="00EC10EB">
            <w:pPr>
              <w:ind w:left="0" w:firstLine="0"/>
              <w:rPr>
                <w:color w:val="1F497D" w:themeColor="text2"/>
              </w:rPr>
            </w:pPr>
          </w:p>
          <w:p w14:paraId="6076409E" w14:textId="340435C6" w:rsidR="003F29CD" w:rsidRPr="00792FC9" w:rsidRDefault="003F29CD" w:rsidP="00EC10EB">
            <w:pPr>
              <w:ind w:left="0" w:firstLine="0"/>
              <w:rPr>
                <w:i/>
                <w:iCs/>
                <w:color w:val="FF0000"/>
              </w:rPr>
            </w:pPr>
            <w:r w:rsidRPr="003F29CD">
              <w:rPr>
                <w:i/>
                <w:iCs/>
                <w:color w:val="FF0000"/>
              </w:rPr>
              <w:t>The AHA/ASA 2018 Guidelines note that the above recommendation from the 2013 Guideline remains unchanged and is reiterated, but re-worded for clarity</w:t>
            </w:r>
            <w:r w:rsidR="00792FC9">
              <w:rPr>
                <w:i/>
                <w:iCs/>
                <w:color w:val="FF0000"/>
              </w:rPr>
              <w:t>.</w:t>
            </w:r>
          </w:p>
          <w:p w14:paraId="2028DB57" w14:textId="77777777" w:rsidR="003F29CD" w:rsidRPr="003F29CD" w:rsidRDefault="003F29CD" w:rsidP="00EC10EB">
            <w:pPr>
              <w:ind w:left="0" w:firstLine="0"/>
              <w:rPr>
                <w:i/>
                <w:iCs/>
                <w:color w:val="FF0000"/>
              </w:rPr>
            </w:pPr>
          </w:p>
          <w:p w14:paraId="6E6E8A98" w14:textId="72A14047" w:rsidR="00424E66" w:rsidRPr="00424E66" w:rsidRDefault="00424E66" w:rsidP="00EC10EB">
            <w:pPr>
              <w:ind w:left="0" w:firstLine="0"/>
              <w:rPr>
                <w:bCs/>
                <w:color w:val="FF0000"/>
                <w:u w:val="single"/>
              </w:rPr>
            </w:pPr>
            <w:r w:rsidRPr="00424E66">
              <w:rPr>
                <w:bCs/>
                <w:color w:val="FF0000"/>
                <w:u w:val="single"/>
              </w:rPr>
              <w:t>AHA/ASA 2018 Guideline</w:t>
            </w:r>
            <w:r w:rsidR="00BE387F">
              <w:rPr>
                <w:bCs/>
                <w:color w:val="FF0000"/>
                <w:u w:val="single"/>
              </w:rPr>
              <w:t>s</w:t>
            </w:r>
            <w:r w:rsidRPr="00424E66">
              <w:rPr>
                <w:bCs/>
                <w:color w:val="FF0000"/>
                <w:u w:val="single"/>
              </w:rPr>
              <w:t>:</w:t>
            </w:r>
          </w:p>
          <w:p w14:paraId="3A3CC9E9" w14:textId="77777777" w:rsidR="000B17B6" w:rsidRDefault="000B17B6" w:rsidP="00424E66">
            <w:pPr>
              <w:ind w:left="0" w:firstLine="0"/>
              <w:rPr>
                <w:bCs/>
                <w:color w:val="FF0000"/>
              </w:rPr>
            </w:pPr>
            <w:r>
              <w:rPr>
                <w:bCs/>
                <w:color w:val="FF0000"/>
              </w:rPr>
              <w:t xml:space="preserve">Recommendation 1: </w:t>
            </w:r>
            <w:r w:rsidR="002F6745" w:rsidRPr="00424E66">
              <w:rPr>
                <w:bCs/>
                <w:color w:val="FF0000"/>
              </w:rPr>
              <w:t>In patients eligible for IV alteplase, benefit of therapy is time</w:t>
            </w:r>
            <w:r w:rsidR="002F6745">
              <w:rPr>
                <w:bCs/>
                <w:color w:val="FF0000"/>
              </w:rPr>
              <w:t xml:space="preserve"> </w:t>
            </w:r>
            <w:r w:rsidR="002F6745" w:rsidRPr="00424E66">
              <w:rPr>
                <w:bCs/>
                <w:color w:val="FF0000"/>
              </w:rPr>
              <w:t>dependent, and treatment should be initiated as quickly as</w:t>
            </w:r>
            <w:r w:rsidR="002F6745">
              <w:rPr>
                <w:bCs/>
                <w:color w:val="FF0000"/>
              </w:rPr>
              <w:t xml:space="preserve"> </w:t>
            </w:r>
            <w:r w:rsidR="002F6745" w:rsidRPr="00424E66">
              <w:rPr>
                <w:bCs/>
                <w:color w:val="FF0000"/>
              </w:rPr>
              <w:t>possible.</w:t>
            </w:r>
            <w:r w:rsidR="002F6745">
              <w:rPr>
                <w:bCs/>
                <w:color w:val="FF0000"/>
              </w:rPr>
              <w:t xml:space="preserve"> (Class I; Level A) </w:t>
            </w:r>
          </w:p>
          <w:p w14:paraId="21EFFFE5" w14:textId="77777777" w:rsidR="000B17B6" w:rsidRDefault="000B17B6" w:rsidP="00424E66">
            <w:pPr>
              <w:ind w:left="0" w:firstLine="0"/>
              <w:rPr>
                <w:bCs/>
                <w:color w:val="FF0000"/>
              </w:rPr>
            </w:pPr>
          </w:p>
          <w:p w14:paraId="3E432C9E" w14:textId="732AF276" w:rsidR="00424E66" w:rsidRPr="00424E66" w:rsidRDefault="000B17B6" w:rsidP="00424E66">
            <w:pPr>
              <w:ind w:left="0" w:firstLine="0"/>
              <w:rPr>
                <w:bCs/>
                <w:color w:val="FF0000"/>
              </w:rPr>
            </w:pPr>
            <w:r>
              <w:rPr>
                <w:bCs/>
                <w:color w:val="FF0000"/>
              </w:rPr>
              <w:t xml:space="preserve">Recommendation 2: </w:t>
            </w:r>
            <w:r w:rsidR="00424E66" w:rsidRPr="00424E66">
              <w:rPr>
                <w:bCs/>
                <w:color w:val="FF0000"/>
              </w:rPr>
              <w:t xml:space="preserve">It is recommended that DTN time goals be established. A primary goal of achieving DTN times within 60 minutes in </w:t>
            </w:r>
            <w:r w:rsidR="00424E66" w:rsidRPr="00424E66">
              <w:rPr>
                <w:rFonts w:hint="eastAsia"/>
                <w:bCs/>
                <w:color w:val="FF0000"/>
              </w:rPr>
              <w:t>≥</w:t>
            </w:r>
            <w:r w:rsidR="00424E66" w:rsidRPr="00424E66">
              <w:rPr>
                <w:bCs/>
                <w:color w:val="FF0000"/>
              </w:rPr>
              <w:t>50% of AIS patients treated with IV alteplase should be established. (C</w:t>
            </w:r>
            <w:r w:rsidR="0086170A">
              <w:rPr>
                <w:bCs/>
                <w:color w:val="FF0000"/>
              </w:rPr>
              <w:t>lass</w:t>
            </w:r>
            <w:r w:rsidR="00424E66" w:rsidRPr="00424E66">
              <w:rPr>
                <w:bCs/>
                <w:color w:val="FF0000"/>
              </w:rPr>
              <w:t xml:space="preserve"> I; L</w:t>
            </w:r>
            <w:r w:rsidR="00FF385B">
              <w:rPr>
                <w:bCs/>
                <w:color w:val="FF0000"/>
              </w:rPr>
              <w:t>evel</w:t>
            </w:r>
            <w:r w:rsidR="00424E66" w:rsidRPr="00424E66">
              <w:rPr>
                <w:bCs/>
                <w:color w:val="FF0000"/>
              </w:rPr>
              <w:t xml:space="preserve"> B-NR)</w:t>
            </w:r>
            <w:r w:rsidR="00424E66">
              <w:rPr>
                <w:bCs/>
                <w:color w:val="FF0000"/>
              </w:rPr>
              <w:t xml:space="preserve"> </w:t>
            </w:r>
          </w:p>
          <w:p w14:paraId="55B8DA78" w14:textId="77777777" w:rsidR="00AB4ECE" w:rsidRDefault="00AB4ECE" w:rsidP="002E2177">
            <w:pPr>
              <w:ind w:left="0" w:firstLine="0"/>
            </w:pPr>
          </w:p>
        </w:tc>
      </w:tr>
      <w:tr w:rsidR="0059420F" w14:paraId="55B8DA7C" w14:textId="77777777" w:rsidTr="00562955">
        <w:tc>
          <w:tcPr>
            <w:tcW w:w="1795"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7555" w:type="dxa"/>
          </w:tcPr>
          <w:p w14:paraId="24111715" w14:textId="77777777" w:rsidR="00FF385B" w:rsidRPr="00F95030" w:rsidRDefault="00FF385B" w:rsidP="00FF385B">
            <w:pPr>
              <w:ind w:left="0" w:firstLine="0"/>
              <w:rPr>
                <w:color w:val="1F497D" w:themeColor="text2"/>
                <w:u w:val="single"/>
              </w:rPr>
            </w:pPr>
            <w:r w:rsidRPr="00F95030">
              <w:rPr>
                <w:color w:val="1F497D" w:themeColor="text2"/>
                <w:u w:val="single"/>
              </w:rPr>
              <w:t>AHA/ASA 2013 Guidelines:</w:t>
            </w:r>
          </w:p>
          <w:p w14:paraId="3EAF43D7" w14:textId="77777777" w:rsidR="00FF385B" w:rsidRPr="00F95030" w:rsidRDefault="00FF385B" w:rsidP="00FF385B">
            <w:pPr>
              <w:ind w:left="0" w:firstLine="0"/>
              <w:rPr>
                <w:color w:val="1F497D" w:themeColor="text2"/>
              </w:rPr>
            </w:pPr>
            <w:r w:rsidRPr="00F95030">
              <w:rPr>
                <w:color w:val="1F497D" w:themeColor="text2"/>
              </w:rPr>
              <w:t xml:space="preserve">The weight of the evidence in support of the listed AHA/ASA recommendations included in section 1a.4.2 is rated as Level A, as noted parenthetically. Level A evidence refers to “Data derived from multiple randomized clinical trials or meta-analyses.”  </w:t>
            </w:r>
          </w:p>
          <w:p w14:paraId="34CC7E2B" w14:textId="0D4E89A0" w:rsidR="00FF385B" w:rsidRDefault="00FF385B" w:rsidP="002E2177">
            <w:pPr>
              <w:ind w:left="0" w:firstLine="0"/>
              <w:rPr>
                <w:color w:val="FF0000"/>
              </w:rPr>
            </w:pPr>
          </w:p>
          <w:p w14:paraId="190268CA" w14:textId="7541A699" w:rsidR="00BE387F" w:rsidRPr="00BE387F" w:rsidRDefault="00BE387F" w:rsidP="002E2177">
            <w:pPr>
              <w:ind w:left="0" w:firstLine="0"/>
              <w:rPr>
                <w:bCs/>
                <w:color w:val="FF0000"/>
                <w:u w:val="single"/>
              </w:rPr>
            </w:pPr>
            <w:r w:rsidRPr="00424E66">
              <w:rPr>
                <w:bCs/>
                <w:color w:val="FF0000"/>
                <w:u w:val="single"/>
              </w:rPr>
              <w:t>AHA/ASA 2018 Guideline</w:t>
            </w:r>
            <w:r>
              <w:rPr>
                <w:bCs/>
                <w:color w:val="FF0000"/>
                <w:u w:val="single"/>
              </w:rPr>
              <w:t>s</w:t>
            </w:r>
            <w:r w:rsidRPr="00424E66">
              <w:rPr>
                <w:bCs/>
                <w:color w:val="FF0000"/>
                <w:u w:val="single"/>
              </w:rPr>
              <w:t>:</w:t>
            </w:r>
          </w:p>
          <w:p w14:paraId="5D452400" w14:textId="04E99DBF" w:rsidR="00AB4ECE" w:rsidRPr="006F1D96" w:rsidRDefault="000B17B6" w:rsidP="002E2177">
            <w:pPr>
              <w:ind w:left="0" w:firstLine="0"/>
              <w:rPr>
                <w:color w:val="FF0000"/>
              </w:rPr>
            </w:pPr>
            <w:r>
              <w:rPr>
                <w:color w:val="FF0000"/>
              </w:rPr>
              <w:t xml:space="preserve">Recommendation 1 - </w:t>
            </w:r>
            <w:r w:rsidR="000F1E29" w:rsidRPr="006F1D96">
              <w:rPr>
                <w:color w:val="FF0000"/>
              </w:rPr>
              <w:t>Level A:</w:t>
            </w:r>
          </w:p>
          <w:p w14:paraId="6D42700F" w14:textId="52AEEC74" w:rsidR="006F1D96" w:rsidRPr="006F1D96" w:rsidRDefault="006F1D96" w:rsidP="006F1D96">
            <w:pPr>
              <w:pStyle w:val="ListParagraph"/>
              <w:numPr>
                <w:ilvl w:val="0"/>
                <w:numId w:val="12"/>
              </w:numPr>
              <w:rPr>
                <w:color w:val="FF0000"/>
              </w:rPr>
            </w:pPr>
            <w:r w:rsidRPr="006F1D96">
              <w:rPr>
                <w:color w:val="FF0000"/>
              </w:rPr>
              <w:t>High-quality evidence from more than 1 RCT</w:t>
            </w:r>
          </w:p>
          <w:p w14:paraId="1BB1EE8B" w14:textId="3FCB3478" w:rsidR="006F1D96" w:rsidRPr="006F1D96" w:rsidRDefault="006F1D96" w:rsidP="006F1D96">
            <w:pPr>
              <w:pStyle w:val="ListParagraph"/>
              <w:numPr>
                <w:ilvl w:val="0"/>
                <w:numId w:val="12"/>
              </w:numPr>
              <w:rPr>
                <w:color w:val="FF0000"/>
              </w:rPr>
            </w:pPr>
            <w:r w:rsidRPr="006F1D96">
              <w:rPr>
                <w:color w:val="FF0000"/>
              </w:rPr>
              <w:t>Meta-analyses of high-quality RCTs</w:t>
            </w:r>
          </w:p>
          <w:p w14:paraId="51805F40" w14:textId="77777777" w:rsidR="000F1E29" w:rsidRDefault="006F1D96" w:rsidP="00FF385B">
            <w:pPr>
              <w:pStyle w:val="ListParagraph"/>
              <w:numPr>
                <w:ilvl w:val="0"/>
                <w:numId w:val="12"/>
              </w:numPr>
              <w:rPr>
                <w:color w:val="FF0000"/>
              </w:rPr>
            </w:pPr>
            <w:r w:rsidRPr="006F1D96">
              <w:rPr>
                <w:color w:val="FF0000"/>
              </w:rPr>
              <w:t>One or more RCTs corroborated by high-quality registry studies</w:t>
            </w:r>
          </w:p>
          <w:p w14:paraId="23C70FDA" w14:textId="2FA7FDE8" w:rsidR="00FF385B" w:rsidRDefault="000B17B6" w:rsidP="00FF385B">
            <w:pPr>
              <w:rPr>
                <w:color w:val="FF0000"/>
              </w:rPr>
            </w:pPr>
            <w:r>
              <w:rPr>
                <w:color w:val="FF0000"/>
              </w:rPr>
              <w:t xml:space="preserve">Recommendation 2 - </w:t>
            </w:r>
            <w:r w:rsidR="00FF385B">
              <w:rPr>
                <w:color w:val="FF0000"/>
              </w:rPr>
              <w:t>Level B-NR (Nonrandomized)</w:t>
            </w:r>
          </w:p>
          <w:p w14:paraId="46036A1E" w14:textId="031C061B" w:rsidR="00FF385B" w:rsidRPr="00FF385B" w:rsidRDefault="00FF385B" w:rsidP="00FF385B">
            <w:pPr>
              <w:pStyle w:val="ListParagraph"/>
              <w:numPr>
                <w:ilvl w:val="0"/>
                <w:numId w:val="12"/>
              </w:numPr>
              <w:spacing w:line="240" w:lineRule="auto"/>
              <w:rPr>
                <w:color w:val="FF0000"/>
              </w:rPr>
            </w:pPr>
            <w:r w:rsidRPr="00FF385B">
              <w:rPr>
                <w:color w:val="FF0000"/>
              </w:rPr>
              <w:t>Moderate-quality evidence from 1 or more well</w:t>
            </w:r>
            <w:r w:rsidR="007632EC">
              <w:rPr>
                <w:color w:val="FF0000"/>
              </w:rPr>
              <w:t>-</w:t>
            </w:r>
            <w:r w:rsidRPr="00FF385B">
              <w:rPr>
                <w:color w:val="FF0000"/>
              </w:rPr>
              <w:t>designed, well-executed nonrandomized studies, observational studies, or registry studies</w:t>
            </w:r>
          </w:p>
          <w:p w14:paraId="55B8DA7B" w14:textId="1FCB5836" w:rsidR="00FF385B" w:rsidRPr="00FF385B" w:rsidRDefault="00FF385B" w:rsidP="00FF385B">
            <w:pPr>
              <w:pStyle w:val="ListParagraph"/>
              <w:numPr>
                <w:ilvl w:val="0"/>
                <w:numId w:val="12"/>
              </w:numPr>
              <w:rPr>
                <w:color w:val="FF0000"/>
              </w:rPr>
            </w:pPr>
            <w:r w:rsidRPr="00FF385B">
              <w:rPr>
                <w:color w:val="FF0000"/>
              </w:rPr>
              <w:t>Meta-analyses of such studies</w:t>
            </w:r>
          </w:p>
        </w:tc>
      </w:tr>
      <w:tr w:rsidR="0059420F" w14:paraId="55B8DA7F" w14:textId="77777777" w:rsidTr="00562955">
        <w:tc>
          <w:tcPr>
            <w:tcW w:w="1795" w:type="dxa"/>
          </w:tcPr>
          <w:p w14:paraId="55B8DA7D" w14:textId="77777777" w:rsidR="00AB4ECE" w:rsidRDefault="00AB4ECE" w:rsidP="00E42FAA">
            <w:pPr>
              <w:ind w:left="0" w:firstLine="0"/>
            </w:pPr>
            <w:r>
              <w:lastRenderedPageBreak/>
              <w:t>Provide all other grades and definitions from the evidence grading system</w:t>
            </w:r>
          </w:p>
        </w:tc>
        <w:tc>
          <w:tcPr>
            <w:tcW w:w="7555" w:type="dxa"/>
          </w:tcPr>
          <w:p w14:paraId="47E7FDC5" w14:textId="77777777" w:rsidR="007632EC" w:rsidRPr="00F95030" w:rsidRDefault="007632EC" w:rsidP="007632EC">
            <w:pPr>
              <w:ind w:left="0" w:firstLine="0"/>
              <w:rPr>
                <w:noProof/>
                <w:color w:val="1F497D" w:themeColor="text2"/>
                <w:u w:val="single"/>
              </w:rPr>
            </w:pPr>
            <w:r w:rsidRPr="00F95030">
              <w:rPr>
                <w:noProof/>
                <w:color w:val="1F497D" w:themeColor="text2"/>
                <w:u w:val="single"/>
              </w:rPr>
              <w:t>AHA/ASA 2013 Guidelines:</w:t>
            </w:r>
          </w:p>
          <w:p w14:paraId="29FF3CDE" w14:textId="39A2BE0C" w:rsidR="007632EC" w:rsidRDefault="007632EC" w:rsidP="007632EC">
            <w:pPr>
              <w:ind w:left="0" w:firstLine="0"/>
              <w:rPr>
                <w:noProof/>
                <w:color w:val="1F497D" w:themeColor="text2"/>
              </w:rPr>
            </w:pPr>
            <w:r w:rsidRPr="00F95030">
              <w:rPr>
                <w:noProof/>
                <w:color w:val="1F497D" w:themeColor="text2"/>
              </w:rPr>
              <w:t>Levels A evidence is described in 1a.7.2.  Level B evidence refers to “Data derived from a single randomized trial, or nonrandomized studies.” Level C evidence refers to “Only consensus opinion of experts, case studies, or standard-of-care.”  Additional details and information about the evidence rating scheme can also be seen in 1a.4.2. and 1a.4.3.</w:t>
            </w:r>
          </w:p>
          <w:p w14:paraId="33619F16" w14:textId="4320E8D5" w:rsidR="00BE387F" w:rsidRDefault="00BE387F" w:rsidP="007632EC">
            <w:pPr>
              <w:ind w:left="0" w:firstLine="0"/>
              <w:rPr>
                <w:noProof/>
                <w:color w:val="1F497D" w:themeColor="text2"/>
              </w:rPr>
            </w:pPr>
          </w:p>
          <w:p w14:paraId="367B9D1D" w14:textId="505F5B62" w:rsidR="00BE387F" w:rsidRPr="00424E66" w:rsidRDefault="00BE387F" w:rsidP="00BE387F">
            <w:pPr>
              <w:ind w:left="0" w:firstLine="0"/>
              <w:rPr>
                <w:bCs/>
                <w:color w:val="FF0000"/>
                <w:u w:val="single"/>
              </w:rPr>
            </w:pPr>
            <w:r w:rsidRPr="00424E66">
              <w:rPr>
                <w:bCs/>
                <w:color w:val="FF0000"/>
                <w:u w:val="single"/>
              </w:rPr>
              <w:t>AHA/ASA 2018 Guideline</w:t>
            </w:r>
            <w:r>
              <w:rPr>
                <w:bCs/>
                <w:color w:val="FF0000"/>
                <w:u w:val="single"/>
              </w:rPr>
              <w:t>s</w:t>
            </w:r>
            <w:r w:rsidRPr="00424E66">
              <w:rPr>
                <w:bCs/>
                <w:color w:val="FF0000"/>
                <w:u w:val="single"/>
              </w:rPr>
              <w:t>:</w:t>
            </w:r>
          </w:p>
          <w:p w14:paraId="6091050D" w14:textId="7C3CF9A2" w:rsidR="00BE387F" w:rsidRPr="00562955" w:rsidRDefault="00BE387F" w:rsidP="00CC0B1A">
            <w:pPr>
              <w:ind w:left="0" w:firstLine="0"/>
              <w:rPr>
                <w:rFonts w:cstheme="minorHAnsi"/>
                <w:noProof/>
                <w:color w:val="FF0000"/>
              </w:rPr>
            </w:pPr>
            <w:r w:rsidRPr="00562955">
              <w:rPr>
                <w:rFonts w:cstheme="minorHAnsi"/>
                <w:noProof/>
                <w:color w:val="FF0000"/>
              </w:rPr>
              <w:t xml:space="preserve">These </w:t>
            </w:r>
            <w:r w:rsidR="00221D92">
              <w:rPr>
                <w:rFonts w:cstheme="minorHAnsi"/>
                <w:noProof/>
                <w:color w:val="FF0000"/>
              </w:rPr>
              <w:t>classifications</w:t>
            </w:r>
            <w:r w:rsidRPr="00562955">
              <w:rPr>
                <w:rFonts w:cstheme="minorHAnsi"/>
                <w:noProof/>
                <w:color w:val="FF0000"/>
              </w:rPr>
              <w:t xml:space="preserve"> </w:t>
            </w:r>
            <w:r w:rsidR="000123BE" w:rsidRPr="00562955">
              <w:rPr>
                <w:rFonts w:cstheme="minorHAnsi"/>
                <w:noProof/>
                <w:color w:val="FF0000"/>
              </w:rPr>
              <w:t xml:space="preserve">apply </w:t>
            </w:r>
            <w:r w:rsidRPr="00562955">
              <w:rPr>
                <w:rFonts w:cstheme="minorHAnsi"/>
                <w:noProof/>
                <w:color w:val="FF0000"/>
              </w:rPr>
              <w:t>the</w:t>
            </w:r>
            <w:r w:rsidR="00221D92">
              <w:rPr>
                <w:rFonts w:cstheme="minorHAnsi"/>
                <w:noProof/>
                <w:color w:val="FF0000"/>
              </w:rPr>
              <w:t xml:space="preserve"> American College of Cardiology (ACC)/</w:t>
            </w:r>
            <w:r w:rsidR="00221D92" w:rsidRPr="00562955">
              <w:rPr>
                <w:rFonts w:cstheme="minorHAnsi"/>
                <w:noProof/>
                <w:color w:val="FF0000"/>
              </w:rPr>
              <w:t xml:space="preserve"> </w:t>
            </w:r>
            <w:r w:rsidRPr="00562955">
              <w:rPr>
                <w:rFonts w:cstheme="minorHAnsi"/>
                <w:noProof/>
                <w:color w:val="FF0000"/>
              </w:rPr>
              <w:t>AHA 2015 Level</w:t>
            </w:r>
            <w:r w:rsidR="000123BE" w:rsidRPr="00562955">
              <w:rPr>
                <w:rFonts w:cstheme="minorHAnsi"/>
                <w:noProof/>
                <w:color w:val="FF0000"/>
              </w:rPr>
              <w:t>s</w:t>
            </w:r>
            <w:r w:rsidRPr="00562955">
              <w:rPr>
                <w:rFonts w:cstheme="minorHAnsi"/>
                <w:noProof/>
                <w:color w:val="FF0000"/>
              </w:rPr>
              <w:t xml:space="preserve"> of Evidence</w:t>
            </w:r>
            <w:r w:rsidR="00CC0B1A" w:rsidRPr="00562955">
              <w:rPr>
                <w:rFonts w:cstheme="minorHAnsi"/>
                <w:noProof/>
                <w:color w:val="FF0000"/>
              </w:rPr>
              <w:t xml:space="preserve"> (LOE)</w:t>
            </w:r>
            <w:r w:rsidRPr="00562955">
              <w:rPr>
                <w:rFonts w:cstheme="minorHAnsi"/>
                <w:noProof/>
                <w:color w:val="FF0000"/>
              </w:rPr>
              <w:t xml:space="preserve"> to Clinical Strategies, Interventions, Treatments, or Diagnostic Testing in Patient Care*.</w:t>
            </w:r>
            <w:r w:rsidR="00CC0B1A" w:rsidRPr="00562955">
              <w:rPr>
                <w:rFonts w:cstheme="minorHAnsi"/>
                <w:noProof/>
                <w:color w:val="FF0000"/>
              </w:rPr>
              <w:t xml:space="preserve"> The LOE denotes the confidence in or certainty of the evidence supporting the recommendation, based on the type, size, quality, and consistency of pertinent research findings. </w:t>
            </w:r>
            <w:r w:rsidR="00562955">
              <w:rPr>
                <w:rFonts w:cstheme="minorHAnsi"/>
                <w:color w:val="FF0000"/>
              </w:rPr>
              <w:br/>
            </w:r>
          </w:p>
          <w:tbl>
            <w:tblPr>
              <w:tblW w:w="7232" w:type="dxa"/>
              <w:tblLayout w:type="fixed"/>
              <w:tblLook w:val="04A0" w:firstRow="1" w:lastRow="0" w:firstColumn="1" w:lastColumn="0" w:noHBand="0" w:noVBand="1"/>
            </w:tblPr>
            <w:tblGrid>
              <w:gridCol w:w="1867"/>
              <w:gridCol w:w="5365"/>
            </w:tblGrid>
            <w:tr w:rsidR="00562955" w:rsidRPr="00562955" w14:paraId="7327D883" w14:textId="77777777" w:rsidTr="00562955">
              <w:trPr>
                <w:trHeight w:val="268"/>
              </w:trPr>
              <w:tc>
                <w:tcPr>
                  <w:tcW w:w="7232"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3579CD2" w14:textId="153EE1F2" w:rsidR="00562955" w:rsidRPr="00562955" w:rsidRDefault="00562955" w:rsidP="00562955">
                  <w:pPr>
                    <w:ind w:left="0" w:firstLine="0"/>
                    <w:jc w:val="center"/>
                    <w:rPr>
                      <w:rFonts w:eastAsia="Times New Roman" w:cstheme="minorHAnsi"/>
                      <w:b/>
                      <w:bCs/>
                      <w:color w:val="FF0000"/>
                      <w:u w:val="single"/>
                    </w:rPr>
                  </w:pPr>
                  <w:r w:rsidRPr="00562955">
                    <w:rPr>
                      <w:rFonts w:eastAsia="Times New Roman" w:cstheme="minorHAnsi"/>
                      <w:b/>
                      <w:bCs/>
                      <w:color w:val="FF0000"/>
                      <w:u w:val="single"/>
                    </w:rPr>
                    <w:t>Level (Quality) of Evidence**</w:t>
                  </w:r>
                </w:p>
              </w:tc>
            </w:tr>
            <w:tr w:rsidR="00562955" w:rsidRPr="00562955" w14:paraId="5E0CB474" w14:textId="77777777" w:rsidTr="00562955">
              <w:trPr>
                <w:trHeight w:val="268"/>
              </w:trPr>
              <w:tc>
                <w:tcPr>
                  <w:tcW w:w="1867" w:type="dxa"/>
                  <w:vMerge w:val="restart"/>
                  <w:tcBorders>
                    <w:top w:val="nil"/>
                    <w:left w:val="single" w:sz="4" w:space="0" w:color="auto"/>
                    <w:bottom w:val="single" w:sz="4" w:space="0" w:color="auto"/>
                    <w:right w:val="single" w:sz="4" w:space="0" w:color="auto"/>
                  </w:tcBorders>
                  <w:shd w:val="clear" w:color="auto" w:fill="auto"/>
                  <w:hideMark/>
                </w:tcPr>
                <w:p w14:paraId="5AAA0A95" w14:textId="77777777" w:rsidR="00562955" w:rsidRPr="00562955" w:rsidRDefault="00562955" w:rsidP="00562955">
                  <w:pPr>
                    <w:ind w:left="0" w:firstLine="0"/>
                    <w:jc w:val="center"/>
                    <w:rPr>
                      <w:rFonts w:eastAsia="Times New Roman" w:cstheme="minorHAnsi"/>
                      <w:color w:val="FF0000"/>
                    </w:rPr>
                  </w:pPr>
                  <w:r w:rsidRPr="00562955">
                    <w:rPr>
                      <w:rFonts w:eastAsia="Times New Roman" w:cstheme="minorHAnsi"/>
                      <w:color w:val="FF0000"/>
                    </w:rPr>
                    <w:t>Level A</w:t>
                  </w:r>
                </w:p>
              </w:tc>
              <w:tc>
                <w:tcPr>
                  <w:tcW w:w="5365" w:type="dxa"/>
                  <w:tcBorders>
                    <w:top w:val="nil"/>
                    <w:left w:val="nil"/>
                    <w:bottom w:val="single" w:sz="4" w:space="0" w:color="auto"/>
                    <w:right w:val="single" w:sz="4" w:space="0" w:color="auto"/>
                  </w:tcBorders>
                  <w:shd w:val="clear" w:color="auto" w:fill="auto"/>
                  <w:hideMark/>
                </w:tcPr>
                <w:p w14:paraId="4864CCAC"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-High-quality evidence** from more than 1 randomized controlled trials (RCT)</w:t>
                  </w:r>
                </w:p>
              </w:tc>
            </w:tr>
            <w:tr w:rsidR="00562955" w:rsidRPr="00562955" w14:paraId="61A9DBEE" w14:textId="77777777" w:rsidTr="00562955">
              <w:trPr>
                <w:trHeight w:val="347"/>
              </w:trPr>
              <w:tc>
                <w:tcPr>
                  <w:tcW w:w="1867" w:type="dxa"/>
                  <w:vMerge/>
                  <w:tcBorders>
                    <w:top w:val="nil"/>
                    <w:left w:val="single" w:sz="4" w:space="0" w:color="auto"/>
                    <w:bottom w:val="single" w:sz="4" w:space="0" w:color="auto"/>
                    <w:right w:val="single" w:sz="4" w:space="0" w:color="auto"/>
                  </w:tcBorders>
                  <w:vAlign w:val="center"/>
                  <w:hideMark/>
                </w:tcPr>
                <w:p w14:paraId="2873BB68" w14:textId="77777777" w:rsidR="00562955" w:rsidRPr="00562955" w:rsidRDefault="00562955" w:rsidP="00562955">
                  <w:pPr>
                    <w:ind w:left="0" w:firstLine="0"/>
                    <w:rPr>
                      <w:rFonts w:eastAsia="Times New Roman" w:cstheme="minorHAnsi"/>
                      <w:color w:val="FF0000"/>
                    </w:rPr>
                  </w:pPr>
                </w:p>
              </w:tc>
              <w:tc>
                <w:tcPr>
                  <w:tcW w:w="5365" w:type="dxa"/>
                  <w:tcBorders>
                    <w:top w:val="nil"/>
                    <w:left w:val="nil"/>
                    <w:bottom w:val="single" w:sz="4" w:space="0" w:color="auto"/>
                    <w:right w:val="single" w:sz="4" w:space="0" w:color="auto"/>
                  </w:tcBorders>
                  <w:shd w:val="clear" w:color="auto" w:fill="auto"/>
                  <w:hideMark/>
                </w:tcPr>
                <w:p w14:paraId="7AE94285"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-Meta-analyses of high-quality RCTs</w:t>
                  </w:r>
                </w:p>
              </w:tc>
            </w:tr>
            <w:tr w:rsidR="00562955" w:rsidRPr="00562955" w14:paraId="21F77607" w14:textId="77777777" w:rsidTr="00562955">
              <w:trPr>
                <w:trHeight w:val="268"/>
              </w:trPr>
              <w:tc>
                <w:tcPr>
                  <w:tcW w:w="1867" w:type="dxa"/>
                  <w:vMerge/>
                  <w:tcBorders>
                    <w:top w:val="nil"/>
                    <w:left w:val="single" w:sz="4" w:space="0" w:color="auto"/>
                    <w:bottom w:val="single" w:sz="4" w:space="0" w:color="auto"/>
                    <w:right w:val="single" w:sz="4" w:space="0" w:color="auto"/>
                  </w:tcBorders>
                  <w:vAlign w:val="center"/>
                  <w:hideMark/>
                </w:tcPr>
                <w:p w14:paraId="4C671DCA" w14:textId="77777777" w:rsidR="00562955" w:rsidRPr="00562955" w:rsidRDefault="00562955" w:rsidP="00562955">
                  <w:pPr>
                    <w:ind w:left="0" w:firstLine="0"/>
                    <w:rPr>
                      <w:rFonts w:eastAsia="Times New Roman" w:cstheme="minorHAnsi"/>
                      <w:color w:val="FF0000"/>
                    </w:rPr>
                  </w:pPr>
                </w:p>
              </w:tc>
              <w:tc>
                <w:tcPr>
                  <w:tcW w:w="5365" w:type="dxa"/>
                  <w:tcBorders>
                    <w:top w:val="nil"/>
                    <w:left w:val="nil"/>
                    <w:bottom w:val="single" w:sz="4" w:space="0" w:color="auto"/>
                    <w:right w:val="single" w:sz="4" w:space="0" w:color="auto"/>
                  </w:tcBorders>
                  <w:shd w:val="clear" w:color="auto" w:fill="auto"/>
                  <w:hideMark/>
                </w:tcPr>
                <w:p w14:paraId="2AEEB08A" w14:textId="37F0CD51"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-One or more RCTs corroborated by high-quality registry studies</w:t>
                  </w:r>
                </w:p>
              </w:tc>
            </w:tr>
            <w:tr w:rsidR="00562955" w:rsidRPr="00562955" w14:paraId="0E37F632" w14:textId="77777777" w:rsidTr="00562955">
              <w:trPr>
                <w:trHeight w:val="268"/>
              </w:trPr>
              <w:tc>
                <w:tcPr>
                  <w:tcW w:w="1867" w:type="dxa"/>
                  <w:vMerge w:val="restart"/>
                  <w:tcBorders>
                    <w:top w:val="nil"/>
                    <w:left w:val="single" w:sz="4" w:space="0" w:color="auto"/>
                    <w:bottom w:val="single" w:sz="4" w:space="0" w:color="auto"/>
                    <w:right w:val="single" w:sz="4" w:space="0" w:color="auto"/>
                  </w:tcBorders>
                  <w:shd w:val="clear" w:color="auto" w:fill="auto"/>
                  <w:hideMark/>
                </w:tcPr>
                <w:p w14:paraId="2D77A07E" w14:textId="77777777" w:rsidR="00562955" w:rsidRPr="00562955" w:rsidRDefault="00562955" w:rsidP="00562955">
                  <w:pPr>
                    <w:ind w:left="0" w:firstLine="0"/>
                    <w:jc w:val="center"/>
                    <w:rPr>
                      <w:rFonts w:eastAsia="Times New Roman" w:cstheme="minorHAnsi"/>
                      <w:color w:val="FF0000"/>
                    </w:rPr>
                  </w:pPr>
                  <w:r w:rsidRPr="00562955">
                    <w:rPr>
                      <w:rFonts w:eastAsia="Times New Roman" w:cstheme="minorHAnsi"/>
                      <w:color w:val="FF0000"/>
                    </w:rPr>
                    <w:t>Level B-R (Randomized)</w:t>
                  </w:r>
                </w:p>
              </w:tc>
              <w:tc>
                <w:tcPr>
                  <w:tcW w:w="5365" w:type="dxa"/>
                  <w:tcBorders>
                    <w:top w:val="nil"/>
                    <w:left w:val="nil"/>
                    <w:bottom w:val="single" w:sz="4" w:space="0" w:color="auto"/>
                    <w:right w:val="single" w:sz="4" w:space="0" w:color="auto"/>
                  </w:tcBorders>
                  <w:shd w:val="clear" w:color="auto" w:fill="auto"/>
                  <w:hideMark/>
                </w:tcPr>
                <w:p w14:paraId="6154D338"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-Moderate-quality evidence** from 1 or more RCTs</w:t>
                  </w:r>
                </w:p>
              </w:tc>
            </w:tr>
            <w:tr w:rsidR="00562955" w:rsidRPr="00562955" w14:paraId="4EB98B8C" w14:textId="77777777" w:rsidTr="00562955">
              <w:trPr>
                <w:trHeight w:val="268"/>
              </w:trPr>
              <w:tc>
                <w:tcPr>
                  <w:tcW w:w="1867" w:type="dxa"/>
                  <w:vMerge/>
                  <w:tcBorders>
                    <w:top w:val="nil"/>
                    <w:left w:val="single" w:sz="4" w:space="0" w:color="auto"/>
                    <w:bottom w:val="single" w:sz="4" w:space="0" w:color="auto"/>
                    <w:right w:val="single" w:sz="4" w:space="0" w:color="auto"/>
                  </w:tcBorders>
                  <w:vAlign w:val="center"/>
                  <w:hideMark/>
                </w:tcPr>
                <w:p w14:paraId="13EC9064" w14:textId="77777777" w:rsidR="00562955" w:rsidRPr="00562955" w:rsidRDefault="00562955" w:rsidP="00562955">
                  <w:pPr>
                    <w:ind w:left="0" w:firstLine="0"/>
                    <w:rPr>
                      <w:rFonts w:eastAsia="Times New Roman" w:cstheme="minorHAnsi"/>
                      <w:color w:val="FF0000"/>
                    </w:rPr>
                  </w:pPr>
                </w:p>
              </w:tc>
              <w:tc>
                <w:tcPr>
                  <w:tcW w:w="5365" w:type="dxa"/>
                  <w:tcBorders>
                    <w:top w:val="nil"/>
                    <w:left w:val="nil"/>
                    <w:bottom w:val="single" w:sz="4" w:space="0" w:color="auto"/>
                    <w:right w:val="single" w:sz="4" w:space="0" w:color="auto"/>
                  </w:tcBorders>
                  <w:shd w:val="clear" w:color="auto" w:fill="auto"/>
                  <w:hideMark/>
                </w:tcPr>
                <w:p w14:paraId="756C16F4"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-Meta-analyses of moderate-quality RCTs</w:t>
                  </w:r>
                </w:p>
              </w:tc>
            </w:tr>
            <w:tr w:rsidR="00562955" w:rsidRPr="00562955" w14:paraId="109666CB" w14:textId="77777777" w:rsidTr="00562955">
              <w:trPr>
                <w:trHeight w:val="537"/>
              </w:trPr>
              <w:tc>
                <w:tcPr>
                  <w:tcW w:w="1867" w:type="dxa"/>
                  <w:vMerge w:val="restart"/>
                  <w:tcBorders>
                    <w:top w:val="nil"/>
                    <w:left w:val="single" w:sz="4" w:space="0" w:color="auto"/>
                    <w:bottom w:val="single" w:sz="4" w:space="0" w:color="000000"/>
                    <w:right w:val="single" w:sz="4" w:space="0" w:color="auto"/>
                  </w:tcBorders>
                  <w:shd w:val="clear" w:color="auto" w:fill="auto"/>
                  <w:hideMark/>
                </w:tcPr>
                <w:p w14:paraId="3F2B4BE8" w14:textId="52C20339" w:rsidR="00562955" w:rsidRPr="00562955" w:rsidRDefault="00562955" w:rsidP="00562955">
                  <w:pPr>
                    <w:ind w:left="0" w:firstLine="0"/>
                    <w:jc w:val="center"/>
                    <w:rPr>
                      <w:rFonts w:eastAsia="Times New Roman" w:cstheme="minorHAnsi"/>
                      <w:color w:val="FF0000"/>
                    </w:rPr>
                  </w:pPr>
                  <w:r w:rsidRPr="00562955">
                    <w:rPr>
                      <w:rFonts w:eastAsia="Times New Roman" w:cstheme="minorHAnsi"/>
                      <w:color w:val="FF0000"/>
                    </w:rPr>
                    <w:t>Level B-NR (Nonrandomized)</w:t>
                  </w:r>
                </w:p>
              </w:tc>
              <w:tc>
                <w:tcPr>
                  <w:tcW w:w="5365" w:type="dxa"/>
                  <w:tcBorders>
                    <w:top w:val="nil"/>
                    <w:left w:val="nil"/>
                    <w:bottom w:val="single" w:sz="4" w:space="0" w:color="auto"/>
                    <w:right w:val="single" w:sz="4" w:space="0" w:color="auto"/>
                  </w:tcBorders>
                  <w:shd w:val="clear" w:color="auto" w:fill="auto"/>
                  <w:hideMark/>
                </w:tcPr>
                <w:p w14:paraId="7B0BD925"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-Moderate-quality evidence** from one or more well-designed, well-executed nonrandomized studies, observational studies, or registry studies</w:t>
                  </w:r>
                </w:p>
              </w:tc>
            </w:tr>
            <w:tr w:rsidR="00562955" w:rsidRPr="00562955" w14:paraId="05552158" w14:textId="77777777" w:rsidTr="00562955">
              <w:trPr>
                <w:trHeight w:val="268"/>
              </w:trPr>
              <w:tc>
                <w:tcPr>
                  <w:tcW w:w="1867" w:type="dxa"/>
                  <w:vMerge/>
                  <w:tcBorders>
                    <w:top w:val="nil"/>
                    <w:left w:val="single" w:sz="4" w:space="0" w:color="auto"/>
                    <w:bottom w:val="single" w:sz="4" w:space="0" w:color="000000"/>
                    <w:right w:val="single" w:sz="4" w:space="0" w:color="auto"/>
                  </w:tcBorders>
                  <w:vAlign w:val="center"/>
                  <w:hideMark/>
                </w:tcPr>
                <w:p w14:paraId="74F22115" w14:textId="77777777" w:rsidR="00562955" w:rsidRPr="00562955" w:rsidRDefault="00562955" w:rsidP="00562955">
                  <w:pPr>
                    <w:ind w:left="0" w:firstLine="0"/>
                    <w:rPr>
                      <w:rFonts w:eastAsia="Times New Roman" w:cstheme="minorHAnsi"/>
                      <w:color w:val="FF0000"/>
                    </w:rPr>
                  </w:pPr>
                </w:p>
              </w:tc>
              <w:tc>
                <w:tcPr>
                  <w:tcW w:w="5365" w:type="dxa"/>
                  <w:tcBorders>
                    <w:top w:val="nil"/>
                    <w:left w:val="nil"/>
                    <w:bottom w:val="single" w:sz="4" w:space="0" w:color="auto"/>
                    <w:right w:val="single" w:sz="4" w:space="0" w:color="auto"/>
                  </w:tcBorders>
                  <w:shd w:val="clear" w:color="auto" w:fill="auto"/>
                  <w:hideMark/>
                </w:tcPr>
                <w:p w14:paraId="07EC0A55"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-Meta-analyses of such studies</w:t>
                  </w:r>
                </w:p>
              </w:tc>
            </w:tr>
            <w:tr w:rsidR="00562955" w:rsidRPr="00562955" w14:paraId="5FCD57EE" w14:textId="77777777" w:rsidTr="00562955">
              <w:trPr>
                <w:trHeight w:val="537"/>
              </w:trPr>
              <w:tc>
                <w:tcPr>
                  <w:tcW w:w="1867" w:type="dxa"/>
                  <w:vMerge w:val="restart"/>
                  <w:tcBorders>
                    <w:top w:val="nil"/>
                    <w:left w:val="single" w:sz="4" w:space="0" w:color="auto"/>
                    <w:bottom w:val="single" w:sz="4" w:space="0" w:color="000000"/>
                    <w:right w:val="single" w:sz="4" w:space="0" w:color="auto"/>
                  </w:tcBorders>
                  <w:shd w:val="clear" w:color="auto" w:fill="auto"/>
                  <w:hideMark/>
                </w:tcPr>
                <w:p w14:paraId="2DECE4DE" w14:textId="77777777" w:rsidR="00562955" w:rsidRPr="00562955" w:rsidRDefault="00562955" w:rsidP="00562955">
                  <w:pPr>
                    <w:ind w:left="0" w:firstLine="0"/>
                    <w:jc w:val="center"/>
                    <w:rPr>
                      <w:rFonts w:eastAsia="Times New Roman" w:cstheme="minorHAnsi"/>
                      <w:color w:val="FF0000"/>
                    </w:rPr>
                  </w:pPr>
                  <w:r w:rsidRPr="00562955">
                    <w:rPr>
                      <w:rFonts w:eastAsia="Times New Roman" w:cstheme="minorHAnsi"/>
                      <w:color w:val="FF0000"/>
                    </w:rPr>
                    <w:t>Level C-LD (Limited Data)</w:t>
                  </w:r>
                </w:p>
              </w:tc>
              <w:tc>
                <w:tcPr>
                  <w:tcW w:w="5365" w:type="dxa"/>
                  <w:tcBorders>
                    <w:top w:val="nil"/>
                    <w:left w:val="nil"/>
                    <w:bottom w:val="single" w:sz="4" w:space="0" w:color="auto"/>
                    <w:right w:val="single" w:sz="4" w:space="0" w:color="auto"/>
                  </w:tcBorders>
                  <w:shd w:val="clear" w:color="auto" w:fill="auto"/>
                  <w:hideMark/>
                </w:tcPr>
                <w:p w14:paraId="7414DF74"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-Randomized or nonrandomized observational or registry studies with limitations of design or execution</w:t>
                  </w:r>
                </w:p>
              </w:tc>
            </w:tr>
            <w:tr w:rsidR="00562955" w:rsidRPr="00562955" w14:paraId="0588E207" w14:textId="77777777" w:rsidTr="00562955">
              <w:trPr>
                <w:trHeight w:val="268"/>
              </w:trPr>
              <w:tc>
                <w:tcPr>
                  <w:tcW w:w="1867" w:type="dxa"/>
                  <w:vMerge/>
                  <w:tcBorders>
                    <w:top w:val="nil"/>
                    <w:left w:val="single" w:sz="4" w:space="0" w:color="auto"/>
                    <w:bottom w:val="single" w:sz="4" w:space="0" w:color="000000"/>
                    <w:right w:val="single" w:sz="4" w:space="0" w:color="auto"/>
                  </w:tcBorders>
                  <w:vAlign w:val="center"/>
                  <w:hideMark/>
                </w:tcPr>
                <w:p w14:paraId="63B329CA" w14:textId="77777777" w:rsidR="00562955" w:rsidRPr="00562955" w:rsidRDefault="00562955" w:rsidP="00562955">
                  <w:pPr>
                    <w:ind w:left="0" w:firstLine="0"/>
                    <w:rPr>
                      <w:rFonts w:eastAsia="Times New Roman" w:cstheme="minorHAnsi"/>
                      <w:color w:val="FF0000"/>
                    </w:rPr>
                  </w:pPr>
                </w:p>
              </w:tc>
              <w:tc>
                <w:tcPr>
                  <w:tcW w:w="5365" w:type="dxa"/>
                  <w:tcBorders>
                    <w:top w:val="nil"/>
                    <w:left w:val="nil"/>
                    <w:bottom w:val="single" w:sz="4" w:space="0" w:color="auto"/>
                    <w:right w:val="single" w:sz="4" w:space="0" w:color="auto"/>
                  </w:tcBorders>
                  <w:shd w:val="clear" w:color="auto" w:fill="auto"/>
                  <w:hideMark/>
                </w:tcPr>
                <w:p w14:paraId="6B570C89"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-Meta-analyses of such studies</w:t>
                  </w:r>
                </w:p>
              </w:tc>
            </w:tr>
            <w:tr w:rsidR="00562955" w:rsidRPr="00562955" w14:paraId="0EB57C16" w14:textId="77777777" w:rsidTr="00562955">
              <w:trPr>
                <w:trHeight w:val="268"/>
              </w:trPr>
              <w:tc>
                <w:tcPr>
                  <w:tcW w:w="1867" w:type="dxa"/>
                  <w:vMerge/>
                  <w:tcBorders>
                    <w:top w:val="nil"/>
                    <w:left w:val="single" w:sz="4" w:space="0" w:color="auto"/>
                    <w:bottom w:val="single" w:sz="4" w:space="0" w:color="000000"/>
                    <w:right w:val="single" w:sz="4" w:space="0" w:color="auto"/>
                  </w:tcBorders>
                  <w:vAlign w:val="center"/>
                  <w:hideMark/>
                </w:tcPr>
                <w:p w14:paraId="6F53DC90" w14:textId="77777777" w:rsidR="00562955" w:rsidRPr="00562955" w:rsidRDefault="00562955" w:rsidP="00562955">
                  <w:pPr>
                    <w:ind w:left="0" w:firstLine="0"/>
                    <w:rPr>
                      <w:rFonts w:eastAsia="Times New Roman" w:cstheme="minorHAnsi"/>
                      <w:color w:val="FF0000"/>
                    </w:rPr>
                  </w:pPr>
                </w:p>
              </w:tc>
              <w:tc>
                <w:tcPr>
                  <w:tcW w:w="5365" w:type="dxa"/>
                  <w:tcBorders>
                    <w:top w:val="nil"/>
                    <w:left w:val="nil"/>
                    <w:bottom w:val="single" w:sz="4" w:space="0" w:color="auto"/>
                    <w:right w:val="single" w:sz="4" w:space="0" w:color="auto"/>
                  </w:tcBorders>
                  <w:shd w:val="clear" w:color="auto" w:fill="auto"/>
                  <w:hideMark/>
                </w:tcPr>
                <w:p w14:paraId="7F417F16"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-Physiological or mechanistic studies in human subjects</w:t>
                  </w:r>
                </w:p>
              </w:tc>
            </w:tr>
            <w:tr w:rsidR="00562955" w:rsidRPr="00562955" w14:paraId="0259C459" w14:textId="77777777" w:rsidTr="00562955">
              <w:trPr>
                <w:trHeight w:val="537"/>
              </w:trPr>
              <w:tc>
                <w:tcPr>
                  <w:tcW w:w="1867" w:type="dxa"/>
                  <w:tcBorders>
                    <w:top w:val="nil"/>
                    <w:left w:val="single" w:sz="4" w:space="0" w:color="auto"/>
                    <w:bottom w:val="nil"/>
                    <w:right w:val="single" w:sz="4" w:space="0" w:color="auto"/>
                  </w:tcBorders>
                  <w:shd w:val="clear" w:color="auto" w:fill="auto"/>
                  <w:hideMark/>
                </w:tcPr>
                <w:p w14:paraId="63660CAA" w14:textId="77777777" w:rsidR="00562955" w:rsidRPr="00562955" w:rsidRDefault="00562955" w:rsidP="00562955">
                  <w:pPr>
                    <w:ind w:left="0" w:firstLine="0"/>
                    <w:jc w:val="center"/>
                    <w:rPr>
                      <w:rFonts w:eastAsia="Times New Roman" w:cstheme="minorHAnsi"/>
                      <w:color w:val="FF0000"/>
                    </w:rPr>
                  </w:pPr>
                  <w:r w:rsidRPr="00562955">
                    <w:rPr>
                      <w:rFonts w:eastAsia="Times New Roman" w:cstheme="minorHAnsi"/>
                      <w:color w:val="FF0000"/>
                    </w:rPr>
                    <w:t>Level C-EO (Expert Opinion)</w:t>
                  </w:r>
                </w:p>
              </w:tc>
              <w:tc>
                <w:tcPr>
                  <w:tcW w:w="5365" w:type="dxa"/>
                  <w:tcBorders>
                    <w:top w:val="nil"/>
                    <w:left w:val="nil"/>
                    <w:bottom w:val="single" w:sz="4" w:space="0" w:color="auto"/>
                    <w:right w:val="single" w:sz="4" w:space="0" w:color="auto"/>
                  </w:tcBorders>
                  <w:shd w:val="clear" w:color="auto" w:fill="auto"/>
                  <w:hideMark/>
                </w:tcPr>
                <w:p w14:paraId="5D00CA32"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-Consensus of expert opinion based on clinical experience</w:t>
                  </w:r>
                </w:p>
              </w:tc>
            </w:tr>
            <w:tr w:rsidR="00562955" w:rsidRPr="00562955" w14:paraId="143221BC" w14:textId="77777777" w:rsidTr="00562955">
              <w:trPr>
                <w:trHeight w:val="531"/>
              </w:trPr>
              <w:tc>
                <w:tcPr>
                  <w:tcW w:w="7232"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34F89B"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Class of Recommendation (COR) and LOE are determined independently (any COR may be paired with any LOE).</w:t>
                  </w:r>
                </w:p>
              </w:tc>
            </w:tr>
            <w:tr w:rsidR="00562955" w:rsidRPr="00562955" w14:paraId="09EFC5E9" w14:textId="77777777" w:rsidTr="00562955">
              <w:trPr>
                <w:trHeight w:val="891"/>
              </w:trPr>
              <w:tc>
                <w:tcPr>
                  <w:tcW w:w="7232"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44F173"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 xml:space="preserve">A recommendation with LOE C does not imply that the recommendation is weak. Many important clinical questions addressed in guidelines do not lend themselves to clinical trials. Although RCTs are unavailable, there may be a very clear clinical consensus that a </w:t>
                  </w:r>
                  <w:proofErr w:type="gramStart"/>
                  <w:r w:rsidRPr="00562955">
                    <w:rPr>
                      <w:rFonts w:eastAsia="Times New Roman" w:cstheme="minorHAnsi"/>
                      <w:color w:val="FF0000"/>
                    </w:rPr>
                    <w:t>particular test</w:t>
                  </w:r>
                  <w:proofErr w:type="gramEnd"/>
                  <w:r w:rsidRPr="00562955">
                    <w:rPr>
                      <w:rFonts w:eastAsia="Times New Roman" w:cstheme="minorHAnsi"/>
                      <w:color w:val="FF0000"/>
                    </w:rPr>
                    <w:t xml:space="preserve"> of therapy is useful or effective.</w:t>
                  </w:r>
                </w:p>
              </w:tc>
            </w:tr>
            <w:tr w:rsidR="00562955" w:rsidRPr="00562955" w14:paraId="5B78B36E" w14:textId="77777777" w:rsidTr="00562955">
              <w:trPr>
                <w:trHeight w:val="629"/>
              </w:trPr>
              <w:tc>
                <w:tcPr>
                  <w:tcW w:w="7232"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883C28"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*The outcome or result of the intervention should be specified (an improved clinical outcome or increased diagnostic accuracy or incremental prognostic information).</w:t>
                  </w:r>
                </w:p>
              </w:tc>
            </w:tr>
            <w:tr w:rsidR="00562955" w:rsidRPr="00562955" w14:paraId="4C11E27D" w14:textId="77777777" w:rsidTr="00562955">
              <w:trPr>
                <w:trHeight w:val="865"/>
              </w:trPr>
              <w:tc>
                <w:tcPr>
                  <w:tcW w:w="7232"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886830" w14:textId="77777777" w:rsidR="00562955" w:rsidRPr="00562955" w:rsidRDefault="00562955" w:rsidP="00562955">
                  <w:pPr>
                    <w:ind w:left="0" w:firstLine="0"/>
                    <w:rPr>
                      <w:rFonts w:eastAsia="Times New Roman" w:cstheme="minorHAnsi"/>
                      <w:color w:val="FF0000"/>
                    </w:rPr>
                  </w:pPr>
                  <w:r w:rsidRPr="00562955">
                    <w:rPr>
                      <w:rFonts w:eastAsia="Times New Roman" w:cstheme="minorHAnsi"/>
                      <w:color w:val="FF0000"/>
                    </w:rPr>
                    <w:t>**The method of assessing quality is evolving, including the application of standardized, widely used, and preferably validated evidence grading tools; and for systematic reviews, the incorporation of an Evidence Review Committee.</w:t>
                  </w:r>
                </w:p>
              </w:tc>
            </w:tr>
          </w:tbl>
          <w:p w14:paraId="55B8DA7E" w14:textId="083585D8" w:rsidR="00AB4ECE" w:rsidRPr="000123BE" w:rsidRDefault="00562955" w:rsidP="002E2177">
            <w:pPr>
              <w:ind w:left="0" w:firstLine="0"/>
              <w:rPr>
                <w:noProof/>
                <w:color w:val="FF0000"/>
              </w:rPr>
            </w:pPr>
            <w:r w:rsidRPr="00562955">
              <w:rPr>
                <w:rFonts w:cstheme="minorHAnsi"/>
                <w:noProof/>
                <w:color w:val="FF0000"/>
              </w:rPr>
              <w:lastRenderedPageBreak/>
              <w:t>(adapted from AHA/ASA 2018 Guidelines on the Early Management of Patients with Acute Ischemic Stroke)</w:t>
            </w:r>
            <w:r w:rsidRPr="00562955">
              <w:rPr>
                <w:noProof/>
                <w:color w:val="FF0000"/>
              </w:rPr>
              <w:t xml:space="preserve"> </w:t>
            </w:r>
          </w:p>
        </w:tc>
      </w:tr>
      <w:tr w:rsidR="0059420F" w14:paraId="55B8DA82" w14:textId="77777777" w:rsidTr="00562955">
        <w:tc>
          <w:tcPr>
            <w:tcW w:w="1795" w:type="dxa"/>
          </w:tcPr>
          <w:p w14:paraId="55B8DA80" w14:textId="77777777" w:rsidR="00AB4ECE" w:rsidRDefault="00AB4ECE" w:rsidP="00E42FAA">
            <w:pPr>
              <w:ind w:left="0" w:firstLine="0"/>
            </w:pPr>
            <w:r>
              <w:lastRenderedPageBreak/>
              <w:t xml:space="preserve">Grade assigned to the </w:t>
            </w:r>
            <w:r w:rsidRPr="004E7215">
              <w:rPr>
                <w:b/>
              </w:rPr>
              <w:t>recommendation</w:t>
            </w:r>
            <w:r>
              <w:t xml:space="preserve"> with definition of the grade</w:t>
            </w:r>
          </w:p>
        </w:tc>
        <w:tc>
          <w:tcPr>
            <w:tcW w:w="7555" w:type="dxa"/>
          </w:tcPr>
          <w:p w14:paraId="7213719E" w14:textId="77777777" w:rsidR="000123BE" w:rsidRPr="00F95030" w:rsidRDefault="000123BE" w:rsidP="000123BE">
            <w:pPr>
              <w:ind w:left="0" w:firstLine="0"/>
              <w:rPr>
                <w:color w:val="1F497D" w:themeColor="text2"/>
                <w:u w:val="single"/>
              </w:rPr>
            </w:pPr>
            <w:r w:rsidRPr="00F95030">
              <w:rPr>
                <w:color w:val="1F497D" w:themeColor="text2"/>
                <w:u w:val="single"/>
              </w:rPr>
              <w:t xml:space="preserve">AHA/ASA 2013 Guideline: </w:t>
            </w:r>
          </w:p>
          <w:p w14:paraId="6EFAC1A4" w14:textId="7EC31FA0" w:rsidR="000123BE" w:rsidRDefault="000123BE" w:rsidP="000123BE">
            <w:pPr>
              <w:ind w:left="0" w:firstLine="0"/>
              <w:rPr>
                <w:color w:val="1F497D" w:themeColor="text2"/>
              </w:rPr>
            </w:pPr>
            <w:r w:rsidRPr="00F95030">
              <w:rPr>
                <w:color w:val="1F497D" w:themeColor="text2"/>
              </w:rPr>
              <w:t xml:space="preserve">The AHA/ASA recommendation included in section 1a.4.2. has been assigned a Class I. Class I recommendations refer to “Conditions for which there is evidence for and/or general agreement that the procedure or treatment is useful and effective.” </w:t>
            </w:r>
          </w:p>
          <w:p w14:paraId="1EA12AAC" w14:textId="27EED18B" w:rsidR="00B44B61" w:rsidRDefault="00B44B61" w:rsidP="000123BE">
            <w:pPr>
              <w:ind w:left="0" w:firstLine="0"/>
              <w:rPr>
                <w:color w:val="1F497D" w:themeColor="text2"/>
              </w:rPr>
            </w:pPr>
          </w:p>
          <w:p w14:paraId="0ACBDF89" w14:textId="77777777" w:rsidR="00B44B61" w:rsidRPr="000C6CB0" w:rsidRDefault="00B44B61" w:rsidP="00B44B61">
            <w:pPr>
              <w:ind w:left="0" w:firstLine="0"/>
              <w:rPr>
                <w:bCs/>
                <w:color w:val="FF0000"/>
                <w:u w:val="single"/>
              </w:rPr>
            </w:pPr>
            <w:r w:rsidRPr="000C6CB0">
              <w:rPr>
                <w:bCs/>
                <w:color w:val="FF0000"/>
                <w:u w:val="single"/>
              </w:rPr>
              <w:t>AHA/ASA 2018 Guidelines:</w:t>
            </w:r>
          </w:p>
          <w:p w14:paraId="0FE978CC" w14:textId="21554CB7" w:rsidR="00B44B61" w:rsidRPr="000C6CB0" w:rsidRDefault="000B17B6" w:rsidP="000123BE">
            <w:pPr>
              <w:ind w:left="0" w:firstLine="0"/>
              <w:rPr>
                <w:color w:val="FF0000"/>
              </w:rPr>
            </w:pPr>
            <w:r>
              <w:rPr>
                <w:color w:val="FF0000"/>
              </w:rPr>
              <w:t xml:space="preserve">Both recommendations supporting this measure </w:t>
            </w:r>
            <w:r w:rsidR="000C6CB0" w:rsidRPr="000C6CB0">
              <w:rPr>
                <w:color w:val="FF0000"/>
              </w:rPr>
              <w:t>received a Class I (Strong) strength of recommendation. Class I recommendations indicate that the “Benefit &gt;&gt;&gt; Risk”</w:t>
            </w:r>
            <w:r w:rsidR="003F29CD">
              <w:rPr>
                <w:color w:val="FF0000"/>
              </w:rPr>
              <w:t xml:space="preserve"> and are recommended and indicated/useful/effective/beneficial.</w:t>
            </w:r>
          </w:p>
          <w:p w14:paraId="55B8DA81" w14:textId="77777777" w:rsidR="00AB4ECE" w:rsidRDefault="00AB4ECE" w:rsidP="002E2177">
            <w:pPr>
              <w:ind w:left="0" w:firstLine="0"/>
            </w:pPr>
          </w:p>
        </w:tc>
      </w:tr>
      <w:tr w:rsidR="0059420F" w14:paraId="55B8DA85" w14:textId="77777777" w:rsidTr="00562955">
        <w:tc>
          <w:tcPr>
            <w:tcW w:w="1795" w:type="dxa"/>
          </w:tcPr>
          <w:p w14:paraId="55B8DA83" w14:textId="77777777" w:rsidR="00AB4ECE" w:rsidRDefault="00AB4ECE" w:rsidP="00E42FAA">
            <w:pPr>
              <w:ind w:left="0" w:firstLine="0"/>
            </w:pPr>
            <w:r>
              <w:t>Provide all other grades and definitions from the recommendation grading system</w:t>
            </w:r>
          </w:p>
        </w:tc>
        <w:tc>
          <w:tcPr>
            <w:tcW w:w="7555" w:type="dxa"/>
          </w:tcPr>
          <w:p w14:paraId="6340C414" w14:textId="77777777" w:rsidR="00B44B61" w:rsidRPr="00F95030" w:rsidRDefault="00B44B61" w:rsidP="00B44B61">
            <w:pPr>
              <w:ind w:left="0" w:firstLine="0"/>
              <w:rPr>
                <w:color w:val="1F497D" w:themeColor="text2"/>
                <w:u w:val="single"/>
              </w:rPr>
            </w:pPr>
            <w:r w:rsidRPr="00F95030">
              <w:rPr>
                <w:color w:val="1F497D" w:themeColor="text2"/>
                <w:u w:val="single"/>
              </w:rPr>
              <w:t>AHA/ASA 2013 Guidelines:</w:t>
            </w:r>
          </w:p>
          <w:p w14:paraId="53774A9F" w14:textId="73BB9EDB" w:rsidR="00B44B61" w:rsidRPr="00F95030" w:rsidRDefault="00B44B61" w:rsidP="00B44B61">
            <w:pPr>
              <w:ind w:left="0" w:firstLine="0"/>
              <w:rPr>
                <w:color w:val="1F497D" w:themeColor="text2"/>
              </w:rPr>
            </w:pPr>
            <w:r w:rsidRPr="00F95030">
              <w:rPr>
                <w:color w:val="1F497D" w:themeColor="text2"/>
              </w:rPr>
              <w:t>The standard AHA algorithm for classifying recommendations and levels of evidence</w:t>
            </w:r>
            <w:r>
              <w:rPr>
                <w:color w:val="1F497D" w:themeColor="text2"/>
              </w:rPr>
              <w:t xml:space="preserve"> </w:t>
            </w:r>
            <w:r w:rsidRPr="00F95030">
              <w:rPr>
                <w:color w:val="1F497D" w:themeColor="text2"/>
              </w:rPr>
              <w:t>focuses on therapeutic questions and, consequently, emphasizes evidence from randomized clinical</w:t>
            </w:r>
            <w:r>
              <w:rPr>
                <w:color w:val="1F497D" w:themeColor="text2"/>
              </w:rPr>
              <w:t xml:space="preserve"> </w:t>
            </w:r>
            <w:r w:rsidRPr="00F95030">
              <w:rPr>
                <w:color w:val="1F497D" w:themeColor="text2"/>
              </w:rPr>
              <w:t>trials. As such, AHA/</w:t>
            </w:r>
            <w:proofErr w:type="gramStart"/>
            <w:r w:rsidRPr="00F95030">
              <w:rPr>
                <w:color w:val="1F497D" w:themeColor="text2"/>
              </w:rPr>
              <w:t>ASA  guideline</w:t>
            </w:r>
            <w:proofErr w:type="gramEnd"/>
            <w:r w:rsidRPr="00F95030">
              <w:rPr>
                <w:color w:val="1F497D" w:themeColor="text2"/>
              </w:rPr>
              <w:t xml:space="preserve"> methodology categorizes indications as class I, II, or III on the basis of a multifactorial assessment of risk and expected efficacy viewed in the context of current knowledge and the relative strength of this knowledge.  These classes summarize the recommendations for procedures or treatments as follows and noted in the table below:</w:t>
            </w:r>
          </w:p>
          <w:p w14:paraId="22768D21" w14:textId="77777777" w:rsidR="00B44B61" w:rsidRPr="00F95030" w:rsidRDefault="00B44B61" w:rsidP="00B44B61">
            <w:pPr>
              <w:ind w:left="0" w:firstLine="0"/>
              <w:rPr>
                <w:color w:val="1F497D" w:themeColor="text2"/>
              </w:rPr>
            </w:pPr>
          </w:p>
          <w:p w14:paraId="3910FCE3" w14:textId="77777777" w:rsidR="00B44B61" w:rsidRPr="00F95030" w:rsidRDefault="00B44B61" w:rsidP="00B44B61">
            <w:pPr>
              <w:ind w:left="0" w:firstLine="0"/>
              <w:rPr>
                <w:color w:val="1F497D" w:themeColor="text2"/>
              </w:rPr>
            </w:pPr>
            <w:r w:rsidRPr="00F95030">
              <w:rPr>
                <w:color w:val="1F497D" w:themeColor="text2"/>
              </w:rPr>
              <w:t>Class I: Conditions for which there is evidence and/or general agreement that a given procedure or treatment is useful and effective.</w:t>
            </w:r>
          </w:p>
          <w:p w14:paraId="5BC25865" w14:textId="77777777" w:rsidR="00B44B61" w:rsidRPr="00F95030" w:rsidRDefault="00B44B61" w:rsidP="00B44B61">
            <w:pPr>
              <w:ind w:left="0" w:firstLine="0"/>
              <w:rPr>
                <w:color w:val="1F497D" w:themeColor="text2"/>
              </w:rPr>
            </w:pPr>
          </w:p>
          <w:p w14:paraId="49C602EB" w14:textId="77777777" w:rsidR="00B44B61" w:rsidRPr="00F95030" w:rsidRDefault="00B44B61" w:rsidP="00B44B61">
            <w:pPr>
              <w:ind w:left="0" w:firstLine="0"/>
              <w:rPr>
                <w:color w:val="1F497D" w:themeColor="text2"/>
              </w:rPr>
            </w:pPr>
            <w:r w:rsidRPr="00F95030">
              <w:rPr>
                <w:color w:val="1F497D" w:themeColor="text2"/>
              </w:rPr>
              <w:t>Class II: Conditions for which there is conflicting evidence and/or a divergence of opinion about the usefulness/efficacy of a procedure or treatment.</w:t>
            </w:r>
          </w:p>
          <w:p w14:paraId="4C6ABE3F" w14:textId="77777777" w:rsidR="00B44B61" w:rsidRPr="00F95030" w:rsidRDefault="00B44B61" w:rsidP="00B44B61">
            <w:pPr>
              <w:ind w:left="0" w:firstLine="0"/>
              <w:rPr>
                <w:color w:val="1F497D" w:themeColor="text2"/>
              </w:rPr>
            </w:pPr>
            <w:r w:rsidRPr="00F95030">
              <w:rPr>
                <w:color w:val="1F497D" w:themeColor="text2"/>
              </w:rPr>
              <w:t>•</w:t>
            </w:r>
            <w:r w:rsidRPr="00F95030">
              <w:rPr>
                <w:color w:val="1F497D" w:themeColor="text2"/>
              </w:rPr>
              <w:tab/>
            </w:r>
            <w:proofErr w:type="spellStart"/>
            <w:r w:rsidRPr="00F95030">
              <w:rPr>
                <w:color w:val="1F497D" w:themeColor="text2"/>
              </w:rPr>
              <w:t>IIa</w:t>
            </w:r>
            <w:proofErr w:type="spellEnd"/>
            <w:r w:rsidRPr="00F95030">
              <w:rPr>
                <w:color w:val="1F497D" w:themeColor="text2"/>
              </w:rPr>
              <w:t>: Weight of evidence/opinion is in favor of usefulness/efficacy</w:t>
            </w:r>
          </w:p>
          <w:p w14:paraId="36115EAA" w14:textId="77777777" w:rsidR="00B44B61" w:rsidRPr="00F95030" w:rsidRDefault="00B44B61" w:rsidP="00B44B61">
            <w:pPr>
              <w:ind w:left="0" w:firstLine="0"/>
              <w:rPr>
                <w:color w:val="1F497D" w:themeColor="text2"/>
              </w:rPr>
            </w:pPr>
            <w:r w:rsidRPr="00F95030">
              <w:rPr>
                <w:color w:val="1F497D" w:themeColor="text2"/>
              </w:rPr>
              <w:t>•</w:t>
            </w:r>
            <w:r w:rsidRPr="00F95030">
              <w:rPr>
                <w:color w:val="1F497D" w:themeColor="text2"/>
              </w:rPr>
              <w:tab/>
              <w:t>IIb: Usefulness/efficacy is less well established by evidence/opinion.</w:t>
            </w:r>
          </w:p>
          <w:p w14:paraId="53696930" w14:textId="77777777" w:rsidR="00B44B61" w:rsidRPr="00F95030" w:rsidRDefault="00B44B61" w:rsidP="00B44B61">
            <w:pPr>
              <w:ind w:left="0" w:firstLine="0"/>
              <w:rPr>
                <w:color w:val="1F497D" w:themeColor="text2"/>
              </w:rPr>
            </w:pPr>
            <w:r w:rsidRPr="00F95030">
              <w:rPr>
                <w:color w:val="1F497D" w:themeColor="text2"/>
              </w:rPr>
              <w:t>Class III: Conditions for which there is evidence and/or general agreement that the procedure/treatment is not useful/effective e and in some cases may be harmful.</w:t>
            </w:r>
          </w:p>
          <w:p w14:paraId="0DF53094" w14:textId="77777777" w:rsidR="00B44B61" w:rsidRPr="00F95030" w:rsidRDefault="00B44B61" w:rsidP="00B44B61">
            <w:pPr>
              <w:ind w:left="0" w:firstLine="0"/>
              <w:rPr>
                <w:color w:val="1F497D" w:themeColor="text2"/>
              </w:rPr>
            </w:pPr>
            <w:r w:rsidRPr="00F95030">
              <w:rPr>
                <w:color w:val="1F497D" w:themeColor="text2"/>
              </w:rPr>
              <w:t>•</w:t>
            </w:r>
            <w:r w:rsidRPr="00F95030">
              <w:rPr>
                <w:color w:val="1F497D" w:themeColor="text2"/>
              </w:rPr>
              <w:tab/>
              <w:t>No Benefit- Procedure/Test not helpful or Treatment w/o established proven benefit</w:t>
            </w:r>
          </w:p>
          <w:p w14:paraId="125564F3" w14:textId="77777777" w:rsidR="00B44B61" w:rsidRPr="00F95030" w:rsidRDefault="00B44B61" w:rsidP="00B44B61">
            <w:pPr>
              <w:ind w:left="0" w:firstLine="0"/>
              <w:rPr>
                <w:color w:val="1F497D" w:themeColor="text2"/>
              </w:rPr>
            </w:pPr>
            <w:r w:rsidRPr="00F95030">
              <w:rPr>
                <w:color w:val="1F497D" w:themeColor="text2"/>
              </w:rPr>
              <w:t>•</w:t>
            </w:r>
            <w:r w:rsidRPr="00F95030">
              <w:rPr>
                <w:color w:val="1F497D" w:themeColor="text2"/>
              </w:rPr>
              <w:tab/>
              <w:t>Harm- Procedure/Test leads to excess cost w/o benefit or is harmful, and or Treatment is harmful</w:t>
            </w:r>
          </w:p>
          <w:p w14:paraId="710E872E" w14:textId="77777777" w:rsidR="00B44B61" w:rsidRPr="00F95030" w:rsidRDefault="00B44B61" w:rsidP="00B44B61">
            <w:pPr>
              <w:ind w:left="0" w:firstLine="0"/>
              <w:rPr>
                <w:color w:val="1F497D" w:themeColor="text2"/>
              </w:rPr>
            </w:pPr>
          </w:p>
          <w:p w14:paraId="5564E5CC" w14:textId="77777777" w:rsidR="00B44B61" w:rsidRPr="00F95030" w:rsidRDefault="00B44B61" w:rsidP="00B44B61">
            <w:pPr>
              <w:ind w:left="0" w:firstLine="0"/>
              <w:rPr>
                <w:color w:val="1F497D" w:themeColor="text2"/>
              </w:rPr>
            </w:pPr>
            <w:r w:rsidRPr="00F95030">
              <w:rPr>
                <w:color w:val="1F497D" w:themeColor="text2"/>
              </w:rPr>
              <w:t>Additional detail regarding the classification of recommendation and level of evidence is provided in the following table.</w:t>
            </w:r>
          </w:p>
          <w:p w14:paraId="591CA044" w14:textId="06535B62" w:rsidR="00B44B61" w:rsidRDefault="00B44B61" w:rsidP="00B44B61">
            <w:pPr>
              <w:ind w:left="0" w:firstLine="0"/>
              <w:rPr>
                <w:color w:val="365F91" w:themeColor="accent1" w:themeShade="BF"/>
              </w:rPr>
            </w:pPr>
            <w:r>
              <w:rPr>
                <w:noProof/>
              </w:rPr>
              <w:lastRenderedPageBreak/>
              <w:drawing>
                <wp:inline distT="0" distB="0" distL="0" distR="0" wp14:anchorId="3FA0DFFC" wp14:editId="28D1B67A">
                  <wp:extent cx="3727450" cy="3911831"/>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740715" cy="3925752"/>
                          </a:xfrm>
                          <a:prstGeom prst="rect">
                            <a:avLst/>
                          </a:prstGeom>
                        </pic:spPr>
                      </pic:pic>
                    </a:graphicData>
                  </a:graphic>
                </wp:inline>
              </w:drawing>
            </w:r>
          </w:p>
          <w:p w14:paraId="3A3D413F" w14:textId="77777777" w:rsidR="00B44B61" w:rsidRDefault="00B44B61" w:rsidP="00B44B61">
            <w:pPr>
              <w:ind w:left="0" w:firstLine="0"/>
              <w:rPr>
                <w:color w:val="365F91" w:themeColor="accent1" w:themeShade="BF"/>
              </w:rPr>
            </w:pPr>
          </w:p>
          <w:p w14:paraId="5AFCE0FB" w14:textId="77777777" w:rsidR="00B44B61" w:rsidRPr="00AC2674" w:rsidRDefault="00B44B61" w:rsidP="00B44B61">
            <w:pPr>
              <w:ind w:left="0" w:firstLine="0"/>
              <w:rPr>
                <w:color w:val="365F91" w:themeColor="accent1" w:themeShade="BF"/>
              </w:rPr>
            </w:pPr>
            <w:r w:rsidRPr="00AC2674">
              <w:rPr>
                <w:color w:val="365F91" w:themeColor="accent1" w:themeShade="BF"/>
              </w:rPr>
              <w:t xml:space="preserve">Additional detail regarding AHA/ASA’s gradation recommendations is provided in the following table. </w:t>
            </w:r>
          </w:p>
          <w:p w14:paraId="324FE7E2" w14:textId="77777777" w:rsidR="00B44B61" w:rsidRDefault="00B44B61" w:rsidP="00B44B61">
            <w:pPr>
              <w:ind w:left="0" w:firstLine="0"/>
              <w:rPr>
                <w:b/>
              </w:rPr>
            </w:pPr>
            <w:r>
              <w:rPr>
                <w:noProof/>
              </w:rPr>
              <w:drawing>
                <wp:inline distT="0" distB="0" distL="0" distR="0" wp14:anchorId="1A238E9F" wp14:editId="02B6B305">
                  <wp:extent cx="3708400" cy="1683836"/>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751838" cy="1703559"/>
                          </a:xfrm>
                          <a:prstGeom prst="rect">
                            <a:avLst/>
                          </a:prstGeom>
                        </pic:spPr>
                      </pic:pic>
                    </a:graphicData>
                  </a:graphic>
                </wp:inline>
              </w:drawing>
            </w:r>
          </w:p>
          <w:p w14:paraId="3E7F95C1" w14:textId="468E06CE" w:rsidR="00B44B61" w:rsidRDefault="00B44B61" w:rsidP="00B44B61">
            <w:pPr>
              <w:ind w:left="0" w:firstLine="0"/>
              <w:rPr>
                <w:b/>
              </w:rPr>
            </w:pPr>
          </w:p>
          <w:p w14:paraId="57A310A0" w14:textId="5AF1DC11" w:rsidR="00B44B61" w:rsidRPr="00F95030" w:rsidRDefault="00B44B61" w:rsidP="00B44B61">
            <w:pPr>
              <w:ind w:left="0" w:firstLine="0"/>
              <w:rPr>
                <w:color w:val="1F497D" w:themeColor="text2"/>
              </w:rPr>
            </w:pPr>
            <w:r w:rsidRPr="00F95030">
              <w:rPr>
                <w:color w:val="1F497D" w:themeColor="text2"/>
              </w:rPr>
              <w:t>ACCF/AHA Task Force on Practice Guidelines. Methodology Manual and Policies From the ACCF/AHA Task Force on Practice Guidelines. American College of Cardiology Foundation and American Heart Association, Inc.  Cardiosource.com. 2010.</w:t>
            </w:r>
            <w:r>
              <w:rPr>
                <w:color w:val="1F497D" w:themeColor="text2"/>
              </w:rPr>
              <w:t xml:space="preserve"> </w:t>
            </w:r>
            <w:r w:rsidRPr="00F95030">
              <w:rPr>
                <w:color w:val="1F497D" w:themeColor="text2"/>
              </w:rPr>
              <w:t>Available at:</w:t>
            </w:r>
            <w:r>
              <w:rPr>
                <w:color w:val="1F497D" w:themeColor="text2"/>
              </w:rPr>
              <w:t xml:space="preserve"> </w:t>
            </w:r>
            <w:hyperlink r:id="rId23" w:history="1">
              <w:r w:rsidRPr="00FD54CB">
                <w:rPr>
                  <w:rStyle w:val="Hyperlink"/>
                </w:rPr>
                <w:t>http://assets.cardiosource.com/</w:t>
              </w:r>
            </w:hyperlink>
            <w:r>
              <w:rPr>
                <w:color w:val="1F497D" w:themeColor="text2"/>
              </w:rPr>
              <w:t xml:space="preserve"> </w:t>
            </w:r>
            <w:r w:rsidRPr="00F95030">
              <w:rPr>
                <w:color w:val="1F497D" w:themeColor="text2"/>
              </w:rPr>
              <w:t xml:space="preserve">Methodology_Manual_for_ACC_AHA_Writing_Committees.pdf and </w:t>
            </w:r>
            <w:hyperlink r:id="rId24" w:history="1">
              <w:r w:rsidRPr="00FD54CB">
                <w:rPr>
                  <w:rStyle w:val="Hyperlink"/>
                </w:rPr>
                <w:t>http://my.americanheart.org/idc/groups/ahamah  public/@wcm/@sop/documents/downloadable/ucm_319826.pdf</w:t>
              </w:r>
            </w:hyperlink>
            <w:r w:rsidRPr="00F95030">
              <w:rPr>
                <w:color w:val="1F497D" w:themeColor="text2"/>
              </w:rPr>
              <w:t>.</w:t>
            </w:r>
          </w:p>
          <w:p w14:paraId="51A7E4CD" w14:textId="71A431BA" w:rsidR="00B44B61" w:rsidRPr="003B1CC5" w:rsidRDefault="00B44B61" w:rsidP="00B44B61">
            <w:pPr>
              <w:ind w:left="0" w:firstLine="0"/>
              <w:rPr>
                <w:b/>
              </w:rPr>
            </w:pPr>
          </w:p>
          <w:p w14:paraId="2778E047" w14:textId="77777777" w:rsidR="00B44B61" w:rsidRDefault="00B44B61" w:rsidP="000123BE">
            <w:pPr>
              <w:ind w:left="0" w:firstLine="0"/>
              <w:rPr>
                <w:bCs/>
                <w:color w:val="FF0000"/>
                <w:u w:val="single"/>
              </w:rPr>
            </w:pPr>
          </w:p>
          <w:p w14:paraId="69EABF5B" w14:textId="3F5E809D" w:rsidR="000123BE" w:rsidRPr="00424E66" w:rsidRDefault="000123BE" w:rsidP="000123BE">
            <w:pPr>
              <w:ind w:left="0" w:firstLine="0"/>
              <w:rPr>
                <w:bCs/>
                <w:color w:val="FF0000"/>
                <w:u w:val="single"/>
              </w:rPr>
            </w:pPr>
            <w:r w:rsidRPr="00424E66">
              <w:rPr>
                <w:bCs/>
                <w:color w:val="FF0000"/>
                <w:u w:val="single"/>
              </w:rPr>
              <w:t>AHA/ASA 2018 Guideline</w:t>
            </w:r>
            <w:r>
              <w:rPr>
                <w:bCs/>
                <w:color w:val="FF0000"/>
                <w:u w:val="single"/>
              </w:rPr>
              <w:t>s</w:t>
            </w:r>
            <w:r w:rsidRPr="00424E66">
              <w:rPr>
                <w:bCs/>
                <w:color w:val="FF0000"/>
                <w:u w:val="single"/>
              </w:rPr>
              <w:t>:</w:t>
            </w:r>
          </w:p>
          <w:p w14:paraId="6DBBF852" w14:textId="266301C1" w:rsidR="000123BE" w:rsidRDefault="000123BE" w:rsidP="000123BE">
            <w:pPr>
              <w:ind w:left="0" w:firstLine="0"/>
              <w:rPr>
                <w:noProof/>
                <w:color w:val="FF0000"/>
              </w:rPr>
            </w:pPr>
            <w:r w:rsidRPr="00BE387F">
              <w:rPr>
                <w:noProof/>
                <w:color w:val="FF0000"/>
              </w:rPr>
              <w:lastRenderedPageBreak/>
              <w:t xml:space="preserve">These </w:t>
            </w:r>
            <w:r w:rsidR="001C4E14">
              <w:rPr>
                <w:noProof/>
                <w:color w:val="FF0000"/>
              </w:rPr>
              <w:t>classifications</w:t>
            </w:r>
            <w:r w:rsidRPr="00BE387F">
              <w:rPr>
                <w:noProof/>
                <w:color w:val="FF0000"/>
              </w:rPr>
              <w:t xml:space="preserve"> </w:t>
            </w:r>
            <w:r>
              <w:rPr>
                <w:noProof/>
                <w:color w:val="FF0000"/>
              </w:rPr>
              <w:t xml:space="preserve">apply </w:t>
            </w:r>
            <w:r w:rsidRPr="00BE387F">
              <w:rPr>
                <w:noProof/>
                <w:color w:val="FF0000"/>
              </w:rPr>
              <w:t xml:space="preserve">the ACC/AHA 2015 </w:t>
            </w:r>
            <w:r>
              <w:rPr>
                <w:noProof/>
                <w:color w:val="FF0000"/>
              </w:rPr>
              <w:t>Class of Recommendations</w:t>
            </w:r>
            <w:r w:rsidR="00CA0FAE">
              <w:rPr>
                <w:noProof/>
                <w:color w:val="FF0000"/>
              </w:rPr>
              <w:t xml:space="preserve"> (COR)</w:t>
            </w:r>
            <w:r>
              <w:rPr>
                <w:noProof/>
                <w:color w:val="FF0000"/>
              </w:rPr>
              <w:t xml:space="preserve"> to Clinical Strategies, Interventions, Treatments, or Diagnostic Testing in Patient Care*. </w:t>
            </w:r>
            <w:r w:rsidR="00CA0FAE">
              <w:rPr>
                <w:noProof/>
                <w:color w:val="FF0000"/>
              </w:rPr>
              <w:t xml:space="preserve">The COR reflects the magnitude of benefit over risk and corresponds to the strength of the recommendation. </w:t>
            </w:r>
            <w:r w:rsidR="00AA2D27">
              <w:rPr>
                <w:noProof/>
                <w:color w:val="FF0000"/>
              </w:rPr>
              <w:t>Class I recommendations are strong and indicate that the treatment, procedure, or intervention is useful and effective and should be performed or administered for most patients under most circumstances</w:t>
            </w:r>
            <w:r w:rsidR="00C66462">
              <w:rPr>
                <w:noProof/>
                <w:color w:val="FF0000"/>
              </w:rPr>
              <w:t xml:space="preserve"> (</w:t>
            </w:r>
            <w:r w:rsidR="00C66462" w:rsidRPr="00352959">
              <w:rPr>
                <w:color w:val="FF0000"/>
              </w:rPr>
              <w:t>Halperin</w:t>
            </w:r>
            <w:r w:rsidR="00C66462">
              <w:rPr>
                <w:color w:val="FF0000"/>
              </w:rPr>
              <w:t xml:space="preserve"> et al., 2016).</w:t>
            </w:r>
          </w:p>
          <w:p w14:paraId="56D3B723" w14:textId="13259CA0" w:rsidR="000123BE" w:rsidRPr="00E84995" w:rsidRDefault="000123BE" w:rsidP="000123BE">
            <w:pPr>
              <w:ind w:left="0" w:firstLine="0"/>
              <w:rPr>
                <w:noProof/>
                <w:color w:val="FF0000"/>
              </w:rPr>
            </w:pPr>
          </w:p>
          <w:tbl>
            <w:tblPr>
              <w:tblW w:w="6817" w:type="dxa"/>
              <w:tblLayout w:type="fixed"/>
              <w:tblLook w:val="04A0" w:firstRow="1" w:lastRow="0" w:firstColumn="1" w:lastColumn="0" w:noHBand="0" w:noVBand="1"/>
            </w:tblPr>
            <w:tblGrid>
              <w:gridCol w:w="1600"/>
              <w:gridCol w:w="5217"/>
            </w:tblGrid>
            <w:tr w:rsidR="00E84995" w:rsidRPr="00E84995" w14:paraId="1F6D3030" w14:textId="77777777" w:rsidTr="00E84995">
              <w:trPr>
                <w:trHeight w:val="288"/>
              </w:trPr>
              <w:tc>
                <w:tcPr>
                  <w:tcW w:w="68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5433C4E" w14:textId="77777777" w:rsidR="00E84995" w:rsidRPr="00E84995" w:rsidRDefault="00E84995" w:rsidP="00E84995">
                  <w:pPr>
                    <w:ind w:left="0" w:firstLine="0"/>
                    <w:jc w:val="center"/>
                    <w:rPr>
                      <w:rFonts w:ascii="Calibri" w:eastAsia="Times New Roman" w:hAnsi="Calibri" w:cs="Calibri"/>
                      <w:color w:val="FF0000"/>
                    </w:rPr>
                  </w:pPr>
                  <w:r w:rsidRPr="00E84995">
                    <w:rPr>
                      <w:rFonts w:ascii="Calibri" w:eastAsia="Times New Roman" w:hAnsi="Calibri" w:cs="Calibri"/>
                      <w:color w:val="FF0000"/>
                    </w:rPr>
                    <w:t>Class (Strength) of Recommendation</w:t>
                  </w:r>
                </w:p>
              </w:tc>
            </w:tr>
            <w:tr w:rsidR="00E84995" w:rsidRPr="00E84995" w14:paraId="79973BAC" w14:textId="77777777" w:rsidTr="00E84995">
              <w:trPr>
                <w:trHeight w:val="2213"/>
              </w:trPr>
              <w:tc>
                <w:tcPr>
                  <w:tcW w:w="1600" w:type="dxa"/>
                  <w:tcBorders>
                    <w:top w:val="nil"/>
                    <w:left w:val="single" w:sz="4" w:space="0" w:color="auto"/>
                    <w:bottom w:val="single" w:sz="4" w:space="0" w:color="auto"/>
                    <w:right w:val="single" w:sz="4" w:space="0" w:color="auto"/>
                  </w:tcBorders>
                  <w:shd w:val="clear" w:color="auto" w:fill="auto"/>
                  <w:hideMark/>
                </w:tcPr>
                <w:p w14:paraId="3ADE6F97"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Class I (Strong) Benefit &gt;&gt;&gt;Risk</w:t>
                  </w:r>
                </w:p>
              </w:tc>
              <w:tc>
                <w:tcPr>
                  <w:tcW w:w="5217" w:type="dxa"/>
                  <w:tcBorders>
                    <w:top w:val="nil"/>
                    <w:left w:val="nil"/>
                    <w:bottom w:val="single" w:sz="4" w:space="0" w:color="auto"/>
                    <w:right w:val="single" w:sz="4" w:space="0" w:color="auto"/>
                  </w:tcBorders>
                  <w:shd w:val="clear" w:color="auto" w:fill="auto"/>
                  <w:hideMark/>
                </w:tcPr>
                <w:p w14:paraId="026BB8A5"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Suggested phrases for writing recommendations:</w:t>
                  </w:r>
                  <w:r w:rsidRPr="00E84995">
                    <w:rPr>
                      <w:rFonts w:ascii="Calibri" w:eastAsia="Times New Roman" w:hAnsi="Calibri" w:cs="Calibri"/>
                      <w:color w:val="FF0000"/>
                    </w:rPr>
                    <w:br/>
                    <w:t>-Is recommended</w:t>
                  </w:r>
                  <w:r w:rsidRPr="00E84995">
                    <w:rPr>
                      <w:rFonts w:ascii="Calibri" w:eastAsia="Times New Roman" w:hAnsi="Calibri" w:cs="Calibri"/>
                      <w:color w:val="FF0000"/>
                    </w:rPr>
                    <w:br/>
                    <w:t>-Is indicated / useful / effective / beneficial</w:t>
                  </w:r>
                  <w:r w:rsidRPr="00E84995">
                    <w:rPr>
                      <w:rFonts w:ascii="Calibri" w:eastAsia="Times New Roman" w:hAnsi="Calibri" w:cs="Calibri"/>
                      <w:color w:val="FF0000"/>
                    </w:rPr>
                    <w:br/>
                    <w:t>-Should be performed / administered / other</w:t>
                  </w:r>
                  <w:r w:rsidRPr="00E84995">
                    <w:rPr>
                      <w:rFonts w:ascii="Calibri" w:eastAsia="Times New Roman" w:hAnsi="Calibri" w:cs="Calibri"/>
                      <w:color w:val="FF0000"/>
                    </w:rPr>
                    <w:br/>
                    <w:t>-Comparative-Effectiveness Phrases**:</w:t>
                  </w:r>
                  <w:r w:rsidRPr="00E84995">
                    <w:rPr>
                      <w:rFonts w:ascii="Calibri" w:eastAsia="Times New Roman" w:hAnsi="Calibri" w:cs="Calibri"/>
                      <w:color w:val="FF0000"/>
                    </w:rPr>
                    <w:br/>
                    <w:t>--Treatment / strategy A is recommended / indicated in preference to treatment B</w:t>
                  </w:r>
                  <w:r w:rsidRPr="00E84995">
                    <w:rPr>
                      <w:rFonts w:ascii="Calibri" w:eastAsia="Times New Roman" w:hAnsi="Calibri" w:cs="Calibri"/>
                      <w:color w:val="FF0000"/>
                    </w:rPr>
                    <w:br/>
                    <w:t>--Treatment A should be chosen over treatment B</w:t>
                  </w:r>
                </w:p>
              </w:tc>
            </w:tr>
            <w:tr w:rsidR="00E84995" w:rsidRPr="00E84995" w14:paraId="7642CC7F" w14:textId="77777777" w:rsidTr="00E84995">
              <w:trPr>
                <w:trHeight w:val="2141"/>
              </w:trPr>
              <w:tc>
                <w:tcPr>
                  <w:tcW w:w="1600" w:type="dxa"/>
                  <w:tcBorders>
                    <w:top w:val="nil"/>
                    <w:left w:val="single" w:sz="4" w:space="0" w:color="auto"/>
                    <w:bottom w:val="single" w:sz="4" w:space="0" w:color="auto"/>
                    <w:right w:val="single" w:sz="4" w:space="0" w:color="auto"/>
                  </w:tcBorders>
                  <w:shd w:val="clear" w:color="auto" w:fill="auto"/>
                  <w:hideMark/>
                </w:tcPr>
                <w:p w14:paraId="39D93C5C"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 xml:space="preserve">Class </w:t>
                  </w:r>
                  <w:proofErr w:type="spellStart"/>
                  <w:r w:rsidRPr="00E84995">
                    <w:rPr>
                      <w:rFonts w:ascii="Calibri" w:eastAsia="Times New Roman" w:hAnsi="Calibri" w:cs="Calibri"/>
                      <w:color w:val="FF0000"/>
                    </w:rPr>
                    <w:t>IIa</w:t>
                  </w:r>
                  <w:proofErr w:type="spellEnd"/>
                  <w:r w:rsidRPr="00E84995">
                    <w:rPr>
                      <w:rFonts w:ascii="Calibri" w:eastAsia="Times New Roman" w:hAnsi="Calibri" w:cs="Calibri"/>
                      <w:color w:val="FF0000"/>
                    </w:rPr>
                    <w:t xml:space="preserve"> (Moderate) Benefit &gt;&gt;Risk</w:t>
                  </w:r>
                </w:p>
              </w:tc>
              <w:tc>
                <w:tcPr>
                  <w:tcW w:w="5217" w:type="dxa"/>
                  <w:tcBorders>
                    <w:top w:val="nil"/>
                    <w:left w:val="nil"/>
                    <w:bottom w:val="single" w:sz="4" w:space="0" w:color="auto"/>
                    <w:right w:val="single" w:sz="4" w:space="0" w:color="auto"/>
                  </w:tcBorders>
                  <w:shd w:val="clear" w:color="auto" w:fill="auto"/>
                  <w:hideMark/>
                </w:tcPr>
                <w:p w14:paraId="5DED5E2D"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Suggested phrases for writing recommendations:</w:t>
                  </w:r>
                  <w:r w:rsidRPr="00E84995">
                    <w:rPr>
                      <w:rFonts w:ascii="Calibri" w:eastAsia="Times New Roman" w:hAnsi="Calibri" w:cs="Calibri"/>
                      <w:color w:val="FF0000"/>
                    </w:rPr>
                    <w:br/>
                    <w:t>-Is reasonable</w:t>
                  </w:r>
                  <w:r w:rsidRPr="00E84995">
                    <w:rPr>
                      <w:rFonts w:ascii="Calibri" w:eastAsia="Times New Roman" w:hAnsi="Calibri" w:cs="Calibri"/>
                      <w:color w:val="FF0000"/>
                    </w:rPr>
                    <w:br/>
                    <w:t>-Can be useful / effective / beneficial</w:t>
                  </w:r>
                  <w:r w:rsidRPr="00E84995">
                    <w:rPr>
                      <w:rFonts w:ascii="Calibri" w:eastAsia="Times New Roman" w:hAnsi="Calibri" w:cs="Calibri"/>
                      <w:color w:val="FF0000"/>
                    </w:rPr>
                    <w:br/>
                    <w:t>-Comparative-Effectiveness Phrases**:</w:t>
                  </w:r>
                  <w:r w:rsidRPr="00E84995">
                    <w:rPr>
                      <w:rFonts w:ascii="Calibri" w:eastAsia="Times New Roman" w:hAnsi="Calibri" w:cs="Calibri"/>
                      <w:color w:val="FF0000"/>
                    </w:rPr>
                    <w:br/>
                    <w:t>--Treatment / strategy A is probably recommended / indicated in preference to treatment B</w:t>
                  </w:r>
                  <w:r w:rsidRPr="00E84995">
                    <w:rPr>
                      <w:rFonts w:ascii="Calibri" w:eastAsia="Times New Roman" w:hAnsi="Calibri" w:cs="Calibri"/>
                      <w:color w:val="FF0000"/>
                    </w:rPr>
                    <w:br/>
                    <w:t>--It is reasonable to choose treatment A over treatment B</w:t>
                  </w:r>
                </w:p>
              </w:tc>
            </w:tr>
            <w:tr w:rsidR="00E84995" w:rsidRPr="00E84995" w14:paraId="41932936" w14:textId="77777777" w:rsidTr="00E84995">
              <w:trPr>
                <w:trHeight w:val="1529"/>
              </w:trPr>
              <w:tc>
                <w:tcPr>
                  <w:tcW w:w="1600" w:type="dxa"/>
                  <w:tcBorders>
                    <w:top w:val="nil"/>
                    <w:left w:val="single" w:sz="4" w:space="0" w:color="auto"/>
                    <w:bottom w:val="single" w:sz="4" w:space="0" w:color="auto"/>
                    <w:right w:val="single" w:sz="4" w:space="0" w:color="auto"/>
                  </w:tcBorders>
                  <w:shd w:val="clear" w:color="auto" w:fill="auto"/>
                  <w:hideMark/>
                </w:tcPr>
                <w:p w14:paraId="7BAC1068"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Class IIb (Weak) Benefit ≥Risk</w:t>
                  </w:r>
                </w:p>
              </w:tc>
              <w:tc>
                <w:tcPr>
                  <w:tcW w:w="5217" w:type="dxa"/>
                  <w:tcBorders>
                    <w:top w:val="nil"/>
                    <w:left w:val="nil"/>
                    <w:bottom w:val="single" w:sz="4" w:space="0" w:color="auto"/>
                    <w:right w:val="single" w:sz="4" w:space="0" w:color="auto"/>
                  </w:tcBorders>
                  <w:shd w:val="clear" w:color="auto" w:fill="auto"/>
                  <w:hideMark/>
                </w:tcPr>
                <w:p w14:paraId="12FE51C2"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Suggested phrases for writing recommendations:</w:t>
                  </w:r>
                  <w:r w:rsidRPr="00E84995">
                    <w:rPr>
                      <w:rFonts w:ascii="Calibri" w:eastAsia="Times New Roman" w:hAnsi="Calibri" w:cs="Calibri"/>
                      <w:color w:val="FF0000"/>
                    </w:rPr>
                    <w:br/>
                    <w:t>-May / might be reasonable</w:t>
                  </w:r>
                  <w:r w:rsidRPr="00E84995">
                    <w:rPr>
                      <w:rFonts w:ascii="Calibri" w:eastAsia="Times New Roman" w:hAnsi="Calibri" w:cs="Calibri"/>
                      <w:color w:val="FF0000"/>
                    </w:rPr>
                    <w:br/>
                    <w:t>-May / might be considered</w:t>
                  </w:r>
                  <w:r w:rsidRPr="00E84995">
                    <w:rPr>
                      <w:rFonts w:ascii="Calibri" w:eastAsia="Times New Roman" w:hAnsi="Calibri" w:cs="Calibri"/>
                      <w:color w:val="FF0000"/>
                    </w:rPr>
                    <w:br/>
                    <w:t>-</w:t>
                  </w:r>
                  <w:proofErr w:type="spellStart"/>
                  <w:r w:rsidRPr="00E84995">
                    <w:rPr>
                      <w:rFonts w:ascii="Calibri" w:eastAsia="Times New Roman" w:hAnsi="Calibri" w:cs="Calibri"/>
                      <w:color w:val="FF0000"/>
                    </w:rPr>
                    <w:t>Userfulness</w:t>
                  </w:r>
                  <w:proofErr w:type="spellEnd"/>
                  <w:r w:rsidRPr="00E84995">
                    <w:rPr>
                      <w:rFonts w:ascii="Calibri" w:eastAsia="Times New Roman" w:hAnsi="Calibri" w:cs="Calibri"/>
                      <w:color w:val="FF0000"/>
                    </w:rPr>
                    <w:t xml:space="preserve"> / effectiveness is unknown / unclear / uncertain or not well established</w:t>
                  </w:r>
                </w:p>
              </w:tc>
            </w:tr>
            <w:tr w:rsidR="00E84995" w:rsidRPr="00E84995" w14:paraId="60372001" w14:textId="77777777" w:rsidTr="00E84995">
              <w:trPr>
                <w:trHeight w:val="1241"/>
              </w:trPr>
              <w:tc>
                <w:tcPr>
                  <w:tcW w:w="1600" w:type="dxa"/>
                  <w:tcBorders>
                    <w:top w:val="nil"/>
                    <w:left w:val="single" w:sz="4" w:space="0" w:color="auto"/>
                    <w:bottom w:val="single" w:sz="4" w:space="0" w:color="auto"/>
                    <w:right w:val="single" w:sz="4" w:space="0" w:color="auto"/>
                  </w:tcBorders>
                  <w:shd w:val="clear" w:color="auto" w:fill="auto"/>
                  <w:hideMark/>
                </w:tcPr>
                <w:p w14:paraId="45A0DD20"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Class III: No Benefit (Moderate) Benefit = Risk</w:t>
                  </w:r>
                </w:p>
              </w:tc>
              <w:tc>
                <w:tcPr>
                  <w:tcW w:w="5217" w:type="dxa"/>
                  <w:tcBorders>
                    <w:top w:val="nil"/>
                    <w:left w:val="nil"/>
                    <w:bottom w:val="single" w:sz="4" w:space="0" w:color="auto"/>
                    <w:right w:val="single" w:sz="4" w:space="0" w:color="auto"/>
                  </w:tcBorders>
                  <w:shd w:val="clear" w:color="auto" w:fill="auto"/>
                  <w:hideMark/>
                </w:tcPr>
                <w:p w14:paraId="474FECAA"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Suggested phrases for writing recommendations:</w:t>
                  </w:r>
                  <w:r w:rsidRPr="00E84995">
                    <w:rPr>
                      <w:rFonts w:ascii="Calibri" w:eastAsia="Times New Roman" w:hAnsi="Calibri" w:cs="Calibri"/>
                      <w:color w:val="FF0000"/>
                    </w:rPr>
                    <w:br/>
                    <w:t>-Is not recommended</w:t>
                  </w:r>
                  <w:r w:rsidRPr="00E84995">
                    <w:rPr>
                      <w:rFonts w:ascii="Calibri" w:eastAsia="Times New Roman" w:hAnsi="Calibri" w:cs="Calibri"/>
                      <w:color w:val="FF0000"/>
                    </w:rPr>
                    <w:br/>
                    <w:t>-Is not indicated / useful / effective / beneficial</w:t>
                  </w:r>
                  <w:r w:rsidRPr="00E84995">
                    <w:rPr>
                      <w:rFonts w:ascii="Calibri" w:eastAsia="Times New Roman" w:hAnsi="Calibri" w:cs="Calibri"/>
                      <w:color w:val="FF0000"/>
                    </w:rPr>
                    <w:br/>
                    <w:t>-Should not be performed / administered / other</w:t>
                  </w:r>
                </w:p>
              </w:tc>
            </w:tr>
            <w:tr w:rsidR="00E84995" w:rsidRPr="00E84995" w14:paraId="14D3ADFF" w14:textId="77777777" w:rsidTr="00E84995">
              <w:trPr>
                <w:trHeight w:val="1520"/>
              </w:trPr>
              <w:tc>
                <w:tcPr>
                  <w:tcW w:w="1600" w:type="dxa"/>
                  <w:tcBorders>
                    <w:top w:val="nil"/>
                    <w:left w:val="single" w:sz="4" w:space="0" w:color="auto"/>
                    <w:bottom w:val="single" w:sz="4" w:space="0" w:color="auto"/>
                    <w:right w:val="single" w:sz="4" w:space="0" w:color="auto"/>
                  </w:tcBorders>
                  <w:shd w:val="clear" w:color="auto" w:fill="auto"/>
                  <w:hideMark/>
                </w:tcPr>
                <w:p w14:paraId="3DD3B5EF"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Class III: Harm (Strong) Risk&gt;Benefit</w:t>
                  </w:r>
                </w:p>
              </w:tc>
              <w:tc>
                <w:tcPr>
                  <w:tcW w:w="5217" w:type="dxa"/>
                  <w:tcBorders>
                    <w:top w:val="nil"/>
                    <w:left w:val="nil"/>
                    <w:bottom w:val="single" w:sz="4" w:space="0" w:color="auto"/>
                    <w:right w:val="single" w:sz="4" w:space="0" w:color="auto"/>
                  </w:tcBorders>
                  <w:shd w:val="clear" w:color="auto" w:fill="auto"/>
                  <w:hideMark/>
                </w:tcPr>
                <w:p w14:paraId="7DF7570E"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Suggested phrases for writing recommendations:</w:t>
                  </w:r>
                  <w:r w:rsidRPr="00E84995">
                    <w:rPr>
                      <w:rFonts w:ascii="Calibri" w:eastAsia="Times New Roman" w:hAnsi="Calibri" w:cs="Calibri"/>
                      <w:color w:val="FF0000"/>
                    </w:rPr>
                    <w:br/>
                    <w:t>-Potentially harmful</w:t>
                  </w:r>
                  <w:r w:rsidRPr="00E84995">
                    <w:rPr>
                      <w:rFonts w:ascii="Calibri" w:eastAsia="Times New Roman" w:hAnsi="Calibri" w:cs="Calibri"/>
                      <w:color w:val="FF0000"/>
                    </w:rPr>
                    <w:br/>
                    <w:t>-Causes harm</w:t>
                  </w:r>
                  <w:r w:rsidRPr="00E84995">
                    <w:rPr>
                      <w:rFonts w:ascii="Calibri" w:eastAsia="Times New Roman" w:hAnsi="Calibri" w:cs="Calibri"/>
                      <w:color w:val="FF0000"/>
                    </w:rPr>
                    <w:br/>
                    <w:t>-Associated with excess morbidity / mortality</w:t>
                  </w:r>
                  <w:r w:rsidRPr="00E84995">
                    <w:rPr>
                      <w:rFonts w:ascii="Calibri" w:eastAsia="Times New Roman" w:hAnsi="Calibri" w:cs="Calibri"/>
                      <w:color w:val="FF0000"/>
                    </w:rPr>
                    <w:br/>
                    <w:t>-Should not be performed / administered / other</w:t>
                  </w:r>
                </w:p>
              </w:tc>
            </w:tr>
            <w:tr w:rsidR="00E84995" w:rsidRPr="00E84995" w14:paraId="4245DE08" w14:textId="77777777" w:rsidTr="00E84995">
              <w:trPr>
                <w:trHeight w:val="660"/>
              </w:trPr>
              <w:tc>
                <w:tcPr>
                  <w:tcW w:w="68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C6D77F"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COR and LOE are determined independently (any COR may be paired with any LOE).</w:t>
                  </w:r>
                </w:p>
              </w:tc>
            </w:tr>
            <w:tr w:rsidR="00E84995" w:rsidRPr="00E84995" w14:paraId="4379EA52" w14:textId="77777777" w:rsidTr="00E84995">
              <w:trPr>
                <w:trHeight w:val="660"/>
              </w:trPr>
              <w:tc>
                <w:tcPr>
                  <w:tcW w:w="68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63A9E8" w14:textId="7777777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t>*The outcome or result of the intervention should be specified (an improved clinical outcome or increased diagnostic accuracy or incremental prognostic information).</w:t>
                  </w:r>
                </w:p>
              </w:tc>
            </w:tr>
            <w:tr w:rsidR="00E84995" w:rsidRPr="00E84995" w14:paraId="3F04F968" w14:textId="77777777" w:rsidTr="00E84995">
              <w:trPr>
                <w:trHeight w:val="1248"/>
              </w:trPr>
              <w:tc>
                <w:tcPr>
                  <w:tcW w:w="68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1F18BE" w14:textId="148D1327" w:rsidR="00E84995" w:rsidRPr="00E84995" w:rsidRDefault="00E84995" w:rsidP="00E84995">
                  <w:pPr>
                    <w:ind w:left="0" w:firstLine="0"/>
                    <w:rPr>
                      <w:rFonts w:ascii="Calibri" w:eastAsia="Times New Roman" w:hAnsi="Calibri" w:cs="Calibri"/>
                      <w:color w:val="FF0000"/>
                    </w:rPr>
                  </w:pPr>
                  <w:r w:rsidRPr="00E84995">
                    <w:rPr>
                      <w:rFonts w:ascii="Calibri" w:eastAsia="Times New Roman" w:hAnsi="Calibri" w:cs="Calibri"/>
                      <w:color w:val="FF0000"/>
                    </w:rPr>
                    <w:lastRenderedPageBreak/>
                    <w:t xml:space="preserve">**For comparative-effectiveness recommendations (COR I and </w:t>
                  </w:r>
                  <w:proofErr w:type="spellStart"/>
                  <w:r w:rsidRPr="00E84995">
                    <w:rPr>
                      <w:rFonts w:ascii="Calibri" w:eastAsia="Times New Roman" w:hAnsi="Calibri" w:cs="Calibri"/>
                      <w:color w:val="FF0000"/>
                    </w:rPr>
                    <w:t>IIa</w:t>
                  </w:r>
                  <w:proofErr w:type="spellEnd"/>
                  <w:r w:rsidRPr="00E84995">
                    <w:rPr>
                      <w:rFonts w:ascii="Calibri" w:eastAsia="Times New Roman" w:hAnsi="Calibri" w:cs="Calibri"/>
                      <w:color w:val="FF0000"/>
                    </w:rPr>
                    <w:t>; LOE A and B only), studies that support the use of comparator verbs should involve direct comparisons of the treatments or strategies being evaluated.</w:t>
                  </w:r>
                </w:p>
              </w:tc>
            </w:tr>
          </w:tbl>
          <w:p w14:paraId="24F6509C" w14:textId="2712C3D7" w:rsidR="000123BE" w:rsidRPr="00E84995" w:rsidRDefault="00E84995" w:rsidP="000123BE">
            <w:pPr>
              <w:ind w:left="0" w:firstLine="0"/>
              <w:rPr>
                <w:noProof/>
                <w:color w:val="FF0000"/>
              </w:rPr>
            </w:pPr>
            <w:r w:rsidRPr="00E84995">
              <w:rPr>
                <w:rFonts w:cstheme="minorHAnsi"/>
                <w:noProof/>
                <w:color w:val="FF0000"/>
              </w:rPr>
              <w:t>(adapted from AHA/ASA 2018 Guidelines on the Early Management of Patients with Acute Ischemic Stroke)</w:t>
            </w:r>
          </w:p>
          <w:p w14:paraId="55B8DA84" w14:textId="30838879" w:rsidR="00AB4ECE" w:rsidRPr="00352959" w:rsidRDefault="00AB4ECE" w:rsidP="00352959">
            <w:pPr>
              <w:ind w:left="0" w:firstLine="0"/>
              <w:rPr>
                <w:noProof/>
                <w:color w:val="FF0000"/>
              </w:rPr>
            </w:pPr>
          </w:p>
        </w:tc>
      </w:tr>
      <w:tr w:rsidR="0059420F" w14:paraId="55B8DA8A" w14:textId="77777777" w:rsidTr="00562955">
        <w:tc>
          <w:tcPr>
            <w:tcW w:w="1795" w:type="dxa"/>
          </w:tcPr>
          <w:p w14:paraId="55B8DA86" w14:textId="77777777" w:rsidR="00AB4ECE" w:rsidRDefault="000E5C93" w:rsidP="002E2177">
            <w:pPr>
              <w:ind w:left="0" w:firstLine="0"/>
            </w:pPr>
            <w:r>
              <w:lastRenderedPageBreak/>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7555" w:type="dxa"/>
          </w:tcPr>
          <w:p w14:paraId="13952598" w14:textId="77777777" w:rsidR="00AA63CC" w:rsidRPr="00F95030" w:rsidRDefault="00AA63CC" w:rsidP="00AA63CC">
            <w:pPr>
              <w:ind w:left="432" w:hanging="432"/>
              <w:rPr>
                <w:color w:val="1F497D" w:themeColor="text2"/>
                <w:u w:val="single"/>
              </w:rPr>
            </w:pPr>
            <w:r w:rsidRPr="00F95030">
              <w:rPr>
                <w:color w:val="1F497D" w:themeColor="text2"/>
                <w:u w:val="single"/>
              </w:rPr>
              <w:t>AHA/ASA 2013 Guidelines:</w:t>
            </w:r>
          </w:p>
          <w:p w14:paraId="5BCFF7D5" w14:textId="77777777" w:rsidR="00AA63CC" w:rsidRPr="00F95030" w:rsidRDefault="00AA63CC" w:rsidP="00AA63CC">
            <w:pPr>
              <w:ind w:left="0" w:firstLine="0"/>
              <w:rPr>
                <w:color w:val="1F497D" w:themeColor="text2"/>
              </w:rPr>
            </w:pPr>
            <w:r w:rsidRPr="00F95030">
              <w:rPr>
                <w:color w:val="1F497D" w:themeColor="text2"/>
              </w:rPr>
              <w:t xml:space="preserve">Information regarding the total number of studies and type of study designs included in the body of evidence is not available.  </w:t>
            </w:r>
          </w:p>
          <w:p w14:paraId="54638862" w14:textId="77777777" w:rsidR="00AA63CC" w:rsidRPr="00F95030" w:rsidRDefault="00AA63CC" w:rsidP="00AA63CC">
            <w:pPr>
              <w:ind w:left="432" w:hanging="432"/>
              <w:rPr>
                <w:color w:val="1F497D" w:themeColor="text2"/>
              </w:rPr>
            </w:pPr>
          </w:p>
          <w:p w14:paraId="097407EC" w14:textId="4B663F09" w:rsidR="00AA63CC" w:rsidRDefault="00AA63CC" w:rsidP="00AA63CC">
            <w:pPr>
              <w:ind w:left="0" w:firstLine="0"/>
              <w:rPr>
                <w:color w:val="1F497D" w:themeColor="text2"/>
              </w:rPr>
            </w:pPr>
            <w:r w:rsidRPr="00F95030">
              <w:rPr>
                <w:color w:val="1F497D" w:themeColor="text2"/>
              </w:rPr>
              <w:t xml:space="preserve">However, the guidelines cite that 16 randomized control trials, 1 open trial, 32 observational studies, and 4 meta-analyses were reviewed to develop the recommendations provided in 1a4.2 and most relevant to the patient populations addressed in the measure. </w:t>
            </w:r>
          </w:p>
          <w:p w14:paraId="2C8D0746" w14:textId="77777777" w:rsidR="00AA63CC" w:rsidRDefault="00AA63CC" w:rsidP="00AA63CC">
            <w:pPr>
              <w:ind w:left="0" w:firstLine="0"/>
              <w:rPr>
                <w:color w:val="1F497D" w:themeColor="text2"/>
              </w:rPr>
            </w:pPr>
          </w:p>
          <w:p w14:paraId="2FD37F9C" w14:textId="77777777" w:rsidR="00AA63CC" w:rsidRPr="00F95030" w:rsidRDefault="00AA63CC" w:rsidP="00AA63CC">
            <w:pPr>
              <w:ind w:left="432" w:hanging="432"/>
              <w:rPr>
                <w:iCs/>
                <w:color w:val="1F497D" w:themeColor="text2"/>
                <w:u w:val="single"/>
              </w:rPr>
            </w:pPr>
            <w:r w:rsidRPr="00F95030">
              <w:rPr>
                <w:iCs/>
                <w:color w:val="1F497D" w:themeColor="text2"/>
                <w:u w:val="single"/>
              </w:rPr>
              <w:t>AHA/ASA 2013 Guidelines:</w:t>
            </w:r>
          </w:p>
          <w:p w14:paraId="5FD33FD6" w14:textId="00B416A9" w:rsidR="00AA63CC" w:rsidRDefault="00AA63CC" w:rsidP="00AA63CC">
            <w:pPr>
              <w:ind w:left="0" w:firstLine="0"/>
              <w:rPr>
                <w:iCs/>
                <w:color w:val="1F497D" w:themeColor="text2"/>
              </w:rPr>
            </w:pPr>
            <w:r w:rsidRPr="00F95030">
              <w:rPr>
                <w:iCs/>
                <w:color w:val="1F497D" w:themeColor="text2"/>
              </w:rPr>
              <w:t xml:space="preserve">Information regarding the overall quality of evidence across studies is not available. </w:t>
            </w:r>
          </w:p>
          <w:p w14:paraId="17D6113D" w14:textId="77777777" w:rsidR="009D496C" w:rsidRPr="009D496C" w:rsidRDefault="009D496C" w:rsidP="00AA63CC">
            <w:pPr>
              <w:ind w:left="0" w:firstLine="0"/>
              <w:rPr>
                <w:iCs/>
                <w:color w:val="FF0000"/>
              </w:rPr>
            </w:pPr>
          </w:p>
          <w:p w14:paraId="325A593E" w14:textId="73E65994" w:rsidR="000B17B6" w:rsidRPr="009D496C" w:rsidRDefault="000B17B6" w:rsidP="00AA63CC">
            <w:pPr>
              <w:ind w:left="0" w:firstLine="0"/>
              <w:rPr>
                <w:iCs/>
                <w:color w:val="FF0000"/>
                <w:u w:val="single"/>
              </w:rPr>
            </w:pPr>
            <w:r w:rsidRPr="009D496C">
              <w:rPr>
                <w:iCs/>
                <w:color w:val="FF0000"/>
                <w:u w:val="single"/>
              </w:rPr>
              <w:t>AHA/ASA 2018 Guidelines:</w:t>
            </w:r>
          </w:p>
          <w:p w14:paraId="670788CF" w14:textId="08605EB1" w:rsidR="000B17B6" w:rsidRDefault="008227AB" w:rsidP="00AA63CC">
            <w:pPr>
              <w:ind w:left="0" w:firstLine="0"/>
              <w:rPr>
                <w:iCs/>
                <w:color w:val="FF0000"/>
              </w:rPr>
            </w:pPr>
            <w:r>
              <w:rPr>
                <w:iCs/>
                <w:color w:val="FF0000"/>
              </w:rPr>
              <w:t xml:space="preserve">Recommendation 1: </w:t>
            </w:r>
            <w:r w:rsidR="009D496C" w:rsidRPr="009D496C">
              <w:rPr>
                <w:iCs/>
                <w:color w:val="FF0000"/>
              </w:rPr>
              <w:t>The Guideline notes that there is no new pertinent evidence for th</w:t>
            </w:r>
            <w:r>
              <w:rPr>
                <w:iCs/>
                <w:color w:val="FF0000"/>
              </w:rPr>
              <w:t>is</w:t>
            </w:r>
            <w:r w:rsidR="009D496C" w:rsidRPr="009D496C">
              <w:rPr>
                <w:iCs/>
                <w:color w:val="FF0000"/>
              </w:rPr>
              <w:t xml:space="preserve"> unchanged recommendation</w:t>
            </w:r>
            <w:r w:rsidR="007C4E3E">
              <w:rPr>
                <w:iCs/>
                <w:color w:val="FF0000"/>
              </w:rPr>
              <w:t xml:space="preserve"> and refers to </w:t>
            </w:r>
            <w:r w:rsidR="007C4E3E" w:rsidRPr="007C4E3E">
              <w:rPr>
                <w:iCs/>
                <w:color w:val="FF0000"/>
              </w:rPr>
              <w:t xml:space="preserve">the 2013 Guideline. The 2013 Guideline </w:t>
            </w:r>
            <w:r w:rsidR="007C4E3E" w:rsidRPr="007C4E3E">
              <w:rPr>
                <w:color w:val="FF0000"/>
              </w:rPr>
              <w:t>cited that 16 randomized control trials, 1 open trial, 32 observational studies, and 4 meta-analyses were reviewed to develop the recommendation.</w:t>
            </w:r>
          </w:p>
          <w:p w14:paraId="14479380" w14:textId="18F25E2F" w:rsidR="008227AB" w:rsidRDefault="008227AB" w:rsidP="00AA63CC">
            <w:pPr>
              <w:ind w:left="0" w:firstLine="0"/>
              <w:rPr>
                <w:iCs/>
                <w:color w:val="FF0000"/>
              </w:rPr>
            </w:pPr>
          </w:p>
          <w:p w14:paraId="04579A9F" w14:textId="2C0170DF" w:rsidR="00AA63CC" w:rsidRPr="007C4E3E" w:rsidRDefault="008227AB" w:rsidP="00AA63CC">
            <w:pPr>
              <w:ind w:left="0" w:firstLine="0"/>
              <w:rPr>
                <w:iCs/>
                <w:color w:val="FF0000"/>
              </w:rPr>
            </w:pPr>
            <w:r>
              <w:rPr>
                <w:iCs/>
                <w:color w:val="FF0000"/>
              </w:rPr>
              <w:t xml:space="preserve">Recommendation 2: </w:t>
            </w:r>
            <w:r w:rsidR="007C4E3E">
              <w:rPr>
                <w:iCs/>
                <w:color w:val="FF0000"/>
              </w:rPr>
              <w:t>There are 3 retrospective observational (analytic) studies supporting this recommendation between 2014 and 2017. Combined</w:t>
            </w:r>
            <w:r w:rsidR="0064292B">
              <w:rPr>
                <w:iCs/>
                <w:color w:val="FF0000"/>
              </w:rPr>
              <w:t>,</w:t>
            </w:r>
            <w:r w:rsidR="007C4E3E">
              <w:rPr>
                <w:iCs/>
                <w:color w:val="FF0000"/>
              </w:rPr>
              <w:t xml:space="preserve"> these studies looked at 1,943 hospitals.</w:t>
            </w:r>
          </w:p>
          <w:p w14:paraId="55B8DA89" w14:textId="77777777" w:rsidR="00AB4ECE" w:rsidRDefault="00AB4ECE" w:rsidP="002E2177">
            <w:pPr>
              <w:ind w:left="0" w:firstLine="0"/>
            </w:pPr>
          </w:p>
        </w:tc>
      </w:tr>
      <w:tr w:rsidR="0059420F" w14:paraId="55B8DA8D" w14:textId="77777777" w:rsidTr="00562955">
        <w:tc>
          <w:tcPr>
            <w:tcW w:w="1795" w:type="dxa"/>
          </w:tcPr>
          <w:p w14:paraId="55B8DA8B" w14:textId="77777777" w:rsidR="00AB4ECE" w:rsidRDefault="000E5C93" w:rsidP="002E2177">
            <w:pPr>
              <w:ind w:left="0" w:firstLine="0"/>
            </w:pPr>
            <w:r>
              <w:t xml:space="preserve">Estimates of benefit and consistency across studies </w:t>
            </w:r>
          </w:p>
        </w:tc>
        <w:tc>
          <w:tcPr>
            <w:tcW w:w="7555" w:type="dxa"/>
          </w:tcPr>
          <w:p w14:paraId="6A4281FF" w14:textId="77777777" w:rsidR="00AA63CC" w:rsidRPr="00F95030" w:rsidRDefault="00AA63CC" w:rsidP="00AA63CC">
            <w:pPr>
              <w:ind w:left="0" w:firstLine="0"/>
              <w:rPr>
                <w:color w:val="1F497D" w:themeColor="text2"/>
                <w:u w:val="single"/>
              </w:rPr>
            </w:pPr>
            <w:r w:rsidRPr="00F95030">
              <w:rPr>
                <w:color w:val="1F497D" w:themeColor="text2"/>
                <w:u w:val="single"/>
              </w:rPr>
              <w:t>AHA/ASA 2013 Guidelines:</w:t>
            </w:r>
          </w:p>
          <w:p w14:paraId="14820C80" w14:textId="66C13D2B" w:rsidR="00AA63CC" w:rsidRDefault="00AA63CC" w:rsidP="00AA63CC">
            <w:pPr>
              <w:ind w:left="0" w:firstLine="0"/>
              <w:rPr>
                <w:color w:val="1F497D" w:themeColor="text2"/>
              </w:rPr>
            </w:pPr>
            <w:r w:rsidRPr="00F95030">
              <w:rPr>
                <w:color w:val="1F497D" w:themeColor="text2"/>
              </w:rPr>
              <w:t xml:space="preserve">The guideline does not include an overall estimate of benefit from the body of evidence.  However, they do include the following summary information regarding the benefits of timely </w:t>
            </w:r>
            <w:proofErr w:type="spellStart"/>
            <w:r w:rsidRPr="00F95030">
              <w:rPr>
                <w:color w:val="1F497D" w:themeColor="text2"/>
              </w:rPr>
              <w:t>rtPA</w:t>
            </w:r>
            <w:proofErr w:type="spellEnd"/>
            <w:r w:rsidRPr="00F95030">
              <w:rPr>
                <w:color w:val="1F497D" w:themeColor="text2"/>
              </w:rPr>
              <w:t xml:space="preserve"> treatment, </w:t>
            </w:r>
            <w:r w:rsidRPr="0064292B">
              <w:rPr>
                <w:color w:val="1F497D" w:themeColor="text2"/>
                <w:highlight w:val="yellow"/>
              </w:rPr>
              <w:t xml:space="preserve">“Intravenous administration of </w:t>
            </w:r>
            <w:proofErr w:type="spellStart"/>
            <w:r w:rsidRPr="0064292B">
              <w:rPr>
                <w:color w:val="1F497D" w:themeColor="text2"/>
                <w:highlight w:val="yellow"/>
              </w:rPr>
              <w:t>rtPA</w:t>
            </w:r>
            <w:proofErr w:type="spellEnd"/>
            <w:r w:rsidRPr="0064292B">
              <w:rPr>
                <w:color w:val="1F497D" w:themeColor="text2"/>
                <w:highlight w:val="yellow"/>
              </w:rPr>
              <w:t xml:space="preserve"> remains the only FDA-approved pharmacological therapy for treatment of patients with acute ischemic stroke. Its use is associated with improved outcomes for a broad spectrum of patients who can be treated within 3 hours of the last known well time before symptom onset and a mildly more selective spectrum of patients who can be treated between 3 and 4.5 hours of the last known well time. Most importantly, earlier treatment is more likely to result in a favorable outcome.”</w:t>
            </w:r>
          </w:p>
          <w:p w14:paraId="1E54870B" w14:textId="25D01B17" w:rsidR="00B23FCD" w:rsidRDefault="00B23FCD" w:rsidP="00AA63CC">
            <w:pPr>
              <w:ind w:left="0" w:firstLine="0"/>
              <w:rPr>
                <w:b/>
                <w:color w:val="1F497D" w:themeColor="text2"/>
              </w:rPr>
            </w:pPr>
          </w:p>
          <w:p w14:paraId="3BAC192C" w14:textId="1310E98F" w:rsidR="00B91911" w:rsidRDefault="00B91911" w:rsidP="00AA63CC">
            <w:pPr>
              <w:ind w:left="0" w:firstLine="0"/>
            </w:pPr>
            <w:r>
              <w:t>(</w:t>
            </w:r>
            <w:r>
              <w:rPr>
                <w:i/>
                <w:iCs/>
              </w:rPr>
              <w:t>e.g., ranges of percentages or odds ratios for improvement/ decline across studies, results of meta-analysis, and statistical significance</w:t>
            </w:r>
            <w:r>
              <w:t>)</w:t>
            </w:r>
          </w:p>
          <w:p w14:paraId="0ADCCBD3" w14:textId="77777777" w:rsidR="00B91911" w:rsidRDefault="00B91911" w:rsidP="00AA63CC">
            <w:pPr>
              <w:ind w:left="0" w:firstLine="0"/>
              <w:rPr>
                <w:b/>
                <w:color w:val="1F497D" w:themeColor="text2"/>
              </w:rPr>
            </w:pPr>
          </w:p>
          <w:p w14:paraId="065FB069" w14:textId="3C89EDC9" w:rsidR="00B23FCD" w:rsidRPr="001331F1" w:rsidRDefault="00B23FCD" w:rsidP="00AA63CC">
            <w:pPr>
              <w:ind w:left="0" w:firstLine="0"/>
              <w:rPr>
                <w:iCs/>
                <w:color w:val="FF0000"/>
              </w:rPr>
            </w:pPr>
            <w:r w:rsidRPr="00B23FCD">
              <w:rPr>
                <w:iCs/>
                <w:color w:val="FF0000"/>
                <w:u w:val="single"/>
              </w:rPr>
              <w:t>AHA/ASA 2018 Guidelines</w:t>
            </w:r>
            <w:r>
              <w:rPr>
                <w:iCs/>
                <w:color w:val="FF0000"/>
                <w:u w:val="single"/>
              </w:rPr>
              <w:t>:</w:t>
            </w:r>
          </w:p>
          <w:p w14:paraId="3A4E266D" w14:textId="0695F930" w:rsidR="00F05F04" w:rsidRDefault="000A3039" w:rsidP="00F05F04">
            <w:pPr>
              <w:ind w:left="0" w:firstLine="0"/>
              <w:rPr>
                <w:color w:val="1F497D" w:themeColor="text2"/>
              </w:rPr>
            </w:pPr>
            <w:r>
              <w:rPr>
                <w:iCs/>
                <w:color w:val="FF0000"/>
              </w:rPr>
              <w:lastRenderedPageBreak/>
              <w:t xml:space="preserve">Recommendation 1: </w:t>
            </w:r>
            <w:r w:rsidRPr="009D496C">
              <w:rPr>
                <w:iCs/>
                <w:color w:val="FF0000"/>
              </w:rPr>
              <w:t xml:space="preserve">The </w:t>
            </w:r>
            <w:r w:rsidR="00F05F04">
              <w:rPr>
                <w:iCs/>
                <w:color w:val="FF0000"/>
              </w:rPr>
              <w:t xml:space="preserve">2018 </w:t>
            </w:r>
            <w:r w:rsidRPr="009D496C">
              <w:rPr>
                <w:iCs/>
                <w:color w:val="FF0000"/>
              </w:rPr>
              <w:t>Guideline notes that there is no new pertinent evidence for th</w:t>
            </w:r>
            <w:r>
              <w:rPr>
                <w:iCs/>
                <w:color w:val="FF0000"/>
              </w:rPr>
              <w:t>is</w:t>
            </w:r>
            <w:r w:rsidRPr="009D496C">
              <w:rPr>
                <w:iCs/>
                <w:color w:val="FF0000"/>
              </w:rPr>
              <w:t xml:space="preserve"> unchanged recommendation</w:t>
            </w:r>
            <w:r>
              <w:rPr>
                <w:iCs/>
                <w:color w:val="FF0000"/>
              </w:rPr>
              <w:t xml:space="preserve"> and refers to </w:t>
            </w:r>
            <w:r w:rsidRPr="007C4E3E">
              <w:rPr>
                <w:iCs/>
                <w:color w:val="FF0000"/>
              </w:rPr>
              <w:t>the 2013</w:t>
            </w:r>
            <w:r w:rsidR="00F05F04">
              <w:rPr>
                <w:iCs/>
                <w:color w:val="FF0000"/>
              </w:rPr>
              <w:t xml:space="preserve"> AHA/ASA</w:t>
            </w:r>
            <w:r w:rsidRPr="007C4E3E">
              <w:rPr>
                <w:iCs/>
                <w:color w:val="FF0000"/>
              </w:rPr>
              <w:t xml:space="preserve"> Guideline. </w:t>
            </w:r>
            <w:r>
              <w:rPr>
                <w:iCs/>
                <w:color w:val="FF0000"/>
              </w:rPr>
              <w:t xml:space="preserve">The 2013 </w:t>
            </w:r>
            <w:r w:rsidR="00F05F04">
              <w:rPr>
                <w:iCs/>
                <w:color w:val="FF0000"/>
              </w:rPr>
              <w:t xml:space="preserve">Guideline did not include an overall estimate of benefit and consistency from the body of evidence supporting the recommendation. As noted in the previous submission, the 2013 Guidelines included the following summary regarding the benefits of timely alteplase </w:t>
            </w:r>
            <w:r w:rsidR="00F05F04" w:rsidRPr="00F05F04">
              <w:rPr>
                <w:iCs/>
                <w:color w:val="FF0000"/>
              </w:rPr>
              <w:t xml:space="preserve">administration: </w:t>
            </w:r>
            <w:r w:rsidR="00F05F04">
              <w:rPr>
                <w:iCs/>
                <w:color w:val="FF0000"/>
              </w:rPr>
              <w:t>“</w:t>
            </w:r>
            <w:r w:rsidR="00F05F04" w:rsidRPr="00F05F04">
              <w:rPr>
                <w:iCs/>
                <w:color w:val="FF0000"/>
              </w:rPr>
              <w:t xml:space="preserve">Intravenous administration of </w:t>
            </w:r>
            <w:proofErr w:type="spellStart"/>
            <w:r w:rsidR="00F05F04" w:rsidRPr="00F05F04">
              <w:rPr>
                <w:iCs/>
                <w:color w:val="FF0000"/>
              </w:rPr>
              <w:t>rtPA</w:t>
            </w:r>
            <w:proofErr w:type="spellEnd"/>
            <w:r w:rsidR="00F05F04" w:rsidRPr="00F05F04">
              <w:rPr>
                <w:iCs/>
                <w:color w:val="FF0000"/>
              </w:rPr>
              <w:t xml:space="preserve"> remains the only FDA-approved pharmacological therapy for treatment of patients with acute ischemic stroke. Its use is associated with improved outcomes for a broad spectrum of patients who can be treated within 3 hours of the last known well time before symptom onset and a mildly more selective spectrum of patients who can be treated between 3 and 4.5 hours of the last known well time. Most importantly, earlier treatment is more likely to result in a favorable outcome.”</w:t>
            </w:r>
          </w:p>
          <w:p w14:paraId="1046A43E" w14:textId="0117A4E3" w:rsidR="000A3039" w:rsidRDefault="000A3039" w:rsidP="00AA63CC">
            <w:pPr>
              <w:ind w:left="0" w:firstLine="0"/>
              <w:rPr>
                <w:iCs/>
                <w:color w:val="FF0000"/>
              </w:rPr>
            </w:pPr>
          </w:p>
          <w:p w14:paraId="031D3B16" w14:textId="18A66BC3" w:rsidR="000A3039" w:rsidRPr="001331F1" w:rsidRDefault="000A3039" w:rsidP="00AA63CC">
            <w:pPr>
              <w:ind w:left="0" w:firstLine="0"/>
              <w:rPr>
                <w:iCs/>
                <w:color w:val="FF0000"/>
              </w:rPr>
            </w:pPr>
            <w:r>
              <w:rPr>
                <w:iCs/>
                <w:color w:val="FF0000"/>
              </w:rPr>
              <w:t>Recommendation 2:</w:t>
            </w:r>
          </w:p>
          <w:p w14:paraId="4AFF691E" w14:textId="41C9D4D5" w:rsidR="00B23FCD" w:rsidRDefault="001326BE" w:rsidP="00AA63CC">
            <w:pPr>
              <w:ind w:left="0" w:firstLine="0"/>
              <w:rPr>
                <w:iCs/>
                <w:color w:val="FF0000"/>
              </w:rPr>
            </w:pPr>
            <w:r>
              <w:rPr>
                <w:iCs/>
                <w:color w:val="FF0000"/>
              </w:rPr>
              <w:t>Per the data supplement to the AHA/ASA 2018 guidelines, t</w:t>
            </w:r>
            <w:r w:rsidR="00B23FCD" w:rsidRPr="0059420F">
              <w:rPr>
                <w:iCs/>
                <w:color w:val="FF0000"/>
              </w:rPr>
              <w:t xml:space="preserve">he </w:t>
            </w:r>
            <w:r w:rsidR="004F2D11">
              <w:rPr>
                <w:iCs/>
                <w:color w:val="FF0000"/>
              </w:rPr>
              <w:t xml:space="preserve">conclusions of the studies supporting the second recommendation are as follows: </w:t>
            </w:r>
          </w:p>
          <w:p w14:paraId="57DA3131" w14:textId="77C4107B" w:rsidR="00E03869" w:rsidRDefault="004F2D11" w:rsidP="00E03869">
            <w:pPr>
              <w:pStyle w:val="ListParagraph"/>
              <w:numPr>
                <w:ilvl w:val="0"/>
                <w:numId w:val="21"/>
              </w:numPr>
              <w:rPr>
                <w:iCs/>
                <w:color w:val="FF0000"/>
              </w:rPr>
            </w:pPr>
            <w:r w:rsidRPr="00E03869">
              <w:rPr>
                <w:iCs/>
                <w:color w:val="FF0000"/>
              </w:rPr>
              <w:t xml:space="preserve">The 2017 retrospective observational study looked at 888 hospitals and 16,901 patients with acute ischemic stroke treated with alteplase within 4.5 hours of symptom onset, between June 2014 and April 2015. The study found that the median </w:t>
            </w:r>
            <w:r w:rsidR="00E03869">
              <w:rPr>
                <w:iCs/>
                <w:color w:val="FF0000"/>
              </w:rPr>
              <w:t>door-to-needle (</w:t>
            </w:r>
            <w:r w:rsidRPr="00E03869">
              <w:rPr>
                <w:iCs/>
                <w:color w:val="FF0000"/>
              </w:rPr>
              <w:t>DTN</w:t>
            </w:r>
            <w:r w:rsidR="00E03869">
              <w:rPr>
                <w:iCs/>
                <w:color w:val="FF0000"/>
              </w:rPr>
              <w:t>)</w:t>
            </w:r>
            <w:r w:rsidRPr="00E03869">
              <w:rPr>
                <w:iCs/>
                <w:color w:val="FF0000"/>
              </w:rPr>
              <w:t xml:space="preserve"> time for alteplase administration was 56 minutes (IQR 42-75) and </w:t>
            </w:r>
            <w:r w:rsidR="00E03869">
              <w:rPr>
                <w:iCs/>
                <w:color w:val="FF0000"/>
              </w:rPr>
              <w:t xml:space="preserve">concluded </w:t>
            </w:r>
            <w:r w:rsidRPr="00E03869">
              <w:rPr>
                <w:iCs/>
                <w:color w:val="FF0000"/>
              </w:rPr>
              <w:t xml:space="preserve">that a median DTN time of less than 60 minutes were achievable in </w:t>
            </w:r>
            <w:proofErr w:type="gramStart"/>
            <w:r w:rsidRPr="00E03869">
              <w:rPr>
                <w:iCs/>
                <w:color w:val="FF0000"/>
              </w:rPr>
              <w:t>a majority of</w:t>
            </w:r>
            <w:proofErr w:type="gramEnd"/>
            <w:r w:rsidRPr="00E03869">
              <w:rPr>
                <w:iCs/>
                <w:color w:val="FF0000"/>
              </w:rPr>
              <w:t xml:space="preserve"> patients. </w:t>
            </w:r>
          </w:p>
          <w:p w14:paraId="40461081" w14:textId="2C8D8AE1" w:rsidR="00E03869" w:rsidRDefault="00241799" w:rsidP="00E03869">
            <w:pPr>
              <w:pStyle w:val="ListParagraph"/>
              <w:numPr>
                <w:ilvl w:val="0"/>
                <w:numId w:val="21"/>
              </w:numPr>
              <w:rPr>
                <w:iCs/>
                <w:color w:val="FF0000"/>
              </w:rPr>
            </w:pPr>
            <w:r w:rsidRPr="00E03869">
              <w:rPr>
                <w:iCs/>
                <w:color w:val="FF0000"/>
              </w:rPr>
              <w:t xml:space="preserve">The 2014 retrospective observational study evaluated the pre- and post- </w:t>
            </w:r>
            <w:proofErr w:type="spellStart"/>
            <w:r w:rsidRPr="00E03869">
              <w:rPr>
                <w:iCs/>
                <w:color w:val="FF0000"/>
              </w:rPr>
              <w:t>Target:Stroke</w:t>
            </w:r>
            <w:proofErr w:type="spellEnd"/>
            <w:r w:rsidRPr="00E03869">
              <w:rPr>
                <w:iCs/>
                <w:color w:val="FF0000"/>
              </w:rPr>
              <w:t xml:space="preserve"> intervention results among 71,169 stroke patients treated with alteplase</w:t>
            </w:r>
            <w:r w:rsidR="00E03869">
              <w:rPr>
                <w:iCs/>
                <w:color w:val="FF0000"/>
              </w:rPr>
              <w:t xml:space="preserve"> across 1,030 hospitals</w:t>
            </w:r>
            <w:r w:rsidRPr="00E03869">
              <w:rPr>
                <w:iCs/>
                <w:color w:val="FF0000"/>
              </w:rPr>
              <w:t xml:space="preserve"> between April 2003 and September 2013</w:t>
            </w:r>
            <w:r w:rsidR="00E03869">
              <w:rPr>
                <w:iCs/>
                <w:color w:val="FF0000"/>
              </w:rPr>
              <w:t xml:space="preserve">. This study </w:t>
            </w:r>
            <w:r w:rsidRPr="00E03869">
              <w:rPr>
                <w:iCs/>
                <w:color w:val="FF0000"/>
              </w:rPr>
              <w:t xml:space="preserve">found that the median </w:t>
            </w:r>
            <w:r w:rsidR="00E03869">
              <w:rPr>
                <w:iCs/>
                <w:color w:val="FF0000"/>
              </w:rPr>
              <w:t>DTN</w:t>
            </w:r>
            <w:r w:rsidRPr="00E03869">
              <w:rPr>
                <w:iCs/>
                <w:color w:val="FF0000"/>
              </w:rPr>
              <w:t xml:space="preserve"> time for alteplase administration declined from 77 minutes (IQR 60-98 minutes) during the pre-intervention period to 67 minutes (IQR 51-87 minutes) during the post-intervention period (P&lt;.001).  The study concluded that</w:t>
            </w:r>
            <w:r w:rsidR="00B96945">
              <w:rPr>
                <w:iCs/>
                <w:color w:val="FF0000"/>
              </w:rPr>
              <w:t xml:space="preserve"> the implementation of the </w:t>
            </w:r>
            <w:proofErr w:type="spellStart"/>
            <w:r w:rsidR="00B96945">
              <w:rPr>
                <w:iCs/>
                <w:color w:val="FF0000"/>
              </w:rPr>
              <w:t>Target:Stroke</w:t>
            </w:r>
            <w:proofErr w:type="spellEnd"/>
            <w:r w:rsidR="00B96945">
              <w:rPr>
                <w:iCs/>
                <w:color w:val="FF0000"/>
              </w:rPr>
              <w:t xml:space="preserve"> quality improvement initiative was associated with improved timeliness of </w:t>
            </w:r>
            <w:proofErr w:type="spellStart"/>
            <w:r w:rsidR="00B96945">
              <w:rPr>
                <w:iCs/>
                <w:color w:val="FF0000"/>
              </w:rPr>
              <w:t>tPA</w:t>
            </w:r>
            <w:proofErr w:type="spellEnd"/>
            <w:r w:rsidR="00B96945">
              <w:rPr>
                <w:iCs/>
                <w:color w:val="FF0000"/>
              </w:rPr>
              <w:t xml:space="preserve"> delivery, and that</w:t>
            </w:r>
            <w:r w:rsidRPr="00E03869">
              <w:rPr>
                <w:iCs/>
                <w:color w:val="FF0000"/>
              </w:rPr>
              <w:t xml:space="preserve"> a median hospital </w:t>
            </w:r>
            <w:r w:rsidR="00E03869">
              <w:rPr>
                <w:iCs/>
                <w:color w:val="FF0000"/>
              </w:rPr>
              <w:t xml:space="preserve">DTN </w:t>
            </w:r>
            <w:r w:rsidRPr="00E03869">
              <w:rPr>
                <w:iCs/>
                <w:color w:val="FF0000"/>
              </w:rPr>
              <w:t>target times of less than 60 minutes w</w:t>
            </w:r>
            <w:r w:rsidR="00E03869">
              <w:rPr>
                <w:iCs/>
                <w:color w:val="FF0000"/>
              </w:rPr>
              <w:t>as</w:t>
            </w:r>
            <w:r w:rsidRPr="00E03869">
              <w:rPr>
                <w:iCs/>
                <w:color w:val="FF0000"/>
              </w:rPr>
              <w:t xml:space="preserve"> achievable in over 50% of cases. </w:t>
            </w:r>
          </w:p>
          <w:p w14:paraId="665017FB" w14:textId="2442C36B" w:rsidR="00352959" w:rsidRPr="00E03869" w:rsidRDefault="00241799" w:rsidP="00E03869">
            <w:pPr>
              <w:pStyle w:val="ListParagraph"/>
              <w:numPr>
                <w:ilvl w:val="0"/>
                <w:numId w:val="21"/>
              </w:numPr>
              <w:rPr>
                <w:iCs/>
                <w:color w:val="FF0000"/>
              </w:rPr>
            </w:pPr>
            <w:r w:rsidRPr="00E03869">
              <w:rPr>
                <w:iCs/>
                <w:color w:val="FF0000"/>
              </w:rPr>
              <w:t>The second 2014 retrospective observational study looked at 1</w:t>
            </w:r>
            <w:r w:rsidR="00E03869">
              <w:rPr>
                <w:iCs/>
                <w:color w:val="FF0000"/>
              </w:rPr>
              <w:t>,</w:t>
            </w:r>
            <w:r w:rsidRPr="00E03869">
              <w:rPr>
                <w:iCs/>
                <w:color w:val="FF0000"/>
              </w:rPr>
              <w:t xml:space="preserve">193 acute ischemic stroke patients treated within 4.5 hours of symptom onset, across 25 hospitals between January 2009 and December 2012. The mean DTN time for alteplase administration was 82.9 minutes and the median time was 76 minutes. </w:t>
            </w:r>
            <w:r w:rsidR="00D555BE" w:rsidRPr="00E03869">
              <w:rPr>
                <w:iCs/>
                <w:color w:val="FF0000"/>
              </w:rPr>
              <w:t>The study concluded that approximately one-quarter of patients were treated within 60 minutes.</w:t>
            </w:r>
            <w:r w:rsidRPr="00E03869">
              <w:rPr>
                <w:iCs/>
                <w:color w:val="FF0000"/>
              </w:rPr>
              <w:t xml:space="preserve"> </w:t>
            </w:r>
          </w:p>
          <w:p w14:paraId="55B8DA8C" w14:textId="0DE7C962" w:rsidR="00352959" w:rsidRDefault="00352959" w:rsidP="002E2177">
            <w:pPr>
              <w:ind w:left="0" w:firstLine="0"/>
            </w:pPr>
            <w:r>
              <w:rPr>
                <w:noProof/>
                <w:color w:val="FF0000"/>
              </w:rPr>
              <w:t xml:space="preserve">In addition, both recommendations </w:t>
            </w:r>
            <w:r w:rsidR="00E03869">
              <w:rPr>
                <w:noProof/>
                <w:color w:val="FF0000"/>
              </w:rPr>
              <w:t xml:space="preserve">supporting this measure </w:t>
            </w:r>
            <w:r>
              <w:rPr>
                <w:noProof/>
                <w:color w:val="FF0000"/>
              </w:rPr>
              <w:t>received a Class I (Strong) strength of recommendation, which reflects a high magnitude of benefit over risk. Class I recommendations are strong and indicate that the treatment, procedure, or intervention is useful and effective and should be performed or administered for most patients under most circumstances</w:t>
            </w:r>
            <w:r w:rsidR="00C66462">
              <w:rPr>
                <w:noProof/>
                <w:color w:val="FF0000"/>
              </w:rPr>
              <w:t xml:space="preserve"> (</w:t>
            </w:r>
            <w:r w:rsidR="00C66462" w:rsidRPr="00352959">
              <w:rPr>
                <w:color w:val="FF0000"/>
              </w:rPr>
              <w:t>Halperin</w:t>
            </w:r>
            <w:r w:rsidR="00C66462">
              <w:rPr>
                <w:color w:val="FF0000"/>
              </w:rPr>
              <w:t xml:space="preserve"> et al., 2016)</w:t>
            </w:r>
            <w:r>
              <w:rPr>
                <w:noProof/>
                <w:color w:val="FF0000"/>
              </w:rPr>
              <w:t>.</w:t>
            </w:r>
          </w:p>
        </w:tc>
      </w:tr>
      <w:tr w:rsidR="0059420F" w14:paraId="55B8DA90" w14:textId="77777777" w:rsidTr="00562955">
        <w:tc>
          <w:tcPr>
            <w:tcW w:w="1795" w:type="dxa"/>
          </w:tcPr>
          <w:p w14:paraId="55B8DA8E" w14:textId="77777777" w:rsidR="000E5C93" w:rsidRDefault="000E5C93" w:rsidP="002E2177">
            <w:pPr>
              <w:ind w:left="0" w:firstLine="0"/>
            </w:pPr>
            <w:r>
              <w:lastRenderedPageBreak/>
              <w:t>What harms were identified?</w:t>
            </w:r>
          </w:p>
        </w:tc>
        <w:tc>
          <w:tcPr>
            <w:tcW w:w="7555" w:type="dxa"/>
          </w:tcPr>
          <w:p w14:paraId="622A4040" w14:textId="77777777" w:rsidR="00AA63CC" w:rsidRPr="00F95030" w:rsidRDefault="00AA63CC" w:rsidP="00AA63CC">
            <w:pPr>
              <w:ind w:left="0" w:firstLine="0"/>
              <w:rPr>
                <w:color w:val="1F497D" w:themeColor="text2"/>
                <w:u w:val="single"/>
              </w:rPr>
            </w:pPr>
            <w:r w:rsidRPr="00F95030">
              <w:rPr>
                <w:color w:val="1F497D" w:themeColor="text2"/>
                <w:u w:val="single"/>
              </w:rPr>
              <w:t>AHA/ASA 2013 Guidelines:</w:t>
            </w:r>
          </w:p>
          <w:p w14:paraId="6167191A" w14:textId="6D80BD43" w:rsidR="00AA63CC" w:rsidRPr="00F95030" w:rsidRDefault="00AA63CC" w:rsidP="00AA63CC">
            <w:pPr>
              <w:ind w:left="0" w:firstLine="0"/>
              <w:rPr>
                <w:color w:val="1F497D" w:themeColor="text2"/>
              </w:rPr>
            </w:pPr>
            <w:r w:rsidRPr="00F95030">
              <w:rPr>
                <w:color w:val="1F497D" w:themeColor="text2"/>
              </w:rPr>
              <w:t xml:space="preserve">Harms studied focused on the harms of treatment rather than the harms of time-initiated therapy.  </w:t>
            </w:r>
          </w:p>
          <w:p w14:paraId="4B3AF494" w14:textId="77777777" w:rsidR="00AA63CC" w:rsidRPr="00F95030" w:rsidRDefault="00AA63CC" w:rsidP="00AA63CC">
            <w:pPr>
              <w:ind w:left="0" w:firstLine="0"/>
              <w:rPr>
                <w:color w:val="1F497D" w:themeColor="text2"/>
              </w:rPr>
            </w:pPr>
          </w:p>
          <w:p w14:paraId="43CF14B2" w14:textId="77777777" w:rsidR="00A50E68" w:rsidRDefault="00AA63CC" w:rsidP="00A50E68">
            <w:pPr>
              <w:ind w:left="0" w:firstLine="0"/>
              <w:rPr>
                <w:color w:val="1F497D" w:themeColor="text2"/>
              </w:rPr>
            </w:pPr>
            <w:r w:rsidRPr="00F95030">
              <w:rPr>
                <w:color w:val="1F497D" w:themeColor="text2"/>
              </w:rPr>
              <w:t xml:space="preserve">As noted in the AHA/ASA guidelines, intracranial hemorrhages were reported in community </w:t>
            </w:r>
            <w:proofErr w:type="gramStart"/>
            <w:r w:rsidRPr="00F95030">
              <w:rPr>
                <w:color w:val="1F497D" w:themeColor="text2"/>
              </w:rPr>
              <w:t>based-settings</w:t>
            </w:r>
            <w:proofErr w:type="gramEnd"/>
            <w:r w:rsidRPr="00F95030">
              <w:rPr>
                <w:color w:val="1F497D" w:themeColor="text2"/>
              </w:rPr>
              <w:t xml:space="preserve"> prior to the approval of </w:t>
            </w:r>
            <w:proofErr w:type="spellStart"/>
            <w:r w:rsidRPr="00F95030">
              <w:rPr>
                <w:color w:val="1F497D" w:themeColor="text2"/>
              </w:rPr>
              <w:t>rtPA</w:t>
            </w:r>
            <w:proofErr w:type="spellEnd"/>
            <w:r w:rsidRPr="00F95030">
              <w:rPr>
                <w:color w:val="1F497D" w:themeColor="text2"/>
              </w:rPr>
              <w:t xml:space="preserve"> as a treatment option. However, the guidelines state it is now clear that the risk of hemorrhage is proportional to the degree to which the NINDS protocol is not followed. Other adverse events studied include systemic bleeding, myocardial rupture if </w:t>
            </w:r>
            <w:proofErr w:type="spellStart"/>
            <w:r w:rsidRPr="00F95030">
              <w:rPr>
                <w:color w:val="1F497D" w:themeColor="text2"/>
              </w:rPr>
              <w:t>fibroinolytics</w:t>
            </w:r>
            <w:proofErr w:type="spellEnd"/>
            <w:r w:rsidRPr="00F95030">
              <w:rPr>
                <w:color w:val="1F497D" w:themeColor="text2"/>
              </w:rPr>
              <w:t xml:space="preserve"> are given within a few days of acute myocardial infarction and reactions such as anaphylaxis or angioedema also has occurred, but these events are rare. Orolingual angioedema reactions have occurred in 1.3%-5.1% of patients, however, reactions are typically mild. Despite the harms listed, it is ultimately determined that the benefits of timely treatment outweigh all harms studied.</w:t>
            </w:r>
          </w:p>
          <w:p w14:paraId="61E88677" w14:textId="77777777" w:rsidR="00A50E68" w:rsidRDefault="00A50E68" w:rsidP="00A50E68">
            <w:pPr>
              <w:ind w:left="0" w:firstLine="0"/>
              <w:rPr>
                <w:color w:val="1F497D" w:themeColor="text2"/>
              </w:rPr>
            </w:pPr>
          </w:p>
          <w:p w14:paraId="3EE23ABD" w14:textId="7A59CBB3" w:rsidR="00A50E68" w:rsidRPr="00A50E68" w:rsidRDefault="00A50E68" w:rsidP="00A50E68">
            <w:pPr>
              <w:ind w:left="0" w:firstLine="0"/>
              <w:rPr>
                <w:color w:val="1F497D" w:themeColor="text2"/>
              </w:rPr>
            </w:pPr>
            <w:r w:rsidRPr="00A50E68">
              <w:rPr>
                <w:color w:val="FF0000"/>
              </w:rPr>
              <w:t>Although faster door-to-needle times could lead to rushed assessments and increased complications, the literature demonstrates that as more patients have door-to-needle times ≤ 60 minutes, there is a corresponding improvement in variables such as in-hospital mortality, symptomatic intracranial hemorrhage rates, and discharge to the home. Tong et al. found among patients who received IV alteplase within 4.5 hours of time last known to be well, and as a greater percent of these patients had door-to-needle times ≤ 60 minutes throughout the last decade, in-hospital all-cause mortality decreased from 7.2% in 2008 to 5.1% in 2017 (P&lt;0.001), symptomatic intracranial hemorrhage rates within 36 hours decreased from 6.3% in 2008 to 3.4% in 2017 (P&lt;0.001), and discharge to the home increased from 23.6% 2008 to 50.9% in 2017 (P&lt;0.001) (2018). In addition, a 2016 Scientific Statement put forth by the AHA/ASA addresses the risk of symptomatic intracranial hemorrhages and makes the following recommendation: For severe stroke symptoms, intravenous alteplase is indicated within 3 hours from symptom onset of ischemic stroke. Despite increased risk of hemorrhagic transformation, there is still proven clinical benefit for patients with severe stroke symptoms (</w:t>
            </w:r>
            <w:proofErr w:type="spellStart"/>
            <w:r w:rsidRPr="00A50E68">
              <w:rPr>
                <w:color w:val="FF0000"/>
              </w:rPr>
              <w:t>Demaerschalk</w:t>
            </w:r>
            <w:proofErr w:type="spellEnd"/>
            <w:r w:rsidRPr="00A50E68">
              <w:rPr>
                <w:color w:val="FF0000"/>
              </w:rPr>
              <w:t xml:space="preserve"> et al., 2016). (Class I; Level A)</w:t>
            </w:r>
            <w:r w:rsidRPr="00F35A8A">
              <w:rPr>
                <w:rFonts w:ascii="Arial" w:hAnsi="Arial" w:cs="Arial"/>
                <w:noProof/>
                <w:sz w:val="18"/>
                <w:szCs w:val="18"/>
              </w:rPr>
              <w:t xml:space="preserve">  </w:t>
            </w:r>
          </w:p>
          <w:p w14:paraId="55B8DA8F" w14:textId="77777777" w:rsidR="000E5C93" w:rsidRDefault="000E5C93" w:rsidP="002E2177">
            <w:pPr>
              <w:ind w:left="0" w:firstLine="0"/>
            </w:pPr>
          </w:p>
        </w:tc>
      </w:tr>
      <w:tr w:rsidR="001E6EAB" w14:paraId="55B8DA93" w14:textId="77777777" w:rsidTr="00562955">
        <w:tc>
          <w:tcPr>
            <w:tcW w:w="1795" w:type="dxa"/>
          </w:tcPr>
          <w:p w14:paraId="55B8DA91" w14:textId="77777777" w:rsidR="001E6EAB" w:rsidRDefault="001E6EAB" w:rsidP="001E6EAB">
            <w:pPr>
              <w:ind w:left="0" w:firstLine="0"/>
            </w:pPr>
            <w:r>
              <w:t>Identify any new studies conducted since the SR. Do the new studies change the conclusions from the SR?</w:t>
            </w:r>
          </w:p>
        </w:tc>
        <w:tc>
          <w:tcPr>
            <w:tcW w:w="7555" w:type="dxa"/>
          </w:tcPr>
          <w:p w14:paraId="04269D55" w14:textId="2CCDD775" w:rsidR="000C7307" w:rsidRPr="000C7307" w:rsidRDefault="000C7307" w:rsidP="000C7307">
            <w:pPr>
              <w:pStyle w:val="ListParagraph"/>
              <w:widowControl w:val="0"/>
              <w:numPr>
                <w:ilvl w:val="0"/>
                <w:numId w:val="20"/>
              </w:numPr>
              <w:spacing w:before="4"/>
              <w:ind w:left="360"/>
              <w:rPr>
                <w:color w:val="1F497D" w:themeColor="text2"/>
              </w:rPr>
            </w:pPr>
            <w:r w:rsidRPr="000C7307">
              <w:rPr>
                <w:color w:val="1F497D" w:themeColor="text2"/>
              </w:rPr>
              <w:t>Citation: Fonarow GC, Zhao X, Smith EE, Saver JL, Reeves MJ, Bhatt DL, et al. Door-to-needle times for tissue plasminogen activator administration and clinical outcomes in acute ischemic stroke before and after a quality improvement initiative. JAMA. 2014;311(16):1632-1640. DOI:10.1001/jama.2014.3203.</w:t>
            </w:r>
          </w:p>
          <w:p w14:paraId="586E838B" w14:textId="77777777" w:rsidR="000C7307" w:rsidRPr="00F95030" w:rsidRDefault="000C7307" w:rsidP="000C7307">
            <w:pPr>
              <w:pStyle w:val="ListParagraph"/>
              <w:widowControl w:val="0"/>
              <w:spacing w:before="4" w:after="0" w:line="240" w:lineRule="auto"/>
              <w:ind w:left="360" w:firstLine="0"/>
              <w:rPr>
                <w:color w:val="1F497D" w:themeColor="text2"/>
              </w:rPr>
            </w:pPr>
          </w:p>
          <w:p w14:paraId="22B95825" w14:textId="77777777" w:rsidR="000C7307" w:rsidRPr="00F95030" w:rsidRDefault="000C7307" w:rsidP="000C7307">
            <w:pPr>
              <w:ind w:left="0" w:firstLine="0"/>
              <w:rPr>
                <w:rFonts w:eastAsiaTheme="minorEastAsia"/>
                <w:color w:val="1F497D" w:themeColor="text2"/>
              </w:rPr>
            </w:pPr>
            <w:r w:rsidRPr="00F95030">
              <w:rPr>
                <w:rFonts w:eastAsiaTheme="minorEastAsia"/>
                <w:color w:val="1F497D" w:themeColor="text2"/>
              </w:rPr>
              <w:t xml:space="preserve">Description: Observational study as a part of Target Stroke Initiative that looked to evaluate door-to-needle times for </w:t>
            </w:r>
            <w:proofErr w:type="spellStart"/>
            <w:r w:rsidRPr="00F95030">
              <w:rPr>
                <w:rFonts w:eastAsiaTheme="minorEastAsia"/>
                <w:color w:val="1F497D" w:themeColor="text2"/>
              </w:rPr>
              <w:t>tPA</w:t>
            </w:r>
            <w:proofErr w:type="spellEnd"/>
            <w:r w:rsidRPr="00F95030">
              <w:rPr>
                <w:rFonts w:eastAsiaTheme="minorEastAsia"/>
                <w:color w:val="1F497D" w:themeColor="text2"/>
              </w:rPr>
              <w:t xml:space="preserve"> administration. </w:t>
            </w:r>
            <w:proofErr w:type="gramStart"/>
            <w:r w:rsidRPr="00F95030">
              <w:rPr>
                <w:rFonts w:eastAsiaTheme="minorEastAsia"/>
                <w:color w:val="1F497D" w:themeColor="text2"/>
              </w:rPr>
              <w:t>Additionally</w:t>
            </w:r>
            <w:proofErr w:type="gramEnd"/>
            <w:r w:rsidRPr="00F95030">
              <w:rPr>
                <w:rFonts w:eastAsiaTheme="minorEastAsia"/>
                <w:color w:val="1F497D" w:themeColor="text2"/>
              </w:rPr>
              <w:t xml:space="preserve"> the study evaluated the proportion of patients with door-to-needle times of ≤ 60 minutes before and after a quality improvement initiative to determine if improvements in door-to-needle times were associated with improved clinical outcomes.</w:t>
            </w:r>
          </w:p>
          <w:p w14:paraId="3B774574" w14:textId="77777777" w:rsidR="000C7307" w:rsidRPr="00F95030" w:rsidRDefault="000C7307" w:rsidP="000C7307">
            <w:pPr>
              <w:ind w:left="0" w:firstLine="0"/>
              <w:rPr>
                <w:rFonts w:eastAsiaTheme="minorEastAsia"/>
                <w:color w:val="1F497D" w:themeColor="text2"/>
              </w:rPr>
            </w:pPr>
          </w:p>
          <w:p w14:paraId="69B04DF4" w14:textId="77777777" w:rsidR="000C7307" w:rsidRPr="00F95030" w:rsidRDefault="000C7307" w:rsidP="000C7307">
            <w:pPr>
              <w:ind w:left="0" w:firstLine="0"/>
              <w:rPr>
                <w:rFonts w:eastAsiaTheme="minorEastAsia"/>
                <w:color w:val="1F497D" w:themeColor="text2"/>
              </w:rPr>
            </w:pPr>
            <w:r w:rsidRPr="00F95030">
              <w:rPr>
                <w:rFonts w:eastAsiaTheme="minorEastAsia"/>
                <w:color w:val="1F497D" w:themeColor="text2"/>
              </w:rPr>
              <w:lastRenderedPageBreak/>
              <w:t xml:space="preserve">Results: “Importantly, the improvement in timeliness in </w:t>
            </w:r>
            <w:proofErr w:type="spellStart"/>
            <w:r w:rsidRPr="00F95030">
              <w:rPr>
                <w:rFonts w:eastAsiaTheme="minorEastAsia"/>
                <w:color w:val="1F497D" w:themeColor="text2"/>
              </w:rPr>
              <w:t>tPA</w:t>
            </w:r>
            <w:proofErr w:type="spellEnd"/>
            <w:r w:rsidRPr="00F95030">
              <w:rPr>
                <w:rFonts w:eastAsiaTheme="minorEastAsia"/>
                <w:color w:val="1F497D" w:themeColor="text2"/>
              </w:rPr>
              <w:t xml:space="preserve"> administration following the start of the program was associated with improved clinical outcomes including lower in-hospital mortality, more frequent discharge to a more independently functioning environment, and lower rates of </w:t>
            </w:r>
            <w:proofErr w:type="spellStart"/>
            <w:r w:rsidRPr="00F95030">
              <w:rPr>
                <w:rFonts w:eastAsiaTheme="minorEastAsia"/>
                <w:color w:val="1F497D" w:themeColor="text2"/>
              </w:rPr>
              <w:t>tPA</w:t>
            </w:r>
            <w:proofErr w:type="spellEnd"/>
            <w:r w:rsidRPr="00F95030">
              <w:rPr>
                <w:rFonts w:eastAsiaTheme="minorEastAsia"/>
                <w:color w:val="1F497D" w:themeColor="text2"/>
              </w:rPr>
              <w:t xml:space="preserve"> complications, including symptomatic intracranial hemorrhage. These findings further reinforce the importance and clinical benefits of more rapid administration of intravenous </w:t>
            </w:r>
            <w:proofErr w:type="spellStart"/>
            <w:r w:rsidRPr="00F95030">
              <w:rPr>
                <w:rFonts w:eastAsiaTheme="minorEastAsia"/>
                <w:color w:val="1F497D" w:themeColor="text2"/>
              </w:rPr>
              <w:t>tPA</w:t>
            </w:r>
            <w:proofErr w:type="spellEnd"/>
            <w:r w:rsidRPr="00F95030">
              <w:rPr>
                <w:rFonts w:eastAsiaTheme="minorEastAsia"/>
                <w:color w:val="1F497D" w:themeColor="text2"/>
              </w:rPr>
              <w:t>.”</w:t>
            </w:r>
          </w:p>
          <w:p w14:paraId="2BAB692D" w14:textId="77777777" w:rsidR="000C7307" w:rsidRPr="00F95030" w:rsidRDefault="000C7307" w:rsidP="000C7307">
            <w:pPr>
              <w:ind w:firstLine="0"/>
              <w:rPr>
                <w:color w:val="1F497D" w:themeColor="text2"/>
              </w:rPr>
            </w:pPr>
          </w:p>
          <w:p w14:paraId="69EEAD86" w14:textId="77777777" w:rsidR="000C7307" w:rsidRPr="00F95030" w:rsidRDefault="000C7307" w:rsidP="000C7307">
            <w:pPr>
              <w:ind w:left="0" w:firstLine="0"/>
              <w:rPr>
                <w:rFonts w:eastAsiaTheme="minorEastAsia"/>
                <w:color w:val="1F497D" w:themeColor="text2"/>
              </w:rPr>
            </w:pPr>
            <w:r w:rsidRPr="00F95030">
              <w:rPr>
                <w:rFonts w:eastAsiaTheme="minorEastAsia"/>
                <w:color w:val="1F497D" w:themeColor="text2"/>
              </w:rPr>
              <w:t xml:space="preserve">Conclusion:  This study further highlights the importance of a door-to-needle time of ≤ 60 minutes for the administration of </w:t>
            </w:r>
            <w:proofErr w:type="spellStart"/>
            <w:r w:rsidRPr="00F95030">
              <w:rPr>
                <w:rFonts w:eastAsiaTheme="minorEastAsia"/>
                <w:color w:val="1F497D" w:themeColor="text2"/>
              </w:rPr>
              <w:t>tPA</w:t>
            </w:r>
            <w:proofErr w:type="spellEnd"/>
            <w:r w:rsidRPr="00F95030">
              <w:rPr>
                <w:rFonts w:eastAsiaTheme="minorEastAsia"/>
                <w:color w:val="1F497D" w:themeColor="text2"/>
              </w:rPr>
              <w:t xml:space="preserve"> following an ischemic stroke. While timely administration leads to improved clinical outcomes, the study highlights that less than 30% of patients are receiving treatment within the recommended timeline and further emphasizes the opportunity for improvement for facilities. </w:t>
            </w:r>
          </w:p>
          <w:p w14:paraId="0483E724" w14:textId="77777777" w:rsidR="000C7307" w:rsidRPr="00F95030" w:rsidRDefault="000C7307" w:rsidP="000C7307">
            <w:pPr>
              <w:ind w:left="0" w:firstLine="0"/>
              <w:rPr>
                <w:rFonts w:eastAsiaTheme="minorEastAsia"/>
                <w:color w:val="1F497D" w:themeColor="text2"/>
              </w:rPr>
            </w:pPr>
          </w:p>
          <w:p w14:paraId="53471469" w14:textId="77777777" w:rsidR="000C7307" w:rsidRPr="000C7307" w:rsidRDefault="000C7307" w:rsidP="000C7307">
            <w:pPr>
              <w:pStyle w:val="ListParagraph"/>
              <w:numPr>
                <w:ilvl w:val="0"/>
                <w:numId w:val="20"/>
              </w:numPr>
              <w:rPr>
                <w:color w:val="1F497D" w:themeColor="text2"/>
              </w:rPr>
            </w:pPr>
            <w:r w:rsidRPr="000C7307">
              <w:rPr>
                <w:color w:val="1F497D" w:themeColor="text2"/>
              </w:rPr>
              <w:t xml:space="preserve">Citation: </w:t>
            </w:r>
            <w:proofErr w:type="spellStart"/>
            <w:r w:rsidRPr="000C7307">
              <w:rPr>
                <w:color w:val="1F497D" w:themeColor="text2"/>
              </w:rPr>
              <w:t>Emberson</w:t>
            </w:r>
            <w:proofErr w:type="spellEnd"/>
            <w:r w:rsidRPr="000C7307">
              <w:rPr>
                <w:color w:val="1F497D" w:themeColor="text2"/>
              </w:rPr>
              <w:t xml:space="preserve"> J, Lees KR, </w:t>
            </w:r>
            <w:proofErr w:type="spellStart"/>
            <w:r w:rsidRPr="000C7307">
              <w:rPr>
                <w:color w:val="1F497D" w:themeColor="text2"/>
              </w:rPr>
              <w:t>Lyden</w:t>
            </w:r>
            <w:proofErr w:type="spellEnd"/>
            <w:r w:rsidRPr="000C7307">
              <w:rPr>
                <w:color w:val="1F497D" w:themeColor="text2"/>
              </w:rPr>
              <w:t xml:space="preserve"> P, Blackwell L, Albers G, </w:t>
            </w:r>
            <w:proofErr w:type="spellStart"/>
            <w:r w:rsidRPr="000C7307">
              <w:rPr>
                <w:color w:val="1F497D" w:themeColor="text2"/>
              </w:rPr>
              <w:t>Bluhmki</w:t>
            </w:r>
            <w:proofErr w:type="spellEnd"/>
            <w:r w:rsidRPr="000C7307">
              <w:rPr>
                <w:color w:val="1F497D" w:themeColor="text2"/>
              </w:rPr>
              <w:t xml:space="preserve"> E, et al. Effect of treatment delay, age, and stroke severity on the effects of intravenous thrombolysis with alteplase for acute </w:t>
            </w:r>
            <w:proofErr w:type="spellStart"/>
            <w:r w:rsidRPr="000C7307">
              <w:rPr>
                <w:color w:val="1F497D" w:themeColor="text2"/>
              </w:rPr>
              <w:t>ischaemic</w:t>
            </w:r>
            <w:proofErr w:type="spellEnd"/>
            <w:r w:rsidRPr="000C7307">
              <w:rPr>
                <w:color w:val="1F497D" w:themeColor="text2"/>
              </w:rPr>
              <w:t xml:space="preserve"> stroke: a meta-analysis of individual patient data from randomized trials. Lancet. 2014;384(9958):1929-1935.  </w:t>
            </w:r>
          </w:p>
          <w:p w14:paraId="68E6F328" w14:textId="77777777" w:rsidR="000C7307" w:rsidRPr="00F95030" w:rsidRDefault="000C7307" w:rsidP="000C7307">
            <w:pPr>
              <w:pStyle w:val="ListParagraph"/>
              <w:spacing w:line="240" w:lineRule="auto"/>
              <w:ind w:firstLine="0"/>
              <w:rPr>
                <w:color w:val="1F497D" w:themeColor="text2"/>
              </w:rPr>
            </w:pPr>
          </w:p>
          <w:p w14:paraId="7F0B3EC3" w14:textId="77777777" w:rsidR="000C7307" w:rsidRDefault="000C7307" w:rsidP="000C7307">
            <w:pPr>
              <w:pStyle w:val="ListParagraph"/>
              <w:spacing w:line="240" w:lineRule="auto"/>
              <w:ind w:left="0" w:firstLine="0"/>
              <w:rPr>
                <w:color w:val="1F497D" w:themeColor="text2"/>
              </w:rPr>
            </w:pPr>
            <w:r w:rsidRPr="00F95030">
              <w:rPr>
                <w:color w:val="1F497D" w:themeColor="text2"/>
              </w:rPr>
              <w:t xml:space="preserve">Description: Meta-analysis of individual patient data from 6756 patients in nine randomized trials comparing alteplase with placebo or open control. </w:t>
            </w:r>
            <w:r>
              <w:rPr>
                <w:color w:val="1F497D" w:themeColor="text2"/>
              </w:rPr>
              <w:t xml:space="preserve">The primary goal of the analysis was to explore the extent to which treatment delay affected the effect of the alteplase and to establish if age or stroke severity affected treatment effects. The authors defined good stroke outcome as no significant disability at 3-6 months as defined by a modified Rankin scale of 0 or 1. Additional outcomes included symptomatic intracranial hemorrhage, fatal intracranial hemorrhage within 7 days and 90-day mortality. </w:t>
            </w:r>
          </w:p>
          <w:p w14:paraId="6D73BAFE" w14:textId="77777777" w:rsidR="000C7307" w:rsidRDefault="000C7307" w:rsidP="000C7307">
            <w:pPr>
              <w:pStyle w:val="ListParagraph"/>
              <w:spacing w:line="240" w:lineRule="auto"/>
              <w:ind w:left="0" w:firstLine="0"/>
              <w:rPr>
                <w:color w:val="1F497D" w:themeColor="text2"/>
              </w:rPr>
            </w:pPr>
          </w:p>
          <w:p w14:paraId="0BD9A1BB" w14:textId="77777777" w:rsidR="000C7307" w:rsidRDefault="000C7307" w:rsidP="000C7307">
            <w:pPr>
              <w:pStyle w:val="ListParagraph"/>
              <w:spacing w:line="240" w:lineRule="auto"/>
              <w:ind w:left="0" w:firstLine="0"/>
              <w:rPr>
                <w:color w:val="1F497D" w:themeColor="text2"/>
              </w:rPr>
            </w:pPr>
            <w:r>
              <w:rPr>
                <w:color w:val="1F497D" w:themeColor="text2"/>
              </w:rPr>
              <w:t>Results: “Alteplase significantly increased the odds of a good outcome, with earlier treatment resulting in significantly greater proportional benefit increasing proportional benefit with earlier treatment.” The study also states, “The effect of alteplase on a good outcome was chiefly driven by treatment delay; after controlling for treatment delay, neither age nor severity of stroke contributed significant additional predictive value.”</w:t>
            </w:r>
          </w:p>
          <w:p w14:paraId="371E355C" w14:textId="77777777" w:rsidR="000C7307" w:rsidRDefault="000C7307" w:rsidP="000C7307">
            <w:pPr>
              <w:pStyle w:val="ListParagraph"/>
              <w:spacing w:line="240" w:lineRule="auto"/>
              <w:ind w:left="0" w:firstLine="0"/>
              <w:rPr>
                <w:color w:val="1F497D" w:themeColor="text2"/>
              </w:rPr>
            </w:pPr>
          </w:p>
          <w:p w14:paraId="1CF1EDA1" w14:textId="77777777" w:rsidR="000C7307" w:rsidRDefault="000C7307" w:rsidP="000C7307">
            <w:pPr>
              <w:pStyle w:val="ListParagraph"/>
              <w:spacing w:line="240" w:lineRule="auto"/>
              <w:ind w:left="0" w:firstLine="0"/>
              <w:rPr>
                <w:color w:val="1F497D" w:themeColor="text2"/>
              </w:rPr>
            </w:pPr>
            <w:r>
              <w:rPr>
                <w:color w:val="1F497D" w:themeColor="text2"/>
              </w:rPr>
              <w:t>The tables below demonstrate the importance of early treatment for improved outcomes.</w:t>
            </w:r>
          </w:p>
          <w:p w14:paraId="0835FFDA" w14:textId="77777777" w:rsidR="000C7307" w:rsidRDefault="000C7307" w:rsidP="000C7307">
            <w:pPr>
              <w:pStyle w:val="ListParagraph"/>
              <w:spacing w:line="240" w:lineRule="auto"/>
              <w:ind w:firstLine="0"/>
              <w:rPr>
                <w:color w:val="1F497D" w:themeColor="text2"/>
              </w:rPr>
            </w:pPr>
          </w:p>
          <w:p w14:paraId="1AA4F0D1" w14:textId="77777777" w:rsidR="000C7307" w:rsidRDefault="000C7307" w:rsidP="000C7307">
            <w:pPr>
              <w:pStyle w:val="ListParagraph"/>
              <w:spacing w:line="240" w:lineRule="auto"/>
              <w:ind w:firstLine="0"/>
              <w:rPr>
                <w:color w:val="1F497D" w:themeColor="text2"/>
              </w:rPr>
            </w:pPr>
            <w:r>
              <w:rPr>
                <w:noProof/>
              </w:rPr>
              <w:lastRenderedPageBreak/>
              <w:drawing>
                <wp:inline distT="0" distB="0" distL="0" distR="0" wp14:anchorId="6260034A" wp14:editId="186B0F4B">
                  <wp:extent cx="3077667" cy="4295775"/>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077667" cy="4295775"/>
                          </a:xfrm>
                          <a:prstGeom prst="rect">
                            <a:avLst/>
                          </a:prstGeom>
                        </pic:spPr>
                      </pic:pic>
                    </a:graphicData>
                  </a:graphic>
                </wp:inline>
              </w:drawing>
            </w:r>
          </w:p>
          <w:p w14:paraId="44B73241" w14:textId="77777777" w:rsidR="000C7307" w:rsidRDefault="000C7307" w:rsidP="000C7307">
            <w:pPr>
              <w:pStyle w:val="ListParagraph"/>
              <w:spacing w:line="240" w:lineRule="auto"/>
              <w:ind w:firstLine="0"/>
              <w:rPr>
                <w:color w:val="1F497D" w:themeColor="text2"/>
              </w:rPr>
            </w:pPr>
          </w:p>
          <w:p w14:paraId="430FC786" w14:textId="77777777" w:rsidR="000C7307" w:rsidRDefault="000C7307" w:rsidP="000C7307">
            <w:pPr>
              <w:pStyle w:val="ListParagraph"/>
              <w:spacing w:line="240" w:lineRule="auto"/>
              <w:ind w:firstLine="0"/>
              <w:rPr>
                <w:color w:val="1F497D" w:themeColor="text2"/>
              </w:rPr>
            </w:pPr>
            <w:r>
              <w:rPr>
                <w:noProof/>
              </w:rPr>
              <w:drawing>
                <wp:inline distT="0" distB="0" distL="0" distR="0" wp14:anchorId="5E3668D1" wp14:editId="685FF915">
                  <wp:extent cx="3571875" cy="26964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572381" cy="2696842"/>
                          </a:xfrm>
                          <a:prstGeom prst="rect">
                            <a:avLst/>
                          </a:prstGeom>
                        </pic:spPr>
                      </pic:pic>
                    </a:graphicData>
                  </a:graphic>
                </wp:inline>
              </w:drawing>
            </w:r>
          </w:p>
          <w:p w14:paraId="4F662656" w14:textId="77777777" w:rsidR="000C7307" w:rsidRDefault="000C7307" w:rsidP="000C7307">
            <w:pPr>
              <w:pStyle w:val="ListParagraph"/>
              <w:spacing w:line="240" w:lineRule="auto"/>
              <w:ind w:firstLine="0"/>
              <w:rPr>
                <w:color w:val="1F497D" w:themeColor="text2"/>
              </w:rPr>
            </w:pPr>
          </w:p>
          <w:p w14:paraId="5114F116" w14:textId="703407DB" w:rsidR="001E6EAB" w:rsidRPr="000C7307" w:rsidRDefault="000C7307" w:rsidP="000C7307">
            <w:pPr>
              <w:pStyle w:val="ListParagraph"/>
              <w:spacing w:line="240" w:lineRule="auto"/>
              <w:ind w:left="0" w:firstLine="0"/>
              <w:rPr>
                <w:color w:val="1F497D" w:themeColor="text2"/>
              </w:rPr>
            </w:pPr>
            <w:r>
              <w:rPr>
                <w:color w:val="1F497D" w:themeColor="text2"/>
              </w:rPr>
              <w:t xml:space="preserve">Conclusion: The results of the meta-analysis indicate that the early administration of </w:t>
            </w:r>
            <w:proofErr w:type="spellStart"/>
            <w:r>
              <w:rPr>
                <w:color w:val="1F497D" w:themeColor="text2"/>
              </w:rPr>
              <w:t>tPA</w:t>
            </w:r>
            <w:proofErr w:type="spellEnd"/>
            <w:r>
              <w:rPr>
                <w:color w:val="1F497D" w:themeColor="text2"/>
              </w:rPr>
              <w:t xml:space="preserve"> from symptom onset is effective in improving good outcomes for stroke patients. The meta-analysis further emphasizes the importance of timely administration of </w:t>
            </w:r>
            <w:proofErr w:type="spellStart"/>
            <w:r>
              <w:rPr>
                <w:color w:val="1F497D" w:themeColor="text2"/>
              </w:rPr>
              <w:t>tPA</w:t>
            </w:r>
            <w:proofErr w:type="spellEnd"/>
            <w:r>
              <w:rPr>
                <w:color w:val="1F497D" w:themeColor="text2"/>
              </w:rPr>
              <w:t xml:space="preserve"> and shows a proportional benefit with earlier treatment.</w:t>
            </w:r>
          </w:p>
          <w:p w14:paraId="5059BDBA" w14:textId="778B4AAD" w:rsidR="00706CA2" w:rsidRDefault="00706CA2" w:rsidP="00706CA2">
            <w:pPr>
              <w:ind w:left="0" w:firstLine="0"/>
              <w:rPr>
                <w:color w:val="FF0000"/>
              </w:rPr>
            </w:pPr>
            <w:r>
              <w:rPr>
                <w:color w:val="FF0000"/>
              </w:rPr>
              <w:lastRenderedPageBreak/>
              <w:t xml:space="preserve">Provided below </w:t>
            </w:r>
            <w:r w:rsidR="003129DC">
              <w:rPr>
                <w:color w:val="FF0000"/>
              </w:rPr>
              <w:t xml:space="preserve">are the citations of new studies </w:t>
            </w:r>
            <w:r>
              <w:rPr>
                <w:color w:val="FF0000"/>
              </w:rPr>
              <w:t>in support of this measure, since</w:t>
            </w:r>
            <w:r w:rsidR="003129DC">
              <w:rPr>
                <w:color w:val="FF0000"/>
              </w:rPr>
              <w:t xml:space="preserve"> the publication of</w:t>
            </w:r>
            <w:r>
              <w:rPr>
                <w:color w:val="FF0000"/>
              </w:rPr>
              <w:t xml:space="preserve"> the 2018 AHA/ASA Guidelines. There are no significant updates to the body of evidence since the 2018 guideline supporting this measure, that would contradict or impact the intent of this measure, namely that the benefit of alteplase is time dependent, amongst ischemic stroke patients.</w:t>
            </w:r>
          </w:p>
          <w:p w14:paraId="2B38B88D" w14:textId="5554DAE9" w:rsidR="00706CA2" w:rsidRPr="00706CA2" w:rsidRDefault="00706CA2" w:rsidP="00706CA2">
            <w:pPr>
              <w:rPr>
                <w:color w:val="FF0000"/>
              </w:rPr>
            </w:pPr>
          </w:p>
          <w:p w14:paraId="30206AC3" w14:textId="66AC8B89" w:rsidR="0031062F" w:rsidRDefault="0031062F" w:rsidP="00706CA2">
            <w:pPr>
              <w:pStyle w:val="ListParagraph"/>
              <w:numPr>
                <w:ilvl w:val="0"/>
                <w:numId w:val="17"/>
              </w:numPr>
              <w:spacing w:after="0"/>
              <w:rPr>
                <w:color w:val="FF0000"/>
              </w:rPr>
            </w:pPr>
            <w:proofErr w:type="spellStart"/>
            <w:r w:rsidRPr="0024388F">
              <w:rPr>
                <w:color w:val="FF0000"/>
              </w:rPr>
              <w:t>Ringleb</w:t>
            </w:r>
            <w:proofErr w:type="spellEnd"/>
            <w:r w:rsidRPr="0024388F">
              <w:rPr>
                <w:color w:val="FF0000"/>
              </w:rPr>
              <w:t xml:space="preserve">, P., </w:t>
            </w:r>
            <w:proofErr w:type="spellStart"/>
            <w:r w:rsidRPr="0024388F">
              <w:rPr>
                <w:color w:val="FF0000"/>
              </w:rPr>
              <w:t>Bendszus</w:t>
            </w:r>
            <w:proofErr w:type="spellEnd"/>
            <w:r w:rsidRPr="0024388F">
              <w:rPr>
                <w:color w:val="FF0000"/>
              </w:rPr>
              <w:t xml:space="preserve">, M., </w:t>
            </w:r>
            <w:proofErr w:type="spellStart"/>
            <w:r w:rsidRPr="0024388F">
              <w:rPr>
                <w:color w:val="FF0000"/>
              </w:rPr>
              <w:t>Bluhmki</w:t>
            </w:r>
            <w:proofErr w:type="spellEnd"/>
            <w:r w:rsidRPr="0024388F">
              <w:rPr>
                <w:color w:val="FF0000"/>
              </w:rPr>
              <w:t xml:space="preserve">, E., </w:t>
            </w:r>
            <w:proofErr w:type="spellStart"/>
            <w:r w:rsidRPr="0024388F">
              <w:rPr>
                <w:color w:val="FF0000"/>
              </w:rPr>
              <w:t>Donnan</w:t>
            </w:r>
            <w:proofErr w:type="spellEnd"/>
            <w:r w:rsidRPr="0024388F">
              <w:rPr>
                <w:color w:val="FF0000"/>
              </w:rPr>
              <w:t xml:space="preserve">, G., </w:t>
            </w:r>
            <w:proofErr w:type="spellStart"/>
            <w:r w:rsidRPr="0024388F">
              <w:rPr>
                <w:color w:val="FF0000"/>
              </w:rPr>
              <w:t>Eschenfelder</w:t>
            </w:r>
            <w:proofErr w:type="spellEnd"/>
            <w:r w:rsidRPr="0024388F">
              <w:rPr>
                <w:color w:val="FF0000"/>
              </w:rPr>
              <w:t xml:space="preserve">, C., </w:t>
            </w:r>
            <w:proofErr w:type="spellStart"/>
            <w:r w:rsidRPr="0024388F">
              <w:rPr>
                <w:color w:val="FF0000"/>
              </w:rPr>
              <w:t>Fatar</w:t>
            </w:r>
            <w:proofErr w:type="spellEnd"/>
            <w:r w:rsidRPr="0024388F">
              <w:rPr>
                <w:color w:val="FF0000"/>
              </w:rPr>
              <w:t>, M., … ECASS-4 study group (2019). Extending the time window for intravenous thrombolysis in acute ischemic stroke using magnetic resonance imaging-based patient selection. International journal of stroke : official journal of the International Stroke Society, 14(5), 483–490. doi:10.1177/1747493019840938</w:t>
            </w:r>
          </w:p>
          <w:p w14:paraId="1AE5E2FF" w14:textId="4329A4F2" w:rsidR="0024388F" w:rsidRPr="0031062F" w:rsidRDefault="00706CA2" w:rsidP="0031062F">
            <w:pPr>
              <w:pStyle w:val="ListParagraph"/>
              <w:numPr>
                <w:ilvl w:val="0"/>
                <w:numId w:val="17"/>
              </w:numPr>
              <w:spacing w:after="0"/>
              <w:rPr>
                <w:color w:val="FF0000"/>
              </w:rPr>
            </w:pPr>
            <w:r w:rsidRPr="00A50E68">
              <w:rPr>
                <w:color w:val="FF0000"/>
              </w:rPr>
              <w:t>Tong, X., Wiltz, J. L., George, M. G., Odom, E. C., King, S. M. C., Chang, T., …. (2018). A Decade of Improvement in Door-to-Needle Time Among Acute Ischemic Stroke Patients, 2008 to 2017. </w:t>
            </w:r>
            <w:r w:rsidRPr="00A50E68">
              <w:rPr>
                <w:i/>
                <w:iCs/>
                <w:color w:val="FF0000"/>
              </w:rPr>
              <w:t>Circulation: Cardiovascular Quality and Outcomes, 11</w:t>
            </w:r>
            <w:r w:rsidRPr="00A50E68">
              <w:rPr>
                <w:color w:val="FF0000"/>
              </w:rPr>
              <w:t xml:space="preserve">(12). </w:t>
            </w:r>
            <w:proofErr w:type="spellStart"/>
            <w:r w:rsidRPr="00A50E68">
              <w:rPr>
                <w:color w:val="FF0000"/>
              </w:rPr>
              <w:t>doi</w:t>
            </w:r>
            <w:proofErr w:type="spellEnd"/>
            <w:r w:rsidRPr="00A50E68">
              <w:rPr>
                <w:color w:val="FF0000"/>
              </w:rPr>
              <w:t>: 10.1161/circoutcomes.118.004981</w:t>
            </w:r>
          </w:p>
          <w:p w14:paraId="55B8DA92" w14:textId="285928AF" w:rsidR="00706CA2" w:rsidRPr="0044243B" w:rsidRDefault="00706CA2" w:rsidP="0044243B">
            <w:pPr>
              <w:ind w:left="0" w:firstLine="0"/>
              <w:rPr>
                <w:color w:val="FF0000"/>
              </w:rPr>
            </w:pPr>
          </w:p>
        </w:tc>
      </w:tr>
    </w:tbl>
    <w:p w14:paraId="55B8DA94" w14:textId="65D53266" w:rsidR="007C1887" w:rsidRDefault="007C1887" w:rsidP="002E2177">
      <w:pPr>
        <w:ind w:left="0" w:firstLine="0"/>
      </w:pPr>
    </w:p>
    <w:p w14:paraId="3EFB59B5" w14:textId="73ECDF00" w:rsidR="00E03869" w:rsidRDefault="00E03869" w:rsidP="002E2177">
      <w:pPr>
        <w:ind w:left="0" w:firstLine="0"/>
        <w:rPr>
          <w:color w:val="FF0000"/>
        </w:rPr>
      </w:pPr>
      <w:r w:rsidRPr="00AE6EBC">
        <w:rPr>
          <w:color w:val="FF0000"/>
        </w:rPr>
        <w:t xml:space="preserve">Citations (Note: when applicable, we </w:t>
      </w:r>
      <w:r w:rsidR="00AE6EBC" w:rsidRPr="00AE6EBC">
        <w:rPr>
          <w:color w:val="FF0000"/>
        </w:rPr>
        <w:t>adhered to</w:t>
      </w:r>
      <w:r w:rsidRPr="00AE6EBC">
        <w:rPr>
          <w:color w:val="FF0000"/>
        </w:rPr>
        <w:t xml:space="preserve"> journals’ request</w:t>
      </w:r>
      <w:r w:rsidR="00AE6EBC" w:rsidRPr="00AE6EBC">
        <w:rPr>
          <w:color w:val="FF0000"/>
        </w:rPr>
        <w:t xml:space="preserve"> for a specific citation format to be followed for their study; </w:t>
      </w:r>
      <w:r w:rsidRPr="00AE6EBC">
        <w:rPr>
          <w:color w:val="FF0000"/>
        </w:rPr>
        <w:t>otherwise we followed the APA format for citations)</w:t>
      </w:r>
      <w:r w:rsidR="00AE6EBC" w:rsidRPr="00AE6EBC">
        <w:rPr>
          <w:color w:val="FF0000"/>
        </w:rPr>
        <w:t>:</w:t>
      </w:r>
    </w:p>
    <w:p w14:paraId="6133E60E" w14:textId="77777777" w:rsidR="00A50E68" w:rsidRPr="00AE6EBC" w:rsidRDefault="00A50E68" w:rsidP="002E2177">
      <w:pPr>
        <w:ind w:left="0" w:firstLine="0"/>
        <w:rPr>
          <w:color w:val="FF0000"/>
        </w:rPr>
      </w:pPr>
    </w:p>
    <w:p w14:paraId="1E838CB9" w14:textId="77777777" w:rsidR="00C66462" w:rsidRDefault="00C66462" w:rsidP="00F547E4">
      <w:pPr>
        <w:pStyle w:val="ListParagraph"/>
        <w:numPr>
          <w:ilvl w:val="0"/>
          <w:numId w:val="24"/>
        </w:numPr>
        <w:spacing w:line="240" w:lineRule="auto"/>
        <w:rPr>
          <w:color w:val="FF0000"/>
        </w:rPr>
      </w:pPr>
      <w:bookmarkStart w:id="6" w:name="_Hlk19192823"/>
      <w:proofErr w:type="spellStart"/>
      <w:r w:rsidRPr="00AE6EBC">
        <w:rPr>
          <w:color w:val="FF0000"/>
        </w:rPr>
        <w:t>Demaerschalk</w:t>
      </w:r>
      <w:proofErr w:type="spellEnd"/>
      <w:r w:rsidRPr="00AE6EBC">
        <w:rPr>
          <w:color w:val="FF0000"/>
        </w:rPr>
        <w:t xml:space="preserve"> BM, </w:t>
      </w:r>
      <w:proofErr w:type="spellStart"/>
      <w:r w:rsidRPr="00AE6EBC">
        <w:rPr>
          <w:color w:val="FF0000"/>
        </w:rPr>
        <w:t>Kleindorfer</w:t>
      </w:r>
      <w:proofErr w:type="spellEnd"/>
      <w:r w:rsidRPr="00AE6EBC">
        <w:rPr>
          <w:color w:val="FF0000"/>
        </w:rPr>
        <w:t xml:space="preserve"> DO, Adeoye OM, </w:t>
      </w:r>
      <w:proofErr w:type="spellStart"/>
      <w:r w:rsidRPr="00AE6EBC">
        <w:rPr>
          <w:color w:val="FF0000"/>
        </w:rPr>
        <w:t>Demchuk</w:t>
      </w:r>
      <w:proofErr w:type="spellEnd"/>
      <w:r w:rsidRPr="00AE6EBC">
        <w:rPr>
          <w:color w:val="FF0000"/>
        </w:rPr>
        <w:t xml:space="preserve"> AM, Fugate JE, </w:t>
      </w:r>
      <w:proofErr w:type="spellStart"/>
      <w:r w:rsidRPr="00AE6EBC">
        <w:rPr>
          <w:color w:val="FF0000"/>
        </w:rPr>
        <w:t>Grotta</w:t>
      </w:r>
      <w:proofErr w:type="spellEnd"/>
      <w:r w:rsidRPr="00AE6EBC">
        <w:rPr>
          <w:color w:val="FF0000"/>
        </w:rPr>
        <w:t xml:space="preserve"> JC, </w:t>
      </w:r>
      <w:proofErr w:type="spellStart"/>
      <w:r w:rsidRPr="00AE6EBC">
        <w:rPr>
          <w:color w:val="FF0000"/>
        </w:rPr>
        <w:t>Khalessi</w:t>
      </w:r>
      <w:proofErr w:type="spellEnd"/>
      <w:r w:rsidRPr="00AE6EBC">
        <w:rPr>
          <w:color w:val="FF0000"/>
        </w:rPr>
        <w:t xml:space="preserve"> AA, Levy EI, </w:t>
      </w:r>
      <w:proofErr w:type="spellStart"/>
      <w:r w:rsidRPr="00AE6EBC">
        <w:rPr>
          <w:color w:val="FF0000"/>
        </w:rPr>
        <w:t>Palesch</w:t>
      </w:r>
      <w:proofErr w:type="spellEnd"/>
      <w:r w:rsidRPr="00AE6EBC">
        <w:rPr>
          <w:color w:val="FF0000"/>
        </w:rPr>
        <w:t xml:space="preserve"> YY, Prabhakaran S, Saposnik G, Saver JL, Smith EE; on behalf of the American Heart Association Stroke Council and Council on Epidemiology and Prevention</w:t>
      </w:r>
      <w:r w:rsidRPr="0048104F">
        <w:rPr>
          <w:color w:val="FF0000"/>
        </w:rPr>
        <w:t>. Scientific rationale for the inclusion and exclusion criteria for intravenous alt</w:t>
      </w:r>
      <w:bookmarkStart w:id="7" w:name="_GoBack"/>
      <w:bookmarkEnd w:id="7"/>
      <w:r w:rsidRPr="0048104F">
        <w:rPr>
          <w:color w:val="FF0000"/>
        </w:rPr>
        <w:t>eplase in acute</w:t>
      </w:r>
      <w:r>
        <w:rPr>
          <w:color w:val="FF0000"/>
        </w:rPr>
        <w:t xml:space="preserve"> </w:t>
      </w:r>
      <w:r w:rsidRPr="0048104F">
        <w:rPr>
          <w:color w:val="FF0000"/>
        </w:rPr>
        <w:t xml:space="preserve">ischemic stroke: a statement for healthcare professionals from the American Heart Association/American Stroke Association. </w:t>
      </w:r>
      <w:r w:rsidRPr="0048104F">
        <w:rPr>
          <w:i/>
          <w:iCs/>
          <w:color w:val="FF0000"/>
        </w:rPr>
        <w:t>Stroke</w:t>
      </w:r>
      <w:r w:rsidRPr="0048104F">
        <w:rPr>
          <w:color w:val="FF0000"/>
        </w:rPr>
        <w:t>.</w:t>
      </w:r>
      <w:r>
        <w:rPr>
          <w:color w:val="FF0000"/>
        </w:rPr>
        <w:t xml:space="preserve"> </w:t>
      </w:r>
      <w:proofErr w:type="gramStart"/>
      <w:r w:rsidRPr="0048104F">
        <w:rPr>
          <w:color w:val="FF0000"/>
        </w:rPr>
        <w:t>2016;47:581</w:t>
      </w:r>
      <w:proofErr w:type="gramEnd"/>
      <w:r w:rsidRPr="0048104F">
        <w:rPr>
          <w:rFonts w:hint="eastAsia"/>
          <w:color w:val="FF0000"/>
        </w:rPr>
        <w:t>–</w:t>
      </w:r>
      <w:r w:rsidRPr="0048104F">
        <w:rPr>
          <w:color w:val="FF0000"/>
        </w:rPr>
        <w:t>641.</w:t>
      </w:r>
    </w:p>
    <w:bookmarkEnd w:id="6"/>
    <w:p w14:paraId="2C5639E0" w14:textId="5D59EF1E" w:rsidR="00352959" w:rsidRPr="00A50E68" w:rsidRDefault="00352959" w:rsidP="00F547E4">
      <w:pPr>
        <w:pStyle w:val="ListParagraph"/>
        <w:numPr>
          <w:ilvl w:val="0"/>
          <w:numId w:val="24"/>
        </w:numPr>
        <w:spacing w:line="240" w:lineRule="auto"/>
        <w:rPr>
          <w:b/>
          <w:iCs/>
          <w:caps/>
        </w:rPr>
      </w:pPr>
      <w:r w:rsidRPr="00352959">
        <w:rPr>
          <w:color w:val="FF0000"/>
        </w:rPr>
        <w:t xml:space="preserve">Halperin JL, Levine GN, Al-Khatib SM, </w:t>
      </w:r>
      <w:proofErr w:type="spellStart"/>
      <w:r w:rsidRPr="00352959">
        <w:rPr>
          <w:color w:val="FF0000"/>
        </w:rPr>
        <w:t>Birtcher</w:t>
      </w:r>
      <w:proofErr w:type="spellEnd"/>
      <w:r w:rsidRPr="00352959">
        <w:rPr>
          <w:color w:val="FF0000"/>
        </w:rPr>
        <w:t xml:space="preserve"> KK, Bozkurt B, </w:t>
      </w:r>
      <w:proofErr w:type="spellStart"/>
      <w:r w:rsidRPr="00352959">
        <w:rPr>
          <w:color w:val="FF0000"/>
        </w:rPr>
        <w:t>Brindis</w:t>
      </w:r>
      <w:proofErr w:type="spellEnd"/>
      <w:r w:rsidRPr="00352959">
        <w:rPr>
          <w:color w:val="FF0000"/>
        </w:rPr>
        <w:t xml:space="preserve"> RG, </w:t>
      </w:r>
      <w:proofErr w:type="spellStart"/>
      <w:r w:rsidRPr="00352959">
        <w:rPr>
          <w:color w:val="FF0000"/>
        </w:rPr>
        <w:t>Cigarroa</w:t>
      </w:r>
      <w:proofErr w:type="spellEnd"/>
      <w:r w:rsidRPr="00352959">
        <w:rPr>
          <w:color w:val="FF0000"/>
        </w:rPr>
        <w:t xml:space="preserve"> JE, Curtis LH, Fleisher LA, Gentile F, </w:t>
      </w:r>
      <w:proofErr w:type="spellStart"/>
      <w:r w:rsidRPr="00352959">
        <w:rPr>
          <w:color w:val="FF0000"/>
        </w:rPr>
        <w:t>Gidding</w:t>
      </w:r>
      <w:proofErr w:type="spellEnd"/>
      <w:r w:rsidRPr="00352959">
        <w:rPr>
          <w:color w:val="FF0000"/>
        </w:rPr>
        <w:t xml:space="preserve"> S, </w:t>
      </w:r>
      <w:proofErr w:type="spellStart"/>
      <w:r w:rsidRPr="00352959">
        <w:rPr>
          <w:color w:val="FF0000"/>
        </w:rPr>
        <w:t>Hlatky</w:t>
      </w:r>
      <w:proofErr w:type="spellEnd"/>
      <w:r w:rsidRPr="00352959">
        <w:rPr>
          <w:color w:val="FF0000"/>
        </w:rPr>
        <w:t xml:space="preserve"> MA, </w:t>
      </w:r>
      <w:proofErr w:type="spellStart"/>
      <w:r w:rsidRPr="00352959">
        <w:rPr>
          <w:color w:val="FF0000"/>
        </w:rPr>
        <w:t>Ikonomidis</w:t>
      </w:r>
      <w:proofErr w:type="spellEnd"/>
      <w:r w:rsidRPr="00352959">
        <w:rPr>
          <w:color w:val="FF0000"/>
        </w:rPr>
        <w:t xml:space="preserve"> J, </w:t>
      </w:r>
      <w:proofErr w:type="spellStart"/>
      <w:r w:rsidRPr="00352959">
        <w:rPr>
          <w:color w:val="FF0000"/>
        </w:rPr>
        <w:t>Joglar</w:t>
      </w:r>
      <w:proofErr w:type="spellEnd"/>
      <w:r w:rsidRPr="00352959">
        <w:rPr>
          <w:color w:val="FF0000"/>
        </w:rPr>
        <w:t xml:space="preserve"> J, Pressler SJ, </w:t>
      </w:r>
      <w:proofErr w:type="spellStart"/>
      <w:r w:rsidRPr="00352959">
        <w:rPr>
          <w:color w:val="FF0000"/>
        </w:rPr>
        <w:t>Wijeysundera</w:t>
      </w:r>
      <w:proofErr w:type="spellEnd"/>
      <w:r w:rsidRPr="00352959">
        <w:rPr>
          <w:color w:val="FF0000"/>
        </w:rPr>
        <w:t xml:space="preserve"> DN. Further evolution of the ACC/AHA clinical practice guideline recommendation classification system: a report of the American College of Cardiology/American Heart Association Task Force on Clinical Practice Guidelines. </w:t>
      </w:r>
      <w:r w:rsidRPr="00352959">
        <w:rPr>
          <w:i/>
          <w:iCs/>
          <w:color w:val="FF0000"/>
        </w:rPr>
        <w:t>Circulation.</w:t>
      </w:r>
      <w:r w:rsidRPr="00352959">
        <w:rPr>
          <w:color w:val="FF0000"/>
        </w:rPr>
        <w:t xml:space="preserve"> 2016;133:1426-1428. DOI: 10.1161/CIR.0000000000000312.</w:t>
      </w:r>
    </w:p>
    <w:p w14:paraId="5E372870" w14:textId="24E4ADD1" w:rsidR="00A50E68" w:rsidRPr="00A50E68" w:rsidRDefault="00A50E68" w:rsidP="00F547E4">
      <w:pPr>
        <w:pStyle w:val="ListParagraph"/>
        <w:numPr>
          <w:ilvl w:val="0"/>
          <w:numId w:val="24"/>
        </w:numPr>
        <w:spacing w:after="0"/>
        <w:rPr>
          <w:color w:val="FF0000"/>
        </w:rPr>
      </w:pPr>
      <w:r w:rsidRPr="00A50E68">
        <w:rPr>
          <w:color w:val="FF0000"/>
        </w:rPr>
        <w:t>Tong, X., Wiltz, J. L., George, M. G., Odom, E. C., King, S. M. C., Chang, T., … . (2018). A Decade of Improvement in Door-to-Needle Time Among Acute Ischemic Stroke Patients, 2008 to 2017. </w:t>
      </w:r>
      <w:r w:rsidRPr="00A50E68">
        <w:rPr>
          <w:i/>
          <w:iCs/>
          <w:color w:val="FF0000"/>
        </w:rPr>
        <w:t>Circulation: Cardiovascular Quality and Outcomes, 11</w:t>
      </w:r>
      <w:r w:rsidRPr="00A50E68">
        <w:rPr>
          <w:color w:val="FF0000"/>
        </w:rPr>
        <w:t xml:space="preserve">(12). </w:t>
      </w:r>
      <w:proofErr w:type="spellStart"/>
      <w:r w:rsidRPr="00A50E68">
        <w:rPr>
          <w:color w:val="FF0000"/>
        </w:rPr>
        <w:t>doi</w:t>
      </w:r>
      <w:proofErr w:type="spellEnd"/>
      <w:r w:rsidRPr="00A50E68">
        <w:rPr>
          <w:color w:val="FF0000"/>
        </w:rPr>
        <w:t>: 10.1161/circoutcomes.118.004981</w:t>
      </w:r>
    </w:p>
    <w:p w14:paraId="55B8DA95" w14:textId="4B30DB34" w:rsidR="0094689F" w:rsidRPr="003B1CC5" w:rsidRDefault="00925F11" w:rsidP="002E2177">
      <w:pPr>
        <w:ind w:left="0" w:firstLine="0"/>
        <w:rPr>
          <w:b/>
          <w:color w:val="0070C0"/>
        </w:rPr>
      </w:pPr>
      <w:r w:rsidRPr="003B1CC5">
        <w:rPr>
          <w:b/>
          <w:iCs/>
          <w:caps/>
        </w:rPr>
        <w:t>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7"/>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DBAC1" w14:textId="77777777" w:rsidR="005F6340" w:rsidRDefault="005F6340" w:rsidP="007E37A5">
      <w:r>
        <w:separator/>
      </w:r>
    </w:p>
  </w:endnote>
  <w:endnote w:type="continuationSeparator" w:id="0">
    <w:p w14:paraId="2A95FC39" w14:textId="77777777" w:rsidR="005F6340" w:rsidRDefault="005F6340"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B539C" w14:textId="77777777" w:rsidR="005F6340" w:rsidRDefault="005F6340" w:rsidP="007E37A5">
      <w:r>
        <w:separator/>
      </w:r>
    </w:p>
  </w:footnote>
  <w:footnote w:type="continuationSeparator" w:id="0">
    <w:p w14:paraId="37C5C1F7" w14:textId="77777777" w:rsidR="005F6340" w:rsidRDefault="005F6340"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B42239"/>
    <w:multiLevelType w:val="hybridMultilevel"/>
    <w:tmpl w:val="54BC2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FE6EC2"/>
    <w:multiLevelType w:val="hybridMultilevel"/>
    <w:tmpl w:val="E0AE3026"/>
    <w:lvl w:ilvl="0" w:tplc="A612A8C4">
      <w:start w:val="1"/>
      <w:numFmt w:val="decimal"/>
      <w:lvlText w:val="(%1)"/>
      <w:lvlJc w:val="left"/>
      <w:pPr>
        <w:ind w:left="360" w:hanging="360"/>
      </w:pPr>
      <w:rPr>
        <w:rFonts w:hint="default"/>
        <w:b w:val="0"/>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21C1E40"/>
    <w:multiLevelType w:val="hybridMultilevel"/>
    <w:tmpl w:val="1AD475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D153EC"/>
    <w:multiLevelType w:val="hybridMultilevel"/>
    <w:tmpl w:val="938CF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992C5B"/>
    <w:multiLevelType w:val="hybridMultilevel"/>
    <w:tmpl w:val="A612A0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66017EE"/>
    <w:multiLevelType w:val="hybridMultilevel"/>
    <w:tmpl w:val="80909E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6834EFF"/>
    <w:multiLevelType w:val="hybridMultilevel"/>
    <w:tmpl w:val="0EFC53FE"/>
    <w:lvl w:ilvl="0" w:tplc="B96C055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D7428C1"/>
    <w:multiLevelType w:val="hybridMultilevel"/>
    <w:tmpl w:val="639E2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258382A"/>
    <w:multiLevelType w:val="hybridMultilevel"/>
    <w:tmpl w:val="C54A1D22"/>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0765441"/>
    <w:multiLevelType w:val="hybridMultilevel"/>
    <w:tmpl w:val="1FBAA3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3DE1AFA"/>
    <w:multiLevelType w:val="hybridMultilevel"/>
    <w:tmpl w:val="4C48BF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1C5CB9"/>
    <w:multiLevelType w:val="hybridMultilevel"/>
    <w:tmpl w:val="9B882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783BB7"/>
    <w:multiLevelType w:val="hybridMultilevel"/>
    <w:tmpl w:val="E0AE3026"/>
    <w:lvl w:ilvl="0" w:tplc="A612A8C4">
      <w:start w:val="1"/>
      <w:numFmt w:val="decimal"/>
      <w:lvlText w:val="(%1)"/>
      <w:lvlJc w:val="left"/>
      <w:pPr>
        <w:ind w:left="360" w:hanging="360"/>
      </w:pPr>
      <w:rPr>
        <w:rFonts w:hint="default"/>
        <w:b w:val="0"/>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6"/>
  </w:num>
  <w:num w:numId="3">
    <w:abstractNumId w:val="2"/>
  </w:num>
  <w:num w:numId="4">
    <w:abstractNumId w:val="3"/>
  </w:num>
  <w:num w:numId="5">
    <w:abstractNumId w:val="6"/>
  </w:num>
  <w:num w:numId="6">
    <w:abstractNumId w:val="5"/>
  </w:num>
  <w:num w:numId="7">
    <w:abstractNumId w:val="20"/>
  </w:num>
  <w:num w:numId="8">
    <w:abstractNumId w:val="19"/>
  </w:num>
  <w:num w:numId="9">
    <w:abstractNumId w:val="22"/>
  </w:num>
  <w:num w:numId="10">
    <w:abstractNumId w:val="0"/>
  </w:num>
  <w:num w:numId="11">
    <w:abstractNumId w:val="13"/>
  </w:num>
  <w:num w:numId="12">
    <w:abstractNumId w:val="18"/>
  </w:num>
  <w:num w:numId="13">
    <w:abstractNumId w:val="12"/>
  </w:num>
  <w:num w:numId="14">
    <w:abstractNumId w:val="1"/>
  </w:num>
  <w:num w:numId="15">
    <w:abstractNumId w:val="11"/>
  </w:num>
  <w:num w:numId="16">
    <w:abstractNumId w:val="8"/>
  </w:num>
  <w:num w:numId="17">
    <w:abstractNumId w:val="4"/>
  </w:num>
  <w:num w:numId="18">
    <w:abstractNumId w:val="10"/>
  </w:num>
  <w:num w:numId="19">
    <w:abstractNumId w:val="17"/>
  </w:num>
  <w:num w:numId="20">
    <w:abstractNumId w:val="21"/>
  </w:num>
  <w:num w:numId="21">
    <w:abstractNumId w:val="14"/>
  </w:num>
  <w:num w:numId="22">
    <w:abstractNumId w:val="15"/>
  </w:num>
  <w:num w:numId="23">
    <w:abstractNumId w:val="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02BD2"/>
    <w:rsid w:val="000123BE"/>
    <w:rsid w:val="00015986"/>
    <w:rsid w:val="000160E6"/>
    <w:rsid w:val="00024526"/>
    <w:rsid w:val="00030F43"/>
    <w:rsid w:val="00040DCF"/>
    <w:rsid w:val="00052C0B"/>
    <w:rsid w:val="00061CF3"/>
    <w:rsid w:val="00063601"/>
    <w:rsid w:val="00067566"/>
    <w:rsid w:val="00073079"/>
    <w:rsid w:val="0007593F"/>
    <w:rsid w:val="00086E6C"/>
    <w:rsid w:val="00091FB0"/>
    <w:rsid w:val="0009275B"/>
    <w:rsid w:val="00095EC9"/>
    <w:rsid w:val="00096A37"/>
    <w:rsid w:val="000A0810"/>
    <w:rsid w:val="000A3039"/>
    <w:rsid w:val="000B17B6"/>
    <w:rsid w:val="000B627F"/>
    <w:rsid w:val="000C6CB0"/>
    <w:rsid w:val="000C7307"/>
    <w:rsid w:val="000D649E"/>
    <w:rsid w:val="000D6D06"/>
    <w:rsid w:val="000E5C93"/>
    <w:rsid w:val="000E75BE"/>
    <w:rsid w:val="000F1E29"/>
    <w:rsid w:val="000F4A7F"/>
    <w:rsid w:val="00114848"/>
    <w:rsid w:val="00120934"/>
    <w:rsid w:val="00123998"/>
    <w:rsid w:val="00132070"/>
    <w:rsid w:val="001326BE"/>
    <w:rsid w:val="001331F1"/>
    <w:rsid w:val="00133A19"/>
    <w:rsid w:val="00141875"/>
    <w:rsid w:val="0014347E"/>
    <w:rsid w:val="00154438"/>
    <w:rsid w:val="001551F6"/>
    <w:rsid w:val="0015535B"/>
    <w:rsid w:val="00162036"/>
    <w:rsid w:val="001632DD"/>
    <w:rsid w:val="00176E60"/>
    <w:rsid w:val="00194913"/>
    <w:rsid w:val="00194D9A"/>
    <w:rsid w:val="001A196B"/>
    <w:rsid w:val="001A6D05"/>
    <w:rsid w:val="001B13E0"/>
    <w:rsid w:val="001B38BF"/>
    <w:rsid w:val="001B772D"/>
    <w:rsid w:val="001C4E14"/>
    <w:rsid w:val="001D5B5D"/>
    <w:rsid w:val="001E6153"/>
    <w:rsid w:val="001E6EAB"/>
    <w:rsid w:val="001F322D"/>
    <w:rsid w:val="00201FF9"/>
    <w:rsid w:val="00205857"/>
    <w:rsid w:val="00221D92"/>
    <w:rsid w:val="002236E4"/>
    <w:rsid w:val="00235ADC"/>
    <w:rsid w:val="00236F87"/>
    <w:rsid w:val="00241799"/>
    <w:rsid w:val="0024388F"/>
    <w:rsid w:val="00265702"/>
    <w:rsid w:val="002662B2"/>
    <w:rsid w:val="002717C7"/>
    <w:rsid w:val="0027513F"/>
    <w:rsid w:val="002875E9"/>
    <w:rsid w:val="00287EB3"/>
    <w:rsid w:val="00291037"/>
    <w:rsid w:val="002A47BA"/>
    <w:rsid w:val="002A6777"/>
    <w:rsid w:val="002B06BD"/>
    <w:rsid w:val="002C0E48"/>
    <w:rsid w:val="002C6F04"/>
    <w:rsid w:val="002E2177"/>
    <w:rsid w:val="002E2E41"/>
    <w:rsid w:val="002E78CD"/>
    <w:rsid w:val="002F20A7"/>
    <w:rsid w:val="002F33C7"/>
    <w:rsid w:val="002F4D17"/>
    <w:rsid w:val="002F6745"/>
    <w:rsid w:val="003008F4"/>
    <w:rsid w:val="00302B1D"/>
    <w:rsid w:val="00307FA5"/>
    <w:rsid w:val="0031062F"/>
    <w:rsid w:val="003129DC"/>
    <w:rsid w:val="00324D64"/>
    <w:rsid w:val="00352959"/>
    <w:rsid w:val="00352B52"/>
    <w:rsid w:val="0035760D"/>
    <w:rsid w:val="00363ECC"/>
    <w:rsid w:val="00374540"/>
    <w:rsid w:val="00384AB5"/>
    <w:rsid w:val="0039020B"/>
    <w:rsid w:val="00395263"/>
    <w:rsid w:val="003956E0"/>
    <w:rsid w:val="0039609A"/>
    <w:rsid w:val="00397500"/>
    <w:rsid w:val="003B1CC5"/>
    <w:rsid w:val="003B65CE"/>
    <w:rsid w:val="003C0E6B"/>
    <w:rsid w:val="003D4CD5"/>
    <w:rsid w:val="003D6721"/>
    <w:rsid w:val="003E039E"/>
    <w:rsid w:val="003F29CD"/>
    <w:rsid w:val="0040230E"/>
    <w:rsid w:val="00403FEE"/>
    <w:rsid w:val="0041662F"/>
    <w:rsid w:val="00422917"/>
    <w:rsid w:val="00424495"/>
    <w:rsid w:val="00424E66"/>
    <w:rsid w:val="00440687"/>
    <w:rsid w:val="0044131D"/>
    <w:rsid w:val="004413BB"/>
    <w:rsid w:val="00441ADA"/>
    <w:rsid w:val="0044243B"/>
    <w:rsid w:val="00450CE5"/>
    <w:rsid w:val="00457E46"/>
    <w:rsid w:val="0048104F"/>
    <w:rsid w:val="004922E4"/>
    <w:rsid w:val="00496AF8"/>
    <w:rsid w:val="004A575D"/>
    <w:rsid w:val="004B65C6"/>
    <w:rsid w:val="004D1DC7"/>
    <w:rsid w:val="004E7215"/>
    <w:rsid w:val="004F2D11"/>
    <w:rsid w:val="004F7D7E"/>
    <w:rsid w:val="00500B0C"/>
    <w:rsid w:val="00537150"/>
    <w:rsid w:val="00540984"/>
    <w:rsid w:val="00543851"/>
    <w:rsid w:val="0055559D"/>
    <w:rsid w:val="005569AE"/>
    <w:rsid w:val="00562955"/>
    <w:rsid w:val="005667E4"/>
    <w:rsid w:val="005857F8"/>
    <w:rsid w:val="0059420F"/>
    <w:rsid w:val="005B0D18"/>
    <w:rsid w:val="005B12C3"/>
    <w:rsid w:val="005B409D"/>
    <w:rsid w:val="005D0FDB"/>
    <w:rsid w:val="005D25E9"/>
    <w:rsid w:val="005D6D59"/>
    <w:rsid w:val="005F6340"/>
    <w:rsid w:val="00603520"/>
    <w:rsid w:val="0061327A"/>
    <w:rsid w:val="00617390"/>
    <w:rsid w:val="0062286C"/>
    <w:rsid w:val="00623420"/>
    <w:rsid w:val="00634768"/>
    <w:rsid w:val="0063596F"/>
    <w:rsid w:val="0064292B"/>
    <w:rsid w:val="00662C9D"/>
    <w:rsid w:val="00664F31"/>
    <w:rsid w:val="00665E28"/>
    <w:rsid w:val="006709EB"/>
    <w:rsid w:val="00672824"/>
    <w:rsid w:val="00676BD4"/>
    <w:rsid w:val="0068184A"/>
    <w:rsid w:val="006A0249"/>
    <w:rsid w:val="006A0865"/>
    <w:rsid w:val="006B5C51"/>
    <w:rsid w:val="006C7F30"/>
    <w:rsid w:val="006D43FF"/>
    <w:rsid w:val="006E5937"/>
    <w:rsid w:val="006E6FDD"/>
    <w:rsid w:val="006F060C"/>
    <w:rsid w:val="006F1D96"/>
    <w:rsid w:val="006F4B7F"/>
    <w:rsid w:val="006F760B"/>
    <w:rsid w:val="00701CC3"/>
    <w:rsid w:val="00706CA2"/>
    <w:rsid w:val="00724801"/>
    <w:rsid w:val="00734949"/>
    <w:rsid w:val="00736AEC"/>
    <w:rsid w:val="00736E0F"/>
    <w:rsid w:val="007434FA"/>
    <w:rsid w:val="00744F13"/>
    <w:rsid w:val="00753591"/>
    <w:rsid w:val="007573F0"/>
    <w:rsid w:val="007632EC"/>
    <w:rsid w:val="00765156"/>
    <w:rsid w:val="00767669"/>
    <w:rsid w:val="00771549"/>
    <w:rsid w:val="00773485"/>
    <w:rsid w:val="00776E8F"/>
    <w:rsid w:val="00776F6D"/>
    <w:rsid w:val="00792FC9"/>
    <w:rsid w:val="00795EE8"/>
    <w:rsid w:val="007C0297"/>
    <w:rsid w:val="007C1887"/>
    <w:rsid w:val="007C4E3E"/>
    <w:rsid w:val="007C7D38"/>
    <w:rsid w:val="007D4775"/>
    <w:rsid w:val="007D5DC6"/>
    <w:rsid w:val="007E37A5"/>
    <w:rsid w:val="007F49D8"/>
    <w:rsid w:val="00801971"/>
    <w:rsid w:val="00805940"/>
    <w:rsid w:val="00805E73"/>
    <w:rsid w:val="0081599C"/>
    <w:rsid w:val="008227AB"/>
    <w:rsid w:val="00837121"/>
    <w:rsid w:val="008471E5"/>
    <w:rsid w:val="00850C35"/>
    <w:rsid w:val="00851466"/>
    <w:rsid w:val="0086170A"/>
    <w:rsid w:val="00863E43"/>
    <w:rsid w:val="008647C3"/>
    <w:rsid w:val="008659ED"/>
    <w:rsid w:val="008708DC"/>
    <w:rsid w:val="00870987"/>
    <w:rsid w:val="008749D8"/>
    <w:rsid w:val="0087564A"/>
    <w:rsid w:val="00881160"/>
    <w:rsid w:val="0088371C"/>
    <w:rsid w:val="008A4124"/>
    <w:rsid w:val="008A45F3"/>
    <w:rsid w:val="008B51D9"/>
    <w:rsid w:val="008B652E"/>
    <w:rsid w:val="008D05B7"/>
    <w:rsid w:val="008F1DC6"/>
    <w:rsid w:val="008F6F51"/>
    <w:rsid w:val="009021E8"/>
    <w:rsid w:val="00905C5B"/>
    <w:rsid w:val="00923295"/>
    <w:rsid w:val="00925F11"/>
    <w:rsid w:val="00935265"/>
    <w:rsid w:val="00944DB1"/>
    <w:rsid w:val="0094689F"/>
    <w:rsid w:val="009477D6"/>
    <w:rsid w:val="00952D7A"/>
    <w:rsid w:val="00953ED3"/>
    <w:rsid w:val="00965FF6"/>
    <w:rsid w:val="009846D6"/>
    <w:rsid w:val="0098657F"/>
    <w:rsid w:val="009A3236"/>
    <w:rsid w:val="009B5A93"/>
    <w:rsid w:val="009B5BEA"/>
    <w:rsid w:val="009C291F"/>
    <w:rsid w:val="009D496C"/>
    <w:rsid w:val="009E37BD"/>
    <w:rsid w:val="009E6B86"/>
    <w:rsid w:val="009F482B"/>
    <w:rsid w:val="00A03301"/>
    <w:rsid w:val="00A11A58"/>
    <w:rsid w:val="00A12762"/>
    <w:rsid w:val="00A13867"/>
    <w:rsid w:val="00A26FED"/>
    <w:rsid w:val="00A421D4"/>
    <w:rsid w:val="00A43A81"/>
    <w:rsid w:val="00A44FF0"/>
    <w:rsid w:val="00A50E55"/>
    <w:rsid w:val="00A50E68"/>
    <w:rsid w:val="00A67602"/>
    <w:rsid w:val="00A67EB1"/>
    <w:rsid w:val="00A9011D"/>
    <w:rsid w:val="00A91A47"/>
    <w:rsid w:val="00A95D2B"/>
    <w:rsid w:val="00AA10F1"/>
    <w:rsid w:val="00AA2D27"/>
    <w:rsid w:val="00AA5587"/>
    <w:rsid w:val="00AA63CC"/>
    <w:rsid w:val="00AB4ECE"/>
    <w:rsid w:val="00AC1E53"/>
    <w:rsid w:val="00AD79C8"/>
    <w:rsid w:val="00AE6CE0"/>
    <w:rsid w:val="00AE6EBC"/>
    <w:rsid w:val="00B058A6"/>
    <w:rsid w:val="00B117D0"/>
    <w:rsid w:val="00B128FD"/>
    <w:rsid w:val="00B1334C"/>
    <w:rsid w:val="00B13998"/>
    <w:rsid w:val="00B23FCD"/>
    <w:rsid w:val="00B35C5F"/>
    <w:rsid w:val="00B439DD"/>
    <w:rsid w:val="00B44B61"/>
    <w:rsid w:val="00B52E0F"/>
    <w:rsid w:val="00B74629"/>
    <w:rsid w:val="00B85EAC"/>
    <w:rsid w:val="00B91344"/>
    <w:rsid w:val="00B91911"/>
    <w:rsid w:val="00B91F58"/>
    <w:rsid w:val="00B96945"/>
    <w:rsid w:val="00BA579E"/>
    <w:rsid w:val="00BA778F"/>
    <w:rsid w:val="00BE2295"/>
    <w:rsid w:val="00BE387F"/>
    <w:rsid w:val="00BE6373"/>
    <w:rsid w:val="00BF533A"/>
    <w:rsid w:val="00BF66F9"/>
    <w:rsid w:val="00C41794"/>
    <w:rsid w:val="00C46677"/>
    <w:rsid w:val="00C5180E"/>
    <w:rsid w:val="00C54E40"/>
    <w:rsid w:val="00C55F56"/>
    <w:rsid w:val="00C57BA4"/>
    <w:rsid w:val="00C613EB"/>
    <w:rsid w:val="00C66462"/>
    <w:rsid w:val="00C67895"/>
    <w:rsid w:val="00C71C1A"/>
    <w:rsid w:val="00C71C1F"/>
    <w:rsid w:val="00C84623"/>
    <w:rsid w:val="00CA0FAE"/>
    <w:rsid w:val="00CB06C9"/>
    <w:rsid w:val="00CB187B"/>
    <w:rsid w:val="00CB1E41"/>
    <w:rsid w:val="00CB271C"/>
    <w:rsid w:val="00CC0B1A"/>
    <w:rsid w:val="00CC0F87"/>
    <w:rsid w:val="00CE4F96"/>
    <w:rsid w:val="00CE6552"/>
    <w:rsid w:val="00CF0AB1"/>
    <w:rsid w:val="00CF4B9B"/>
    <w:rsid w:val="00CF55E6"/>
    <w:rsid w:val="00CF772F"/>
    <w:rsid w:val="00D0473D"/>
    <w:rsid w:val="00D048DB"/>
    <w:rsid w:val="00D14969"/>
    <w:rsid w:val="00D14C21"/>
    <w:rsid w:val="00D14F0B"/>
    <w:rsid w:val="00D178CA"/>
    <w:rsid w:val="00D23180"/>
    <w:rsid w:val="00D3311C"/>
    <w:rsid w:val="00D53405"/>
    <w:rsid w:val="00D5457B"/>
    <w:rsid w:val="00D555BE"/>
    <w:rsid w:val="00D72995"/>
    <w:rsid w:val="00D73685"/>
    <w:rsid w:val="00DA2997"/>
    <w:rsid w:val="00DA41F1"/>
    <w:rsid w:val="00DA7FA2"/>
    <w:rsid w:val="00DC2D8D"/>
    <w:rsid w:val="00DC7F67"/>
    <w:rsid w:val="00DE1F5D"/>
    <w:rsid w:val="00DE50D8"/>
    <w:rsid w:val="00DF278A"/>
    <w:rsid w:val="00E03869"/>
    <w:rsid w:val="00E1664B"/>
    <w:rsid w:val="00E30D12"/>
    <w:rsid w:val="00E3394E"/>
    <w:rsid w:val="00E35241"/>
    <w:rsid w:val="00E41417"/>
    <w:rsid w:val="00E42FAA"/>
    <w:rsid w:val="00E536D3"/>
    <w:rsid w:val="00E57BE2"/>
    <w:rsid w:val="00E62A95"/>
    <w:rsid w:val="00E746A2"/>
    <w:rsid w:val="00E7693E"/>
    <w:rsid w:val="00E84995"/>
    <w:rsid w:val="00E90D06"/>
    <w:rsid w:val="00E97E59"/>
    <w:rsid w:val="00EA66F6"/>
    <w:rsid w:val="00EA79C9"/>
    <w:rsid w:val="00EB66AC"/>
    <w:rsid w:val="00EC10EB"/>
    <w:rsid w:val="00EC1225"/>
    <w:rsid w:val="00EC2247"/>
    <w:rsid w:val="00EC3D58"/>
    <w:rsid w:val="00EE1F87"/>
    <w:rsid w:val="00EE3931"/>
    <w:rsid w:val="00EE5AF6"/>
    <w:rsid w:val="00EF2CEF"/>
    <w:rsid w:val="00F00100"/>
    <w:rsid w:val="00F05F04"/>
    <w:rsid w:val="00F1092D"/>
    <w:rsid w:val="00F42C20"/>
    <w:rsid w:val="00F431D8"/>
    <w:rsid w:val="00F53470"/>
    <w:rsid w:val="00F547E4"/>
    <w:rsid w:val="00F6213C"/>
    <w:rsid w:val="00F63E8D"/>
    <w:rsid w:val="00F67706"/>
    <w:rsid w:val="00F81FE3"/>
    <w:rsid w:val="00F8382D"/>
    <w:rsid w:val="00F90F82"/>
    <w:rsid w:val="00F92D75"/>
    <w:rsid w:val="00F95644"/>
    <w:rsid w:val="00F97327"/>
    <w:rsid w:val="00FA296F"/>
    <w:rsid w:val="00FA36A2"/>
    <w:rsid w:val="00FA7323"/>
    <w:rsid w:val="00FB1299"/>
    <w:rsid w:val="00FC32D3"/>
    <w:rsid w:val="00FD4D82"/>
    <w:rsid w:val="00FE57AE"/>
    <w:rsid w:val="00FF385B"/>
    <w:rsid w:val="00FF3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62286C"/>
    <w:rPr>
      <w:color w:val="605E5C"/>
      <w:shd w:val="clear" w:color="auto" w:fill="E1DFDD"/>
    </w:rPr>
  </w:style>
  <w:style w:type="character" w:styleId="Emphasis">
    <w:name w:val="Emphasis"/>
    <w:basedOn w:val="DefaultParagraphFont"/>
    <w:uiPriority w:val="20"/>
    <w:qFormat/>
    <w:rsid w:val="00B85EAC"/>
    <w:rPr>
      <w:b/>
      <w:bCs/>
      <w:i w:val="0"/>
      <w:iCs w:val="0"/>
    </w:rPr>
  </w:style>
  <w:style w:type="character" w:customStyle="1" w:styleId="st1">
    <w:name w:val="st1"/>
    <w:basedOn w:val="DefaultParagraphFont"/>
    <w:rsid w:val="00B85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6754751">
      <w:bodyDiv w:val="1"/>
      <w:marLeft w:val="0"/>
      <w:marRight w:val="0"/>
      <w:marTop w:val="0"/>
      <w:marBottom w:val="0"/>
      <w:divBdr>
        <w:top w:val="none" w:sz="0" w:space="0" w:color="auto"/>
        <w:left w:val="none" w:sz="0" w:space="0" w:color="auto"/>
        <w:bottom w:val="none" w:sz="0" w:space="0" w:color="auto"/>
        <w:right w:val="none" w:sz="0" w:space="0" w:color="auto"/>
      </w:divBdr>
    </w:div>
    <w:div w:id="187931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y.americanheart.org/idc/groups/ahamah%20%20public/@wcm/@sop/documents/downloadable/ucm_319826.pdf" TargetMode="Externa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hyperlink" Target="http://assets.cardiosource.com/"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diagramColors" Target="diagrams/colors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image" Target="media/image2.png"/><Relationship Id="rId27" Type="http://schemas.openxmlformats.org/officeDocument/2006/relationships/header" Target="header1.xml"/><Relationship Id="rId30"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24B91E-5B0B-4E6D-86DF-995A97C2735E}" type="doc">
      <dgm:prSet loTypeId="urn:microsoft.com/office/officeart/2005/8/layout/process1" loCatId="process" qsTypeId="urn:microsoft.com/office/officeart/2005/8/quickstyle/simple1" qsCatId="simple" csTypeId="urn:microsoft.com/office/officeart/2005/8/colors/accent1_2" csCatId="accent1" phldr="1"/>
      <dgm:spPr/>
    </dgm:pt>
    <dgm:pt modelId="{0F7D76A9-C262-47C7-A0F8-C712CF3263A9}">
      <dgm:prSet phldrT="[Text]" custT="1"/>
      <dgm:spPr>
        <a:xfrm>
          <a:off x="4728" y="718208"/>
          <a:ext cx="1413227" cy="88768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200">
              <a:solidFill>
                <a:sysClr val="window" lastClr="FFFFFF"/>
              </a:solidFill>
              <a:latin typeface="Calibri"/>
              <a:ea typeface="+mn-ea"/>
              <a:cs typeface="+mn-cs"/>
            </a:rPr>
            <a:t>Rapid administration of  intravenous </a:t>
          </a:r>
          <a:r>
            <a:rPr lang="en-US" sz="1200">
              <a:solidFill>
                <a:srgbClr val="FF0000"/>
              </a:solidFill>
              <a:latin typeface="Calibri"/>
              <a:ea typeface="+mn-ea"/>
              <a:cs typeface="+mn-cs"/>
            </a:rPr>
            <a:t>alteplase</a:t>
          </a:r>
          <a:r>
            <a:rPr lang="en-US" sz="1200">
              <a:solidFill>
                <a:sysClr val="window" lastClr="FFFFFF"/>
              </a:solidFill>
              <a:latin typeface="Calibri"/>
              <a:ea typeface="+mn-ea"/>
              <a:cs typeface="+mn-cs"/>
            </a:rPr>
            <a:t> treatment </a:t>
          </a:r>
        </a:p>
      </dgm:t>
    </dgm:pt>
    <dgm:pt modelId="{54609AF0-0F3E-4BE9-B574-FE7BE085971B}" type="parTrans" cxnId="{35B82EA8-41AE-4F8D-BEDE-D4DC26D2F042}">
      <dgm:prSet/>
      <dgm:spPr/>
      <dgm:t>
        <a:bodyPr/>
        <a:lstStyle/>
        <a:p>
          <a:pPr algn="ctr"/>
          <a:endParaRPr lang="en-US"/>
        </a:p>
      </dgm:t>
    </dgm:pt>
    <dgm:pt modelId="{70738652-9AF0-4B70-B011-A4208C98901F}" type="sibTrans" cxnId="{35B82EA8-41AE-4F8D-BEDE-D4DC26D2F042}">
      <dgm:prSet/>
      <dgm:spPr>
        <a:xfrm>
          <a:off x="1559278" y="986809"/>
          <a:ext cx="299604" cy="350480"/>
        </a:xfrm>
        <a:solidFill>
          <a:srgbClr val="4F81BD">
            <a:tint val="60000"/>
            <a:hueOff val="0"/>
            <a:satOff val="0"/>
            <a:lumOff val="0"/>
            <a:alphaOff val="0"/>
          </a:srgbClr>
        </a:solidFill>
        <a:ln>
          <a:noFill/>
        </a:ln>
        <a:effectLst/>
      </dgm:spPr>
      <dgm:t>
        <a:bodyPr/>
        <a:lstStyle/>
        <a:p>
          <a:pPr algn="ctr"/>
          <a:endParaRPr lang="en-US">
            <a:solidFill>
              <a:sysClr val="window" lastClr="FFFFFF"/>
            </a:solidFill>
            <a:latin typeface="Calibri"/>
            <a:ea typeface="+mn-ea"/>
            <a:cs typeface="+mn-cs"/>
          </a:endParaRPr>
        </a:p>
      </dgm:t>
    </dgm:pt>
    <dgm:pt modelId="{D26B0CE8-FFCA-4FE7-96FE-1A5B8E7B5240}">
      <dgm:prSet phldrT="[Text]" custT="1"/>
      <dgm:spPr>
        <a:xfrm>
          <a:off x="1983246" y="718208"/>
          <a:ext cx="1413227" cy="88768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200">
              <a:solidFill>
                <a:sysClr val="window" lastClr="FFFFFF"/>
              </a:solidFill>
              <a:latin typeface="Calibri"/>
              <a:ea typeface="+mn-ea"/>
              <a:cs typeface="+mn-cs"/>
            </a:rPr>
            <a:t>Timely restoration of blood flow in ischemic stroke patients</a:t>
          </a:r>
        </a:p>
      </dgm:t>
    </dgm:pt>
    <dgm:pt modelId="{AAFD92FA-97FB-47C6-BBE5-7A4CB66D8039}" type="parTrans" cxnId="{8C873D32-629A-4B2A-B6E8-C1A53D00EA0E}">
      <dgm:prSet/>
      <dgm:spPr/>
      <dgm:t>
        <a:bodyPr/>
        <a:lstStyle/>
        <a:p>
          <a:pPr algn="ctr"/>
          <a:endParaRPr lang="en-US"/>
        </a:p>
      </dgm:t>
    </dgm:pt>
    <dgm:pt modelId="{D4351444-652B-4285-91B4-F3CF17F8A597}" type="sibTrans" cxnId="{8C873D32-629A-4B2A-B6E8-C1A53D00EA0E}">
      <dgm:prSet/>
      <dgm:spPr>
        <a:xfrm>
          <a:off x="3537796" y="986809"/>
          <a:ext cx="299604" cy="350480"/>
        </a:xfrm>
        <a:solidFill>
          <a:srgbClr val="4F81BD">
            <a:tint val="60000"/>
            <a:hueOff val="0"/>
            <a:satOff val="0"/>
            <a:lumOff val="0"/>
            <a:alphaOff val="0"/>
          </a:srgbClr>
        </a:solidFill>
        <a:ln>
          <a:noFill/>
        </a:ln>
        <a:effectLst/>
      </dgm:spPr>
      <dgm:t>
        <a:bodyPr/>
        <a:lstStyle/>
        <a:p>
          <a:pPr algn="ctr"/>
          <a:endParaRPr lang="en-US">
            <a:solidFill>
              <a:sysClr val="window" lastClr="FFFFFF"/>
            </a:solidFill>
            <a:latin typeface="Calibri"/>
            <a:ea typeface="+mn-ea"/>
            <a:cs typeface="+mn-cs"/>
          </a:endParaRPr>
        </a:p>
      </dgm:t>
    </dgm:pt>
    <dgm:pt modelId="{96F8D65B-7022-4B2C-9DF2-15F0F08C8525}">
      <dgm:prSet phldrT="[Text]" custT="1"/>
      <dgm:spPr>
        <a:xfrm>
          <a:off x="3961764" y="718208"/>
          <a:ext cx="1413227" cy="88768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US" sz="1200">
              <a:solidFill>
                <a:sysClr val="window" lastClr="FFFFFF"/>
              </a:solidFill>
              <a:latin typeface="Calibri"/>
              <a:ea typeface="+mn-ea"/>
              <a:cs typeface="+mn-cs"/>
            </a:rPr>
            <a:t>Decreased </a:t>
          </a:r>
          <a:r>
            <a:rPr lang="en-US" sz="1200">
              <a:solidFill>
                <a:srgbClr val="FF0000"/>
              </a:solidFill>
              <a:latin typeface="Calibri"/>
              <a:ea typeface="+mn-ea"/>
              <a:cs typeface="+mn-cs"/>
            </a:rPr>
            <a:t>stroke-related disability</a:t>
          </a:r>
          <a:r>
            <a:rPr lang="en-US" sz="1200">
              <a:solidFill>
                <a:sysClr val="window" lastClr="FFFFFF"/>
              </a:solidFill>
              <a:latin typeface="Calibri"/>
              <a:ea typeface="+mn-ea"/>
              <a:cs typeface="+mn-cs"/>
            </a:rPr>
            <a:t> and mortality</a:t>
          </a:r>
        </a:p>
      </dgm:t>
    </dgm:pt>
    <dgm:pt modelId="{FC87AD6D-D71B-4405-B089-8CFF456105E3}" type="parTrans" cxnId="{22F4DAE2-A449-4DC1-846F-4C6D9EEA54A5}">
      <dgm:prSet/>
      <dgm:spPr/>
      <dgm:t>
        <a:bodyPr/>
        <a:lstStyle/>
        <a:p>
          <a:pPr algn="ctr"/>
          <a:endParaRPr lang="en-US"/>
        </a:p>
      </dgm:t>
    </dgm:pt>
    <dgm:pt modelId="{47DEF4D4-92B9-4F5F-B390-E808E780154C}" type="sibTrans" cxnId="{22F4DAE2-A449-4DC1-846F-4C6D9EEA54A5}">
      <dgm:prSet/>
      <dgm:spPr/>
      <dgm:t>
        <a:bodyPr/>
        <a:lstStyle/>
        <a:p>
          <a:pPr algn="ctr"/>
          <a:endParaRPr lang="en-US"/>
        </a:p>
      </dgm:t>
    </dgm:pt>
    <dgm:pt modelId="{1DD47D25-E05C-4099-9164-8A8C497830BE}" type="pres">
      <dgm:prSet presAssocID="{BA24B91E-5B0B-4E6D-86DF-995A97C2735E}" presName="Name0" presStyleCnt="0">
        <dgm:presLayoutVars>
          <dgm:dir/>
          <dgm:resizeHandles val="exact"/>
        </dgm:presLayoutVars>
      </dgm:prSet>
      <dgm:spPr/>
    </dgm:pt>
    <dgm:pt modelId="{0A84C743-A221-4412-8002-EA56AC8AE958}" type="pres">
      <dgm:prSet presAssocID="{0F7D76A9-C262-47C7-A0F8-C712CF3263A9}" presName="node" presStyleLbl="node1" presStyleIdx="0" presStyleCnt="3">
        <dgm:presLayoutVars>
          <dgm:bulletEnabled val="1"/>
        </dgm:presLayoutVars>
      </dgm:prSet>
      <dgm:spPr>
        <a:prstGeom prst="roundRect">
          <a:avLst>
            <a:gd name="adj" fmla="val 10000"/>
          </a:avLst>
        </a:prstGeom>
      </dgm:spPr>
    </dgm:pt>
    <dgm:pt modelId="{CE15D820-A266-4DA4-95D2-0ED3A69BA9C5}" type="pres">
      <dgm:prSet presAssocID="{70738652-9AF0-4B70-B011-A4208C98901F}" presName="sibTrans" presStyleLbl="sibTrans2D1" presStyleIdx="0" presStyleCnt="2"/>
      <dgm:spPr>
        <a:prstGeom prst="rightArrow">
          <a:avLst>
            <a:gd name="adj1" fmla="val 60000"/>
            <a:gd name="adj2" fmla="val 50000"/>
          </a:avLst>
        </a:prstGeom>
      </dgm:spPr>
    </dgm:pt>
    <dgm:pt modelId="{1FE1BC1B-72B5-44CD-88C7-538DECF47254}" type="pres">
      <dgm:prSet presAssocID="{70738652-9AF0-4B70-B011-A4208C98901F}" presName="connectorText" presStyleLbl="sibTrans2D1" presStyleIdx="0" presStyleCnt="2"/>
      <dgm:spPr/>
    </dgm:pt>
    <dgm:pt modelId="{77217586-91FB-48B8-ADA9-E590BAAB4973}" type="pres">
      <dgm:prSet presAssocID="{D26B0CE8-FFCA-4FE7-96FE-1A5B8E7B5240}" presName="node" presStyleLbl="node1" presStyleIdx="1" presStyleCnt="3">
        <dgm:presLayoutVars>
          <dgm:bulletEnabled val="1"/>
        </dgm:presLayoutVars>
      </dgm:prSet>
      <dgm:spPr>
        <a:prstGeom prst="roundRect">
          <a:avLst>
            <a:gd name="adj" fmla="val 10000"/>
          </a:avLst>
        </a:prstGeom>
      </dgm:spPr>
    </dgm:pt>
    <dgm:pt modelId="{F7BA0412-C91B-4C32-A731-5887E15994A3}" type="pres">
      <dgm:prSet presAssocID="{D4351444-652B-4285-91B4-F3CF17F8A597}" presName="sibTrans" presStyleLbl="sibTrans2D1" presStyleIdx="1" presStyleCnt="2"/>
      <dgm:spPr>
        <a:prstGeom prst="rightArrow">
          <a:avLst>
            <a:gd name="adj1" fmla="val 60000"/>
            <a:gd name="adj2" fmla="val 50000"/>
          </a:avLst>
        </a:prstGeom>
      </dgm:spPr>
    </dgm:pt>
    <dgm:pt modelId="{E50EE35B-C73F-4B81-A410-36F2A8F0FFFC}" type="pres">
      <dgm:prSet presAssocID="{D4351444-652B-4285-91B4-F3CF17F8A597}" presName="connectorText" presStyleLbl="sibTrans2D1" presStyleIdx="1" presStyleCnt="2"/>
      <dgm:spPr/>
    </dgm:pt>
    <dgm:pt modelId="{B7F7E2A7-022E-4C83-B633-3B0E40C128D2}" type="pres">
      <dgm:prSet presAssocID="{96F8D65B-7022-4B2C-9DF2-15F0F08C8525}" presName="node" presStyleLbl="node1" presStyleIdx="2" presStyleCnt="3" custLinFactNeighborX="-11795" custLinFactNeighborY="-1926">
        <dgm:presLayoutVars>
          <dgm:bulletEnabled val="1"/>
        </dgm:presLayoutVars>
      </dgm:prSet>
      <dgm:spPr>
        <a:prstGeom prst="roundRect">
          <a:avLst>
            <a:gd name="adj" fmla="val 10000"/>
          </a:avLst>
        </a:prstGeom>
      </dgm:spPr>
    </dgm:pt>
  </dgm:ptLst>
  <dgm:cxnLst>
    <dgm:cxn modelId="{8C873D32-629A-4B2A-B6E8-C1A53D00EA0E}" srcId="{BA24B91E-5B0B-4E6D-86DF-995A97C2735E}" destId="{D26B0CE8-FFCA-4FE7-96FE-1A5B8E7B5240}" srcOrd="1" destOrd="0" parTransId="{AAFD92FA-97FB-47C6-BBE5-7A4CB66D8039}" sibTransId="{D4351444-652B-4285-91B4-F3CF17F8A597}"/>
    <dgm:cxn modelId="{6859B73A-2618-4AC0-B046-708B2ECC4421}" type="presOf" srcId="{D26B0CE8-FFCA-4FE7-96FE-1A5B8E7B5240}" destId="{77217586-91FB-48B8-ADA9-E590BAAB4973}" srcOrd="0" destOrd="0" presId="urn:microsoft.com/office/officeart/2005/8/layout/process1"/>
    <dgm:cxn modelId="{299C213C-0E35-466C-A95F-7EDF0679C8E7}" type="presOf" srcId="{D4351444-652B-4285-91B4-F3CF17F8A597}" destId="{F7BA0412-C91B-4C32-A731-5887E15994A3}" srcOrd="0" destOrd="0" presId="urn:microsoft.com/office/officeart/2005/8/layout/process1"/>
    <dgm:cxn modelId="{C5629B3C-9EE2-4EA5-9D1D-7AE53EDDA9FD}" type="presOf" srcId="{96F8D65B-7022-4B2C-9DF2-15F0F08C8525}" destId="{B7F7E2A7-022E-4C83-B633-3B0E40C128D2}" srcOrd="0" destOrd="0" presId="urn:microsoft.com/office/officeart/2005/8/layout/process1"/>
    <dgm:cxn modelId="{AA516251-FBC7-4F86-81DF-09439F589A03}" type="presOf" srcId="{70738652-9AF0-4B70-B011-A4208C98901F}" destId="{1FE1BC1B-72B5-44CD-88C7-538DECF47254}" srcOrd="1" destOrd="0" presId="urn:microsoft.com/office/officeart/2005/8/layout/process1"/>
    <dgm:cxn modelId="{D31BDB89-BF90-49EA-869C-9CE2BFA9576D}" type="presOf" srcId="{D4351444-652B-4285-91B4-F3CF17F8A597}" destId="{E50EE35B-C73F-4B81-A410-36F2A8F0FFFC}" srcOrd="1" destOrd="0" presId="urn:microsoft.com/office/officeart/2005/8/layout/process1"/>
    <dgm:cxn modelId="{91D3D3A1-EB70-45BB-9C00-516BA87E78CF}" type="presOf" srcId="{70738652-9AF0-4B70-B011-A4208C98901F}" destId="{CE15D820-A266-4DA4-95D2-0ED3A69BA9C5}" srcOrd="0" destOrd="0" presId="urn:microsoft.com/office/officeart/2005/8/layout/process1"/>
    <dgm:cxn modelId="{232A09A5-BD4A-4472-84B8-DB3F242DBED1}" type="presOf" srcId="{BA24B91E-5B0B-4E6D-86DF-995A97C2735E}" destId="{1DD47D25-E05C-4099-9164-8A8C497830BE}" srcOrd="0" destOrd="0" presId="urn:microsoft.com/office/officeart/2005/8/layout/process1"/>
    <dgm:cxn modelId="{35B82EA8-41AE-4F8D-BEDE-D4DC26D2F042}" srcId="{BA24B91E-5B0B-4E6D-86DF-995A97C2735E}" destId="{0F7D76A9-C262-47C7-A0F8-C712CF3263A9}" srcOrd="0" destOrd="0" parTransId="{54609AF0-0F3E-4BE9-B574-FE7BE085971B}" sibTransId="{70738652-9AF0-4B70-B011-A4208C98901F}"/>
    <dgm:cxn modelId="{22F4DAE2-A449-4DC1-846F-4C6D9EEA54A5}" srcId="{BA24B91E-5B0B-4E6D-86DF-995A97C2735E}" destId="{96F8D65B-7022-4B2C-9DF2-15F0F08C8525}" srcOrd="2" destOrd="0" parTransId="{FC87AD6D-D71B-4405-B089-8CFF456105E3}" sibTransId="{47DEF4D4-92B9-4F5F-B390-E808E780154C}"/>
    <dgm:cxn modelId="{A04CDFF3-79E4-47E2-A27C-4F2EB9C585C7}" type="presOf" srcId="{0F7D76A9-C262-47C7-A0F8-C712CF3263A9}" destId="{0A84C743-A221-4412-8002-EA56AC8AE958}" srcOrd="0" destOrd="0" presId="urn:microsoft.com/office/officeart/2005/8/layout/process1"/>
    <dgm:cxn modelId="{9FE44EE6-CF16-4222-9E78-D40C694CB25E}" type="presParOf" srcId="{1DD47D25-E05C-4099-9164-8A8C497830BE}" destId="{0A84C743-A221-4412-8002-EA56AC8AE958}" srcOrd="0" destOrd="0" presId="urn:microsoft.com/office/officeart/2005/8/layout/process1"/>
    <dgm:cxn modelId="{C703599F-2932-4A29-AB8F-42BE325DA512}" type="presParOf" srcId="{1DD47D25-E05C-4099-9164-8A8C497830BE}" destId="{CE15D820-A266-4DA4-95D2-0ED3A69BA9C5}" srcOrd="1" destOrd="0" presId="urn:microsoft.com/office/officeart/2005/8/layout/process1"/>
    <dgm:cxn modelId="{B7BD2D37-36E2-4D30-AB0E-36ECE77AA298}" type="presParOf" srcId="{CE15D820-A266-4DA4-95D2-0ED3A69BA9C5}" destId="{1FE1BC1B-72B5-44CD-88C7-538DECF47254}" srcOrd="0" destOrd="0" presId="urn:microsoft.com/office/officeart/2005/8/layout/process1"/>
    <dgm:cxn modelId="{69830FE8-4FF5-432E-BD45-335DB8DA3F20}" type="presParOf" srcId="{1DD47D25-E05C-4099-9164-8A8C497830BE}" destId="{77217586-91FB-48B8-ADA9-E590BAAB4973}" srcOrd="2" destOrd="0" presId="urn:microsoft.com/office/officeart/2005/8/layout/process1"/>
    <dgm:cxn modelId="{E57DB829-9182-40CE-B031-D8511993C9C5}" type="presParOf" srcId="{1DD47D25-E05C-4099-9164-8A8C497830BE}" destId="{F7BA0412-C91B-4C32-A731-5887E15994A3}" srcOrd="3" destOrd="0" presId="urn:microsoft.com/office/officeart/2005/8/layout/process1"/>
    <dgm:cxn modelId="{49429CAD-A6C8-4ECB-BAAB-06169AEEE005}" type="presParOf" srcId="{F7BA0412-C91B-4C32-A731-5887E15994A3}" destId="{E50EE35B-C73F-4B81-A410-36F2A8F0FFFC}" srcOrd="0" destOrd="0" presId="urn:microsoft.com/office/officeart/2005/8/layout/process1"/>
    <dgm:cxn modelId="{351FDD09-CBED-4D43-AC1E-082CA924AF70}" type="presParOf" srcId="{1DD47D25-E05C-4099-9164-8A8C497830BE}" destId="{B7F7E2A7-022E-4C83-B633-3B0E40C128D2}" srcOrd="4"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84C743-A221-4412-8002-EA56AC8AE958}">
      <dsp:nvSpPr>
        <dsp:cNvPr id="0" name=""/>
        <dsp:cNvSpPr/>
      </dsp:nvSpPr>
      <dsp:spPr>
        <a:xfrm>
          <a:off x="4728" y="554908"/>
          <a:ext cx="1413227" cy="84793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 lastClr="FFFFFF"/>
              </a:solidFill>
              <a:latin typeface="Calibri"/>
              <a:ea typeface="+mn-ea"/>
              <a:cs typeface="+mn-cs"/>
            </a:rPr>
            <a:t>Rapid administration of  intravenous </a:t>
          </a:r>
          <a:r>
            <a:rPr lang="en-US" sz="1200" kern="1200">
              <a:solidFill>
                <a:srgbClr val="FF0000"/>
              </a:solidFill>
              <a:latin typeface="Calibri"/>
              <a:ea typeface="+mn-ea"/>
              <a:cs typeface="+mn-cs"/>
            </a:rPr>
            <a:t>alteplase</a:t>
          </a:r>
          <a:r>
            <a:rPr lang="en-US" sz="1200" kern="1200">
              <a:solidFill>
                <a:sysClr val="window" lastClr="FFFFFF"/>
              </a:solidFill>
              <a:latin typeface="Calibri"/>
              <a:ea typeface="+mn-ea"/>
              <a:cs typeface="+mn-cs"/>
            </a:rPr>
            <a:t> treatment </a:t>
          </a:r>
        </a:p>
      </dsp:txBody>
      <dsp:txXfrm>
        <a:off x="29563" y="579743"/>
        <a:ext cx="1363557" cy="798266"/>
      </dsp:txXfrm>
    </dsp:sp>
    <dsp:sp modelId="{CE15D820-A266-4DA4-95D2-0ED3A69BA9C5}">
      <dsp:nvSpPr>
        <dsp:cNvPr id="0" name=""/>
        <dsp:cNvSpPr/>
      </dsp:nvSpPr>
      <dsp:spPr>
        <a:xfrm>
          <a:off x="1559278" y="803636"/>
          <a:ext cx="299604" cy="350480"/>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endParaRPr lang="en-US" sz="1500" kern="1200">
            <a:solidFill>
              <a:sysClr val="window" lastClr="FFFFFF"/>
            </a:solidFill>
            <a:latin typeface="Calibri"/>
            <a:ea typeface="+mn-ea"/>
            <a:cs typeface="+mn-cs"/>
          </a:endParaRPr>
        </a:p>
      </dsp:txBody>
      <dsp:txXfrm>
        <a:off x="1559278" y="873732"/>
        <a:ext cx="209723" cy="210288"/>
      </dsp:txXfrm>
    </dsp:sp>
    <dsp:sp modelId="{77217586-91FB-48B8-ADA9-E590BAAB4973}">
      <dsp:nvSpPr>
        <dsp:cNvPr id="0" name=""/>
        <dsp:cNvSpPr/>
      </dsp:nvSpPr>
      <dsp:spPr>
        <a:xfrm>
          <a:off x="1983246" y="554908"/>
          <a:ext cx="1413227" cy="84793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 lastClr="FFFFFF"/>
              </a:solidFill>
              <a:latin typeface="Calibri"/>
              <a:ea typeface="+mn-ea"/>
              <a:cs typeface="+mn-cs"/>
            </a:rPr>
            <a:t>Timely restoration of blood flow in ischemic stroke patients</a:t>
          </a:r>
        </a:p>
      </dsp:txBody>
      <dsp:txXfrm>
        <a:off x="2008081" y="579743"/>
        <a:ext cx="1363557" cy="798266"/>
      </dsp:txXfrm>
    </dsp:sp>
    <dsp:sp modelId="{F7BA0412-C91B-4C32-A731-5887E15994A3}">
      <dsp:nvSpPr>
        <dsp:cNvPr id="0" name=""/>
        <dsp:cNvSpPr/>
      </dsp:nvSpPr>
      <dsp:spPr>
        <a:xfrm rot="21570635">
          <a:off x="3521122" y="795407"/>
          <a:ext cx="264275" cy="350480"/>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66750">
            <a:lnSpc>
              <a:spcPct val="90000"/>
            </a:lnSpc>
            <a:spcBef>
              <a:spcPct val="0"/>
            </a:spcBef>
            <a:spcAft>
              <a:spcPct val="35000"/>
            </a:spcAft>
            <a:buNone/>
          </a:pPr>
          <a:endParaRPr lang="en-US" sz="1500" kern="1200">
            <a:solidFill>
              <a:sysClr val="window" lastClr="FFFFFF"/>
            </a:solidFill>
            <a:latin typeface="Calibri"/>
            <a:ea typeface="+mn-ea"/>
            <a:cs typeface="+mn-cs"/>
          </a:endParaRPr>
        </a:p>
      </dsp:txBody>
      <dsp:txXfrm>
        <a:off x="3521123" y="865842"/>
        <a:ext cx="184993" cy="210288"/>
      </dsp:txXfrm>
    </dsp:sp>
    <dsp:sp modelId="{B7F7E2A7-022E-4C83-B633-3B0E40C128D2}">
      <dsp:nvSpPr>
        <dsp:cNvPr id="0" name=""/>
        <dsp:cNvSpPr/>
      </dsp:nvSpPr>
      <dsp:spPr>
        <a:xfrm>
          <a:off x="3895088" y="538577"/>
          <a:ext cx="1413227" cy="84793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 lastClr="FFFFFF"/>
              </a:solidFill>
              <a:latin typeface="Calibri"/>
              <a:ea typeface="+mn-ea"/>
              <a:cs typeface="+mn-cs"/>
            </a:rPr>
            <a:t>Decreased </a:t>
          </a:r>
          <a:r>
            <a:rPr lang="en-US" sz="1200" kern="1200">
              <a:solidFill>
                <a:srgbClr val="FF0000"/>
              </a:solidFill>
              <a:latin typeface="Calibri"/>
              <a:ea typeface="+mn-ea"/>
              <a:cs typeface="+mn-cs"/>
            </a:rPr>
            <a:t>stroke-related disability</a:t>
          </a:r>
          <a:r>
            <a:rPr lang="en-US" sz="1200" kern="1200">
              <a:solidFill>
                <a:sysClr val="window" lastClr="FFFFFF"/>
              </a:solidFill>
              <a:latin typeface="Calibri"/>
              <a:ea typeface="+mn-ea"/>
              <a:cs typeface="+mn-cs"/>
            </a:rPr>
            <a:t> and mortality</a:t>
          </a:r>
        </a:p>
      </dsp:txBody>
      <dsp:txXfrm>
        <a:off x="3919923" y="563412"/>
        <a:ext cx="1363557" cy="79826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35817"/>
    <w:rsid w:val="00160241"/>
    <w:rsid w:val="001644C0"/>
    <w:rsid w:val="0019569A"/>
    <w:rsid w:val="001F47A0"/>
    <w:rsid w:val="002B5F47"/>
    <w:rsid w:val="002D1C13"/>
    <w:rsid w:val="003A1E4B"/>
    <w:rsid w:val="00455EB5"/>
    <w:rsid w:val="00461C1C"/>
    <w:rsid w:val="004E2027"/>
    <w:rsid w:val="005F21F3"/>
    <w:rsid w:val="008F6A9B"/>
    <w:rsid w:val="009E43CE"/>
    <w:rsid w:val="00A77B15"/>
    <w:rsid w:val="00BA0C1D"/>
    <w:rsid w:val="00BC5DF7"/>
    <w:rsid w:val="00BE0F2D"/>
    <w:rsid w:val="00C03643"/>
    <w:rsid w:val="00C2797F"/>
    <w:rsid w:val="00C7602C"/>
    <w:rsid w:val="00C80225"/>
    <w:rsid w:val="00D228C9"/>
    <w:rsid w:val="00D2552B"/>
    <w:rsid w:val="00D75B64"/>
    <w:rsid w:val="00DB5324"/>
    <w:rsid w:val="00E97654"/>
    <w:rsid w:val="00EA555A"/>
    <w:rsid w:val="00EC6897"/>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DF2CDBE7-7F08-4F52-B308-EE351D989842}">
  <ds:schemaRefs>
    <ds:schemaRef ds:uri="http://purl.org/dc/terms/"/>
    <ds:schemaRef ds:uri="836b82f1-340d-495e-85b5-201c5296619a"/>
    <ds:schemaRef ds:uri="http://purl.org/dc/dcmityp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31270C29-623E-4665-BF24-24C62FA1C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4955</Words>
  <Characters>28249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Neha Agrawal</cp:lastModifiedBy>
  <cp:revision>3</cp:revision>
  <cp:lastPrinted>2019-10-01T17:12:00Z</cp:lastPrinted>
  <dcterms:created xsi:type="dcterms:W3CDTF">2019-10-16T13:55:00Z</dcterms:created>
  <dcterms:modified xsi:type="dcterms:W3CDTF">2019-10-16T13:59:00Z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