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292EFF">
            <w:rPr>
              <w:rStyle w:val="Style1"/>
            </w:rPr>
            <w:t>1814</w:t>
          </w:r>
          <w:r w:rsidR="00292EFF">
            <w:rPr>
              <w:rStyle w:val="Style1"/>
            </w:rPr>
            <w:tab/>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292EFF">
            <w:rPr>
              <w:rStyle w:val="Style1"/>
            </w:rPr>
            <w:t>Counseling for Women of Childbearing Potential with Epilepsy</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6-01-15T00:00:00Z">
            <w:dateFormat w:val="M/d/yyyy"/>
            <w:lid w:val="en-US"/>
            <w:storeMappedDataAs w:val="dateTime"/>
            <w:calendar w:val="gregorian"/>
          </w:date>
        </w:sdtPr>
        <w:sdtEndPr>
          <w:rPr>
            <w:rStyle w:val="DefaultParagraphFont"/>
            <w:noProof/>
            <w:color w:val="auto"/>
            <w:u w:val="none"/>
          </w:rPr>
        </w:sdtEndPr>
        <w:sdtContent>
          <w:r w:rsidR="00292EFF">
            <w:rPr>
              <w:rStyle w:val="Style2"/>
            </w:rPr>
            <w:t>1/15/2016</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8"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9"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0"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1"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lastRenderedPageBreak/>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2"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3"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007B22"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007B22"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007B22"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placeholder>
            <w:docPart w:val="15AC292313CE45DC8AC3FC91D340CC66"/>
          </w:placeholder>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007B22"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292EFF">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placeholder>
            <w:docPart w:val="4CBFC8EF1476485CBF0E82C994E3DC6E"/>
          </w:placeholder>
        </w:sdtPr>
        <w:sdtEndPr>
          <w:rPr>
            <w:rStyle w:val="DefaultParagraphFont"/>
            <w:rFonts w:cstheme="minorBidi"/>
            <w:bCs/>
            <w:color w:val="auto"/>
            <w:u w:val="none"/>
          </w:rPr>
        </w:sdtEndPr>
        <w:sdtContent>
          <w:r w:rsidR="00292EFF">
            <w:rPr>
              <w:rStyle w:val="Style2"/>
              <w:rFonts w:cstheme="minorHAnsi"/>
            </w:rPr>
            <w:t>Counseling for Women of Childbearing Potential with Epilepsy</w:t>
          </w:r>
        </w:sdtContent>
      </w:sdt>
    </w:p>
    <w:p w:rsidR="00496AF8" w:rsidRPr="003B1CC5" w:rsidRDefault="00007B22"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007B22" w:rsidP="004940DE">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bookmarkStart w:id="5" w:name="_GoBack"/>
      <w:bookmarkEnd w:id="5"/>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2B06BD" w:rsidRPr="00292EFF" w:rsidRDefault="00292EFF" w:rsidP="002E2177">
      <w:pPr>
        <w:ind w:left="432" w:hanging="432"/>
      </w:pPr>
      <w:r>
        <w:t>Not Applicable</w:t>
      </w: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D14F0B" w:rsidRPr="003B1CC5" w:rsidRDefault="00292EFF" w:rsidP="002E2177">
      <w:pPr>
        <w:ind w:left="0" w:firstLine="0"/>
        <w:rPr>
          <w:iCs/>
        </w:rPr>
      </w:pPr>
      <w:r>
        <w:rPr>
          <w:iCs/>
        </w:rPr>
        <w:t>Not Applicable</w:t>
      </w: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6" w:name="Section1a3"/>
      <w:bookmarkEnd w:id="6"/>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tbl>
      <w:tblPr>
        <w:tblStyle w:val="TableGrid"/>
        <w:tblW w:w="0" w:type="auto"/>
        <w:tblInd w:w="432" w:type="dxa"/>
        <w:tblLook w:val="04A0" w:firstRow="1" w:lastRow="0" w:firstColumn="1" w:lastColumn="0" w:noHBand="0" w:noVBand="1"/>
      </w:tblPr>
      <w:tblGrid>
        <w:gridCol w:w="2973"/>
        <w:gridCol w:w="2966"/>
        <w:gridCol w:w="2979"/>
      </w:tblGrid>
      <w:tr w:rsidR="00292EFF" w:rsidTr="00DC00FE">
        <w:tc>
          <w:tcPr>
            <w:tcW w:w="3116" w:type="dxa"/>
          </w:tcPr>
          <w:p w:rsidR="00292EFF" w:rsidRPr="00074D13" w:rsidRDefault="00292EFF" w:rsidP="00DC00FE">
            <w:pPr>
              <w:ind w:left="0" w:firstLine="0"/>
            </w:pPr>
            <w:r w:rsidRPr="00074D13">
              <w:t>Process</w:t>
            </w:r>
          </w:p>
        </w:tc>
        <w:tc>
          <w:tcPr>
            <w:tcW w:w="3117" w:type="dxa"/>
          </w:tcPr>
          <w:p w:rsidR="00292EFF" w:rsidRPr="00074D13" w:rsidRDefault="00292EFF" w:rsidP="00DC00FE">
            <w:pPr>
              <w:ind w:left="0" w:firstLine="0"/>
            </w:pPr>
            <w:r w:rsidRPr="00074D13">
              <w:t>Intermediate Outcome</w:t>
            </w:r>
          </w:p>
        </w:tc>
        <w:tc>
          <w:tcPr>
            <w:tcW w:w="3117" w:type="dxa"/>
          </w:tcPr>
          <w:p w:rsidR="00292EFF" w:rsidRPr="00074D13" w:rsidRDefault="00292EFF" w:rsidP="00DC00FE">
            <w:pPr>
              <w:ind w:left="0" w:firstLine="0"/>
            </w:pPr>
            <w:r w:rsidRPr="00074D13">
              <w:t>Outcome</w:t>
            </w:r>
          </w:p>
        </w:tc>
      </w:tr>
      <w:tr w:rsidR="00292EFF" w:rsidTr="00DC00FE">
        <w:tc>
          <w:tcPr>
            <w:tcW w:w="3116" w:type="dxa"/>
          </w:tcPr>
          <w:p w:rsidR="00292EFF" w:rsidRPr="00074D13" w:rsidRDefault="00292EFF" w:rsidP="00292EFF">
            <w:pPr>
              <w:ind w:left="0" w:firstLine="0"/>
            </w:pPr>
            <w:r>
              <w:t>Eligible patients counseled on how epilepsy and its treatment may affect contraception or pregnancy</w:t>
            </w:r>
          </w:p>
        </w:tc>
        <w:tc>
          <w:tcPr>
            <w:tcW w:w="3117" w:type="dxa"/>
          </w:tcPr>
          <w:p w:rsidR="00292EFF" w:rsidRDefault="00292EFF" w:rsidP="00292EFF">
            <w:pPr>
              <w:ind w:left="0" w:firstLine="0"/>
            </w:pPr>
            <w:r>
              <w:t>Increased folic acid use in eligible population</w:t>
            </w:r>
          </w:p>
          <w:p w:rsidR="00292EFF" w:rsidRDefault="00292EFF" w:rsidP="00292EFF">
            <w:pPr>
              <w:ind w:left="0" w:firstLine="0"/>
            </w:pPr>
          </w:p>
          <w:p w:rsidR="00292EFF" w:rsidRDefault="00292EFF" w:rsidP="00292EFF">
            <w:pPr>
              <w:ind w:left="0" w:firstLine="0"/>
            </w:pPr>
            <w:r>
              <w:t xml:space="preserve">Eligible patients receive </w:t>
            </w:r>
            <w:r w:rsidR="00891957">
              <w:t xml:space="preserve">appropriate </w:t>
            </w:r>
            <w:r>
              <w:t>obstetrical, prenatal and pre-pregnancy care in accordance with their wishes</w:t>
            </w:r>
          </w:p>
          <w:p w:rsidR="00292EFF" w:rsidRPr="00074D13" w:rsidRDefault="00292EFF" w:rsidP="00292EFF">
            <w:pPr>
              <w:ind w:left="0" w:firstLine="0"/>
            </w:pPr>
          </w:p>
        </w:tc>
        <w:tc>
          <w:tcPr>
            <w:tcW w:w="3117" w:type="dxa"/>
          </w:tcPr>
          <w:p w:rsidR="00891957" w:rsidRDefault="00891957" w:rsidP="00292EFF">
            <w:pPr>
              <w:ind w:left="0" w:firstLine="0"/>
            </w:pPr>
            <w:r>
              <w:t>Decreased number of unintended pregnancies for eligible population</w:t>
            </w:r>
          </w:p>
          <w:p w:rsidR="00891957" w:rsidRDefault="00891957" w:rsidP="00292EFF">
            <w:pPr>
              <w:ind w:left="0" w:firstLine="0"/>
            </w:pPr>
          </w:p>
          <w:p w:rsidR="00292EFF" w:rsidRDefault="00292EFF" w:rsidP="00292EFF">
            <w:pPr>
              <w:ind w:left="0" w:firstLine="0"/>
            </w:pPr>
            <w:r w:rsidRPr="00074D13">
              <w:t xml:space="preserve">Decreased </w:t>
            </w:r>
            <w:r>
              <w:t>complications during pregnancy for eligible patients</w:t>
            </w:r>
          </w:p>
          <w:p w:rsidR="00292EFF" w:rsidRDefault="00292EFF" w:rsidP="00292EFF">
            <w:pPr>
              <w:ind w:left="0" w:firstLine="0"/>
            </w:pPr>
          </w:p>
          <w:p w:rsidR="004E64CE" w:rsidRDefault="004E64CE" w:rsidP="00292EFF">
            <w:pPr>
              <w:ind w:left="0" w:firstLine="0"/>
            </w:pPr>
            <w:r>
              <w:t xml:space="preserve">Increased number of children born at term for eligible patients </w:t>
            </w:r>
          </w:p>
          <w:p w:rsidR="004E64CE" w:rsidRDefault="004E64CE" w:rsidP="00292EFF">
            <w:pPr>
              <w:ind w:left="0" w:firstLine="0"/>
            </w:pPr>
          </w:p>
          <w:p w:rsidR="00292EFF" w:rsidRPr="00074D13" w:rsidRDefault="00292EFF" w:rsidP="00292EFF">
            <w:pPr>
              <w:ind w:left="0" w:firstLine="0"/>
            </w:pPr>
            <w:r>
              <w:t>Decreased malformations in infants born to eligible patients</w:t>
            </w:r>
          </w:p>
        </w:tc>
      </w:tr>
    </w:tbl>
    <w:p w:rsidR="00292EFF" w:rsidRPr="003B1CC5" w:rsidRDefault="00292EFF" w:rsidP="00292EFF">
      <w:pPr>
        <w:ind w:left="0" w:firstLine="0"/>
      </w:pPr>
    </w:p>
    <w:p w:rsidR="007C1887" w:rsidRPr="003B1CC5" w:rsidRDefault="007C1887"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007B22"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292EFF">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007B22"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007B22"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007B22"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7" w:name="Section1a4"/>
      <w:bookmarkEnd w:id="7"/>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292EFF" w:rsidRPr="00292EFF" w:rsidRDefault="00292EFF" w:rsidP="00292EFF">
      <w:pPr>
        <w:pStyle w:val="Default"/>
        <w:numPr>
          <w:ilvl w:val="0"/>
          <w:numId w:val="9"/>
        </w:numPr>
        <w:rPr>
          <w:rFonts w:asciiTheme="minorHAnsi" w:hAnsiTheme="minorHAnsi"/>
          <w:sz w:val="22"/>
          <w:szCs w:val="22"/>
        </w:rPr>
      </w:pPr>
      <w:r w:rsidRPr="00292EFF">
        <w:rPr>
          <w:rFonts w:asciiTheme="minorHAnsi" w:hAnsiTheme="minorHAnsi"/>
          <w:sz w:val="22"/>
          <w:szCs w:val="22"/>
        </w:rPr>
        <w:t xml:space="preserve">Pugh MJ, Berlowitz DR, Montouris G, et al. What constitutes high quality of care for adults with epilepsy? Neurology 2007;69:2020-2027 </w:t>
      </w:r>
    </w:p>
    <w:p w:rsidR="00292EFF" w:rsidRPr="00292EFF" w:rsidRDefault="00292EFF" w:rsidP="00292EFF">
      <w:pPr>
        <w:pStyle w:val="Default"/>
        <w:numPr>
          <w:ilvl w:val="0"/>
          <w:numId w:val="9"/>
        </w:numPr>
        <w:rPr>
          <w:rFonts w:asciiTheme="minorHAnsi" w:hAnsiTheme="minorHAnsi"/>
          <w:sz w:val="22"/>
          <w:szCs w:val="22"/>
        </w:rPr>
      </w:pPr>
      <w:r w:rsidRPr="00292EFF">
        <w:rPr>
          <w:rFonts w:asciiTheme="minorHAnsi" w:hAnsiTheme="minorHAnsi"/>
          <w:sz w:val="22"/>
          <w:szCs w:val="22"/>
        </w:rPr>
        <w:t xml:space="preserve">Harden CL, Hopp J, Ting TY, et al. Practice Parameter update: Management issues for women with epilepsy-Focus on pregnancy (an evidence-based review): Obstetrical complications and change in seizure frequency: Report of the Quality Standards Subcommittee and Therapeutics and Technology Assessment Subcommittee of the American Academy of Neurology and American Epilepsy Society. Neurology 2009;73:126-132. </w:t>
      </w:r>
    </w:p>
    <w:p w:rsidR="00292EFF" w:rsidRDefault="00292EFF" w:rsidP="00292EFF">
      <w:pPr>
        <w:pStyle w:val="ListParagraph"/>
        <w:numPr>
          <w:ilvl w:val="0"/>
          <w:numId w:val="9"/>
        </w:numPr>
      </w:pPr>
      <w:r w:rsidRPr="00292EFF">
        <w:t xml:space="preserve">Harden CL, </w:t>
      </w:r>
      <w:r w:rsidR="0068730D">
        <w:t xml:space="preserve">Meador KJ, Pennell PB, et al. Practice Parameter update: Management issues for women with epilepsy – Focus on pregnancy (an evidence-based review): Teratogenesis and perinatal outcomes: </w:t>
      </w:r>
      <w:r w:rsidR="0068730D" w:rsidRPr="00292EFF">
        <w:t>Report of the Quality Standards Subcommittee and Therapeutics and Technology Assessment Subcommittee of the American Academy of Neurology and American Epilepsy Society. Neurology 2009;73:</w:t>
      </w:r>
      <w:r w:rsidR="0068730D">
        <w:t>133-141</w:t>
      </w:r>
      <w:r w:rsidR="0068730D" w:rsidRPr="00292EFF">
        <w:t>.</w:t>
      </w:r>
    </w:p>
    <w:p w:rsidR="006F4B7F" w:rsidRPr="00292EFF" w:rsidRDefault="00292EFF" w:rsidP="00DF5863">
      <w:pPr>
        <w:pStyle w:val="ListParagraph"/>
        <w:numPr>
          <w:ilvl w:val="0"/>
          <w:numId w:val="9"/>
        </w:numPr>
      </w:pPr>
      <w:r w:rsidRPr="00292EFF">
        <w:t xml:space="preserve">National Institute of Clinical Health and Excellence. The epilepsies: the diagnosis and management of the epilepsies in adults and children in primary and secondary care (update). 2012. Clinical guideline 137. Available at: </w:t>
      </w:r>
      <w:hyperlink r:id="rId14" w:history="1">
        <w:r w:rsidR="00DF5863" w:rsidRPr="00AD6749">
          <w:rPr>
            <w:rStyle w:val="Hyperlink"/>
          </w:rPr>
          <w:t>http://www.nice.org.uk/Guidance/cg137</w:t>
        </w:r>
      </w:hyperlink>
      <w:r w:rsidR="00DF5863">
        <w:rPr>
          <w:color w:val="0000FF"/>
        </w:rPr>
        <w:t xml:space="preserve"> </w:t>
      </w:r>
      <w:r w:rsidRPr="00292EFF">
        <w:t xml:space="preserve">Accessed on February 18, 2014. </w:t>
      </w:r>
    </w:p>
    <w:p w:rsidR="00D14F0B"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B61F8E" w:rsidRPr="003B1CC5" w:rsidRDefault="00B61F8E" w:rsidP="002E2177">
      <w:pPr>
        <w:ind w:left="0" w:firstLine="0"/>
      </w:pPr>
      <w:r>
        <w:t xml:space="preserve">Since the release of the original measure, the guideline statements have been updated, and additional guideline statements added supporting the need for counseling. </w:t>
      </w:r>
    </w:p>
    <w:p w:rsidR="00292EFF" w:rsidRDefault="00292EFF" w:rsidP="00292EFF">
      <w:pPr>
        <w:pStyle w:val="Default"/>
        <w:rPr>
          <w:color w:val="auto"/>
        </w:rPr>
      </w:pPr>
    </w:p>
    <w:p w:rsidR="00292EFF" w:rsidRPr="00292EFF" w:rsidRDefault="00292EFF" w:rsidP="00292EFF">
      <w:pPr>
        <w:pStyle w:val="Default"/>
        <w:numPr>
          <w:ilvl w:val="0"/>
          <w:numId w:val="11"/>
        </w:numPr>
        <w:rPr>
          <w:rFonts w:asciiTheme="minorHAnsi" w:hAnsiTheme="minorHAnsi"/>
          <w:sz w:val="22"/>
          <w:szCs w:val="22"/>
        </w:rPr>
      </w:pPr>
      <w:r w:rsidRPr="00292EFF">
        <w:rPr>
          <w:rFonts w:asciiTheme="minorHAnsi" w:hAnsiTheme="minorHAnsi"/>
          <w:sz w:val="22"/>
          <w:szCs w:val="22"/>
        </w:rPr>
        <w:t xml:space="preserve">If a woman with epilepsy is of childbearing potential and receives oral contraceptives in conjunction with an enzyme inducing AED [Antiepileptic Drug], THEN decreased effectiveness of oral contraception should be addressed. (higher doses of the oral contraceptive, alternative birth control methods, or change AED). (Level A 2++/Primary)1 </w:t>
      </w:r>
    </w:p>
    <w:p w:rsidR="00292EFF" w:rsidRPr="00292EFF" w:rsidRDefault="00292EFF" w:rsidP="00292EFF">
      <w:pPr>
        <w:pStyle w:val="Default"/>
        <w:numPr>
          <w:ilvl w:val="0"/>
          <w:numId w:val="11"/>
        </w:numPr>
        <w:rPr>
          <w:rFonts w:asciiTheme="minorHAnsi" w:hAnsiTheme="minorHAnsi"/>
          <w:sz w:val="22"/>
          <w:szCs w:val="22"/>
        </w:rPr>
      </w:pPr>
      <w:r w:rsidRPr="00292EFF">
        <w:rPr>
          <w:rFonts w:asciiTheme="minorHAnsi" w:hAnsiTheme="minorHAnsi"/>
          <w:sz w:val="22"/>
          <w:szCs w:val="22"/>
        </w:rPr>
        <w:t xml:space="preserve">Patients with epilepsy should receive an annual review of information including topics such as: … Contraception, family planning, and how pregnancy and menopause may affect seizures (evidence grade C)1 </w:t>
      </w:r>
    </w:p>
    <w:p w:rsidR="00292EFF" w:rsidRPr="00292EFF" w:rsidRDefault="00292EFF" w:rsidP="00292EFF">
      <w:pPr>
        <w:pStyle w:val="Default"/>
        <w:numPr>
          <w:ilvl w:val="0"/>
          <w:numId w:val="11"/>
        </w:numPr>
        <w:rPr>
          <w:rFonts w:asciiTheme="minorHAnsi" w:hAnsiTheme="minorHAnsi"/>
          <w:sz w:val="22"/>
          <w:szCs w:val="22"/>
        </w:rPr>
      </w:pPr>
      <w:r w:rsidRPr="00292EFF">
        <w:rPr>
          <w:rFonts w:asciiTheme="minorHAnsi" w:hAnsiTheme="minorHAnsi"/>
          <w:sz w:val="22"/>
          <w:szCs w:val="22"/>
        </w:rPr>
        <w:t>Women with epilepsy (WWE) should be counseled that seizure freedom for at least 9 months prior to pregnancy is probably associated with a high rate (84%-92%) of remaining seizure-free during pregnancy.</w:t>
      </w:r>
      <w:r w:rsidR="007C4280">
        <w:rPr>
          <w:rFonts w:asciiTheme="minorHAnsi" w:hAnsiTheme="minorHAnsi"/>
          <w:sz w:val="22"/>
          <w:szCs w:val="22"/>
        </w:rPr>
        <w:t xml:space="preserve"> (Level B) </w:t>
      </w:r>
      <w:r w:rsidRPr="00292EFF">
        <w:rPr>
          <w:rFonts w:asciiTheme="minorHAnsi" w:hAnsiTheme="minorHAnsi"/>
          <w:sz w:val="22"/>
          <w:szCs w:val="22"/>
        </w:rPr>
        <w:t xml:space="preserve">2 </w:t>
      </w:r>
    </w:p>
    <w:p w:rsidR="00292EFF" w:rsidRPr="00292EFF" w:rsidRDefault="00292EFF" w:rsidP="00292EFF">
      <w:pPr>
        <w:pStyle w:val="Default"/>
        <w:numPr>
          <w:ilvl w:val="0"/>
          <w:numId w:val="11"/>
        </w:numPr>
        <w:rPr>
          <w:rFonts w:asciiTheme="minorHAnsi" w:hAnsiTheme="minorHAnsi"/>
          <w:sz w:val="22"/>
          <w:szCs w:val="22"/>
        </w:rPr>
      </w:pPr>
      <w:r w:rsidRPr="00292EFF">
        <w:rPr>
          <w:rFonts w:asciiTheme="minorHAnsi" w:hAnsiTheme="minorHAnsi"/>
          <w:sz w:val="22"/>
          <w:szCs w:val="22"/>
        </w:rPr>
        <w:t xml:space="preserve">Women with epilepsy who smoke should be counseled that they possibly have a substantially increased risk of premature contractions and premature labor and delivery during pregnancy. There is possibly a substantially increased risk of premature contractions and premature labor and delivery during pregnancy for WWE who smoke. (Level C)2 </w:t>
      </w:r>
    </w:p>
    <w:p w:rsidR="00292EFF" w:rsidRPr="00292EFF" w:rsidRDefault="00292EFF" w:rsidP="00292EFF">
      <w:pPr>
        <w:pStyle w:val="Default"/>
        <w:numPr>
          <w:ilvl w:val="0"/>
          <w:numId w:val="11"/>
        </w:numPr>
        <w:rPr>
          <w:rFonts w:asciiTheme="minorHAnsi" w:hAnsiTheme="minorHAnsi"/>
          <w:sz w:val="22"/>
          <w:szCs w:val="22"/>
        </w:rPr>
      </w:pPr>
      <w:r w:rsidRPr="00292EFF">
        <w:rPr>
          <w:rFonts w:asciiTheme="minorHAnsi" w:hAnsiTheme="minorHAnsi"/>
          <w:sz w:val="22"/>
          <w:szCs w:val="22"/>
        </w:rPr>
        <w:t xml:space="preserve">Counseling of WWE who are contemplating pregnancy should reflect that there is probably no increased risk of reduced cognition in the offspring of WWE not taking AEDs (Level B).3 </w:t>
      </w:r>
    </w:p>
    <w:p w:rsidR="00292EFF" w:rsidRPr="00292EFF" w:rsidRDefault="00292EFF" w:rsidP="00292EFF">
      <w:pPr>
        <w:pStyle w:val="Default"/>
        <w:numPr>
          <w:ilvl w:val="0"/>
          <w:numId w:val="11"/>
        </w:numPr>
        <w:rPr>
          <w:rFonts w:asciiTheme="minorHAnsi" w:hAnsiTheme="minorHAnsi"/>
          <w:sz w:val="22"/>
          <w:szCs w:val="22"/>
        </w:rPr>
      </w:pPr>
      <w:r w:rsidRPr="00292EFF">
        <w:rPr>
          <w:rFonts w:asciiTheme="minorHAnsi" w:hAnsiTheme="minorHAnsi"/>
          <w:sz w:val="22"/>
          <w:szCs w:val="22"/>
        </w:rPr>
        <w:t xml:space="preserve">To reduce the risk of MCMs, avoidance of the use of VPA during the first trimester of pregnancy, if possible, may be considered, compared to the use of PHT or LTG. [MCMs=major congenital malformations; VPA=valproate; PHT=phenytoin; LTG=lamotrigine] (Level C)3 </w:t>
      </w:r>
    </w:p>
    <w:p w:rsidR="00292EFF" w:rsidRPr="00292EFF" w:rsidRDefault="00292EFF" w:rsidP="00292EFF">
      <w:pPr>
        <w:pStyle w:val="Default"/>
        <w:numPr>
          <w:ilvl w:val="0"/>
          <w:numId w:val="11"/>
        </w:numPr>
        <w:rPr>
          <w:rFonts w:asciiTheme="minorHAnsi" w:hAnsiTheme="minorHAnsi"/>
          <w:sz w:val="22"/>
          <w:szCs w:val="22"/>
        </w:rPr>
      </w:pPr>
      <w:r w:rsidRPr="00292EFF">
        <w:rPr>
          <w:rFonts w:asciiTheme="minorHAnsi" w:hAnsiTheme="minorHAnsi"/>
          <w:sz w:val="22"/>
          <w:szCs w:val="22"/>
        </w:rPr>
        <w:t xml:space="preserve">In order to enable informed decisions and choice, and to reduce misunderstandings, women and girls with epilepsy and their partners, as appropriate, must be given accurate information and counselling about contraception, conception, pregnancy, caring for children and breastfeeding, and menopause. (Level III)4 </w:t>
      </w:r>
    </w:p>
    <w:p w:rsidR="00292EFF" w:rsidRPr="00292EFF" w:rsidRDefault="00292EFF" w:rsidP="00292EFF">
      <w:pPr>
        <w:pStyle w:val="Default"/>
        <w:numPr>
          <w:ilvl w:val="0"/>
          <w:numId w:val="11"/>
        </w:numPr>
        <w:rPr>
          <w:rFonts w:asciiTheme="minorHAnsi" w:hAnsiTheme="minorHAnsi"/>
          <w:sz w:val="22"/>
          <w:szCs w:val="22"/>
        </w:rPr>
      </w:pPr>
      <w:r w:rsidRPr="00292EFF">
        <w:rPr>
          <w:rFonts w:asciiTheme="minorHAnsi" w:hAnsiTheme="minorHAnsi"/>
          <w:sz w:val="22"/>
          <w:szCs w:val="22"/>
        </w:rPr>
        <w:t xml:space="preserve">Information about contraception, conception, pregnancy, or menopause should be given to women and girls in advance of sexual activity, pregnancy or menopause, and the information should be tailored to their individual needs. This information should also be given, as needed, to people who are closely involved with women and girls with epilepsy. These may include her family and/or carers. (Level III)4 </w:t>
      </w:r>
    </w:p>
    <w:p w:rsidR="00292EFF" w:rsidRPr="00292EFF" w:rsidRDefault="00292EFF" w:rsidP="00292EFF">
      <w:pPr>
        <w:pStyle w:val="Default"/>
        <w:numPr>
          <w:ilvl w:val="0"/>
          <w:numId w:val="11"/>
        </w:numPr>
        <w:rPr>
          <w:rFonts w:asciiTheme="minorHAnsi" w:hAnsiTheme="minorHAnsi"/>
          <w:sz w:val="22"/>
          <w:szCs w:val="22"/>
        </w:rPr>
      </w:pPr>
      <w:r w:rsidRPr="00292EFF">
        <w:rPr>
          <w:rFonts w:asciiTheme="minorHAnsi" w:hAnsiTheme="minorHAnsi"/>
          <w:sz w:val="22"/>
          <w:szCs w:val="22"/>
        </w:rPr>
        <w:t xml:space="preserve">All healthcare professionals who treat, care for, or support women and girls with epilepsy should be familiar with relevant information and the availability of counselling. (Level III)4 </w:t>
      </w:r>
    </w:p>
    <w:p w:rsidR="00292EFF" w:rsidRPr="00292EFF" w:rsidRDefault="00292EFF" w:rsidP="00292EFF">
      <w:pPr>
        <w:pStyle w:val="Default"/>
        <w:numPr>
          <w:ilvl w:val="0"/>
          <w:numId w:val="11"/>
        </w:numPr>
        <w:rPr>
          <w:rFonts w:asciiTheme="minorHAnsi" w:hAnsiTheme="minorHAnsi"/>
          <w:sz w:val="22"/>
          <w:szCs w:val="22"/>
        </w:rPr>
      </w:pPr>
      <w:r w:rsidRPr="00292EFF">
        <w:rPr>
          <w:rFonts w:asciiTheme="minorHAnsi" w:hAnsiTheme="minorHAnsi"/>
          <w:sz w:val="22"/>
          <w:szCs w:val="22"/>
        </w:rPr>
        <w:t xml:space="preserve">Discuss with women and girls of childbearing potential (including young girls who are likely to need treatment into their childbearing years), and their parents and/or carers if appropriate, the risk of AEDs causing malformations and possible neurodevelopmental impairments in an unborn child. Assess the risks and benefits of treatment with individual drugs. There are limited data on risks to the unborn child associated with newer drugs. Specifically discuss the risk of continued use of sodium valproate to the unborn child, being aware that higher doses of sodium valproate (more than 800 mg/day) and polytherapy, particularly with sodium valproate, are associated with greater risk. (Evidence comes from three systematic reviews; one review focused on incidence of malformation and the other two on child neurodevelopmental outcomes. No individual RCTs were reviewed. This recommendation was also based on GDG consensus opinion.)4 </w:t>
      </w:r>
    </w:p>
    <w:p w:rsidR="00292EFF" w:rsidRPr="00292EFF" w:rsidRDefault="00292EFF" w:rsidP="00292EFF">
      <w:pPr>
        <w:pStyle w:val="Default"/>
        <w:numPr>
          <w:ilvl w:val="0"/>
          <w:numId w:val="11"/>
        </w:numPr>
        <w:rPr>
          <w:rFonts w:asciiTheme="minorHAnsi" w:hAnsiTheme="minorHAnsi"/>
          <w:sz w:val="22"/>
          <w:szCs w:val="22"/>
        </w:rPr>
      </w:pPr>
      <w:r w:rsidRPr="00292EFF">
        <w:rPr>
          <w:rFonts w:asciiTheme="minorHAnsi" w:hAnsiTheme="minorHAnsi"/>
          <w:sz w:val="22"/>
          <w:szCs w:val="22"/>
        </w:rPr>
        <w:t xml:space="preserve">In women of childbearing potential, the possibility of interaction with oral contraceptives should be discussed and an assessment made as to the risks and benefits of treatment with individual drugs. (Level III)4 </w:t>
      </w:r>
    </w:p>
    <w:p w:rsidR="00292EFF" w:rsidRPr="00292EFF" w:rsidRDefault="00292EFF" w:rsidP="00292EFF">
      <w:pPr>
        <w:pStyle w:val="Default"/>
        <w:numPr>
          <w:ilvl w:val="0"/>
          <w:numId w:val="11"/>
        </w:numPr>
        <w:rPr>
          <w:rFonts w:asciiTheme="minorHAnsi" w:hAnsiTheme="minorHAnsi"/>
          <w:sz w:val="22"/>
          <w:szCs w:val="22"/>
        </w:rPr>
      </w:pPr>
      <w:r w:rsidRPr="00292EFF">
        <w:rPr>
          <w:rFonts w:asciiTheme="minorHAnsi" w:hAnsiTheme="minorHAnsi"/>
          <w:sz w:val="22"/>
          <w:szCs w:val="22"/>
        </w:rPr>
        <w:t xml:space="preserve">In girls of childbearing potential, including young girls who are likely to need treatment into their childbearing years, the possibility of interaction with oral contraceptives should be discussed with the child and/or her carer, and an assessment made as to the risks and benefits of treatment with individual drugs. (Level III)4 </w:t>
      </w:r>
    </w:p>
    <w:p w:rsidR="00292EFF" w:rsidRPr="00292EFF" w:rsidRDefault="00292EFF" w:rsidP="00292EFF">
      <w:pPr>
        <w:pStyle w:val="Default"/>
        <w:numPr>
          <w:ilvl w:val="0"/>
          <w:numId w:val="11"/>
        </w:numPr>
        <w:rPr>
          <w:rFonts w:asciiTheme="minorHAnsi" w:hAnsiTheme="minorHAnsi"/>
          <w:sz w:val="22"/>
          <w:szCs w:val="22"/>
        </w:rPr>
      </w:pPr>
      <w:r w:rsidRPr="00292EFF">
        <w:rPr>
          <w:rFonts w:asciiTheme="minorHAnsi" w:hAnsiTheme="minorHAnsi"/>
          <w:sz w:val="22"/>
          <w:szCs w:val="22"/>
        </w:rPr>
        <w:t xml:space="preserve">In women and girls of childbearing potential, the risks and benefits of different contraceptive methods, including hormone-releasing intrauterine devices (IUDs), should be discussed. (Level III)4 </w:t>
      </w:r>
    </w:p>
    <w:p w:rsidR="00292EFF" w:rsidRPr="00292EFF" w:rsidRDefault="00292EFF" w:rsidP="00292EFF">
      <w:pPr>
        <w:pStyle w:val="Default"/>
        <w:numPr>
          <w:ilvl w:val="0"/>
          <w:numId w:val="11"/>
        </w:numPr>
        <w:rPr>
          <w:rFonts w:asciiTheme="minorHAnsi" w:hAnsiTheme="minorHAnsi"/>
          <w:sz w:val="22"/>
          <w:szCs w:val="22"/>
        </w:rPr>
      </w:pPr>
      <w:r w:rsidRPr="00292EFF">
        <w:rPr>
          <w:rFonts w:asciiTheme="minorHAnsi" w:hAnsiTheme="minorHAnsi"/>
          <w:sz w:val="22"/>
          <w:szCs w:val="22"/>
        </w:rPr>
        <w:t xml:space="preserve">If a woman or girl taking enzyme-inducing AEDs chooses to take the combined oral contraceptive pill, guidance about dosage should be sought from the SPC and current edition of the BNF (available at http://bnf.org External Web Site Policy). (Level III)4 </w:t>
      </w:r>
    </w:p>
    <w:p w:rsidR="00292EFF" w:rsidRPr="00292EFF" w:rsidRDefault="00292EFF" w:rsidP="00292EFF">
      <w:pPr>
        <w:pStyle w:val="Default"/>
        <w:numPr>
          <w:ilvl w:val="0"/>
          <w:numId w:val="11"/>
        </w:numPr>
        <w:rPr>
          <w:rFonts w:asciiTheme="minorHAnsi" w:hAnsiTheme="minorHAnsi"/>
          <w:sz w:val="22"/>
          <w:szCs w:val="22"/>
        </w:rPr>
      </w:pPr>
      <w:r w:rsidRPr="00292EFF">
        <w:rPr>
          <w:rFonts w:asciiTheme="minorHAnsi" w:hAnsiTheme="minorHAnsi"/>
          <w:sz w:val="22"/>
          <w:szCs w:val="22"/>
        </w:rPr>
        <w:t xml:space="preserve">Women and girls with epilepsy need accurate information during pregnancy, and the possibility of status epilepticus and sudden death in epilepsy (SUDEP) should be discussed with all women and girls who plan to stop AED therapy (see the section 'Withdrawal of Pharmacologic Treatment' above).4 </w:t>
      </w: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Pr="003B1CC5" w:rsidRDefault="008A45F3" w:rsidP="00265702">
      <w:pPr>
        <w:ind w:left="0" w:firstLine="0"/>
      </w:pPr>
    </w:p>
    <w:p w:rsidR="00B61F8E" w:rsidRDefault="00B61F8E" w:rsidP="00B61F8E">
      <w:pPr>
        <w:pStyle w:val="ListParagraph"/>
        <w:numPr>
          <w:ilvl w:val="0"/>
          <w:numId w:val="12"/>
        </w:numPr>
        <w:autoSpaceDE w:val="0"/>
        <w:autoSpaceDN w:val="0"/>
        <w:adjustRightInd w:val="0"/>
        <w:rPr>
          <w:rFonts w:cs="ArialMT"/>
        </w:rPr>
      </w:pPr>
      <w:r>
        <w:t>Level A 2++/Primary</w:t>
      </w:r>
      <w:r w:rsidRPr="00292EFF">
        <w:t xml:space="preserve"> </w:t>
      </w:r>
      <w:r>
        <w:t xml:space="preserve"> </w:t>
      </w:r>
      <w:r w:rsidRPr="00B61F8E">
        <w:rPr>
          <w:rFonts w:cs="ArialMT"/>
        </w:rPr>
        <w:t>A: Rated as appropriate</w:t>
      </w:r>
    </w:p>
    <w:p w:rsidR="00292EFF" w:rsidRPr="00B61F8E" w:rsidRDefault="00292EFF" w:rsidP="00B61F8E">
      <w:pPr>
        <w:pStyle w:val="ListParagraph"/>
        <w:numPr>
          <w:ilvl w:val="0"/>
          <w:numId w:val="12"/>
        </w:numPr>
        <w:autoSpaceDE w:val="0"/>
        <w:autoSpaceDN w:val="0"/>
        <w:adjustRightInd w:val="0"/>
        <w:rPr>
          <w:rFonts w:cs="ArialMT"/>
        </w:rPr>
      </w:pPr>
      <w:r w:rsidRPr="00B61F8E">
        <w:t xml:space="preserve">Evidence grade C  </w:t>
      </w:r>
    </w:p>
    <w:p w:rsidR="007C4280" w:rsidRPr="007C4280" w:rsidRDefault="007C4280" w:rsidP="007C4280">
      <w:pPr>
        <w:pStyle w:val="Default"/>
        <w:numPr>
          <w:ilvl w:val="0"/>
          <w:numId w:val="12"/>
        </w:numPr>
        <w:rPr>
          <w:rFonts w:asciiTheme="minorHAnsi" w:hAnsiTheme="minorHAnsi"/>
          <w:sz w:val="22"/>
          <w:szCs w:val="22"/>
        </w:rPr>
      </w:pPr>
      <w:r w:rsidRPr="007C4280">
        <w:rPr>
          <w:rFonts w:asciiTheme="minorHAnsi" w:hAnsiTheme="minorHAnsi"/>
          <w:sz w:val="22"/>
          <w:szCs w:val="22"/>
        </w:rPr>
        <w:t>Level B = Probably effective, ineffective or harmful (or probably useful/predictive or not useful/predictive) for the given condition in the specified population. (Level B rating requires at least one Class I study or two consistent Class II studies.</w:t>
      </w:r>
    </w:p>
    <w:p w:rsidR="007C4280" w:rsidRDefault="007C4280" w:rsidP="007C4280">
      <w:pPr>
        <w:pStyle w:val="Default"/>
        <w:numPr>
          <w:ilvl w:val="0"/>
          <w:numId w:val="12"/>
        </w:numPr>
        <w:rPr>
          <w:rFonts w:asciiTheme="minorHAnsi" w:hAnsiTheme="minorHAnsi"/>
          <w:sz w:val="22"/>
          <w:szCs w:val="22"/>
        </w:rPr>
      </w:pPr>
      <w:r w:rsidRPr="007C4280">
        <w:rPr>
          <w:rFonts w:asciiTheme="minorHAnsi" w:hAnsiTheme="minorHAnsi"/>
          <w:sz w:val="22"/>
          <w:szCs w:val="22"/>
        </w:rPr>
        <w:t>Level C = Possibly effective, ineffective or harmful (or possibly useful/predictive or not useful/predictive) for the given condition in the specified population. (Level C rating requires at least one Class II study or two consistent Class III studies</w:t>
      </w:r>
    </w:p>
    <w:p w:rsidR="007C4280" w:rsidRPr="007C4280" w:rsidRDefault="00B61F8E" w:rsidP="007C4280">
      <w:pPr>
        <w:pStyle w:val="Default"/>
        <w:numPr>
          <w:ilvl w:val="0"/>
          <w:numId w:val="12"/>
        </w:numPr>
        <w:rPr>
          <w:rFonts w:asciiTheme="minorHAnsi" w:hAnsiTheme="minorHAnsi"/>
          <w:sz w:val="22"/>
          <w:szCs w:val="22"/>
        </w:rPr>
      </w:pPr>
      <w:r w:rsidRPr="007C4280">
        <w:rPr>
          <w:rFonts w:asciiTheme="minorHAnsi" w:hAnsiTheme="minorHAnsi"/>
          <w:sz w:val="22"/>
          <w:szCs w:val="22"/>
        </w:rPr>
        <w:t>Level B</w:t>
      </w:r>
      <w:r w:rsidR="007C4280" w:rsidRPr="007C4280">
        <w:rPr>
          <w:rFonts w:asciiTheme="minorHAnsi" w:hAnsiTheme="minorHAnsi"/>
          <w:sz w:val="22"/>
          <w:szCs w:val="22"/>
        </w:rPr>
        <w:t xml:space="preserve"> = Probably effective, ineffective or harmful (or probably useful/predictive or not useful/predictive) for the given condition in the specified population. (Level B rating requires at least one Class I study or two consistent Class II studies.</w:t>
      </w:r>
    </w:p>
    <w:p w:rsidR="00DF59A9" w:rsidRDefault="00B61F8E" w:rsidP="00DF59A9">
      <w:pPr>
        <w:pStyle w:val="Default"/>
        <w:numPr>
          <w:ilvl w:val="0"/>
          <w:numId w:val="12"/>
        </w:numPr>
        <w:rPr>
          <w:rFonts w:asciiTheme="minorHAnsi" w:hAnsiTheme="minorHAnsi"/>
          <w:sz w:val="22"/>
          <w:szCs w:val="22"/>
        </w:rPr>
      </w:pPr>
      <w:r w:rsidRPr="007C4280">
        <w:rPr>
          <w:rFonts w:asciiTheme="minorHAnsi" w:hAnsiTheme="minorHAnsi"/>
          <w:sz w:val="22"/>
          <w:szCs w:val="22"/>
        </w:rPr>
        <w:t>Level C</w:t>
      </w:r>
      <w:r w:rsidR="007C4280" w:rsidRPr="007C4280">
        <w:rPr>
          <w:rFonts w:asciiTheme="minorHAnsi" w:hAnsiTheme="minorHAnsi"/>
          <w:sz w:val="22"/>
          <w:szCs w:val="22"/>
        </w:rPr>
        <w:t xml:space="preserve"> = Possibly effective, ineffective or harmful (or possibly useful/predictive or not useful/predictive) for the given condition in the specified population. (Level C rating requires at least one Class II study or two consistent Class III studies.</w:t>
      </w:r>
    </w:p>
    <w:p w:rsidR="00292EFF" w:rsidRPr="00DF59A9" w:rsidRDefault="00DF59A9" w:rsidP="00DF59A9">
      <w:pPr>
        <w:pStyle w:val="Default"/>
        <w:numPr>
          <w:ilvl w:val="0"/>
          <w:numId w:val="12"/>
        </w:numPr>
        <w:rPr>
          <w:rFonts w:asciiTheme="minorHAnsi" w:hAnsiTheme="minorHAnsi"/>
          <w:sz w:val="22"/>
          <w:szCs w:val="22"/>
        </w:rPr>
      </w:pPr>
      <w:r w:rsidRPr="00DF59A9">
        <w:rPr>
          <w:rFonts w:asciiTheme="minorHAnsi" w:hAnsiTheme="minorHAnsi"/>
          <w:sz w:val="22"/>
          <w:szCs w:val="22"/>
        </w:rPr>
        <w:t xml:space="preserve">Level </w:t>
      </w:r>
      <w:r w:rsidRPr="00DF59A9">
        <w:rPr>
          <w:rFonts w:asciiTheme="minorHAnsi" w:hAnsiTheme="minorHAnsi" w:cs="Arial"/>
          <w:color w:val="auto"/>
          <w:sz w:val="22"/>
          <w:szCs w:val="22"/>
        </w:rPr>
        <w:t>III-Well-designed non-experimental descriptive studies, case-control studies, and case studies</w:t>
      </w:r>
    </w:p>
    <w:p w:rsidR="00DF59A9" w:rsidRPr="00DF59A9" w:rsidRDefault="00DF59A9" w:rsidP="00DF59A9">
      <w:pPr>
        <w:pStyle w:val="Default"/>
        <w:numPr>
          <w:ilvl w:val="0"/>
          <w:numId w:val="12"/>
        </w:numPr>
        <w:rPr>
          <w:rFonts w:asciiTheme="minorHAnsi" w:hAnsiTheme="minorHAnsi"/>
          <w:sz w:val="22"/>
          <w:szCs w:val="22"/>
        </w:rPr>
      </w:pPr>
      <w:r w:rsidRPr="00DF59A9">
        <w:rPr>
          <w:rFonts w:asciiTheme="minorHAnsi" w:hAnsiTheme="minorHAnsi"/>
          <w:sz w:val="22"/>
          <w:szCs w:val="22"/>
        </w:rPr>
        <w:t xml:space="preserve">Level </w:t>
      </w:r>
      <w:r w:rsidRPr="00DF59A9">
        <w:rPr>
          <w:rFonts w:asciiTheme="minorHAnsi" w:hAnsiTheme="minorHAnsi" w:cs="Arial"/>
          <w:color w:val="auto"/>
          <w:sz w:val="22"/>
          <w:szCs w:val="22"/>
        </w:rPr>
        <w:t>III-Well-designed non-experimental descriptive studies, case-control studies, and case studies</w:t>
      </w:r>
    </w:p>
    <w:p w:rsidR="00DF59A9" w:rsidRPr="00DF59A9" w:rsidRDefault="00DF59A9" w:rsidP="00DF59A9">
      <w:pPr>
        <w:pStyle w:val="Default"/>
        <w:numPr>
          <w:ilvl w:val="0"/>
          <w:numId w:val="12"/>
        </w:numPr>
        <w:rPr>
          <w:rFonts w:asciiTheme="minorHAnsi" w:hAnsiTheme="minorHAnsi"/>
          <w:sz w:val="22"/>
          <w:szCs w:val="22"/>
        </w:rPr>
      </w:pPr>
      <w:r w:rsidRPr="00DF59A9">
        <w:rPr>
          <w:rFonts w:asciiTheme="minorHAnsi" w:hAnsiTheme="minorHAnsi"/>
          <w:sz w:val="22"/>
          <w:szCs w:val="22"/>
        </w:rPr>
        <w:t xml:space="preserve">Level </w:t>
      </w:r>
      <w:r w:rsidRPr="00DF59A9">
        <w:rPr>
          <w:rFonts w:asciiTheme="minorHAnsi" w:hAnsiTheme="minorHAnsi" w:cs="Arial"/>
          <w:color w:val="auto"/>
          <w:sz w:val="22"/>
          <w:szCs w:val="22"/>
        </w:rPr>
        <w:t>III-Well-designed non-experimental descriptive studies, case-control studies, and case studies</w:t>
      </w:r>
    </w:p>
    <w:p w:rsidR="00292EFF" w:rsidRPr="00292EFF" w:rsidRDefault="00B61F8E" w:rsidP="00292EFF">
      <w:pPr>
        <w:pStyle w:val="Default"/>
        <w:numPr>
          <w:ilvl w:val="0"/>
          <w:numId w:val="12"/>
        </w:numPr>
        <w:rPr>
          <w:rFonts w:asciiTheme="minorHAnsi" w:hAnsiTheme="minorHAnsi"/>
          <w:sz w:val="22"/>
          <w:szCs w:val="22"/>
        </w:rPr>
      </w:pPr>
      <w:r>
        <w:rPr>
          <w:rFonts w:asciiTheme="minorHAnsi" w:hAnsiTheme="minorHAnsi"/>
          <w:sz w:val="22"/>
          <w:szCs w:val="22"/>
        </w:rPr>
        <w:t>Following statement provided verbatim, “</w:t>
      </w:r>
      <w:r w:rsidR="00292EFF" w:rsidRPr="00292EFF">
        <w:rPr>
          <w:rFonts w:asciiTheme="minorHAnsi" w:hAnsiTheme="minorHAnsi"/>
          <w:sz w:val="22"/>
          <w:szCs w:val="22"/>
        </w:rPr>
        <w:t xml:space="preserve">Evidence comes from three systematic reviews; one review focused on incidence of malformation and the other two on child neurodevelopmental outcomes. No individual RCTs were reviewed. This recommendation was also </w:t>
      </w:r>
      <w:r>
        <w:rPr>
          <w:rFonts w:asciiTheme="minorHAnsi" w:hAnsiTheme="minorHAnsi"/>
          <w:sz w:val="22"/>
          <w:szCs w:val="22"/>
        </w:rPr>
        <w:t>based on GDG consensus opinion.”</w:t>
      </w:r>
    </w:p>
    <w:p w:rsidR="00DF59A9" w:rsidRPr="00DF59A9" w:rsidRDefault="00DF59A9" w:rsidP="00DF59A9">
      <w:pPr>
        <w:pStyle w:val="Default"/>
        <w:numPr>
          <w:ilvl w:val="0"/>
          <w:numId w:val="12"/>
        </w:numPr>
        <w:rPr>
          <w:rFonts w:asciiTheme="minorHAnsi" w:hAnsiTheme="minorHAnsi"/>
          <w:sz w:val="22"/>
          <w:szCs w:val="22"/>
        </w:rPr>
      </w:pPr>
      <w:r w:rsidRPr="00DF59A9">
        <w:rPr>
          <w:rFonts w:asciiTheme="minorHAnsi" w:hAnsiTheme="minorHAnsi"/>
          <w:sz w:val="22"/>
          <w:szCs w:val="22"/>
        </w:rPr>
        <w:t xml:space="preserve">Level </w:t>
      </w:r>
      <w:r w:rsidRPr="00DF59A9">
        <w:rPr>
          <w:rFonts w:asciiTheme="minorHAnsi" w:hAnsiTheme="minorHAnsi" w:cs="Arial"/>
          <w:color w:val="auto"/>
          <w:sz w:val="22"/>
          <w:szCs w:val="22"/>
        </w:rPr>
        <w:t>III-Well-designed non-experimental descriptive studies, case-control studies, and case studies</w:t>
      </w:r>
    </w:p>
    <w:p w:rsidR="00DF59A9" w:rsidRPr="00DF59A9" w:rsidRDefault="00DF59A9" w:rsidP="00DF59A9">
      <w:pPr>
        <w:pStyle w:val="Default"/>
        <w:numPr>
          <w:ilvl w:val="0"/>
          <w:numId w:val="12"/>
        </w:numPr>
        <w:rPr>
          <w:rFonts w:asciiTheme="minorHAnsi" w:hAnsiTheme="minorHAnsi"/>
          <w:sz w:val="22"/>
          <w:szCs w:val="22"/>
        </w:rPr>
      </w:pPr>
      <w:r w:rsidRPr="00DF59A9">
        <w:rPr>
          <w:rFonts w:asciiTheme="minorHAnsi" w:hAnsiTheme="minorHAnsi"/>
          <w:sz w:val="22"/>
          <w:szCs w:val="22"/>
        </w:rPr>
        <w:t xml:space="preserve">Level </w:t>
      </w:r>
      <w:r w:rsidRPr="00DF59A9">
        <w:rPr>
          <w:rFonts w:asciiTheme="minorHAnsi" w:hAnsiTheme="minorHAnsi" w:cs="Arial"/>
          <w:color w:val="auto"/>
          <w:sz w:val="22"/>
          <w:szCs w:val="22"/>
        </w:rPr>
        <w:t>III-Well-designed non-experimental descriptive studies, case-control studies, and case studies</w:t>
      </w:r>
    </w:p>
    <w:p w:rsidR="00DF59A9" w:rsidRPr="00DF59A9" w:rsidRDefault="00DF59A9" w:rsidP="00DF59A9">
      <w:pPr>
        <w:pStyle w:val="Default"/>
        <w:numPr>
          <w:ilvl w:val="0"/>
          <w:numId w:val="12"/>
        </w:numPr>
        <w:rPr>
          <w:rFonts w:asciiTheme="minorHAnsi" w:hAnsiTheme="minorHAnsi"/>
          <w:sz w:val="22"/>
          <w:szCs w:val="22"/>
        </w:rPr>
      </w:pPr>
      <w:r w:rsidRPr="00DF59A9">
        <w:rPr>
          <w:rFonts w:asciiTheme="minorHAnsi" w:hAnsiTheme="minorHAnsi"/>
          <w:sz w:val="22"/>
          <w:szCs w:val="22"/>
        </w:rPr>
        <w:t xml:space="preserve">Level </w:t>
      </w:r>
      <w:r w:rsidRPr="00DF59A9">
        <w:rPr>
          <w:rFonts w:asciiTheme="minorHAnsi" w:hAnsiTheme="minorHAnsi" w:cs="Arial"/>
          <w:color w:val="auto"/>
          <w:sz w:val="22"/>
          <w:szCs w:val="22"/>
        </w:rPr>
        <w:t>III-Well-designed non-experimental descriptive studies, case-control studies, and case studies</w:t>
      </w:r>
    </w:p>
    <w:p w:rsidR="00DF59A9" w:rsidRPr="00DF59A9" w:rsidRDefault="00DF59A9" w:rsidP="00DF59A9">
      <w:pPr>
        <w:pStyle w:val="Default"/>
        <w:numPr>
          <w:ilvl w:val="0"/>
          <w:numId w:val="12"/>
        </w:numPr>
        <w:rPr>
          <w:rFonts w:asciiTheme="minorHAnsi" w:hAnsiTheme="minorHAnsi"/>
          <w:sz w:val="22"/>
          <w:szCs w:val="22"/>
        </w:rPr>
      </w:pPr>
      <w:r w:rsidRPr="00DF59A9">
        <w:rPr>
          <w:rFonts w:asciiTheme="minorHAnsi" w:hAnsiTheme="minorHAnsi"/>
          <w:sz w:val="22"/>
          <w:szCs w:val="22"/>
        </w:rPr>
        <w:t xml:space="preserve">Level </w:t>
      </w:r>
      <w:r w:rsidRPr="00DF59A9">
        <w:rPr>
          <w:rFonts w:asciiTheme="minorHAnsi" w:hAnsiTheme="minorHAnsi" w:cs="Arial"/>
          <w:color w:val="auto"/>
          <w:sz w:val="22"/>
          <w:szCs w:val="22"/>
        </w:rPr>
        <w:t>III-Well-designed non-experimental descriptive studies, case-control studies, and case studies</w:t>
      </w:r>
    </w:p>
    <w:p w:rsidR="00292EFF" w:rsidRPr="00292EFF" w:rsidRDefault="00292EFF" w:rsidP="00292EFF">
      <w:pPr>
        <w:pStyle w:val="Default"/>
        <w:numPr>
          <w:ilvl w:val="0"/>
          <w:numId w:val="12"/>
        </w:numPr>
        <w:rPr>
          <w:rFonts w:asciiTheme="minorHAnsi" w:hAnsiTheme="minorHAnsi"/>
          <w:sz w:val="22"/>
          <w:szCs w:val="22"/>
        </w:rPr>
      </w:pPr>
      <w:r w:rsidRPr="00292EFF">
        <w:rPr>
          <w:rFonts w:asciiTheme="minorHAnsi" w:hAnsiTheme="minorHAnsi"/>
          <w:sz w:val="22"/>
          <w:szCs w:val="22"/>
        </w:rPr>
        <w:t xml:space="preserve">Women and girls with epilepsy need accurate information during pregnancy, and the possibility of status epilepticus and sudden death in epilepsy (SUDEP) should be discussed with all women and girls who plan to stop AED therapy (see the section 'Withdrawal of Pharmacologic Treatment' above).4 </w:t>
      </w:r>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C1426D" w:rsidRDefault="00C1426D" w:rsidP="007C4280">
      <w:pPr>
        <w:autoSpaceDE w:val="0"/>
        <w:autoSpaceDN w:val="0"/>
        <w:adjustRightInd w:val="0"/>
        <w:ind w:left="0" w:firstLine="0"/>
        <w:rPr>
          <w:rFonts w:cs="ArialMT"/>
          <w:b/>
        </w:rPr>
      </w:pPr>
    </w:p>
    <w:p w:rsidR="007C4280" w:rsidRPr="007C4280" w:rsidRDefault="007C4280" w:rsidP="007C4280">
      <w:pPr>
        <w:autoSpaceDE w:val="0"/>
        <w:autoSpaceDN w:val="0"/>
        <w:adjustRightInd w:val="0"/>
        <w:ind w:left="0" w:firstLine="0"/>
        <w:rPr>
          <w:rFonts w:cs="ArialMT"/>
          <w:b/>
        </w:rPr>
      </w:pPr>
      <w:r w:rsidRPr="007C4280">
        <w:rPr>
          <w:rFonts w:cs="ArialMT"/>
          <w:b/>
        </w:rPr>
        <w:t>Pugh -</w:t>
      </w:r>
    </w:p>
    <w:p w:rsidR="00C1426D" w:rsidRPr="00C1426D" w:rsidRDefault="00C1426D" w:rsidP="00C1426D">
      <w:pPr>
        <w:spacing w:line="480" w:lineRule="auto"/>
        <w:ind w:left="720"/>
        <w:rPr>
          <w:rFonts w:cs="Arial"/>
          <w:b/>
        </w:rPr>
      </w:pPr>
      <w:r w:rsidRPr="00C1426D">
        <w:rPr>
          <w:rFonts w:cs="Arial"/>
          <w:b/>
        </w:rPr>
        <w:t>Ratings</w:t>
      </w:r>
    </w:p>
    <w:p w:rsidR="00C1426D" w:rsidRPr="00C1426D" w:rsidRDefault="00C1426D" w:rsidP="00C1426D">
      <w:pPr>
        <w:spacing w:line="480" w:lineRule="auto"/>
        <w:ind w:left="720"/>
        <w:rPr>
          <w:rFonts w:cs="Arial"/>
        </w:rPr>
      </w:pPr>
      <w:r w:rsidRPr="00C1426D">
        <w:rPr>
          <w:rFonts w:cs="Arial"/>
        </w:rPr>
        <w:t xml:space="preserve">1-3      clearly appropriate/ reliable/ necessary </w:t>
      </w:r>
    </w:p>
    <w:p w:rsidR="00C1426D" w:rsidRPr="00C1426D" w:rsidRDefault="00C1426D" w:rsidP="00C1426D">
      <w:pPr>
        <w:spacing w:line="480" w:lineRule="auto"/>
        <w:ind w:left="720"/>
        <w:rPr>
          <w:rFonts w:cs="Arial"/>
        </w:rPr>
      </w:pPr>
      <w:r w:rsidRPr="00C1426D">
        <w:rPr>
          <w:rFonts w:cs="Arial"/>
        </w:rPr>
        <w:t>4-6      uncertain or equivocal</w:t>
      </w:r>
    </w:p>
    <w:p w:rsidR="00C1426D" w:rsidRPr="00C1426D" w:rsidRDefault="00C1426D" w:rsidP="00C1426D">
      <w:pPr>
        <w:spacing w:line="480" w:lineRule="auto"/>
        <w:ind w:left="720"/>
        <w:rPr>
          <w:rFonts w:cs="Arial"/>
        </w:rPr>
      </w:pPr>
      <w:r w:rsidRPr="00C1426D">
        <w:rPr>
          <w:rFonts w:cs="Arial"/>
        </w:rPr>
        <w:t>7-10   appropriate/ reliable/ necessary</w:t>
      </w:r>
    </w:p>
    <w:p w:rsidR="00C1426D" w:rsidRPr="00C1426D" w:rsidRDefault="00C1426D" w:rsidP="00C1426D">
      <w:pPr>
        <w:spacing w:line="480" w:lineRule="auto"/>
        <w:ind w:left="720"/>
        <w:rPr>
          <w:rFonts w:cs="Arial"/>
        </w:rPr>
      </w:pPr>
    </w:p>
    <w:p w:rsidR="00C1426D" w:rsidRPr="00C1426D" w:rsidRDefault="00C1426D" w:rsidP="00C1426D">
      <w:pPr>
        <w:spacing w:line="480" w:lineRule="auto"/>
        <w:ind w:left="720"/>
        <w:rPr>
          <w:rFonts w:cs="Arial"/>
          <w:b/>
        </w:rPr>
      </w:pPr>
      <w:r w:rsidRPr="00C1426D">
        <w:rPr>
          <w:rFonts w:cs="Arial"/>
          <w:b/>
        </w:rPr>
        <w:t>Levels of Evidence:</w:t>
      </w:r>
      <w:r w:rsidRPr="00C1426D" w:rsidDel="000A278F">
        <w:rPr>
          <w:rFonts w:cs="Arial"/>
          <w:b/>
        </w:rPr>
        <w:t xml:space="preserve"> </w:t>
      </w:r>
      <w:r w:rsidRPr="00C1426D">
        <w:rPr>
          <w:rFonts w:cs="Arial"/>
        </w:rPr>
        <w:fldChar w:fldCharType="begin"/>
      </w:r>
      <w:r w:rsidRPr="00C1426D">
        <w:rPr>
          <w:rFonts w:cs="Arial"/>
        </w:rPr>
        <w:instrText xml:space="preserve"> QUOTE "</w:instrText>
      </w:r>
      <w:r w:rsidRPr="00C1426D">
        <w:rPr>
          <w:rFonts w:cs="Arial"/>
          <w:vertAlign w:val="superscript"/>
        </w:rPr>
        <w:instrText>31</w:instrText>
      </w:r>
      <w:r w:rsidRPr="00C1426D">
        <w:rPr>
          <w:rFonts w:cs="Arial"/>
        </w:rPr>
        <w:instrText xml:space="preserve">" </w:instrText>
      </w:r>
      <w:r w:rsidRPr="00C1426D">
        <w:rPr>
          <w:rFonts w:cs="Arial"/>
          <w:vanish/>
        </w:rPr>
        <w:fldChar w:fldCharType="begin"/>
      </w:r>
      <w:r w:rsidRPr="00C1426D">
        <w:rPr>
          <w:rFonts w:cs="Arial"/>
          <w:vanish/>
        </w:rPr>
        <w:instrText xml:space="preserve"> ADDIN PROCITE ÿ\11\05‘\19\02\00\00\00\0231\01\01\00\02\00\00\01\00\00\00\05‘|\00\00\00\00P½Î\00¼\02È\00P½Î\008\00\00\00\00\00\00\00\00\002\00—\02\00\00\1BP:\5CProcite\5CMary Jo Pugh.pdt4Scottish Intercollegiate Guidelines Network 2003 #12\01\02\00+\00àà\00\00\00ëH\00Ø6\14\00\14\00\00\00\01\00\00\00\00\00\00\00\00\00\00\00\10\00\00\00\00\00\00\00\09\00\00\00\00\00\00ºI_è</w:instrText>
      </w:r>
      <w:r w:rsidRPr="00C1426D">
        <w:rPr>
          <w:rFonts w:ascii="Calibri" w:hAnsi="Calibri" w:cs="Calibri"/>
          <w:vanish/>
        </w:rPr>
        <w:instrText></w:instrText>
      </w:r>
      <w:r w:rsidRPr="00C1426D">
        <w:rPr>
          <w:rFonts w:cs="Arial"/>
          <w:vanish/>
        </w:rPr>
        <w:instrText>N\01\03\00\00\00\05\00\00\00\00\00\00\00t</w:instrText>
      </w:r>
      <w:r w:rsidRPr="00C1426D">
        <w:rPr>
          <w:rFonts w:ascii="Calibri" w:hAnsi="Calibri" w:cs="Calibri"/>
          <w:vanish/>
        </w:rPr>
        <w:instrText>ò</w:instrText>
      </w:r>
      <w:r w:rsidRPr="00C1426D">
        <w:rPr>
          <w:rFonts w:cs="Arial"/>
          <w:vanish/>
        </w:rPr>
        <w:instrText>\12\00</w:instrText>
      </w:r>
      <w:r w:rsidRPr="00C1426D">
        <w:rPr>
          <w:rFonts w:ascii="Calibri" w:hAnsi="Calibri" w:cs="Calibri"/>
          <w:vanish/>
        </w:rPr>
        <w:instrText>€Ö</w:instrText>
      </w:r>
      <w:r w:rsidRPr="00C1426D">
        <w:rPr>
          <w:rFonts w:cs="Arial"/>
          <w:vanish/>
        </w:rPr>
        <w:instrText>X\00</w:instrText>
      </w:r>
      <w:r w:rsidRPr="00C1426D">
        <w:rPr>
          <w:rFonts w:ascii="Calibri" w:hAnsi="Calibri" w:cs="Calibri"/>
          <w:vanish/>
        </w:rPr>
        <w:instrText>ÿÿÿÿ</w:instrText>
      </w:r>
      <w:r w:rsidRPr="00C1426D">
        <w:rPr>
          <w:rFonts w:cs="Arial"/>
          <w:vanish/>
        </w:rPr>
        <w:instrText xml:space="preserve"> </w:instrText>
      </w:r>
      <w:r w:rsidRPr="00C1426D">
        <w:rPr>
          <w:rFonts w:cs="Arial"/>
          <w:vanish/>
        </w:rPr>
        <w:fldChar w:fldCharType="end"/>
      </w:r>
      <w:r w:rsidRPr="00C1426D">
        <w:rPr>
          <w:rFonts w:cs="Arial"/>
        </w:rPr>
        <w:fldChar w:fldCharType="separate"/>
      </w:r>
      <w:r w:rsidRPr="00C1426D">
        <w:rPr>
          <w:rFonts w:cs="Arial"/>
          <w:vertAlign w:val="superscript"/>
        </w:rPr>
        <w:t>31</w:t>
      </w:r>
      <w:r w:rsidRPr="00C1426D">
        <w:rPr>
          <w:rFonts w:cs="Arial"/>
        </w:rPr>
        <w:fldChar w:fldCharType="end"/>
      </w:r>
    </w:p>
    <w:p w:rsidR="00C1426D" w:rsidRPr="00C1426D" w:rsidRDefault="00C1426D" w:rsidP="00C1426D">
      <w:pPr>
        <w:spacing w:line="480" w:lineRule="auto"/>
        <w:ind w:left="720"/>
        <w:rPr>
          <w:rFonts w:cs="Arial"/>
        </w:rPr>
      </w:pPr>
      <w:r w:rsidRPr="00C1426D">
        <w:rPr>
          <w:rFonts w:cs="Arial"/>
        </w:rPr>
        <w:t xml:space="preserve">1++ </w:t>
      </w:r>
      <w:r w:rsidRPr="00C1426D">
        <w:rPr>
          <w:rFonts w:cs="Arial"/>
        </w:rPr>
        <w:tab/>
        <w:t>High quality meta-analyses, systematic reviews of RCTs or RCTs with low risk of bias</w:t>
      </w:r>
    </w:p>
    <w:p w:rsidR="00C1426D" w:rsidRPr="00C1426D" w:rsidRDefault="00C1426D" w:rsidP="00C1426D">
      <w:pPr>
        <w:spacing w:line="480" w:lineRule="auto"/>
        <w:ind w:left="720"/>
        <w:rPr>
          <w:rFonts w:cs="Arial"/>
        </w:rPr>
      </w:pPr>
      <w:r w:rsidRPr="00C1426D">
        <w:rPr>
          <w:rFonts w:cs="Arial"/>
        </w:rPr>
        <w:t xml:space="preserve">1+   </w:t>
      </w:r>
      <w:r w:rsidRPr="00C1426D">
        <w:rPr>
          <w:rFonts w:cs="Arial"/>
        </w:rPr>
        <w:tab/>
        <w:t>Well conducted meta analyses, systematic reviews, or RCTs with low risk of bias</w:t>
      </w:r>
    </w:p>
    <w:p w:rsidR="00C1426D" w:rsidRPr="00C1426D" w:rsidRDefault="00C1426D" w:rsidP="00C1426D">
      <w:pPr>
        <w:spacing w:line="480" w:lineRule="auto"/>
        <w:ind w:left="1080" w:hanging="720"/>
        <w:rPr>
          <w:rFonts w:cs="Arial"/>
        </w:rPr>
      </w:pPr>
      <w:r w:rsidRPr="00C1426D">
        <w:rPr>
          <w:rFonts w:cs="Arial"/>
        </w:rPr>
        <w:t xml:space="preserve">2++ </w:t>
      </w:r>
      <w:r w:rsidRPr="00C1426D">
        <w:rPr>
          <w:rFonts w:cs="Arial"/>
        </w:rPr>
        <w:tab/>
        <w:t>High quality systematic reviews or studies without randomization, one or more high quality case-control or cohort study with low risk of confounding and high probability of a causal relationship</w:t>
      </w:r>
    </w:p>
    <w:p w:rsidR="00C1426D" w:rsidRPr="00C1426D" w:rsidRDefault="00C1426D" w:rsidP="00C1426D">
      <w:pPr>
        <w:spacing w:line="480" w:lineRule="auto"/>
        <w:ind w:left="1080" w:hanging="720"/>
        <w:rPr>
          <w:rFonts w:cs="Arial"/>
        </w:rPr>
      </w:pPr>
      <w:r w:rsidRPr="00C1426D">
        <w:rPr>
          <w:rFonts w:cs="Arial"/>
        </w:rPr>
        <w:t xml:space="preserve">2+   </w:t>
      </w:r>
      <w:r w:rsidRPr="00C1426D">
        <w:rPr>
          <w:rFonts w:cs="Arial"/>
        </w:rPr>
        <w:tab/>
        <w:t xml:space="preserve">Well conducted case-control or cohort study with low risk of confounding and moderate probability that the relationship is causal </w:t>
      </w:r>
    </w:p>
    <w:p w:rsidR="00C1426D" w:rsidRPr="00C1426D" w:rsidRDefault="00C1426D" w:rsidP="00C1426D">
      <w:pPr>
        <w:spacing w:line="480" w:lineRule="auto"/>
        <w:ind w:left="840" w:hanging="480"/>
        <w:rPr>
          <w:rFonts w:cs="Arial"/>
        </w:rPr>
      </w:pPr>
      <w:r>
        <w:rPr>
          <w:rFonts w:cs="Arial"/>
        </w:rPr>
        <w:t xml:space="preserve">3            </w:t>
      </w:r>
      <w:r w:rsidRPr="00C1426D">
        <w:rPr>
          <w:rFonts w:cs="Arial"/>
        </w:rPr>
        <w:t>Non-analytic studies (case reports/ case series)</w:t>
      </w:r>
    </w:p>
    <w:p w:rsidR="007C4280" w:rsidRPr="00C1426D" w:rsidRDefault="00C1426D" w:rsidP="00C1426D">
      <w:pPr>
        <w:spacing w:line="480" w:lineRule="auto"/>
        <w:ind w:left="720"/>
        <w:rPr>
          <w:rFonts w:cs="Arial"/>
        </w:rPr>
      </w:pPr>
      <w:r w:rsidRPr="00C1426D">
        <w:rPr>
          <w:rFonts w:cs="Arial"/>
        </w:rPr>
        <w:t>4</w:t>
      </w:r>
      <w:r w:rsidRPr="00C1426D">
        <w:rPr>
          <w:rFonts w:cs="Arial"/>
        </w:rPr>
        <w:tab/>
      </w:r>
      <w:r>
        <w:rPr>
          <w:rFonts w:cs="Arial"/>
        </w:rPr>
        <w:t xml:space="preserve">        </w:t>
      </w:r>
      <w:r w:rsidRPr="00C1426D">
        <w:rPr>
          <w:rFonts w:cs="Arial"/>
        </w:rPr>
        <w:t>Expert opinion</w:t>
      </w:r>
    </w:p>
    <w:p w:rsidR="00A12762" w:rsidRDefault="00A12762" w:rsidP="00265702">
      <w:pPr>
        <w:ind w:left="0" w:firstLine="0"/>
        <w:rPr>
          <w:b/>
        </w:rPr>
      </w:pPr>
    </w:p>
    <w:p w:rsidR="007C4280" w:rsidRDefault="007C4280" w:rsidP="00265702">
      <w:pPr>
        <w:ind w:left="0" w:firstLine="0"/>
        <w:rPr>
          <w:b/>
        </w:rPr>
      </w:pPr>
      <w:r>
        <w:rPr>
          <w:b/>
        </w:rPr>
        <w:t>AAN Classification Recommendations</w:t>
      </w:r>
    </w:p>
    <w:p w:rsidR="007C4280" w:rsidRPr="00BA4F7B" w:rsidRDefault="007C4280" w:rsidP="007C4280">
      <w:pPr>
        <w:rPr>
          <w:b/>
        </w:rPr>
      </w:pPr>
      <w:r w:rsidRPr="00BA4F7B">
        <w:rPr>
          <w:b/>
        </w:rPr>
        <w:t xml:space="preserve">Appendix e-5: </w:t>
      </w:r>
      <w:r w:rsidRPr="00BA4F7B">
        <w:rPr>
          <w:b/>
          <w:caps/>
        </w:rPr>
        <w:t>C</w:t>
      </w:r>
      <w:r w:rsidRPr="00BA4F7B">
        <w:rPr>
          <w:b/>
        </w:rPr>
        <w:t>lassification of Recommendations</w:t>
      </w:r>
    </w:p>
    <w:p w:rsidR="007C4280" w:rsidRPr="000A0194" w:rsidRDefault="007C4280" w:rsidP="007C4280">
      <w:r w:rsidRPr="000A0194">
        <w:t>A = Established as effective, ineffective or harmful (or established as useful/predictive or not useful/predictive) for the given condition in the specified population. (Level A rating requires at least two consistent Class I studies.)*</w:t>
      </w:r>
    </w:p>
    <w:p w:rsidR="007C4280" w:rsidRPr="000A0194" w:rsidRDefault="007C4280" w:rsidP="007C4280"/>
    <w:p w:rsidR="007C4280" w:rsidRPr="000A0194" w:rsidRDefault="007C4280" w:rsidP="007C4280">
      <w:r w:rsidRPr="000A0194">
        <w:t xml:space="preserve">B = Probably effective, ineffective or harmful (or probably useful/predictive or not useful/predictive) for the given condition in the specified population. </w:t>
      </w:r>
      <w:r>
        <w:t>(</w:t>
      </w:r>
      <w:r w:rsidRPr="000A0194">
        <w:t>Level B rating requires at least one Class I study or two consistent Class II studies</w:t>
      </w:r>
      <w:r>
        <w:t>.)</w:t>
      </w:r>
    </w:p>
    <w:p w:rsidR="007C4280" w:rsidRPr="000A0194" w:rsidRDefault="007C4280" w:rsidP="007C4280"/>
    <w:p w:rsidR="007C4280" w:rsidRPr="000A0194" w:rsidRDefault="007C4280" w:rsidP="007C4280">
      <w:r w:rsidRPr="000A0194">
        <w:t xml:space="preserve">C = Possibly effective, ineffective or harmful (or possibly useful/predictive or not useful/predictive) for the given condition in the specified population. </w:t>
      </w:r>
      <w:r>
        <w:t>(</w:t>
      </w:r>
      <w:r w:rsidRPr="000A0194">
        <w:t>Level C rating requires at least one Class II study or two consistent Class III studies.</w:t>
      </w:r>
      <w:r>
        <w:t>)</w:t>
      </w:r>
    </w:p>
    <w:p w:rsidR="007C4280" w:rsidRPr="000A0194" w:rsidRDefault="007C4280" w:rsidP="007C4280"/>
    <w:p w:rsidR="007C4280" w:rsidRDefault="007C4280" w:rsidP="007C4280">
      <w:r w:rsidRPr="000A0194">
        <w:t>U = Data inadequate or conflicting; given current knowledge, treatment (test, predictor) is unproven</w:t>
      </w:r>
      <w:r>
        <w:t>.</w:t>
      </w:r>
    </w:p>
    <w:p w:rsidR="007C4280" w:rsidRPr="000A0194" w:rsidRDefault="007C4280" w:rsidP="007C4280"/>
    <w:p w:rsidR="007C4280" w:rsidRPr="00A279F1" w:rsidRDefault="007C4280" w:rsidP="007C4280">
      <w:pPr>
        <w:pStyle w:val="Header"/>
        <w:rPr>
          <w:sz w:val="20"/>
          <w:szCs w:val="20"/>
        </w:rPr>
      </w:pPr>
      <w:r w:rsidRPr="00A279F1">
        <w:rPr>
          <w:sz w:val="20"/>
          <w:szCs w:val="20"/>
        </w:rPr>
        <w:t>*In exceptional cases, one convincing Class I study may suffice for an “A” recommendation if 1) all criteria are met, 2) the magnitude of effect is large (relative rate improved outcome  &gt; 5 and the lower limit of the confidence interval is  &gt; 2).</w:t>
      </w:r>
      <w:r>
        <w:rPr>
          <w:sz w:val="20"/>
          <w:szCs w:val="20"/>
        </w:rPr>
        <w:br/>
      </w:r>
    </w:p>
    <w:p w:rsidR="007C4280" w:rsidRPr="00D1716F" w:rsidRDefault="007C4280" w:rsidP="00265702">
      <w:pPr>
        <w:ind w:left="0" w:firstLine="0"/>
        <w:rPr>
          <w:b/>
        </w:rPr>
      </w:pPr>
      <w:r w:rsidRPr="00D1716F">
        <w:rPr>
          <w:b/>
        </w:rPr>
        <w:t xml:space="preserve">NICE Evidence </w:t>
      </w:r>
    </w:p>
    <w:p w:rsidR="00D1716F" w:rsidRPr="00D1716F" w:rsidRDefault="00D1716F" w:rsidP="00D1716F">
      <w:pPr>
        <w:rPr>
          <w:rFonts w:ascii="Arial Narrow" w:hAnsi="Arial Narrow" w:cs="Arial"/>
          <w:b/>
        </w:rPr>
      </w:pPr>
      <w:r w:rsidRPr="00D1716F">
        <w:rPr>
          <w:rFonts w:ascii="Arial Narrow" w:hAnsi="Arial Narrow" w:cs="Arial"/>
        </w:rPr>
        <w:t>NICE  National Collaborating Centre for Primary Care.  The diagnosis and management of the epilepsies in adults and children in primary and secondary care.  London (UK): Royal College of General Practitioners; 2004 Oct.</w:t>
      </w:r>
    </w:p>
    <w:p w:rsidR="00D1716F" w:rsidRPr="00D1716F" w:rsidRDefault="00D1716F" w:rsidP="00D1716F">
      <w:pPr>
        <w:rPr>
          <w:rFonts w:ascii="Arial Narrow" w:hAnsi="Arial Narrow" w:cs="Arial"/>
        </w:rPr>
      </w:pPr>
    </w:p>
    <w:p w:rsidR="00D1716F" w:rsidRPr="00D1716F" w:rsidRDefault="00D1716F" w:rsidP="00D1716F">
      <w:pPr>
        <w:rPr>
          <w:rFonts w:ascii="Arial Narrow" w:hAnsi="Arial Narrow" w:cs="Arial"/>
        </w:rPr>
      </w:pPr>
      <w:r w:rsidRPr="00D1716F">
        <w:rPr>
          <w:rFonts w:ascii="Arial Narrow" w:hAnsi="Arial Narrow" w:cs="Arial"/>
        </w:rPr>
        <w:t>Rating Scheme for Strength of the Evidence</w:t>
      </w:r>
    </w:p>
    <w:p w:rsidR="00D1716F" w:rsidRPr="00D1716F" w:rsidRDefault="00D1716F" w:rsidP="00D1716F">
      <w:pPr>
        <w:rPr>
          <w:rFonts w:ascii="Arial Narrow" w:hAnsi="Arial Narrow" w:cs="Arial"/>
        </w:rPr>
      </w:pPr>
      <w:r w:rsidRPr="00D1716F">
        <w:rPr>
          <w:rFonts w:ascii="Arial Narrow" w:hAnsi="Arial Narrow" w:cs="Arial"/>
        </w:rPr>
        <w:t>Ia-Systematic review or meta-analysis of randomized controlled trials</w:t>
      </w:r>
    </w:p>
    <w:p w:rsidR="00D1716F" w:rsidRPr="00D1716F" w:rsidRDefault="00D1716F" w:rsidP="00D1716F">
      <w:pPr>
        <w:rPr>
          <w:rFonts w:ascii="Arial Narrow" w:hAnsi="Arial Narrow" w:cs="Arial"/>
        </w:rPr>
      </w:pPr>
      <w:r w:rsidRPr="00D1716F">
        <w:rPr>
          <w:rFonts w:ascii="Arial Narrow" w:hAnsi="Arial Narrow" w:cs="Arial"/>
        </w:rPr>
        <w:t>Ib-At least one randomized controlled trial</w:t>
      </w:r>
    </w:p>
    <w:p w:rsidR="00D1716F" w:rsidRPr="00D1716F" w:rsidRDefault="00D1716F" w:rsidP="00D1716F">
      <w:pPr>
        <w:rPr>
          <w:rFonts w:ascii="Arial Narrow" w:hAnsi="Arial Narrow" w:cs="Arial"/>
        </w:rPr>
      </w:pPr>
      <w:r w:rsidRPr="00D1716F">
        <w:rPr>
          <w:rFonts w:ascii="Arial Narrow" w:hAnsi="Arial Narrow" w:cs="Arial"/>
        </w:rPr>
        <w:t>IIa-At least one well-designed controlled stud without randomization</w:t>
      </w:r>
    </w:p>
    <w:p w:rsidR="00D1716F" w:rsidRPr="00D1716F" w:rsidRDefault="00D1716F" w:rsidP="00D1716F">
      <w:pPr>
        <w:rPr>
          <w:rFonts w:ascii="Arial Narrow" w:hAnsi="Arial Narrow" w:cs="Arial"/>
        </w:rPr>
      </w:pPr>
      <w:r w:rsidRPr="00D1716F">
        <w:rPr>
          <w:rFonts w:ascii="Arial Narrow" w:hAnsi="Arial Narrow" w:cs="Arial"/>
        </w:rPr>
        <w:t>IIb-At least one well-designed quasi-experimental descriptive studies, such as a cohort study</w:t>
      </w:r>
    </w:p>
    <w:p w:rsidR="00D1716F" w:rsidRPr="00D1716F" w:rsidRDefault="00D1716F" w:rsidP="00D1716F">
      <w:pPr>
        <w:rPr>
          <w:rFonts w:ascii="Arial Narrow" w:hAnsi="Arial Narrow" w:cs="Arial"/>
        </w:rPr>
      </w:pPr>
      <w:r w:rsidRPr="00D1716F">
        <w:rPr>
          <w:rFonts w:ascii="Arial Narrow" w:hAnsi="Arial Narrow" w:cs="Arial"/>
        </w:rPr>
        <w:t>III-Well-designed non-experimental descriptive studies, case-control studies, and case studies</w:t>
      </w:r>
    </w:p>
    <w:p w:rsidR="00D1716F" w:rsidRPr="00D1716F" w:rsidRDefault="00D1716F" w:rsidP="00D1716F">
      <w:pPr>
        <w:rPr>
          <w:rFonts w:ascii="Arial Narrow" w:hAnsi="Arial Narrow" w:cs="Arial"/>
        </w:rPr>
      </w:pPr>
      <w:r w:rsidRPr="00D1716F">
        <w:rPr>
          <w:rFonts w:ascii="Arial Narrow" w:hAnsi="Arial Narrow" w:cs="Arial"/>
        </w:rPr>
        <w:t>IV-Expert committee reports, opinions and/or clinical experience of respected authorities</w:t>
      </w:r>
    </w:p>
    <w:p w:rsidR="00D1716F" w:rsidRPr="00D1716F" w:rsidRDefault="00D1716F" w:rsidP="00D1716F">
      <w:pPr>
        <w:rPr>
          <w:rFonts w:ascii="Arial Narrow" w:hAnsi="Arial Narrow" w:cs="Arial"/>
        </w:rPr>
      </w:pPr>
    </w:p>
    <w:p w:rsidR="00D1716F" w:rsidRPr="00D1716F" w:rsidRDefault="00D1716F" w:rsidP="00D1716F">
      <w:pPr>
        <w:rPr>
          <w:rFonts w:ascii="Arial Narrow" w:hAnsi="Arial Narrow" w:cs="Arial"/>
        </w:rPr>
      </w:pPr>
      <w:r w:rsidRPr="00D1716F">
        <w:rPr>
          <w:rFonts w:ascii="Arial Narrow" w:hAnsi="Arial Narrow" w:cs="Arial"/>
        </w:rPr>
        <w:t>Rating Recommendations</w:t>
      </w:r>
    </w:p>
    <w:p w:rsidR="00D1716F" w:rsidRPr="00D1716F" w:rsidRDefault="00D1716F" w:rsidP="00D1716F">
      <w:pPr>
        <w:rPr>
          <w:rFonts w:ascii="Arial Narrow" w:hAnsi="Arial Narrow" w:cs="Arial"/>
        </w:rPr>
      </w:pPr>
      <w:r w:rsidRPr="00D1716F">
        <w:rPr>
          <w:rFonts w:ascii="Arial Narrow" w:hAnsi="Arial Narrow" w:cs="Arial"/>
        </w:rPr>
        <w:t>A*</w:t>
      </w:r>
      <w:r w:rsidRPr="00D1716F">
        <w:rPr>
          <w:rFonts w:ascii="Arial Narrow" w:hAnsi="Arial Narrow" w:cs="Arial"/>
        </w:rPr>
        <w:tab/>
        <w:t>Directly based on category I evidence (meta-analysis of randomized controlled trials (RCTs) or at least one RCT)</w:t>
      </w:r>
    </w:p>
    <w:p w:rsidR="00D1716F" w:rsidRPr="00D1716F" w:rsidRDefault="00D1716F" w:rsidP="00D1716F">
      <w:pPr>
        <w:rPr>
          <w:rFonts w:ascii="Arial Narrow" w:hAnsi="Arial Narrow" w:cs="Arial"/>
        </w:rPr>
      </w:pPr>
      <w:r w:rsidRPr="00D1716F">
        <w:rPr>
          <w:rFonts w:ascii="Arial Narrow" w:hAnsi="Arial Narrow" w:cs="Arial"/>
        </w:rPr>
        <w:t>B*</w:t>
      </w:r>
      <w:r w:rsidRPr="00D1716F">
        <w:rPr>
          <w:rFonts w:ascii="Arial Narrow" w:hAnsi="Arial Narrow" w:cs="Arial"/>
        </w:rPr>
        <w:tab/>
        <w:t>Directly based on category II evidence (at least one controlled study without randomization or at least one other quasi-experimental study) or extrapolated from category I evidence</w:t>
      </w:r>
    </w:p>
    <w:p w:rsidR="00D1716F" w:rsidRPr="00D1716F" w:rsidRDefault="00D1716F" w:rsidP="00D1716F">
      <w:pPr>
        <w:rPr>
          <w:rFonts w:ascii="Arial Narrow" w:hAnsi="Arial Narrow" w:cs="Arial"/>
        </w:rPr>
      </w:pPr>
      <w:r w:rsidRPr="00D1716F">
        <w:rPr>
          <w:rFonts w:ascii="Arial Narrow" w:hAnsi="Arial Narrow" w:cs="Arial"/>
        </w:rPr>
        <w:t xml:space="preserve">C* </w:t>
      </w:r>
      <w:r w:rsidRPr="00D1716F">
        <w:rPr>
          <w:rFonts w:ascii="Arial Narrow" w:hAnsi="Arial Narrow" w:cs="Arial"/>
        </w:rPr>
        <w:tab/>
        <w:t>Directly based on category III evidence (non-experimental descriptive studies) or extrapolated from category I or II evidence</w:t>
      </w:r>
    </w:p>
    <w:p w:rsidR="00D1716F" w:rsidRPr="00D1716F" w:rsidRDefault="00D1716F" w:rsidP="00D1716F">
      <w:pPr>
        <w:rPr>
          <w:rFonts w:ascii="Arial Narrow" w:hAnsi="Arial Narrow" w:cs="Arial"/>
        </w:rPr>
      </w:pPr>
      <w:r w:rsidRPr="00D1716F">
        <w:rPr>
          <w:rFonts w:ascii="Arial Narrow" w:hAnsi="Arial Narrow" w:cs="Arial"/>
        </w:rPr>
        <w:t>D*</w:t>
      </w:r>
      <w:r w:rsidRPr="00D1716F">
        <w:rPr>
          <w:rFonts w:ascii="Arial Narrow" w:hAnsi="Arial Narrow" w:cs="Arial"/>
        </w:rPr>
        <w:tab/>
        <w:t>Directly based on category III evidence (expert committee reports or opinions and/or clinical experience of respected authorities) or extrapolated from category I, II or III evidence</w:t>
      </w:r>
    </w:p>
    <w:p w:rsidR="00D1716F" w:rsidRPr="00DF59A9" w:rsidRDefault="00D1716F" w:rsidP="00DF59A9">
      <w:pPr>
        <w:rPr>
          <w:rFonts w:ascii="Arial Narrow" w:hAnsi="Arial Narrow" w:cs="Arial"/>
        </w:rPr>
      </w:pPr>
      <w:r w:rsidRPr="00D1716F">
        <w:rPr>
          <w:rFonts w:ascii="Arial Narrow" w:hAnsi="Arial Narrow" w:cs="Arial"/>
        </w:rPr>
        <w:t>N</w:t>
      </w:r>
      <w:r w:rsidRPr="00D1716F">
        <w:rPr>
          <w:rFonts w:ascii="Arial Narrow" w:hAnsi="Arial Narrow" w:cs="Arial"/>
        </w:rPr>
        <w:tab/>
        <w:t>Recommendation taken from NICE guideline o</w:t>
      </w:r>
      <w:r w:rsidR="00DF59A9">
        <w:rPr>
          <w:rFonts w:ascii="Arial Narrow" w:hAnsi="Arial Narrow" w:cs="Arial"/>
        </w:rPr>
        <w:t>r technology appraisal guidance</w:t>
      </w:r>
    </w:p>
    <w:p w:rsidR="001364AD" w:rsidRPr="003B1CC5" w:rsidRDefault="001364AD"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891957" w:rsidRDefault="00891957" w:rsidP="00891957">
      <w:pPr>
        <w:ind w:left="432" w:hanging="432"/>
      </w:pPr>
      <w:r w:rsidRPr="007C4280">
        <w:t>Pugh Same as above</w:t>
      </w:r>
    </w:p>
    <w:p w:rsidR="007C4280" w:rsidRDefault="007C4280" w:rsidP="00891957">
      <w:pPr>
        <w:ind w:left="432" w:hanging="432"/>
      </w:pPr>
      <w:r w:rsidRPr="007C4280">
        <w:t xml:space="preserve">AAN URL: </w:t>
      </w:r>
      <w:hyperlink r:id="rId15" w:history="1">
        <w:r w:rsidRPr="007C4280">
          <w:rPr>
            <w:rStyle w:val="Hyperlink"/>
            <w:color w:val="auto"/>
          </w:rPr>
          <w:t>http://www.neurology.org/content/suppl/2009/04/27/WNL.0b013e3181a6b325.DC1.html</w:t>
        </w:r>
      </w:hyperlink>
    </w:p>
    <w:p w:rsidR="00891957" w:rsidRPr="00891957" w:rsidRDefault="00891957" w:rsidP="00891957">
      <w:pPr>
        <w:ind w:left="432" w:hanging="432"/>
      </w:pPr>
      <w:r>
        <w:t>NICE Same as above</w:t>
      </w: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007B22" w:rsidP="00FC32D3">
      <w:pPr>
        <w:ind w:left="720" w:hanging="432"/>
        <w:rPr>
          <w:b/>
        </w:rPr>
      </w:pPr>
      <w:sdt>
        <w:sdtPr>
          <w:rPr>
            <w:bCs/>
            <w:color w:val="0000FF"/>
          </w:rPr>
          <w:id w:val="-1346319738"/>
          <w14:checkbox>
            <w14:checked w14:val="1"/>
            <w14:checkedState w14:val="2612" w14:font="MS Gothic"/>
            <w14:uncheckedState w14:val="2610" w14:font="MS Gothic"/>
          </w14:checkbox>
        </w:sdtPr>
        <w:sdtEndPr/>
        <w:sdtContent>
          <w:r w:rsidR="001364AD">
            <w:rPr>
              <w:rFonts w:ascii="MS Gothic" w:eastAsia="MS Gothic" w:hAnsi="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007B22"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B61F8E" w:rsidP="00307FA5">
      <w:pPr>
        <w:ind w:left="0" w:firstLine="0"/>
        <w:rPr>
          <w:rFonts w:cs="Arial"/>
          <w:sz w:val="20"/>
          <w:szCs w:val="20"/>
        </w:rPr>
      </w:pPr>
      <w:r>
        <w:rPr>
          <w:rFonts w:cs="Arial"/>
          <w:sz w:val="20"/>
          <w:szCs w:val="20"/>
        </w:rPr>
        <w:t>Not Applicable</w:t>
      </w: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B61F8E" w:rsidP="00307FA5">
      <w:pPr>
        <w:ind w:left="0" w:firstLine="0"/>
      </w:pPr>
      <w:r>
        <w:t>Not Applicable</w:t>
      </w: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B61F8E" w:rsidRPr="003B1CC5" w:rsidRDefault="00B61F8E" w:rsidP="00B61F8E">
      <w:pPr>
        <w:ind w:left="0" w:firstLine="0"/>
      </w:pPr>
      <w:r>
        <w:t>Not Applicable</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B61F8E" w:rsidRPr="003B1CC5" w:rsidRDefault="00B61F8E" w:rsidP="00B61F8E">
      <w:pPr>
        <w:ind w:left="0" w:firstLine="0"/>
      </w:pPr>
      <w:r>
        <w:t>Not Applicable</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B61F8E" w:rsidRPr="003B1CC5" w:rsidRDefault="00B61F8E" w:rsidP="00B61F8E">
      <w:pPr>
        <w:ind w:left="0" w:firstLine="0"/>
      </w:pPr>
      <w:r>
        <w:t>Not Applicable</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B61F8E" w:rsidRPr="003B1CC5" w:rsidRDefault="00EE5AF6" w:rsidP="00B61F8E">
      <w:pPr>
        <w:ind w:left="0" w:firstLine="0"/>
      </w:pPr>
      <w:r w:rsidRPr="003B1CC5">
        <w:t xml:space="preserve"> </w:t>
      </w:r>
      <w:r w:rsidR="00B61F8E">
        <w:t>Not Applicable</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B61F8E" w:rsidRPr="003B1CC5" w:rsidRDefault="00B61F8E" w:rsidP="00B61F8E">
      <w:pPr>
        <w:ind w:left="0" w:firstLine="0"/>
      </w:pPr>
      <w:r>
        <w:t>Not Applicable</w:t>
      </w:r>
    </w:p>
    <w:p w:rsidR="005D0FDB" w:rsidRPr="00B61F8E" w:rsidRDefault="005D0FDB" w:rsidP="00EE5AF6">
      <w:pPr>
        <w:ind w:left="0" w:firstLine="0"/>
        <w:rPr>
          <w:b/>
        </w:rPr>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CB1E41" w:rsidRPr="004940DE"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rsidR="001364AD" w:rsidRPr="003B1CC5" w:rsidRDefault="001364AD" w:rsidP="00EE5AF6">
      <w:pPr>
        <w:ind w:left="0" w:firstLine="0"/>
      </w:pPr>
      <w:r>
        <w:t>All guideline groups evaluated various forms of the question, do women with epilepsy have an increased risk of pregnancy-related complications? As well as an evaluation of evidence on seizure recurrence and birth defect potential.</w:t>
      </w: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1364AD" w:rsidRPr="003B1CC5" w:rsidRDefault="001364AD" w:rsidP="00EA79C9">
      <w:pPr>
        <w:ind w:left="0" w:firstLine="0"/>
      </w:pPr>
      <w:r>
        <w:t>See above evidence grades and verbatim recommendations</w:t>
      </w:r>
    </w:p>
    <w:p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1364AD" w:rsidRPr="003B1CC5" w:rsidRDefault="001364AD" w:rsidP="002E2177">
      <w:pPr>
        <w:ind w:left="0" w:firstLine="0"/>
        <w:rPr>
          <w:noProof/>
        </w:rPr>
      </w:pPr>
      <w:r>
        <w:rPr>
          <w:noProof/>
        </w:rPr>
        <w:t xml:space="preserve">See 1a.4.4 </w:t>
      </w:r>
    </w:p>
    <w:p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rsidR="00496AF8" w:rsidRDefault="001364AD" w:rsidP="002E2177">
      <w:pPr>
        <w:ind w:left="0" w:firstLine="0"/>
        <w:rPr>
          <w:noProof/>
        </w:rPr>
      </w:pPr>
      <w:r>
        <w:rPr>
          <w:noProof/>
        </w:rPr>
        <w:t>Pugh data previously provided in prior submissions.</w:t>
      </w:r>
    </w:p>
    <w:p w:rsidR="001364AD" w:rsidRDefault="001364AD" w:rsidP="002E2177">
      <w:pPr>
        <w:ind w:left="0" w:firstLine="0"/>
        <w:rPr>
          <w:noProof/>
        </w:rPr>
      </w:pPr>
      <w:r>
        <w:rPr>
          <w:noProof/>
        </w:rPr>
        <w:t>AAN guidelines range - 1985-February 2008</w:t>
      </w:r>
    </w:p>
    <w:p w:rsidR="0039020B" w:rsidRPr="004940DE" w:rsidRDefault="00DF5863" w:rsidP="002E2177">
      <w:pPr>
        <w:ind w:left="0" w:firstLine="0"/>
        <w:rPr>
          <w:noProof/>
        </w:rPr>
      </w:pPr>
      <w:r>
        <w:rPr>
          <w:noProof/>
        </w:rPr>
        <w:t>NICE range June 2010 to September 2013 (Builds off of past NICE searches of evidence)</w:t>
      </w:r>
    </w:p>
    <w:p w:rsidR="00496AF8" w:rsidRPr="003B1CC5" w:rsidRDefault="00C5180E" w:rsidP="002E2177">
      <w:pPr>
        <w:ind w:left="0" w:firstLine="0"/>
        <w:rPr>
          <w:b/>
        </w:rPr>
      </w:pPr>
      <w:r w:rsidRPr="003B1CC5">
        <w:rPr>
          <w:b/>
          <w:noProof/>
        </w:rPr>
        <w:t>QUANTITY AND QUALITY OF BODY OF EVIDENCE</w:t>
      </w:r>
    </w:p>
    <w:p w:rsidR="009B5BEA"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353F10" w:rsidRDefault="00353F10" w:rsidP="00353F10">
      <w:pPr>
        <w:autoSpaceDE w:val="0"/>
        <w:autoSpaceDN w:val="0"/>
        <w:adjustRightInd w:val="0"/>
        <w:ind w:left="0" w:firstLine="0"/>
      </w:pPr>
      <w:r>
        <w:t xml:space="preserve">Details on Pugh data previously provided. </w:t>
      </w:r>
    </w:p>
    <w:p w:rsidR="00353F10" w:rsidRDefault="00353F10" w:rsidP="00353F10">
      <w:pPr>
        <w:autoSpaceDE w:val="0"/>
        <w:autoSpaceDN w:val="0"/>
        <w:adjustRightInd w:val="0"/>
        <w:ind w:left="0" w:firstLine="0"/>
      </w:pPr>
    </w:p>
    <w:p w:rsidR="00353F10" w:rsidRPr="00891957" w:rsidRDefault="004E2293" w:rsidP="00353F10">
      <w:pPr>
        <w:autoSpaceDE w:val="0"/>
        <w:autoSpaceDN w:val="0"/>
        <w:adjustRightInd w:val="0"/>
        <w:ind w:left="0" w:firstLine="0"/>
        <w:rPr>
          <w:rFonts w:cs="AGaramond-Regular"/>
        </w:rPr>
      </w:pPr>
      <w:r w:rsidRPr="00891957">
        <w:t>AAN Obstetrics guideline identified 9 studies graded Class III or higher.</w:t>
      </w:r>
      <w:r w:rsidR="00353F10" w:rsidRPr="00891957">
        <w:t xml:space="preserve"> Regarding premature contractions and premature labor and delivery: “</w:t>
      </w:r>
      <w:r w:rsidR="00353F10" w:rsidRPr="00891957">
        <w:rPr>
          <w:rFonts w:cs="AGaramond-Regular"/>
        </w:rPr>
        <w:t>One Class I study5 showed no substantially increased risk of premature contractions or premature labor and delivery in WWE taking AEDs compared to control women without epilepsy (OR 0.51, 95% CI 0.19 –1.36). One Class II study12 showed an increased risk for</w:t>
      </w:r>
      <w:r w:rsidR="004940DE">
        <w:rPr>
          <w:rFonts w:cs="AGaramond-Regular"/>
        </w:rPr>
        <w:t xml:space="preserve"> </w:t>
      </w:r>
      <w:r w:rsidR="00353F10" w:rsidRPr="00891957">
        <w:rPr>
          <w:rFonts w:cs="AGaramond-Regular"/>
        </w:rPr>
        <w:t>WWE who were smokers compared to control women who were also smokers (OR 3.4, 95% CI</w:t>
      </w:r>
    </w:p>
    <w:p w:rsidR="004E2293" w:rsidRPr="00891957" w:rsidRDefault="00353F10" w:rsidP="00353F10">
      <w:pPr>
        <w:autoSpaceDE w:val="0"/>
        <w:autoSpaceDN w:val="0"/>
        <w:adjustRightInd w:val="0"/>
        <w:ind w:left="0" w:firstLine="0"/>
        <w:rPr>
          <w:rFonts w:cs="AGaramond-Regular"/>
        </w:rPr>
      </w:pPr>
      <w:r w:rsidRPr="00891957">
        <w:rPr>
          <w:rFonts w:cs="AGaramond-Regular"/>
        </w:rPr>
        <w:t>1.8–6.5) (data not given for all WWE compared to controls). One Class III study13 also showed an increased risk (</w:t>
      </w:r>
      <w:r w:rsidRPr="00891957">
        <w:rPr>
          <w:rFonts w:cs="AGaramond-Italic"/>
          <w:i/>
          <w:iCs/>
        </w:rPr>
        <w:t xml:space="preserve">p </w:t>
      </w:r>
      <w:r w:rsidRPr="00891957">
        <w:rPr>
          <w:rFonts w:cs="Universal-GreekwithMathPi"/>
        </w:rPr>
        <w:t xml:space="preserve">_ </w:t>
      </w:r>
      <w:r w:rsidRPr="00891957">
        <w:rPr>
          <w:rFonts w:cs="AGaramond-Regular"/>
        </w:rPr>
        <w:t>0.05). Another Class III study8 demonstrated no significant increased risk but was insufficiently sensitive to exclude a substantially increased risk (OR 8.24, 95% CI 0.92–70.32). A Class III study11 showed no significant increased risk but was not sufficiently sensitive to exclude an increased risk (RR 0.7, 95% CI 0.3–1.4). In a categorical,</w:t>
      </w:r>
      <w:r w:rsidRPr="00891957">
        <w:rPr>
          <w:rFonts w:cs="MathematicalPi-One"/>
        </w:rPr>
        <w:t>_</w:t>
      </w:r>
      <w:r w:rsidRPr="00891957">
        <w:rPr>
          <w:rFonts w:cs="AGaramond-Regular"/>
        </w:rPr>
        <w:t>2 statistic, it was reported that the rates of premature births were not different than controls</w:t>
      </w:r>
      <w:r w:rsidR="004940DE">
        <w:rPr>
          <w:rFonts w:cs="AGaramond-Regular"/>
        </w:rPr>
        <w:t xml:space="preserve"> </w:t>
      </w:r>
      <w:r w:rsidRPr="00891957">
        <w:rPr>
          <w:rFonts w:cs="AGaramond-Regular"/>
        </w:rPr>
        <w:t>(</w:t>
      </w:r>
      <w:r w:rsidRPr="00891957">
        <w:rPr>
          <w:rFonts w:cs="AGaramond-Italic"/>
          <w:i/>
          <w:iCs/>
        </w:rPr>
        <w:t xml:space="preserve">p </w:t>
      </w:r>
      <w:r w:rsidRPr="00891957">
        <w:rPr>
          <w:rFonts w:cs="Universal-GreekwithMathPi"/>
        </w:rPr>
        <w:t xml:space="preserve">_ </w:t>
      </w:r>
      <w:r w:rsidRPr="00891957">
        <w:rPr>
          <w:rFonts w:cs="AGaramond-Regular"/>
        </w:rPr>
        <w:t xml:space="preserve">0.3),9 and another study found no differences in gestational ages in the offspring of WWE compared to controls (WWE </w:t>
      </w:r>
      <w:r w:rsidRPr="00891957">
        <w:rPr>
          <w:rFonts w:cs="Universal-GreekwithMathPi"/>
        </w:rPr>
        <w:t xml:space="preserve">_ </w:t>
      </w:r>
      <w:r w:rsidRPr="00891957">
        <w:rPr>
          <w:rFonts w:cs="AGaramond-Regular"/>
        </w:rPr>
        <w:t xml:space="preserve">38.06, SD 1.42 vs controls </w:t>
      </w:r>
      <w:r w:rsidRPr="00891957">
        <w:rPr>
          <w:rFonts w:cs="Universal-GreekwithMathPi"/>
        </w:rPr>
        <w:t xml:space="preserve">_ </w:t>
      </w:r>
      <w:r w:rsidRPr="00891957">
        <w:rPr>
          <w:rFonts w:cs="AGaramond-Regular"/>
        </w:rPr>
        <w:t xml:space="preserve">38.17, SD 3.58 weeks).” </w:t>
      </w:r>
    </w:p>
    <w:p w:rsidR="004E2293" w:rsidRPr="00891957" w:rsidRDefault="00353F10" w:rsidP="00353F10">
      <w:pPr>
        <w:autoSpaceDE w:val="0"/>
        <w:autoSpaceDN w:val="0"/>
        <w:adjustRightInd w:val="0"/>
        <w:ind w:left="0" w:firstLine="0"/>
        <w:rPr>
          <w:rFonts w:cs="AGaramond-Regular"/>
        </w:rPr>
      </w:pPr>
      <w:r w:rsidRPr="00891957">
        <w:t>Regarding Seizure Recurrence in previously seizure free WWE: “</w:t>
      </w:r>
      <w:r w:rsidRPr="00891957">
        <w:rPr>
          <w:rFonts w:cs="AGaramond-Regular"/>
        </w:rPr>
        <w:t>Two Class II articles16,17 showed that for WWE who were seizure-free f</w:t>
      </w:r>
      <w:r w:rsidR="0068730D" w:rsidRPr="00891957">
        <w:rPr>
          <w:rFonts w:cs="AGaramond-Regular"/>
        </w:rPr>
        <w:t xml:space="preserve">or 9 months prior to pregnancy, </w:t>
      </w:r>
      <w:r w:rsidRPr="00891957">
        <w:rPr>
          <w:rFonts w:cs="AGaramond-Regular"/>
        </w:rPr>
        <w:t>84%–92% remained seizure-free during pregnancy (table e-4). In one study, 38 of 45 (84%; CI 0.71–</w:t>
      </w:r>
      <w:r w:rsidR="0068730D" w:rsidRPr="00891957">
        <w:rPr>
          <w:rFonts w:cs="AGaramond-Regular"/>
        </w:rPr>
        <w:t xml:space="preserve"> </w:t>
      </w:r>
      <w:r w:rsidRPr="00891957">
        <w:rPr>
          <w:rFonts w:cs="AGaramond-Regular"/>
        </w:rPr>
        <w:t>0.92) pregnant WWE remained seizure-free,16 and in the other study, 47 of 51 (92%; CI 0.82–</w:t>
      </w:r>
      <w:r w:rsidR="0068730D" w:rsidRPr="00891957">
        <w:rPr>
          <w:rFonts w:cs="AGaramond-Regular"/>
        </w:rPr>
        <w:t xml:space="preserve"> 0.97) pregnant </w:t>
      </w:r>
      <w:r w:rsidRPr="00891957">
        <w:rPr>
          <w:rFonts w:cs="AGaramond-Regular"/>
        </w:rPr>
        <w:t xml:space="preserve">WWE remained seizure-free.17 One larger Class III article22 showed that 80% of a group of WWE (n </w:t>
      </w:r>
      <w:r w:rsidRPr="00891957">
        <w:rPr>
          <w:rFonts w:cs="Universal-GreekwithMathPi"/>
        </w:rPr>
        <w:t xml:space="preserve">_ </w:t>
      </w:r>
      <w:r w:rsidRPr="00891957">
        <w:rPr>
          <w:rFonts w:cs="AGaramond-Regular"/>
        </w:rPr>
        <w:t>450) who were seizure-free at least 1 year prior to pregnancy remained seizure-free during pregnancy (exact number not provided). One Class III article showed that of 72 WWE who were seizure-free for 10 months, 74% (95% CI 0.62–</w:t>
      </w:r>
      <w:r w:rsidR="0068730D" w:rsidRPr="00891957">
        <w:rPr>
          <w:rFonts w:cs="AGaramond-Regular"/>
        </w:rPr>
        <w:t xml:space="preserve"> </w:t>
      </w:r>
      <w:r w:rsidRPr="00891957">
        <w:rPr>
          <w:rFonts w:cs="AGaramond-Regular"/>
        </w:rPr>
        <w:t>0.82) remained seizure-free during pregnancy.18 A second Class III article showed that of 54 WWE who were seizure-free for 9 months, 94% (95% CI 0.85– 0.98) remained seizur</w:t>
      </w:r>
      <w:r w:rsidR="0068730D" w:rsidRPr="00891957">
        <w:rPr>
          <w:rFonts w:cs="AGaramond-Regular"/>
        </w:rPr>
        <w:t xml:space="preserve">e-free during pregnancy, and of </w:t>
      </w:r>
      <w:r w:rsidRPr="00891957">
        <w:rPr>
          <w:rFonts w:cs="AGaramond-Regular"/>
        </w:rPr>
        <w:t xml:space="preserve">48 WWE who were seizure-free for 1 year, 92% (95% CI 0.80–0.98) remained seizure-free during pregnancy.19 These results are all fairly consistent across the class of evidence and sample size of the studies. </w:t>
      </w:r>
      <w:r w:rsidRPr="00891957">
        <w:rPr>
          <w:rFonts w:cs="AGaramond-Italic"/>
          <w:i/>
          <w:iCs/>
        </w:rPr>
        <w:t xml:space="preserve">Conclusion. </w:t>
      </w:r>
      <w:r w:rsidRPr="00891957">
        <w:rPr>
          <w:rFonts w:cs="AGaramond-Regular"/>
        </w:rPr>
        <w:t>Two Class II articles show the rate of remaining seizure-free during pregnancy if WWE are seizure-free for at least 9 months to 1 year prior to pregnancy is probably 84%–92%.”</w:t>
      </w:r>
    </w:p>
    <w:p w:rsidR="00353F10" w:rsidRPr="00891957" w:rsidRDefault="00353F10" w:rsidP="004940DE">
      <w:pPr>
        <w:pStyle w:val="Default"/>
        <w:ind w:left="720"/>
        <w:rPr>
          <w:rFonts w:asciiTheme="minorHAnsi" w:hAnsiTheme="minorHAnsi"/>
          <w:sz w:val="22"/>
          <w:szCs w:val="22"/>
        </w:rPr>
      </w:pPr>
      <w:r w:rsidRPr="00891957">
        <w:rPr>
          <w:rFonts w:asciiTheme="minorHAnsi" w:hAnsiTheme="minorHAnsi"/>
          <w:sz w:val="22"/>
          <w:szCs w:val="22"/>
        </w:rPr>
        <w:t xml:space="preserve">Harden CL, Hopp J, Ting TY, et al. Practice Parameter update: Management issues for women with epilepsy-Focus on pregnancy (an evidence-based review): Obstetrical complications and change in seizure frequency: Report of the Quality Standards Subcommittee and Therapeutics and Technology Assessment Subcommittee of the American Academy of Neurology and American Epilepsy Society. Neurology 2009;73:126-132. </w:t>
      </w:r>
    </w:p>
    <w:p w:rsidR="00353F10" w:rsidRPr="00891957" w:rsidRDefault="00353F10" w:rsidP="00353F10">
      <w:pPr>
        <w:autoSpaceDE w:val="0"/>
        <w:autoSpaceDN w:val="0"/>
        <w:adjustRightInd w:val="0"/>
        <w:ind w:left="0" w:firstLine="0"/>
        <w:rPr>
          <w:rFonts w:cs="AGaramond-Regular"/>
        </w:rPr>
      </w:pPr>
    </w:p>
    <w:p w:rsidR="00353F10" w:rsidRPr="00891957" w:rsidRDefault="00353F10" w:rsidP="0068730D">
      <w:pPr>
        <w:autoSpaceDE w:val="0"/>
        <w:autoSpaceDN w:val="0"/>
        <w:adjustRightInd w:val="0"/>
        <w:ind w:left="0" w:firstLine="0"/>
        <w:rPr>
          <w:rFonts w:cs="AGaramond-Regular"/>
        </w:rPr>
      </w:pPr>
      <w:r w:rsidRPr="00891957">
        <w:t xml:space="preserve">AAN </w:t>
      </w:r>
      <w:r w:rsidR="0068730D" w:rsidRPr="00891957">
        <w:t>Management issues for women with epilepsy – focus on pregnancy</w:t>
      </w:r>
      <w:r w:rsidRPr="00891957">
        <w:t xml:space="preserve"> guideline identified</w:t>
      </w:r>
      <w:r w:rsidR="0068730D" w:rsidRPr="00891957">
        <w:t xml:space="preserve"> 9 studies graded Class III or higher. Regarding risk of reduced cognition, “</w:t>
      </w:r>
      <w:r w:rsidR="0068730D" w:rsidRPr="00891957">
        <w:rPr>
          <w:rFonts w:cs="AGaramond-Regular"/>
        </w:rPr>
        <w:t xml:space="preserve">Two Class II studies24,25 observed that cognition is not reduced in children of WWE unexposed to AEDs. One was a blinded observational study24 comparing the IQ of 64 children of WWE not taking AEDs with 121 controls. No important differences in IQ were found. The other study25 showed no difference in the IQ of 57 children of untreated WWE and 57 control children matched for age, race, and socioeconomic status. </w:t>
      </w:r>
      <w:r w:rsidR="0068730D" w:rsidRPr="00891957">
        <w:rPr>
          <w:rFonts w:cs="AGaramond-BoldItalic"/>
          <w:b/>
          <w:bCs/>
          <w:i/>
          <w:iCs/>
        </w:rPr>
        <w:t xml:space="preserve">Conclusion. </w:t>
      </w:r>
      <w:r w:rsidR="0068730D" w:rsidRPr="00891957">
        <w:rPr>
          <w:rFonts w:cs="AGaramond-Regular"/>
        </w:rPr>
        <w:t>Cognition is probably not reduced in children of WWE who are not exposed to AEDs in utero (two Class II studies).”</w:t>
      </w:r>
    </w:p>
    <w:p w:rsidR="0068730D" w:rsidRPr="00891957" w:rsidRDefault="0068730D" w:rsidP="0068730D">
      <w:pPr>
        <w:autoSpaceDE w:val="0"/>
        <w:autoSpaceDN w:val="0"/>
        <w:adjustRightInd w:val="0"/>
        <w:ind w:left="0" w:firstLine="0"/>
        <w:rPr>
          <w:rFonts w:cs="AGaramond-Regular"/>
        </w:rPr>
      </w:pPr>
      <w:r w:rsidRPr="00891957">
        <w:t>Regarding relationship between AED and risk of MCMs: “</w:t>
      </w:r>
      <w:r w:rsidR="00B41128" w:rsidRPr="00891957">
        <w:rPr>
          <w:rFonts w:cs="AGaramond-Regular"/>
        </w:rPr>
        <w:t>All studies evaluated AED dose in the first trimester and MCMs. In one Class I study,10 a relationship between AED dose and risk of MCMs was reported for LTG but not VPA. Using the Cochran Armitage method,17 we</w:t>
      </w:r>
      <w:r w:rsidRPr="00891957">
        <w:rPr>
          <w:rFonts w:cs="AGaramond-Regular"/>
        </w:rPr>
        <w:t xml:space="preserve"> found a significant do</w:t>
      </w:r>
      <w:r w:rsidR="00B41128" w:rsidRPr="00891957">
        <w:rPr>
          <w:rFonts w:cs="AGaramond-Regular"/>
        </w:rPr>
        <w:t xml:space="preserve">se relationship with VPA (exact </w:t>
      </w:r>
      <w:r w:rsidRPr="00891957">
        <w:rPr>
          <w:rFonts w:cs="AGaramond-Regular"/>
        </w:rPr>
        <w:t xml:space="preserve">tests one-sided </w:t>
      </w:r>
      <w:r w:rsidRPr="00891957">
        <w:rPr>
          <w:rFonts w:cs="AGaramond-Italic"/>
          <w:i/>
          <w:iCs/>
        </w:rPr>
        <w:t xml:space="preserve">p </w:t>
      </w:r>
      <w:r w:rsidRPr="00891957">
        <w:rPr>
          <w:rFonts w:cs="Universal-GreekwithMathPi"/>
        </w:rPr>
        <w:t xml:space="preserve">_ </w:t>
      </w:r>
      <w:r w:rsidRPr="00891957">
        <w:rPr>
          <w:rFonts w:cs="AGaramond-Regular"/>
        </w:rPr>
        <w:t xml:space="preserve">0.02, two-sided </w:t>
      </w:r>
      <w:r w:rsidRPr="00891957">
        <w:rPr>
          <w:rFonts w:cs="AGaramond-Italic"/>
          <w:i/>
          <w:iCs/>
        </w:rPr>
        <w:t xml:space="preserve">p </w:t>
      </w:r>
      <w:r w:rsidRPr="00891957">
        <w:rPr>
          <w:rFonts w:cs="Universal-GreekwithMathPi"/>
        </w:rPr>
        <w:t xml:space="preserve">_ </w:t>
      </w:r>
      <w:r w:rsidR="00B41128" w:rsidRPr="00891957">
        <w:rPr>
          <w:rFonts w:cs="AGaramond-Regular"/>
        </w:rPr>
        <w:t xml:space="preserve">0.04) and </w:t>
      </w:r>
      <w:r w:rsidRPr="00891957">
        <w:rPr>
          <w:rFonts w:cs="AGaramond-Regular"/>
        </w:rPr>
        <w:t xml:space="preserve">with LTG (exact tests one-sided </w:t>
      </w:r>
      <w:r w:rsidRPr="00891957">
        <w:rPr>
          <w:rFonts w:cs="AGaramond-Italic"/>
          <w:i/>
          <w:iCs/>
        </w:rPr>
        <w:t xml:space="preserve">p </w:t>
      </w:r>
      <w:r w:rsidRPr="00891957">
        <w:rPr>
          <w:rFonts w:cs="Universal-GreekwithMathPi"/>
        </w:rPr>
        <w:t xml:space="preserve">_ </w:t>
      </w:r>
      <w:r w:rsidR="00B41128" w:rsidRPr="00891957">
        <w:rPr>
          <w:rFonts w:cs="AGaramond-Regular"/>
        </w:rPr>
        <w:t xml:space="preserve">0.01, two-sided </w:t>
      </w:r>
      <w:r w:rsidRPr="00891957">
        <w:rPr>
          <w:rFonts w:cs="AGaramond-Italic"/>
          <w:i/>
          <w:iCs/>
        </w:rPr>
        <w:t xml:space="preserve">p </w:t>
      </w:r>
      <w:r w:rsidRPr="00891957">
        <w:rPr>
          <w:rFonts w:cs="Universal-GreekwithMathPi"/>
        </w:rPr>
        <w:t xml:space="preserve">_ </w:t>
      </w:r>
      <w:r w:rsidRPr="00891957">
        <w:rPr>
          <w:rFonts w:cs="AGaramond-Regular"/>
        </w:rPr>
        <w:t xml:space="preserve">0.02), but not </w:t>
      </w:r>
      <w:r w:rsidR="00B41128" w:rsidRPr="00891957">
        <w:rPr>
          <w:rFonts w:cs="AGaramond-Regular"/>
        </w:rPr>
        <w:t xml:space="preserve">with CBZ (exact tests one-sided </w:t>
      </w:r>
      <w:r w:rsidRPr="00891957">
        <w:rPr>
          <w:rFonts w:cs="AGaramond-Italic"/>
          <w:i/>
          <w:iCs/>
        </w:rPr>
        <w:t xml:space="preserve">p </w:t>
      </w:r>
      <w:r w:rsidRPr="00891957">
        <w:rPr>
          <w:rFonts w:cs="Universal-GreekwithMathPi"/>
        </w:rPr>
        <w:t xml:space="preserve">_ </w:t>
      </w:r>
      <w:r w:rsidRPr="00891957">
        <w:rPr>
          <w:rFonts w:cs="AGaramond-Regular"/>
        </w:rPr>
        <w:t xml:space="preserve">0.19, two-sided </w:t>
      </w:r>
      <w:r w:rsidRPr="00891957">
        <w:rPr>
          <w:rFonts w:cs="AGaramond-Italic"/>
          <w:i/>
          <w:iCs/>
        </w:rPr>
        <w:t xml:space="preserve">p </w:t>
      </w:r>
      <w:r w:rsidRPr="00891957">
        <w:rPr>
          <w:rFonts w:cs="Universal-GreekwithMathPi"/>
        </w:rPr>
        <w:t xml:space="preserve">_ </w:t>
      </w:r>
      <w:r w:rsidRPr="00891957">
        <w:rPr>
          <w:rFonts w:cs="AGaramond-Regular"/>
        </w:rPr>
        <w:t>0.31). Two Class II studies11,12</w:t>
      </w:r>
      <w:r w:rsidR="00B41128" w:rsidRPr="00891957">
        <w:rPr>
          <w:rFonts w:cs="AGaramond-Regular"/>
        </w:rPr>
        <w:t xml:space="preserve"> </w:t>
      </w:r>
      <w:r w:rsidRPr="00891957">
        <w:rPr>
          <w:rFonts w:cs="AGaramond-Regular"/>
        </w:rPr>
        <w:t xml:space="preserve">and six Class III studies13-15,18-20 </w:t>
      </w:r>
      <w:r w:rsidR="00B41128" w:rsidRPr="00891957">
        <w:rPr>
          <w:rFonts w:cs="AGaramond-Regular"/>
        </w:rPr>
        <w:t xml:space="preserve">also found a </w:t>
      </w:r>
      <w:r w:rsidRPr="00891957">
        <w:rPr>
          <w:rFonts w:cs="AGaramond-Regular"/>
        </w:rPr>
        <w:t>relationship</w:t>
      </w:r>
      <w:r w:rsidR="00B41128" w:rsidRPr="00891957">
        <w:rPr>
          <w:rFonts w:cs="AGaramond-Regular"/>
        </w:rPr>
        <w:t xml:space="preserve"> between VPA dose and MCMs. The </w:t>
      </w:r>
      <w:r w:rsidRPr="00891957">
        <w:rPr>
          <w:rFonts w:cs="AGaramond-Regular"/>
        </w:rPr>
        <w:t>VPA dose abov</w:t>
      </w:r>
      <w:r w:rsidR="00B41128" w:rsidRPr="00891957">
        <w:rPr>
          <w:rFonts w:cs="AGaramond-Regular"/>
        </w:rPr>
        <w:t xml:space="preserve">e which MCMs were significantly </w:t>
      </w:r>
      <w:r w:rsidRPr="00891957">
        <w:rPr>
          <w:rFonts w:cs="AGaramond-Regular"/>
        </w:rPr>
        <w:t>more likely to occur was not co</w:t>
      </w:r>
      <w:r w:rsidR="00B41128" w:rsidRPr="00891957">
        <w:rPr>
          <w:rFonts w:cs="AGaramond-Regular"/>
        </w:rPr>
        <w:t xml:space="preserve">nsistent, but was approximately </w:t>
      </w:r>
      <w:r w:rsidRPr="00891957">
        <w:rPr>
          <w:rFonts w:cs="AGaramond-Regular"/>
        </w:rPr>
        <w:t xml:space="preserve">1,000 mg daily in five studies.12,13,18-20 </w:t>
      </w:r>
      <w:r w:rsidR="00B41128" w:rsidRPr="00891957">
        <w:rPr>
          <w:rFonts w:cs="AGaramond-Bold"/>
          <w:b/>
          <w:bCs/>
        </w:rPr>
        <w:t xml:space="preserve">Are there </w:t>
      </w:r>
      <w:r w:rsidRPr="00891957">
        <w:rPr>
          <w:rFonts w:cs="AGaramond-Bold"/>
          <w:b/>
          <w:bCs/>
        </w:rPr>
        <w:t>specific MCMs associated with specific</w:t>
      </w:r>
      <w:r w:rsidR="00B41128" w:rsidRPr="00891957">
        <w:rPr>
          <w:rFonts w:cs="AGaramond-Regular"/>
        </w:rPr>
        <w:t xml:space="preserve"> </w:t>
      </w:r>
      <w:r w:rsidRPr="00891957">
        <w:rPr>
          <w:rFonts w:cs="AGaramond-Bold"/>
          <w:b/>
          <w:bCs/>
        </w:rPr>
        <w:t xml:space="preserve">AEDs? </w:t>
      </w:r>
      <w:r w:rsidRPr="00891957">
        <w:rPr>
          <w:rFonts w:cs="AGaramond-Regular"/>
        </w:rPr>
        <w:t xml:space="preserve">One Class I study10 </w:t>
      </w:r>
      <w:r w:rsidR="00B41128" w:rsidRPr="00891957">
        <w:rPr>
          <w:rFonts w:cs="AGaramond-Regular"/>
        </w:rPr>
        <w:t xml:space="preserve">showed increased risk of </w:t>
      </w:r>
      <w:r w:rsidRPr="00891957">
        <w:rPr>
          <w:rFonts w:cs="AGaramond-Regular"/>
        </w:rPr>
        <w:t>neural tube defects</w:t>
      </w:r>
      <w:r w:rsidR="00B41128" w:rsidRPr="00891957">
        <w:rPr>
          <w:rFonts w:cs="AGaramond-Regular"/>
        </w:rPr>
        <w:t xml:space="preserve"> and facial clefts with VPA (RR </w:t>
      </w:r>
      <w:r w:rsidRPr="00891957">
        <w:rPr>
          <w:rFonts w:cs="AGaramond-Regular"/>
        </w:rPr>
        <w:t>5.32, CI 1.38 –20.50</w:t>
      </w:r>
      <w:r w:rsidR="00B41128" w:rsidRPr="00891957">
        <w:rPr>
          <w:rFonts w:cs="AGaramond-Regular"/>
        </w:rPr>
        <w:t xml:space="preserve"> for neural tube defects and RR </w:t>
      </w:r>
      <w:r w:rsidRPr="00891957">
        <w:rPr>
          <w:rFonts w:cs="AGaramond-Regular"/>
        </w:rPr>
        <w:t>4.18, CI 1.55–11.25 for facial c</w:t>
      </w:r>
      <w:r w:rsidR="00B41128" w:rsidRPr="00891957">
        <w:rPr>
          <w:rFonts w:cs="AGaramond-Regular"/>
        </w:rPr>
        <w:t xml:space="preserve">lefts). One Class II </w:t>
      </w:r>
      <w:r w:rsidRPr="00891957">
        <w:rPr>
          <w:rFonts w:cs="AGaramond-Regular"/>
        </w:rPr>
        <w:t>study8 showed incre</w:t>
      </w:r>
      <w:r w:rsidR="00B41128" w:rsidRPr="00891957">
        <w:rPr>
          <w:rFonts w:cs="AGaramond-Regular"/>
        </w:rPr>
        <w:t xml:space="preserve">ased risk for cleft palate with </w:t>
      </w:r>
      <w:r w:rsidRPr="00891957">
        <w:rPr>
          <w:rFonts w:cs="AGaramond-Regular"/>
        </w:rPr>
        <w:t>PHT and posterior cleft palate with CBZ. Another</w:t>
      </w:r>
    </w:p>
    <w:p w:rsidR="0068730D" w:rsidRPr="00891957" w:rsidRDefault="0068730D" w:rsidP="0068730D">
      <w:pPr>
        <w:autoSpaceDE w:val="0"/>
        <w:autoSpaceDN w:val="0"/>
        <w:adjustRightInd w:val="0"/>
        <w:ind w:left="0" w:firstLine="0"/>
        <w:rPr>
          <w:rFonts w:cs="AGaramond-Regular"/>
        </w:rPr>
      </w:pPr>
      <w:r w:rsidRPr="00891957">
        <w:rPr>
          <w:rFonts w:cs="AGaramond-Regular"/>
        </w:rPr>
        <w:t>Class II study12 showe</w:t>
      </w:r>
      <w:r w:rsidR="00B41128" w:rsidRPr="00891957">
        <w:rPr>
          <w:rFonts w:cs="AGaramond-Regular"/>
        </w:rPr>
        <w:t xml:space="preserve">d increased risk of neural tube </w:t>
      </w:r>
      <w:r w:rsidRPr="00891957">
        <w:rPr>
          <w:rFonts w:cs="AGaramond-Regular"/>
        </w:rPr>
        <w:t>defects and hypo</w:t>
      </w:r>
      <w:r w:rsidR="00B41128" w:rsidRPr="00891957">
        <w:rPr>
          <w:rFonts w:cs="AGaramond-Regular"/>
        </w:rPr>
        <w:t xml:space="preserve">spadias with VPA. Two Class III </w:t>
      </w:r>
      <w:r w:rsidRPr="00891957">
        <w:rPr>
          <w:rFonts w:cs="AGaramond-Regular"/>
        </w:rPr>
        <w:t xml:space="preserve">studies showed increased risk of </w:t>
      </w:r>
      <w:r w:rsidR="00B41128" w:rsidRPr="00891957">
        <w:rPr>
          <w:rFonts w:cs="AGaramond-Regular"/>
        </w:rPr>
        <w:t xml:space="preserve">spina bifida with </w:t>
      </w:r>
      <w:r w:rsidRPr="00891957">
        <w:rPr>
          <w:rFonts w:cs="AGaramond-Regular"/>
        </w:rPr>
        <w:t>VPA,9,21 and one showed increased risk of hypospadias.</w:t>
      </w:r>
    </w:p>
    <w:p w:rsidR="0068730D" w:rsidRPr="00891957" w:rsidRDefault="0068730D" w:rsidP="0068730D">
      <w:pPr>
        <w:autoSpaceDE w:val="0"/>
        <w:autoSpaceDN w:val="0"/>
        <w:adjustRightInd w:val="0"/>
        <w:ind w:left="0" w:firstLine="0"/>
        <w:rPr>
          <w:rFonts w:cs="AGaramond-Regular"/>
        </w:rPr>
      </w:pPr>
      <w:r w:rsidRPr="00891957">
        <w:rPr>
          <w:rFonts w:cs="AGaramond-Regular"/>
        </w:rPr>
        <w:t xml:space="preserve">9 Two Class III studies9,15 </w:t>
      </w:r>
      <w:r w:rsidR="00B41128" w:rsidRPr="00891957">
        <w:rPr>
          <w:rFonts w:cs="AGaramond-Regular"/>
        </w:rPr>
        <w:t xml:space="preserve">showed increased risk </w:t>
      </w:r>
      <w:r w:rsidRPr="00891957">
        <w:rPr>
          <w:rFonts w:cs="AGaramond-Regular"/>
        </w:rPr>
        <w:t>of cardiac malformations associated with PB.</w:t>
      </w:r>
    </w:p>
    <w:p w:rsidR="0068730D" w:rsidRPr="00891957" w:rsidRDefault="0068730D" w:rsidP="0068730D">
      <w:pPr>
        <w:autoSpaceDE w:val="0"/>
        <w:autoSpaceDN w:val="0"/>
        <w:adjustRightInd w:val="0"/>
        <w:ind w:left="0" w:firstLine="0"/>
        <w:rPr>
          <w:rFonts w:cs="AGaramond-BoldItalic"/>
          <w:b/>
          <w:bCs/>
          <w:i/>
          <w:iCs/>
        </w:rPr>
      </w:pPr>
      <w:r w:rsidRPr="00891957">
        <w:rPr>
          <w:rFonts w:cs="AGaramond-BoldItalic"/>
          <w:b/>
          <w:bCs/>
          <w:i/>
          <w:iCs/>
        </w:rPr>
        <w:t>Conclusions</w:t>
      </w:r>
    </w:p>
    <w:p w:rsidR="0068730D" w:rsidRPr="00891957" w:rsidRDefault="0068730D" w:rsidP="0068730D">
      <w:pPr>
        <w:autoSpaceDE w:val="0"/>
        <w:autoSpaceDN w:val="0"/>
        <w:adjustRightInd w:val="0"/>
        <w:ind w:left="0" w:firstLine="0"/>
        <w:rPr>
          <w:rFonts w:cs="AGaramond-Regular"/>
        </w:rPr>
      </w:pPr>
      <w:r w:rsidRPr="00891957">
        <w:rPr>
          <w:rFonts w:cs="AGaramond-Regular"/>
        </w:rPr>
        <w:t>• PHT exposure i</w:t>
      </w:r>
      <w:r w:rsidR="00B41128" w:rsidRPr="00891957">
        <w:rPr>
          <w:rFonts w:cs="AGaramond-Regular"/>
        </w:rPr>
        <w:t xml:space="preserve">n utero possibly contributes to </w:t>
      </w:r>
      <w:r w:rsidRPr="00891957">
        <w:rPr>
          <w:rFonts w:cs="AGaramond-Regular"/>
        </w:rPr>
        <w:t>the risk of cleft palate (one Class II study).</w:t>
      </w:r>
    </w:p>
    <w:p w:rsidR="0068730D" w:rsidRPr="00891957" w:rsidRDefault="0068730D" w:rsidP="0068730D">
      <w:pPr>
        <w:autoSpaceDE w:val="0"/>
        <w:autoSpaceDN w:val="0"/>
        <w:adjustRightInd w:val="0"/>
        <w:ind w:left="0" w:firstLine="0"/>
        <w:rPr>
          <w:rFonts w:cs="AGaramond-Regular"/>
        </w:rPr>
      </w:pPr>
      <w:r w:rsidRPr="00891957">
        <w:rPr>
          <w:rFonts w:cs="AGaramond-Regular"/>
        </w:rPr>
        <w:t>• CBZ exposure i</w:t>
      </w:r>
      <w:r w:rsidR="00B41128" w:rsidRPr="00891957">
        <w:rPr>
          <w:rFonts w:cs="AGaramond-Regular"/>
        </w:rPr>
        <w:t xml:space="preserve">n utero possibly contributes to </w:t>
      </w:r>
      <w:r w:rsidRPr="00891957">
        <w:rPr>
          <w:rFonts w:cs="AGaramond-Regular"/>
        </w:rPr>
        <w:t>the risk of poste</w:t>
      </w:r>
      <w:r w:rsidR="00B41128" w:rsidRPr="00891957">
        <w:rPr>
          <w:rFonts w:cs="AGaramond-Regular"/>
        </w:rPr>
        <w:t xml:space="preserve">rior cleft palate (one Class II </w:t>
      </w:r>
      <w:r w:rsidRPr="00891957">
        <w:rPr>
          <w:rFonts w:cs="AGaramond-Regular"/>
        </w:rPr>
        <w:t>study).</w:t>
      </w:r>
    </w:p>
    <w:p w:rsidR="0068730D" w:rsidRPr="00891957" w:rsidRDefault="0068730D" w:rsidP="0068730D">
      <w:pPr>
        <w:autoSpaceDE w:val="0"/>
        <w:autoSpaceDN w:val="0"/>
        <w:adjustRightInd w:val="0"/>
        <w:ind w:left="0" w:firstLine="0"/>
        <w:rPr>
          <w:rFonts w:cs="AGaramond-Regular"/>
        </w:rPr>
      </w:pPr>
      <w:r w:rsidRPr="00891957">
        <w:rPr>
          <w:rFonts w:cs="AGaramond-Regular"/>
        </w:rPr>
        <w:t>• VPA exposure i</w:t>
      </w:r>
      <w:r w:rsidR="00B41128" w:rsidRPr="00891957">
        <w:rPr>
          <w:rFonts w:cs="AGaramond-Regular"/>
        </w:rPr>
        <w:t xml:space="preserve">n utero probably contributes to </w:t>
      </w:r>
      <w:r w:rsidRPr="00891957">
        <w:rPr>
          <w:rFonts w:cs="AGaramond-Regular"/>
        </w:rPr>
        <w:t>neural tube defects</w:t>
      </w:r>
      <w:r w:rsidR="00B41128" w:rsidRPr="00891957">
        <w:rPr>
          <w:rFonts w:cs="AGaramond-Regular"/>
        </w:rPr>
        <w:t xml:space="preserve"> and facial clefts (one Class I </w:t>
      </w:r>
      <w:r w:rsidRPr="00891957">
        <w:rPr>
          <w:rFonts w:cs="AGaramond-Regular"/>
        </w:rPr>
        <w:t>study) and poss</w:t>
      </w:r>
      <w:r w:rsidR="00B41128" w:rsidRPr="00891957">
        <w:rPr>
          <w:rFonts w:cs="AGaramond-Regular"/>
        </w:rPr>
        <w:t xml:space="preserve">ibly contributes to hypospadias </w:t>
      </w:r>
      <w:r w:rsidRPr="00891957">
        <w:rPr>
          <w:rFonts w:cs="AGaramond-Regular"/>
        </w:rPr>
        <w:t>(one Class II study).</w:t>
      </w:r>
    </w:p>
    <w:p w:rsidR="0068730D" w:rsidRPr="00891957" w:rsidRDefault="0068730D" w:rsidP="00B41128">
      <w:pPr>
        <w:pStyle w:val="Default"/>
        <w:rPr>
          <w:rFonts w:asciiTheme="minorHAnsi" w:hAnsiTheme="minorHAnsi"/>
          <w:sz w:val="22"/>
          <w:szCs w:val="22"/>
        </w:rPr>
      </w:pPr>
      <w:r w:rsidRPr="00891957">
        <w:rPr>
          <w:rFonts w:asciiTheme="minorHAnsi" w:hAnsiTheme="minorHAnsi" w:cs="AGaramond-Regular"/>
          <w:sz w:val="22"/>
          <w:szCs w:val="22"/>
        </w:rPr>
        <w:t>• PB exposure in utero possibly contributes to</w:t>
      </w:r>
      <w:r w:rsidR="00B41128" w:rsidRPr="00891957">
        <w:rPr>
          <w:rFonts w:asciiTheme="minorHAnsi" w:hAnsiTheme="minorHAnsi" w:cs="AGaramond-Regular"/>
          <w:sz w:val="22"/>
          <w:szCs w:val="22"/>
        </w:rPr>
        <w:t xml:space="preserve"> </w:t>
      </w:r>
      <w:r w:rsidRPr="00891957">
        <w:rPr>
          <w:rFonts w:asciiTheme="minorHAnsi" w:hAnsiTheme="minorHAnsi" w:cs="AGaramond-Regular"/>
          <w:sz w:val="22"/>
          <w:szCs w:val="22"/>
        </w:rPr>
        <w:t>cardiac malformations (two Class III studies).</w:t>
      </w:r>
      <w:r w:rsidR="00B41128" w:rsidRPr="00891957">
        <w:rPr>
          <w:rFonts w:asciiTheme="minorHAnsi" w:hAnsiTheme="minorHAnsi" w:cs="AGaramond-Regular"/>
          <w:sz w:val="22"/>
          <w:szCs w:val="22"/>
        </w:rPr>
        <w:t>”</w:t>
      </w:r>
    </w:p>
    <w:p w:rsidR="00353F10" w:rsidRDefault="00353F10" w:rsidP="00353F10">
      <w:r w:rsidRPr="00292EFF">
        <w:t>Harden CL, Pennel PB, Koppel BS, et al. Practice Parameter update: Management issues for women with epilepsy-Focus on pregnancy (an evidence-based review): Vitamin K, folic acid, blood levels and breastfeeding: Report of the Quality Standards Subcommittee and Therapeutics and Technology Assessment Subcommittee of the Am</w:t>
      </w:r>
      <w:r>
        <w:t xml:space="preserve">erican Academy of Neurology and </w:t>
      </w:r>
      <w:r w:rsidRPr="00292EFF">
        <w:t xml:space="preserve">American Epilepsy Society. Neurology 2009;73:142-149. </w:t>
      </w:r>
    </w:p>
    <w:p w:rsidR="00353F10" w:rsidRDefault="00353F10" w:rsidP="00353F10">
      <w:pPr>
        <w:ind w:left="0" w:firstLine="0"/>
      </w:pPr>
    </w:p>
    <w:p w:rsidR="00353F10" w:rsidRPr="00F17633" w:rsidRDefault="00F17633" w:rsidP="00353F10">
      <w:pPr>
        <w:autoSpaceDE w:val="0"/>
        <w:autoSpaceDN w:val="0"/>
        <w:adjustRightInd w:val="0"/>
        <w:ind w:left="0" w:firstLine="0"/>
        <w:rPr>
          <w:rFonts w:cs="AGaramond-Regular"/>
        </w:rPr>
      </w:pPr>
      <w:r w:rsidRPr="00F17633">
        <w:rPr>
          <w:rFonts w:cs="AGaramond-Regular"/>
        </w:rPr>
        <w:t xml:space="preserve">NICE </w:t>
      </w:r>
      <w:r>
        <w:rPr>
          <w:rFonts w:cs="AGaramond-Regular"/>
        </w:rPr>
        <w:t xml:space="preserve">guideline statements were a reaffirmation of previous statements in 2004. These statements and evidence were previously reviewed during prior endorsement review. </w:t>
      </w:r>
    </w:p>
    <w:p w:rsidR="00496AF8" w:rsidRPr="004940DE" w:rsidRDefault="001B772D" w:rsidP="004940DE">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353F10" w:rsidRDefault="00353F10" w:rsidP="002E2177">
      <w:pPr>
        <w:ind w:left="0" w:firstLine="0"/>
      </w:pPr>
      <w:r>
        <w:t>See details provided in 1a.7.5</w:t>
      </w:r>
    </w:p>
    <w:p w:rsidR="00353F10" w:rsidRPr="003B1CC5" w:rsidRDefault="00353F10"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4940DE">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9B5BEA" w:rsidRPr="003B1CC5" w:rsidRDefault="00353F10" w:rsidP="002E2177">
      <w:pPr>
        <w:ind w:left="0" w:firstLine="0"/>
      </w:pPr>
      <w:r>
        <w:t>See details provided in 1a.7.5</w:t>
      </w: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Pr="003B1CC5" w:rsidRDefault="00353F10" w:rsidP="002E2177">
      <w:pPr>
        <w:ind w:left="0" w:firstLine="0"/>
      </w:pPr>
      <w:r>
        <w:t>See details provided in 1a.7.5</w:t>
      </w: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Default="00DF5863" w:rsidP="002E2177">
      <w:pPr>
        <w:ind w:left="0" w:firstLine="0"/>
      </w:pPr>
      <w:r>
        <w:t xml:space="preserve">NICE completed an update of the evidence in 2014, and complete details of their update can be found online at: </w:t>
      </w:r>
      <w:hyperlink r:id="rId16" w:history="1">
        <w:r w:rsidRPr="00AD6749">
          <w:rPr>
            <w:rStyle w:val="Hyperlink"/>
          </w:rPr>
          <w:t>http://www.nice.org.uk/guidance/cg137/evidence/evidence-update-544389949</w:t>
        </w:r>
      </w:hyperlink>
      <w:r w:rsidR="00891957">
        <w:t xml:space="preserve"> NICE found there </w:t>
      </w:r>
      <w:r>
        <w:t xml:space="preserve">was no potential impact on guidance for Women and girls with epilepsy </w:t>
      </w:r>
      <w:r w:rsidR="00891957">
        <w:t>previously published.</w:t>
      </w:r>
      <w:r>
        <w:t xml:space="preserve"> </w:t>
      </w:r>
    </w:p>
    <w:p w:rsidR="00DF5863" w:rsidRDefault="00DF5863" w:rsidP="00DF5863">
      <w:pPr>
        <w:pStyle w:val="ListParagraph"/>
        <w:numPr>
          <w:ilvl w:val="0"/>
          <w:numId w:val="16"/>
        </w:numPr>
      </w:pPr>
      <w:r>
        <w:t xml:space="preserve">Vajda FJ, O’Brien TJ, Lander CM, et al. Tertogenesis in repeated pregnancies in antiepileptic </w:t>
      </w:r>
      <w:r w:rsidRPr="00DF5863">
        <w:t>drug-treated women. Epilepsia 2013; 54(1):181-186.</w:t>
      </w:r>
    </w:p>
    <w:p w:rsidR="00DF5863" w:rsidRDefault="00DF5863" w:rsidP="00DF5863">
      <w:pPr>
        <w:pStyle w:val="ListParagraph"/>
        <w:numPr>
          <w:ilvl w:val="0"/>
          <w:numId w:val="16"/>
        </w:numPr>
      </w:pPr>
      <w:r w:rsidRPr="00DF5863">
        <w:t>Campbell E, Devenney E, Morrow J et al. (2013) Recurrence risk of congenital malformations in infants exposed to antiepileptic drugs in utero. Epilepsia 54: 165–71</w:t>
      </w:r>
    </w:p>
    <w:p w:rsidR="00DF5863" w:rsidRPr="00DF5863" w:rsidRDefault="00DF5863" w:rsidP="00DF5863">
      <w:pPr>
        <w:pStyle w:val="ListParagraph"/>
        <w:numPr>
          <w:ilvl w:val="0"/>
          <w:numId w:val="16"/>
        </w:numPr>
      </w:pPr>
      <w:r w:rsidRPr="00DF5863">
        <w:t>Meador KJ, Baker GA, Browning N et al. (2013) Fetal antiepileptic drug exposure and cognitive outcomes at age 6 years (NEAD study): a prospective observational study. Lancet Neurology 12: 244–52</w:t>
      </w:r>
    </w:p>
    <w:p w:rsidR="0094689F" w:rsidRPr="003B1CC5" w:rsidRDefault="00925F11" w:rsidP="002E2177">
      <w:pPr>
        <w:ind w:left="0" w:firstLine="0"/>
        <w:rPr>
          <w:b/>
          <w:color w:val="0070C0"/>
        </w:rPr>
      </w:pPr>
      <w:r w:rsidRPr="003B1CC5">
        <w:rPr>
          <w:b/>
          <w:iCs/>
          <w:caps/>
        </w:rPr>
        <w:t>_</w:t>
      </w:r>
      <w:r w:rsidR="00DF5863">
        <w:rPr>
          <w:b/>
          <w:iCs/>
          <w:caps/>
        </w:rPr>
        <w:t>_____</w:t>
      </w:r>
      <w:r w:rsidRPr="003B1CC5">
        <w:rPr>
          <w:b/>
          <w:iCs/>
          <w:caps/>
        </w:rPr>
        <w:t>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rsidR="00837121" w:rsidRPr="003B1CC5" w:rsidRDefault="00837121" w:rsidP="002E2177">
      <w:pPr>
        <w:ind w:left="0" w:firstLine="0"/>
      </w:pPr>
    </w:p>
    <w:p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B22" w:rsidRDefault="00007B22" w:rsidP="007E37A5">
      <w:r>
        <w:separator/>
      </w:r>
    </w:p>
  </w:endnote>
  <w:endnote w:type="continuationSeparator" w:id="0">
    <w:p w:rsidR="00007B22" w:rsidRDefault="00007B22"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Garamond-Regular">
    <w:panose1 w:val="00000000000000000000"/>
    <w:charset w:val="00"/>
    <w:family w:val="roman"/>
    <w:notTrueType/>
    <w:pitch w:val="default"/>
    <w:sig w:usb0="00000003" w:usb1="00000000" w:usb2="00000000" w:usb3="00000000" w:csb0="00000001" w:csb1="00000000"/>
  </w:font>
  <w:font w:name="AGaramond-Italic">
    <w:panose1 w:val="00000000000000000000"/>
    <w:charset w:val="00"/>
    <w:family w:val="roman"/>
    <w:notTrueType/>
    <w:pitch w:val="default"/>
    <w:sig w:usb0="00000003" w:usb1="00000000" w:usb2="00000000" w:usb3="00000000" w:csb0="00000001" w:csb1="00000000"/>
  </w:font>
  <w:font w:name="Universal-GreekwithMathPi">
    <w:panose1 w:val="00000000000000000000"/>
    <w:charset w:val="00"/>
    <w:family w:val="auto"/>
    <w:notTrueType/>
    <w:pitch w:val="default"/>
    <w:sig w:usb0="00000003" w:usb1="00000000" w:usb2="00000000" w:usb3="00000000" w:csb0="00000001" w:csb1="00000000"/>
  </w:font>
  <w:font w:name="MathematicalPi-One">
    <w:panose1 w:val="00000000000000000000"/>
    <w:charset w:val="00"/>
    <w:family w:val="auto"/>
    <w:notTrueType/>
    <w:pitch w:val="default"/>
    <w:sig w:usb0="00000003" w:usb1="00000000" w:usb2="00000000" w:usb3="00000000" w:csb0="00000001" w:csb1="00000000"/>
  </w:font>
  <w:font w:name="AGaramond-BoldItalic">
    <w:panose1 w:val="00000000000000000000"/>
    <w:charset w:val="00"/>
    <w:family w:val="roman"/>
    <w:notTrueType/>
    <w:pitch w:val="default"/>
    <w:sig w:usb0="00000003" w:usb1="00000000" w:usb2="00000000" w:usb3="00000000" w:csb0="00000001" w:csb1="00000000"/>
  </w:font>
  <w:font w:name="AGaramond-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007B22">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B22" w:rsidRDefault="00007B22" w:rsidP="007E37A5">
      <w:r>
        <w:separator/>
      </w:r>
    </w:p>
  </w:footnote>
  <w:footnote w:type="continuationSeparator" w:id="0">
    <w:p w:rsidR="00007B22" w:rsidRDefault="00007B22"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E3E22"/>
    <w:multiLevelType w:val="hybridMultilevel"/>
    <w:tmpl w:val="ACBC3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23376"/>
    <w:multiLevelType w:val="hybridMultilevel"/>
    <w:tmpl w:val="ACBC3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6229F"/>
    <w:multiLevelType w:val="hybridMultilevel"/>
    <w:tmpl w:val="ACBC3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AE394B"/>
    <w:multiLevelType w:val="hybridMultilevel"/>
    <w:tmpl w:val="00B437BC"/>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865EF1"/>
    <w:multiLevelType w:val="hybridMultilevel"/>
    <w:tmpl w:val="F8E86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CF36418"/>
    <w:multiLevelType w:val="hybridMultilevel"/>
    <w:tmpl w:val="51DCE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FC7A59"/>
    <w:multiLevelType w:val="hybridMultilevel"/>
    <w:tmpl w:val="00B437BC"/>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0101FA"/>
    <w:multiLevelType w:val="hybridMultilevel"/>
    <w:tmpl w:val="00B437BC"/>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3"/>
  </w:num>
  <w:num w:numId="3">
    <w:abstractNumId w:val="4"/>
  </w:num>
  <w:num w:numId="4">
    <w:abstractNumId w:val="5"/>
  </w:num>
  <w:num w:numId="5">
    <w:abstractNumId w:val="8"/>
  </w:num>
  <w:num w:numId="6">
    <w:abstractNumId w:val="7"/>
  </w:num>
  <w:num w:numId="7">
    <w:abstractNumId w:val="15"/>
  </w:num>
  <w:num w:numId="8">
    <w:abstractNumId w:val="14"/>
  </w:num>
  <w:num w:numId="9">
    <w:abstractNumId w:val="0"/>
  </w:num>
  <w:num w:numId="10">
    <w:abstractNumId w:val="6"/>
  </w:num>
  <w:num w:numId="11">
    <w:abstractNumId w:val="12"/>
  </w:num>
  <w:num w:numId="12">
    <w:abstractNumId w:val="11"/>
  </w:num>
  <w:num w:numId="13">
    <w:abstractNumId w:val="1"/>
  </w:num>
  <w:num w:numId="14">
    <w:abstractNumId w:val="2"/>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07B22"/>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51CC"/>
    <w:rsid w:val="000D649E"/>
    <w:rsid w:val="000D6D06"/>
    <w:rsid w:val="00114848"/>
    <w:rsid w:val="00120934"/>
    <w:rsid w:val="00132070"/>
    <w:rsid w:val="001364AD"/>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D67D8"/>
    <w:rsid w:val="001E6153"/>
    <w:rsid w:val="00201FF9"/>
    <w:rsid w:val="00205857"/>
    <w:rsid w:val="00235ADC"/>
    <w:rsid w:val="00236F87"/>
    <w:rsid w:val="00265702"/>
    <w:rsid w:val="002662B2"/>
    <w:rsid w:val="002717C7"/>
    <w:rsid w:val="002875E9"/>
    <w:rsid w:val="00287EB3"/>
    <w:rsid w:val="00292EFF"/>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3F10"/>
    <w:rsid w:val="0035760D"/>
    <w:rsid w:val="00363ECC"/>
    <w:rsid w:val="0039020B"/>
    <w:rsid w:val="00395263"/>
    <w:rsid w:val="003956E0"/>
    <w:rsid w:val="0039609A"/>
    <w:rsid w:val="00397500"/>
    <w:rsid w:val="003B1CC5"/>
    <w:rsid w:val="003B65CE"/>
    <w:rsid w:val="003E039E"/>
    <w:rsid w:val="003F587C"/>
    <w:rsid w:val="00422917"/>
    <w:rsid w:val="00440687"/>
    <w:rsid w:val="0044131D"/>
    <w:rsid w:val="00441ADA"/>
    <w:rsid w:val="00457E46"/>
    <w:rsid w:val="004940DE"/>
    <w:rsid w:val="00496AF8"/>
    <w:rsid w:val="004A575D"/>
    <w:rsid w:val="004B65C6"/>
    <w:rsid w:val="004D1DC7"/>
    <w:rsid w:val="004E2293"/>
    <w:rsid w:val="004E64CE"/>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17390"/>
    <w:rsid w:val="00623420"/>
    <w:rsid w:val="00634768"/>
    <w:rsid w:val="0063596F"/>
    <w:rsid w:val="006709EB"/>
    <w:rsid w:val="00672824"/>
    <w:rsid w:val="0068184A"/>
    <w:rsid w:val="0068730D"/>
    <w:rsid w:val="006B5C51"/>
    <w:rsid w:val="006C7F30"/>
    <w:rsid w:val="006E6FDD"/>
    <w:rsid w:val="006F4B7F"/>
    <w:rsid w:val="006F7126"/>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C4280"/>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91957"/>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B058A6"/>
    <w:rsid w:val="00B117D0"/>
    <w:rsid w:val="00B13998"/>
    <w:rsid w:val="00B41128"/>
    <w:rsid w:val="00B439DD"/>
    <w:rsid w:val="00B52E0F"/>
    <w:rsid w:val="00B61F8E"/>
    <w:rsid w:val="00B74629"/>
    <w:rsid w:val="00B91F58"/>
    <w:rsid w:val="00BA579E"/>
    <w:rsid w:val="00BE2295"/>
    <w:rsid w:val="00BE6373"/>
    <w:rsid w:val="00BF533A"/>
    <w:rsid w:val="00C1426D"/>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16F"/>
    <w:rsid w:val="00D178CA"/>
    <w:rsid w:val="00D3311C"/>
    <w:rsid w:val="00D42C7D"/>
    <w:rsid w:val="00D53405"/>
    <w:rsid w:val="00D5457B"/>
    <w:rsid w:val="00D72995"/>
    <w:rsid w:val="00DA7FA2"/>
    <w:rsid w:val="00DC2D8D"/>
    <w:rsid w:val="00DE1F5D"/>
    <w:rsid w:val="00DE50D8"/>
    <w:rsid w:val="00DF278A"/>
    <w:rsid w:val="00DF5863"/>
    <w:rsid w:val="00DF59A9"/>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15FB1"/>
    <w:rsid w:val="00F17633"/>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64B4B22-9B3B-4DFD-9EDA-31DD20045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nhideWhenUsed/>
    <w:rsid w:val="007E37A5"/>
    <w:pPr>
      <w:tabs>
        <w:tab w:val="center" w:pos="4680"/>
        <w:tab w:val="right" w:pos="9360"/>
      </w:tabs>
    </w:pPr>
  </w:style>
  <w:style w:type="character" w:customStyle="1" w:styleId="HeaderChar">
    <w:name w:val="Header Char"/>
    <w:basedOn w:val="DefaultParagraphFont"/>
    <w:link w:val="Header"/>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customStyle="1" w:styleId="Default">
    <w:name w:val="Default"/>
    <w:rsid w:val="00292EFF"/>
    <w:pPr>
      <w:autoSpaceDE w:val="0"/>
      <w:autoSpaceDN w:val="0"/>
      <w:adjustRightInd w:val="0"/>
      <w:ind w:left="0" w:firstLine="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aqaalliance.org/files/PrinciplesofEfficiencyMeasurementApril2006.doc"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qualityforum.org/Publications/2010/01/Measurement_Framework__Evaluating_Efficiency_Across_Patient-Focused_Episodes_of_Care.asp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nice.org.uk/guidance/cg137/evidence/evidence-update-544389949"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deworkinggroup.org/publications/index.htm" TargetMode="External"/><Relationship Id="rId5" Type="http://schemas.openxmlformats.org/officeDocument/2006/relationships/webSettings" Target="webSettings.xml"/><Relationship Id="rId15" Type="http://schemas.openxmlformats.org/officeDocument/2006/relationships/hyperlink" Target="http://www.neurology.org/content/suppl/2009/04/27/WNL.0b013e3181a6b325.DC1.html" TargetMode="External"/><Relationship Id="rId10" Type="http://schemas.openxmlformats.org/officeDocument/2006/relationships/hyperlink" Target="http://www.uspreventiveservicestaskforce.org/methods.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spreventiveservicestaskforce.org/uspstf/grades.htm" TargetMode="External"/><Relationship Id="rId14" Type="http://schemas.openxmlformats.org/officeDocument/2006/relationships/hyperlink" Target="http://www.nice.org.uk/Guidance/cg137"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2264FF"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962214A8263E430591B9ED4CADA7154B"/>
        <w:category>
          <w:name w:val="General"/>
          <w:gallery w:val="placeholder"/>
        </w:category>
        <w:types>
          <w:type w:val="bbPlcHdr"/>
        </w:types>
        <w:behaviors>
          <w:behavior w:val="content"/>
        </w:behaviors>
        <w:guid w:val="{6E3CE5A7-29EC-4E89-8AC1-E9F841A8DE65}"/>
      </w:docPartPr>
      <w:docPartBody>
        <w:p w:rsidR="002264FF" w:rsidRDefault="005F21F3" w:rsidP="005F21F3">
          <w:pPr>
            <w:pStyle w:val="962214A8263E430591B9ED4CADA7154B"/>
          </w:pPr>
          <w:r w:rsidRPr="003B1CC5">
            <w:rPr>
              <w:color w:val="A6A6A6" w:themeColor="background1" w:themeShade="A6"/>
            </w:rPr>
            <w:t>Click here to n</w:t>
          </w:r>
          <w:r w:rsidRPr="003B1CC5">
            <w:rPr>
              <w:rStyle w:val="PlaceholderText"/>
              <w:rFonts w:cstheme="minorHAnsi"/>
              <w:color w:val="A6A6A6" w:themeColor="background1" w:themeShade="A6"/>
            </w:rPr>
            <w:t xml:space="preserve">ame the </w:t>
          </w:r>
          <w:r>
            <w:rPr>
              <w:rStyle w:val="PlaceholderText"/>
              <w:rFonts w:cstheme="minorHAnsi"/>
              <w:color w:val="A6A6A6" w:themeColor="background1" w:themeShade="A6"/>
            </w:rPr>
            <w:t>PRO</w:t>
          </w:r>
        </w:p>
      </w:docPartBody>
    </w:docPart>
    <w:docPart>
      <w:docPartPr>
        <w:name w:val="15AC292313CE45DC8AC3FC91D340CC66"/>
        <w:category>
          <w:name w:val="General"/>
          <w:gallery w:val="placeholder"/>
        </w:category>
        <w:types>
          <w:type w:val="bbPlcHdr"/>
        </w:types>
        <w:behaviors>
          <w:behavior w:val="content"/>
        </w:behaviors>
        <w:guid w:val="{0AAE2D74-271B-45D5-88F5-2B2908AFB4EA}"/>
      </w:docPartPr>
      <w:docPartBody>
        <w:p w:rsidR="002264FF" w:rsidRDefault="005F21F3" w:rsidP="005F21F3">
          <w:pPr>
            <w:pStyle w:val="15AC292313CE45DC8AC3FC91D340CC66"/>
          </w:pPr>
          <w:r w:rsidRPr="003B1CC5">
            <w:rPr>
              <w:rStyle w:val="PlaceholderText"/>
              <w:rFonts w:cstheme="minorHAnsi"/>
              <w:color w:val="A6A6A6" w:themeColor="background1" w:themeShade="A6"/>
            </w:rPr>
            <w:t>Click here to name the intermediate outcome</w:t>
          </w:r>
        </w:p>
      </w:docPartBody>
    </w:docPart>
    <w:docPart>
      <w:docPartPr>
        <w:name w:val="4CBFC8EF1476485CBF0E82C994E3DC6E"/>
        <w:category>
          <w:name w:val="General"/>
          <w:gallery w:val="placeholder"/>
        </w:category>
        <w:types>
          <w:type w:val="bbPlcHdr"/>
        </w:types>
        <w:behaviors>
          <w:behavior w:val="content"/>
        </w:behaviors>
        <w:guid w:val="{5282F588-19E7-46C8-86DE-8297F9A17BC5}"/>
      </w:docPartPr>
      <w:docPartBody>
        <w:p w:rsidR="002264FF" w:rsidRDefault="005F21F3" w:rsidP="005F21F3">
          <w:pPr>
            <w:pStyle w:val="4CBFC8EF1476485CBF0E82C994E3DC6E"/>
          </w:pPr>
          <w:r w:rsidRPr="003B1CC5">
            <w:rPr>
              <w:rStyle w:val="PlaceholderText"/>
              <w:rFonts w:cstheme="minorHAnsi"/>
              <w:color w:val="A6A6A6" w:themeColor="background1" w:themeShade="A6"/>
            </w:rPr>
            <w:t>Click here to name the process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Garamond-Regular">
    <w:panose1 w:val="00000000000000000000"/>
    <w:charset w:val="00"/>
    <w:family w:val="roman"/>
    <w:notTrueType/>
    <w:pitch w:val="default"/>
    <w:sig w:usb0="00000003" w:usb1="00000000" w:usb2="00000000" w:usb3="00000000" w:csb0="00000001" w:csb1="00000000"/>
  </w:font>
  <w:font w:name="AGaramond-Italic">
    <w:panose1 w:val="00000000000000000000"/>
    <w:charset w:val="00"/>
    <w:family w:val="roman"/>
    <w:notTrueType/>
    <w:pitch w:val="default"/>
    <w:sig w:usb0="00000003" w:usb1="00000000" w:usb2="00000000" w:usb3="00000000" w:csb0="00000001" w:csb1="00000000"/>
  </w:font>
  <w:font w:name="Universal-GreekwithMathPi">
    <w:panose1 w:val="00000000000000000000"/>
    <w:charset w:val="00"/>
    <w:family w:val="auto"/>
    <w:notTrueType/>
    <w:pitch w:val="default"/>
    <w:sig w:usb0="00000003" w:usb1="00000000" w:usb2="00000000" w:usb3="00000000" w:csb0="00000001" w:csb1="00000000"/>
  </w:font>
  <w:font w:name="MathematicalPi-One">
    <w:panose1 w:val="00000000000000000000"/>
    <w:charset w:val="00"/>
    <w:family w:val="auto"/>
    <w:notTrueType/>
    <w:pitch w:val="default"/>
    <w:sig w:usb0="00000003" w:usb1="00000000" w:usb2="00000000" w:usb3="00000000" w:csb0="00000001" w:csb1="00000000"/>
  </w:font>
  <w:font w:name="AGaramond-BoldItalic">
    <w:panose1 w:val="00000000000000000000"/>
    <w:charset w:val="00"/>
    <w:family w:val="roman"/>
    <w:notTrueType/>
    <w:pitch w:val="default"/>
    <w:sig w:usb0="00000003" w:usb1="00000000" w:usb2="00000000" w:usb3="00000000" w:csb0="00000001" w:csb1="00000000"/>
  </w:font>
  <w:font w:name="AGaramond-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264FF"/>
    <w:rsid w:val="002B5F47"/>
    <w:rsid w:val="003A1E4B"/>
    <w:rsid w:val="00455EB5"/>
    <w:rsid w:val="00461C1C"/>
    <w:rsid w:val="004E2027"/>
    <w:rsid w:val="005F21F3"/>
    <w:rsid w:val="008F6A9B"/>
    <w:rsid w:val="00AA0AC8"/>
    <w:rsid w:val="00AD104C"/>
    <w:rsid w:val="00AD4C76"/>
    <w:rsid w:val="00BE0F2D"/>
    <w:rsid w:val="00C03643"/>
    <w:rsid w:val="00C2797F"/>
    <w:rsid w:val="00C80225"/>
    <w:rsid w:val="00D228C9"/>
    <w:rsid w:val="00D43B92"/>
    <w:rsid w:val="00D45B83"/>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21417-2153-4E2F-BB17-1896E9DE9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10</Pages>
  <Words>4846</Words>
  <Characters>27624</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32406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Amy Bennett</cp:lastModifiedBy>
  <cp:revision>13</cp:revision>
  <dcterms:created xsi:type="dcterms:W3CDTF">2016-01-12T16:54:00Z</dcterms:created>
  <dcterms:modified xsi:type="dcterms:W3CDTF">2016-01-13T16:29:00Z</dcterms:modified>
</cp:coreProperties>
</file>