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rsidR="00797624" w:rsidRDefault="00797624" w:rsidP="00105D8B">
      <w:pPr>
        <w:contextualSpacing/>
        <w:rPr>
          <w:rFonts w:cstheme="minorHAnsi"/>
          <w:b/>
          <w:noProof/>
        </w:rPr>
      </w:pPr>
    </w:p>
    <w:p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205BC4">
            <w:rPr>
              <w:rStyle w:val="Style1"/>
            </w:rPr>
            <w:t>1814</w:t>
          </w:r>
        </w:sdtContent>
      </w:sdt>
    </w:p>
    <w:p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205BC4" w:rsidRPr="0082058E">
            <w:rPr>
              <w:rFonts w:ascii="Calibri" w:hAnsi="Calibri"/>
              <w:color w:val="0000FF"/>
              <w:sz w:val="20"/>
              <w:szCs w:val="20"/>
            </w:rPr>
            <w:t>Counseling for Women of Childbearing Potential wi</w:t>
          </w:r>
          <w:bookmarkStart w:id="0" w:name="_GoBack"/>
          <w:bookmarkEnd w:id="0"/>
          <w:r w:rsidR="00205BC4" w:rsidRPr="0082058E">
            <w:rPr>
              <w:rFonts w:ascii="Calibri" w:hAnsi="Calibri"/>
              <w:color w:val="0000FF"/>
              <w:sz w:val="20"/>
              <w:szCs w:val="20"/>
            </w:rPr>
            <w:t>th Epilepsy</w:t>
          </w:r>
        </w:sdtContent>
      </w:sdt>
    </w:p>
    <w:p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date w:fullDate="2016-01-26T00:00:00Z">
            <w:dateFormat w:val="M/d/yyyy"/>
            <w:lid w:val="en-US"/>
            <w:storeMappedDataAs w:val="dateTime"/>
            <w:calendar w:val="gregorian"/>
          </w:date>
        </w:sdtPr>
        <w:sdtEndPr>
          <w:rPr>
            <w:rStyle w:val="DefaultParagraphFont"/>
            <w:noProof/>
            <w:color w:val="auto"/>
            <w:u w:val="none"/>
          </w:rPr>
        </w:sdtEndPr>
        <w:sdtContent>
          <w:r w:rsidR="00031687">
            <w:rPr>
              <w:rStyle w:val="Style2"/>
              <w:rFonts w:cstheme="minorHAnsi"/>
            </w:rPr>
            <w:t>1/26/2016</w:t>
          </w:r>
        </w:sdtContent>
      </w:sdt>
    </w:p>
    <w:p w:rsidR="00CD364B" w:rsidRPr="009E1846" w:rsidRDefault="009E1846" w:rsidP="009E1846">
      <w:pPr>
        <w:spacing w:after="0"/>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763"/>
        <w:gridCol w:w="4587"/>
      </w:tblGrid>
      <w:tr w:rsidR="00CD364B" w:rsidRPr="00B82A57" w:rsidTr="000B3880">
        <w:trPr>
          <w:jc w:val="center"/>
        </w:trPr>
        <w:tc>
          <w:tcPr>
            <w:tcW w:w="2547" w:type="pct"/>
          </w:tcPr>
          <w:p w:rsidR="00CD364B" w:rsidRPr="00B82A57" w:rsidRDefault="00B17C85" w:rsidP="00CD364B">
            <w:pPr>
              <w:autoSpaceDE w:val="0"/>
              <w:autoSpaceDN w:val="0"/>
              <w:adjustRightInd w:val="0"/>
              <w:rPr>
                <w:rFonts w:cstheme="minorHAnsi"/>
                <w:bCs/>
              </w:rPr>
            </w:pPr>
            <w:sdt>
              <w:sdtPr>
                <w:rPr>
                  <w:rFonts w:cstheme="minorHAnsi"/>
                  <w:bCs/>
                  <w:color w:val="0000FF"/>
                </w:rPr>
                <w:id w:val="-14062170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rsidR="00CD364B" w:rsidRPr="00B82A57" w:rsidRDefault="00B17C85"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rsidTr="000B3880">
        <w:trPr>
          <w:jc w:val="center"/>
        </w:trPr>
        <w:tc>
          <w:tcPr>
            <w:tcW w:w="2547" w:type="pct"/>
          </w:tcPr>
          <w:p w:rsidR="00CD364B" w:rsidRPr="00B82A57" w:rsidRDefault="00B17C85" w:rsidP="00CD364B">
            <w:pPr>
              <w:autoSpaceDE w:val="0"/>
              <w:autoSpaceDN w:val="0"/>
              <w:adjustRightInd w:val="0"/>
              <w:rPr>
                <w:rFonts w:cstheme="minorHAnsi"/>
                <w:bCs/>
              </w:rPr>
            </w:pPr>
            <w:sdt>
              <w:sdtPr>
                <w:rPr>
                  <w:rFonts w:cstheme="minorHAnsi"/>
                  <w:bCs/>
                  <w:color w:val="0000FF"/>
                </w:rPr>
                <w:id w:val="-16295536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rsidR="00CD364B" w:rsidRPr="00B82A57" w:rsidRDefault="00B17C85"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205BC4">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rsidTr="000B3880">
        <w:trPr>
          <w:jc w:val="center"/>
        </w:trPr>
        <w:tc>
          <w:tcPr>
            <w:tcW w:w="2547" w:type="pct"/>
          </w:tcPr>
          <w:p w:rsidR="00CD364B" w:rsidRPr="00B82A57" w:rsidRDefault="00B17C85" w:rsidP="00CD364B">
            <w:pPr>
              <w:autoSpaceDE w:val="0"/>
              <w:autoSpaceDN w:val="0"/>
              <w:adjustRightInd w:val="0"/>
              <w:rPr>
                <w:rFonts w:cstheme="minorHAnsi"/>
                <w:bCs/>
              </w:rPr>
            </w:pPr>
            <w:sdt>
              <w:sdtPr>
                <w:rPr>
                  <w:rFonts w:cstheme="minorHAnsi"/>
                  <w:bCs/>
                  <w:color w:val="0000FF"/>
                </w:rPr>
                <w:id w:val="158171978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rsidR="00CD364B" w:rsidRPr="00B82A57" w:rsidRDefault="00B17C85"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rsidTr="00145149">
        <w:trPr>
          <w:jc w:val="center"/>
        </w:trPr>
        <w:tc>
          <w:tcPr>
            <w:tcW w:w="9576" w:type="dxa"/>
          </w:tcPr>
          <w:p w:rsidR="00B53E8B" w:rsidRPr="00B53E8B" w:rsidRDefault="00B53E8B" w:rsidP="00B53E8B">
            <w:pPr>
              <w:rPr>
                <w:rFonts w:cstheme="minorHAnsi"/>
                <w:b/>
                <w:noProof/>
              </w:rPr>
            </w:pPr>
            <w:r w:rsidRPr="00B53E8B">
              <w:rPr>
                <w:rFonts w:cstheme="minorHAnsi"/>
                <w:b/>
                <w:noProof/>
              </w:rPr>
              <w:t>Instructions</w:t>
            </w:r>
          </w:p>
          <w:p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7" w:history="1">
              <w:r w:rsidR="00145149" w:rsidRPr="00145149">
                <w:rPr>
                  <w:rStyle w:val="Hyperlink"/>
                </w:rPr>
                <w:t>Submitting Standards webpage</w:t>
              </w:r>
            </w:hyperlink>
            <w:r w:rsidR="00145149">
              <w:t>.</w:t>
            </w:r>
          </w:p>
        </w:tc>
      </w:tr>
    </w:tbl>
    <w:p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rsidTr="00145149">
        <w:trPr>
          <w:jc w:val="center"/>
        </w:trPr>
        <w:tc>
          <w:tcPr>
            <w:tcW w:w="9576" w:type="dxa"/>
          </w:tcPr>
          <w:p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rsidR="00B53E8B" w:rsidRPr="00A831B4" w:rsidRDefault="00B53E8B" w:rsidP="00702C73">
            <w:pPr>
              <w:rPr>
                <w:rFonts w:cstheme="minorHAnsi"/>
                <w:b/>
                <w:bCs/>
                <w:sz w:val="20"/>
                <w:szCs w:val="20"/>
              </w:rPr>
            </w:pPr>
          </w:p>
          <w:p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rsidR="00145149" w:rsidRPr="000F034A" w:rsidRDefault="00145149" w:rsidP="00145149">
            <w:pPr>
              <w:autoSpaceDE w:val="0"/>
              <w:autoSpaceDN w:val="0"/>
              <w:adjustRightInd w:val="0"/>
              <w:rPr>
                <w:rFonts w:cstheme="minorHAnsi"/>
                <w:b/>
                <w:iCs/>
              </w:rPr>
            </w:pPr>
          </w:p>
          <w:p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rsidR="00145149" w:rsidRPr="000F034A" w:rsidRDefault="00145149" w:rsidP="00145149">
            <w:pPr>
              <w:rPr>
                <w:rFonts w:cstheme="minorHAnsi"/>
              </w:rPr>
            </w:pPr>
            <w:bookmarkStart w:id="1" w:name="_Toc256067249"/>
          </w:p>
          <w:p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rsidR="00145149" w:rsidRPr="000F034A" w:rsidRDefault="00145149" w:rsidP="00145149">
            <w:pPr>
              <w:rPr>
                <w:rFonts w:cstheme="minorHAnsi"/>
                <w:b/>
              </w:rPr>
            </w:pPr>
            <w:r w:rsidRPr="000F034A">
              <w:rPr>
                <w:rFonts w:cstheme="minorHAnsi"/>
                <w:b/>
              </w:rPr>
              <w:t xml:space="preserve">AND </w:t>
            </w:r>
          </w:p>
          <w:p w:rsidR="00145149" w:rsidRPr="000F034A" w:rsidRDefault="00145149" w:rsidP="00145149">
            <w:pPr>
              <w:rPr>
                <w:rFonts w:cstheme="minorHAnsi"/>
              </w:rPr>
            </w:pPr>
            <w:r w:rsidRPr="000F034A">
              <w:rPr>
                <w:rFonts w:cstheme="minorHAnsi"/>
              </w:rPr>
              <w:t xml:space="preserve">If patient preference (e.g., informed decisionmaking) is a basis for exclusion, there must be evidence that the exclusion impacts performance on the measure; in such cases, the measure must be specified so that the </w:t>
            </w:r>
            <w:r w:rsidRPr="000F034A">
              <w:rPr>
                <w:rFonts w:cstheme="minorHAnsi"/>
              </w:rPr>
              <w:lastRenderedPageBreak/>
              <w:t xml:space="preserve">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rsidR="00145149" w:rsidRPr="000F034A" w:rsidRDefault="00145149" w:rsidP="00145149">
            <w:pPr>
              <w:rPr>
                <w:rFonts w:cstheme="minorHAnsi"/>
                <w:b/>
                <w:bCs/>
              </w:rPr>
            </w:pPr>
          </w:p>
          <w:p w:rsidR="00145149" w:rsidRPr="000F034A" w:rsidRDefault="00145149" w:rsidP="00145149">
            <w:pPr>
              <w:rPr>
                <w:rFonts w:cstheme="minorHAnsi"/>
              </w:rPr>
            </w:pPr>
            <w:bookmarkStart w:id="2" w:name="_Toc256067250"/>
            <w:r w:rsidRPr="000F034A">
              <w:rPr>
                <w:rFonts w:cstheme="minorHAnsi"/>
                <w:b/>
                <w:bCs/>
              </w:rPr>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rsidR="00145149" w:rsidRPr="000F034A" w:rsidRDefault="00145149" w:rsidP="00145149">
            <w:pPr>
              <w:rPr>
                <w:rFonts w:cstheme="minorHAnsi"/>
                <w:b/>
              </w:rPr>
            </w:pPr>
            <w:r w:rsidRPr="000F034A">
              <w:rPr>
                <w:rFonts w:cstheme="minorHAnsi"/>
                <w:b/>
              </w:rPr>
              <w:t>OR</w:t>
            </w:r>
          </w:p>
          <w:p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rsidR="00145149" w:rsidRPr="000F034A" w:rsidRDefault="00145149" w:rsidP="00145149">
            <w:pPr>
              <w:rPr>
                <w:rFonts w:cstheme="minorHAnsi"/>
                <w:b/>
                <w:bCs/>
              </w:rPr>
            </w:pPr>
          </w:p>
          <w:bookmarkEnd w:id="2"/>
          <w:p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rsidR="00145149" w:rsidRPr="000F034A" w:rsidRDefault="00145149" w:rsidP="00145149">
            <w:pPr>
              <w:rPr>
                <w:rFonts w:cstheme="minorHAnsi"/>
              </w:rPr>
            </w:pPr>
            <w:r w:rsidRPr="000F034A">
              <w:rPr>
                <w:rFonts w:cstheme="minorHAnsi"/>
                <w:b/>
              </w:rPr>
              <w:t>OR</w:t>
            </w:r>
          </w:p>
          <w:p w:rsidR="00145149" w:rsidRPr="000F034A" w:rsidRDefault="00145149" w:rsidP="00145149">
            <w:pPr>
              <w:rPr>
                <w:rFonts w:cstheme="minorHAnsi"/>
              </w:rPr>
            </w:pPr>
            <w:r w:rsidRPr="000F034A">
              <w:rPr>
                <w:rFonts w:cstheme="minorHAnsi"/>
              </w:rPr>
              <w:t xml:space="preserve">there is evidence of overall less-than-optimal performance. </w:t>
            </w:r>
          </w:p>
          <w:p w:rsidR="00145149" w:rsidRPr="000F034A" w:rsidRDefault="00145149" w:rsidP="00145149">
            <w:pPr>
              <w:rPr>
                <w:rFonts w:cstheme="minorHAnsi"/>
                <w:b/>
                <w:bCs/>
              </w:rPr>
            </w:pPr>
          </w:p>
          <w:p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rsidR="00E30584" w:rsidRPr="000F034A" w:rsidRDefault="00E30584" w:rsidP="00145149">
            <w:pPr>
              <w:rPr>
                <w:rFonts w:cstheme="minorHAnsi"/>
              </w:rPr>
            </w:pPr>
          </w:p>
          <w:p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r w:rsidRPr="000F034A">
              <w:rPr>
                <w:rFonts w:ascii="Calibri" w:eastAsia="Calibri" w:hAnsi="Calibri" w:cs="Calibri"/>
                <w:b/>
              </w:rPr>
              <w:t>eMeasures,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analyses identify the extent and distribution of missing data (or nonresponse) and demonstrate that performance results are not biased due to systematic missing data (or differences between responders and nonresponders) and how the specified handling of missing data minimizes bias.</w:t>
            </w:r>
          </w:p>
          <w:bookmarkEnd w:id="1"/>
          <w:p w:rsidR="00145149" w:rsidRPr="00A831B4" w:rsidRDefault="00145149" w:rsidP="00145149">
            <w:pPr>
              <w:rPr>
                <w:rFonts w:cstheme="minorHAnsi"/>
                <w:b/>
                <w:bCs/>
                <w:sz w:val="20"/>
                <w:szCs w:val="20"/>
              </w:rPr>
            </w:pPr>
          </w:p>
          <w:p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rsidR="00145149" w:rsidRPr="00A831B4" w:rsidRDefault="00145149" w:rsidP="00145149">
            <w:pPr>
              <w:autoSpaceDE w:val="0"/>
              <w:autoSpaceDN w:val="0"/>
              <w:adjustRightInd w:val="0"/>
              <w:rPr>
                <w:rFonts w:cstheme="minorHAnsi"/>
                <w:sz w:val="20"/>
                <w:szCs w:val="20"/>
              </w:rPr>
            </w:pPr>
            <w:bookmarkStart w:id="3" w:name="Note8"/>
            <w:bookmarkStart w:id="4" w:name="Note9"/>
            <w:bookmarkStart w:id="5" w:name="Note10"/>
            <w:bookmarkEnd w:id="3"/>
            <w:bookmarkEnd w:id="4"/>
            <w:bookmarkEnd w:id="5"/>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rsidR="00145149" w:rsidRPr="00A831B4" w:rsidRDefault="00145149" w:rsidP="00145149">
            <w:pPr>
              <w:rPr>
                <w:rFonts w:cstheme="minorHAnsi"/>
                <w:sz w:val="20"/>
                <w:szCs w:val="20"/>
              </w:rPr>
            </w:pPr>
            <w:bookmarkStart w:id="6" w:name="Note11"/>
            <w:bookmarkEnd w:id="6"/>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rsidR="00145149" w:rsidRPr="00A831B4" w:rsidRDefault="00145149" w:rsidP="00145149">
            <w:pPr>
              <w:pStyle w:val="FootnoteText"/>
              <w:rPr>
                <w:rFonts w:asciiTheme="minorHAnsi" w:hAnsiTheme="minorHAnsi" w:cstheme="minorHAnsi"/>
              </w:rPr>
            </w:pPr>
            <w:bookmarkStart w:id="7" w:name="Note12"/>
            <w:bookmarkEnd w:id="7"/>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rsidR="00145149" w:rsidRPr="00A831B4" w:rsidRDefault="00145149" w:rsidP="00145149">
            <w:pPr>
              <w:autoSpaceDE w:val="0"/>
              <w:autoSpaceDN w:val="0"/>
              <w:adjustRightInd w:val="0"/>
              <w:rPr>
                <w:rFonts w:cstheme="minorHAnsi"/>
                <w:b/>
                <w:sz w:val="20"/>
                <w:szCs w:val="20"/>
              </w:rPr>
            </w:pPr>
            <w:bookmarkStart w:id="8" w:name="Note13"/>
            <w:bookmarkEnd w:id="8"/>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rsidR="00145149" w:rsidRPr="00A831B4" w:rsidRDefault="00145149" w:rsidP="00145149">
            <w:pPr>
              <w:pStyle w:val="FootnoteText"/>
              <w:rPr>
                <w:rFonts w:asciiTheme="minorHAnsi" w:hAnsiTheme="minorHAnsi" w:cstheme="minorHAnsi"/>
              </w:rPr>
            </w:pPr>
            <w:bookmarkStart w:id="9" w:name="Note14"/>
            <w:bookmarkEnd w:id="9"/>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rsidR="00145149" w:rsidRPr="00A831B4" w:rsidRDefault="00145149" w:rsidP="00145149">
            <w:pPr>
              <w:rPr>
                <w:rFonts w:cstheme="minorHAnsi"/>
                <w:b/>
                <w:bCs/>
                <w:sz w:val="20"/>
                <w:szCs w:val="20"/>
              </w:rPr>
            </w:pPr>
            <w:bookmarkStart w:id="10" w:name="Note15"/>
            <w:bookmarkEnd w:id="10"/>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rsidR="00145149" w:rsidRPr="00A831B4" w:rsidRDefault="00145149" w:rsidP="00145149">
            <w:pPr>
              <w:rPr>
                <w:rFonts w:cstheme="minorHAnsi"/>
                <w:noProof/>
                <w:sz w:val="20"/>
                <w:szCs w:val="20"/>
              </w:rPr>
            </w:pPr>
            <w:bookmarkStart w:id="11" w:name="Note16"/>
            <w:bookmarkEnd w:id="11"/>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rsidR="00BC0D25" w:rsidRDefault="00BC0D25" w:rsidP="00702C73">
      <w:pPr>
        <w:spacing w:after="0" w:line="240" w:lineRule="auto"/>
        <w:rPr>
          <w:rFonts w:cstheme="minorHAnsi"/>
          <w:noProof/>
        </w:rPr>
      </w:pPr>
    </w:p>
    <w:p w:rsidR="00702C73" w:rsidRPr="00702C73" w:rsidRDefault="00702C73" w:rsidP="00702C73">
      <w:pPr>
        <w:spacing w:after="0" w:line="240" w:lineRule="auto"/>
        <w:rPr>
          <w:rFonts w:cstheme="minorHAnsi"/>
          <w:noProof/>
        </w:rPr>
      </w:pPr>
    </w:p>
    <w:p w:rsidR="00E27240" w:rsidRPr="00A25024" w:rsidRDefault="002B5016" w:rsidP="008A403A">
      <w:pPr>
        <w:spacing w:after="0" w:line="240" w:lineRule="auto"/>
        <w:rPr>
          <w:rFonts w:cstheme="minorHAnsi"/>
          <w:b/>
          <w:noProof/>
        </w:rPr>
      </w:pPr>
      <w:r>
        <w:rPr>
          <w:rFonts w:cstheme="minorHAnsi"/>
          <w:b/>
          <w:noProof/>
        </w:rPr>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rsidR="000574AB" w:rsidRPr="00A25024" w:rsidRDefault="000574AB" w:rsidP="008A403A">
      <w:pPr>
        <w:spacing w:after="0" w:line="240" w:lineRule="auto"/>
        <w:rPr>
          <w:rFonts w:cstheme="minorHAnsi"/>
          <w:noProof/>
        </w:rPr>
      </w:pPr>
    </w:p>
    <w:p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3"/>
        <w:gridCol w:w="4735"/>
      </w:tblGrid>
      <w:tr w:rsidR="00A01494" w:rsidRPr="00A01494" w:rsidTr="0014773C">
        <w:trPr>
          <w:jc w:val="center"/>
        </w:trPr>
        <w:tc>
          <w:tcPr>
            <w:tcW w:w="5208" w:type="dxa"/>
            <w:shd w:val="clear" w:color="auto" w:fill="D9D9D9" w:themeFill="background1" w:themeFillShade="D9"/>
          </w:tcPr>
          <w:p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rsidTr="0014773C">
        <w:trPr>
          <w:jc w:val="center"/>
        </w:trPr>
        <w:tc>
          <w:tcPr>
            <w:tcW w:w="5208" w:type="dxa"/>
          </w:tcPr>
          <w:p w:rsidR="00A01494" w:rsidRPr="00A01494" w:rsidRDefault="00B17C85" w:rsidP="00DB3627">
            <w:pPr>
              <w:autoSpaceDE w:val="0"/>
              <w:autoSpaceDN w:val="0"/>
              <w:adjustRightInd w:val="0"/>
              <w:rPr>
                <w:rFonts w:cstheme="minorHAnsi"/>
                <w:bCs/>
              </w:rPr>
            </w:pPr>
            <w:sdt>
              <w:sdtPr>
                <w:rPr>
                  <w:rFonts w:cstheme="minorHAnsi"/>
                  <w:bCs/>
                  <w:color w:val="0000FF"/>
                </w:rPr>
                <w:id w:val="-839233565"/>
                <w14:checkbox>
                  <w14:checked w14:val="1"/>
                  <w14:checkedState w14:val="2612" w14:font="MS Gothic"/>
                  <w14:uncheckedState w14:val="2610" w14:font="MS Gothic"/>
                </w14:checkbox>
              </w:sdtPr>
              <w:sdtEndPr/>
              <w:sdtContent>
                <w:r w:rsidR="00205BC4">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rsidR="00A01494" w:rsidRPr="00A01494" w:rsidRDefault="00B17C85" w:rsidP="00DB3627">
            <w:pPr>
              <w:autoSpaceDE w:val="0"/>
              <w:autoSpaceDN w:val="0"/>
              <w:adjustRightInd w:val="0"/>
              <w:rPr>
                <w:rFonts w:cstheme="minorHAnsi"/>
                <w:bCs/>
              </w:rPr>
            </w:pPr>
            <w:sdt>
              <w:sdtPr>
                <w:rPr>
                  <w:rFonts w:cstheme="minorHAnsi"/>
                  <w:bCs/>
                  <w:color w:val="0000FF"/>
                </w:rPr>
                <w:id w:val="98917060"/>
                <w14:checkbox>
                  <w14:checked w14:val="1"/>
                  <w14:checkedState w14:val="2612" w14:font="MS Gothic"/>
                  <w14:uncheckedState w14:val="2610" w14:font="MS Gothic"/>
                </w14:checkbox>
              </w:sdtPr>
              <w:sdtEndPr/>
              <w:sdtContent>
                <w:r w:rsidR="00205BC4">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rsidTr="0014773C">
        <w:trPr>
          <w:jc w:val="center"/>
        </w:trPr>
        <w:tc>
          <w:tcPr>
            <w:tcW w:w="5208" w:type="dxa"/>
          </w:tcPr>
          <w:p w:rsidR="00A01494" w:rsidRPr="00A01494" w:rsidRDefault="00B17C85" w:rsidP="00DB3627">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F102C3">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rsidR="00A01494" w:rsidRPr="00A01494" w:rsidRDefault="00B17C85" w:rsidP="00DB3627">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205BC4">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rsidTr="0014773C">
        <w:trPr>
          <w:jc w:val="center"/>
        </w:trPr>
        <w:tc>
          <w:tcPr>
            <w:tcW w:w="5208" w:type="dxa"/>
          </w:tcPr>
          <w:p w:rsidR="00A01494" w:rsidRPr="00A01494" w:rsidRDefault="00B17C85" w:rsidP="00DB3627">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rsidR="00A01494" w:rsidRPr="00A01494" w:rsidRDefault="00B17C85" w:rsidP="00DB3627">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rsidTr="0014773C">
        <w:trPr>
          <w:jc w:val="center"/>
        </w:trPr>
        <w:tc>
          <w:tcPr>
            <w:tcW w:w="5208" w:type="dxa"/>
          </w:tcPr>
          <w:p w:rsidR="00A01494" w:rsidRPr="00A01494" w:rsidRDefault="00B17C85" w:rsidP="00DB3627">
            <w:pPr>
              <w:autoSpaceDE w:val="0"/>
              <w:autoSpaceDN w:val="0"/>
              <w:adjustRightInd w:val="0"/>
              <w:rPr>
                <w:rFonts w:cstheme="minorHAnsi"/>
                <w:bCs/>
              </w:rPr>
            </w:pPr>
            <w:sdt>
              <w:sdtPr>
                <w:rPr>
                  <w:rFonts w:cstheme="minorHAnsi"/>
                  <w:bCs/>
                  <w:color w:val="0000FF"/>
                </w:rPr>
                <w:id w:val="1121342177"/>
                <w14:checkbox>
                  <w14:checked w14:val="1"/>
                  <w14:checkedState w14:val="2612" w14:font="MS Gothic"/>
                  <w14:uncheckedState w14:val="2610" w14:font="MS Gothic"/>
                </w14:checkbox>
              </w:sdtPr>
              <w:sdtEndPr/>
              <w:sdtContent>
                <w:r w:rsidR="00205BC4">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rsidR="00A01494" w:rsidRPr="00A01494" w:rsidRDefault="00B17C85" w:rsidP="00DB3627">
            <w:pPr>
              <w:autoSpaceDE w:val="0"/>
              <w:autoSpaceDN w:val="0"/>
              <w:adjustRightInd w:val="0"/>
              <w:rPr>
                <w:rFonts w:cstheme="minorHAnsi"/>
                <w:bCs/>
              </w:rPr>
            </w:pPr>
            <w:sdt>
              <w:sdtPr>
                <w:rPr>
                  <w:rFonts w:cstheme="minorHAnsi"/>
                  <w:bCs/>
                  <w:color w:val="0000FF"/>
                </w:rPr>
                <w:id w:val="-359203911"/>
                <w14:checkbox>
                  <w14:checked w14:val="1"/>
                  <w14:checkedState w14:val="2612" w14:font="MS Gothic"/>
                  <w14:uncheckedState w14:val="2610" w14:font="MS Gothic"/>
                </w14:checkbox>
              </w:sdtPr>
              <w:sdtEndPr/>
              <w:sdtContent>
                <w:r w:rsidR="00205BC4">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rsidTr="0014773C">
        <w:trPr>
          <w:jc w:val="center"/>
        </w:trPr>
        <w:tc>
          <w:tcPr>
            <w:tcW w:w="5208" w:type="dxa"/>
          </w:tcPr>
          <w:p w:rsidR="00A01494" w:rsidRPr="00A01494" w:rsidRDefault="00B17C85"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rsidR="00A01494" w:rsidRPr="00A01494" w:rsidRDefault="00B17C85"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rsidTr="0014773C">
        <w:trPr>
          <w:jc w:val="center"/>
        </w:trPr>
        <w:tc>
          <w:tcPr>
            <w:tcW w:w="5208" w:type="dxa"/>
          </w:tcPr>
          <w:p w:rsidR="00A01494" w:rsidRPr="00A01494" w:rsidRDefault="00B17C85"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rsidR="00A01494" w:rsidRPr="00A01494" w:rsidRDefault="00B17C85"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rsidR="00205BC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rsidR="0066319B" w:rsidRPr="0066319B" w:rsidRDefault="00205BC4" w:rsidP="0066319B">
      <w:pPr>
        <w:pStyle w:val="Default"/>
        <w:rPr>
          <w:rFonts w:asciiTheme="minorHAnsi" w:hAnsiTheme="minorHAnsi" w:cs="Calibri"/>
          <w:color w:val="548DD4" w:themeColor="text2" w:themeTint="99"/>
          <w:sz w:val="22"/>
          <w:szCs w:val="22"/>
        </w:rPr>
      </w:pPr>
      <w:r w:rsidRPr="0066319B">
        <w:rPr>
          <w:rFonts w:asciiTheme="minorHAnsi" w:hAnsiTheme="minorHAnsi"/>
          <w:color w:val="548DD4" w:themeColor="text2" w:themeTint="99"/>
          <w:sz w:val="22"/>
          <w:szCs w:val="22"/>
        </w:rPr>
        <w:t>The AAN identified and recruited Neurology practices in Minnesota that have experience treating patients with epilepsy. Three Neurology practices volunteered to participate and submit retrospective data from the 2012 calendar year (i.e. dates of service 01/01/2012 – 12/31/2012).</w:t>
      </w:r>
      <w:r w:rsidR="0066319B" w:rsidRPr="0066319B">
        <w:rPr>
          <w:rFonts w:asciiTheme="minorHAnsi" w:hAnsiTheme="minorHAnsi"/>
          <w:color w:val="548DD4" w:themeColor="text2" w:themeTint="99"/>
        </w:rPr>
        <w:t xml:space="preserve"> </w:t>
      </w:r>
      <w:r w:rsidR="0066319B" w:rsidRPr="0066319B">
        <w:rPr>
          <w:rFonts w:asciiTheme="minorHAnsi" w:hAnsiTheme="minorHAnsi" w:cs="Calibri"/>
          <w:color w:val="548DD4" w:themeColor="text2" w:themeTint="99"/>
          <w:sz w:val="22"/>
          <w:szCs w:val="22"/>
        </w:rPr>
        <w:t xml:space="preserve">Denominator certification is an essential step in the process to obtaining valid and accurate data. It requires each participant to attest that they will submit accurate data and follow the measure specifications exactly how they are written. It also ensures that each participant is querying the correct: </w:t>
      </w:r>
    </w:p>
    <w:p w:rsidR="0066319B" w:rsidRPr="0066319B" w:rsidRDefault="0066319B" w:rsidP="0066319B">
      <w:pPr>
        <w:pStyle w:val="ListParagraph"/>
        <w:numPr>
          <w:ilvl w:val="0"/>
          <w:numId w:val="26"/>
        </w:numPr>
        <w:autoSpaceDE w:val="0"/>
        <w:autoSpaceDN w:val="0"/>
        <w:adjustRightInd w:val="0"/>
        <w:spacing w:after="71" w:line="240" w:lineRule="auto"/>
        <w:rPr>
          <w:rFonts w:cs="Calibri"/>
          <w:color w:val="548DD4" w:themeColor="text2" w:themeTint="99"/>
        </w:rPr>
      </w:pPr>
      <w:r w:rsidRPr="0066319B">
        <w:rPr>
          <w:rFonts w:cs="Calibri"/>
          <w:color w:val="548DD4" w:themeColor="text2" w:themeTint="99"/>
        </w:rPr>
        <w:t xml:space="preserve">Diagnosis codes </w:t>
      </w:r>
      <w:r w:rsidRPr="0066319B">
        <w:rPr>
          <w:rFonts w:cs="Calibri"/>
          <w:i/>
          <w:iCs/>
          <w:color w:val="548DD4" w:themeColor="text2" w:themeTint="99"/>
        </w:rPr>
        <w:t xml:space="preserve">(i.e. 345.00, 345.01, 345.10, 345.11, 345.40, 345.41, 345.50, 345.51, 345.70, 345.71, 345.90, 345.91) </w:t>
      </w:r>
    </w:p>
    <w:p w:rsidR="0066319B" w:rsidRPr="0066319B" w:rsidRDefault="0066319B" w:rsidP="0066319B">
      <w:pPr>
        <w:pStyle w:val="ListParagraph"/>
        <w:numPr>
          <w:ilvl w:val="0"/>
          <w:numId w:val="26"/>
        </w:numPr>
        <w:autoSpaceDE w:val="0"/>
        <w:autoSpaceDN w:val="0"/>
        <w:adjustRightInd w:val="0"/>
        <w:spacing w:after="71" w:line="240" w:lineRule="auto"/>
        <w:rPr>
          <w:rFonts w:cs="Calibri"/>
          <w:color w:val="548DD4" w:themeColor="text2" w:themeTint="99"/>
        </w:rPr>
      </w:pPr>
      <w:r w:rsidRPr="0066319B">
        <w:rPr>
          <w:rFonts w:cs="Calibri"/>
          <w:color w:val="548DD4" w:themeColor="text2" w:themeTint="99"/>
        </w:rPr>
        <w:t>Encounter codes (</w:t>
      </w:r>
      <w:r w:rsidRPr="0066319B">
        <w:rPr>
          <w:rFonts w:cs="Calibri"/>
          <w:i/>
          <w:iCs/>
          <w:color w:val="548DD4" w:themeColor="text2" w:themeTint="99"/>
        </w:rPr>
        <w:t xml:space="preserve">i.e. 99201, 99202, 99203, 99204, 99205, 99212, 99213, 99214, 99215, 99241, 99242, 99243, 99244, 99245) </w:t>
      </w:r>
    </w:p>
    <w:p w:rsidR="0066319B" w:rsidRPr="0066319B" w:rsidRDefault="0066319B" w:rsidP="0066319B">
      <w:pPr>
        <w:pStyle w:val="ListParagraph"/>
        <w:numPr>
          <w:ilvl w:val="0"/>
          <w:numId w:val="26"/>
        </w:numPr>
        <w:autoSpaceDE w:val="0"/>
        <w:autoSpaceDN w:val="0"/>
        <w:adjustRightInd w:val="0"/>
        <w:spacing w:after="71" w:line="240" w:lineRule="auto"/>
        <w:rPr>
          <w:rFonts w:cs="Calibri"/>
          <w:color w:val="548DD4" w:themeColor="text2" w:themeTint="99"/>
        </w:rPr>
      </w:pPr>
      <w:r w:rsidRPr="0066319B">
        <w:rPr>
          <w:rFonts w:cs="Calibri"/>
          <w:color w:val="548DD4" w:themeColor="text2" w:themeTint="99"/>
        </w:rPr>
        <w:t xml:space="preserve">Date of birth ranges </w:t>
      </w:r>
      <w:r w:rsidRPr="0066319B">
        <w:rPr>
          <w:rFonts w:cs="Calibri"/>
          <w:i/>
          <w:iCs/>
          <w:color w:val="548DD4" w:themeColor="text2" w:themeTint="99"/>
        </w:rPr>
        <w:t xml:space="preserve">(i.e. 01/01/1968-01/01/2000) </w:t>
      </w:r>
    </w:p>
    <w:p w:rsidR="0066319B" w:rsidRPr="0066319B" w:rsidRDefault="0066319B" w:rsidP="0066319B">
      <w:pPr>
        <w:pStyle w:val="ListParagraph"/>
        <w:numPr>
          <w:ilvl w:val="0"/>
          <w:numId w:val="26"/>
        </w:numPr>
        <w:autoSpaceDE w:val="0"/>
        <w:autoSpaceDN w:val="0"/>
        <w:adjustRightInd w:val="0"/>
        <w:spacing w:after="0" w:line="240" w:lineRule="auto"/>
        <w:rPr>
          <w:rFonts w:cs="Calibri"/>
          <w:color w:val="548DD4" w:themeColor="text2" w:themeTint="99"/>
        </w:rPr>
      </w:pPr>
      <w:r w:rsidRPr="0066319B">
        <w:rPr>
          <w:rFonts w:cs="Calibri"/>
          <w:color w:val="548DD4" w:themeColor="text2" w:themeTint="99"/>
        </w:rPr>
        <w:t xml:space="preserve">Date of service ranges </w:t>
      </w:r>
      <w:r w:rsidRPr="0066319B">
        <w:rPr>
          <w:rFonts w:cs="Calibri"/>
          <w:i/>
          <w:iCs/>
          <w:color w:val="548DD4" w:themeColor="text2" w:themeTint="99"/>
        </w:rPr>
        <w:t xml:space="preserve">(i.e. 01/01/2012- 12/31/2012) </w:t>
      </w:r>
    </w:p>
    <w:p w:rsidR="00021170" w:rsidRPr="00205BC4" w:rsidRDefault="00021170" w:rsidP="00DB3627">
      <w:pPr>
        <w:autoSpaceDE w:val="0"/>
        <w:autoSpaceDN w:val="0"/>
        <w:adjustRightInd w:val="0"/>
        <w:spacing w:after="0" w:line="240" w:lineRule="auto"/>
        <w:rPr>
          <w:rFonts w:cstheme="minorHAnsi"/>
          <w:b/>
          <w:bCs/>
          <w:color w:val="548DD4" w:themeColor="text2" w:themeTint="99"/>
        </w:rPr>
      </w:pPr>
    </w:p>
    <w:p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text/>
        </w:sdtPr>
        <w:sdtEndPr>
          <w:rPr>
            <w:rStyle w:val="DefaultParagraphFont"/>
            <w:rFonts w:cstheme="minorHAnsi"/>
            <w:color w:val="auto"/>
          </w:rPr>
        </w:sdtEndPr>
        <w:sdtContent>
          <w:r w:rsidR="00205BC4">
            <w:rPr>
              <w:rStyle w:val="Style1"/>
            </w:rPr>
            <w:t>01/01/2012-12/31/2012</w:t>
          </w:r>
        </w:sdtContent>
      </w:sdt>
    </w:p>
    <w:p w:rsidR="000574AB" w:rsidRDefault="000574AB" w:rsidP="00DB3627">
      <w:pPr>
        <w:autoSpaceDE w:val="0"/>
        <w:autoSpaceDN w:val="0"/>
        <w:adjustRightInd w:val="0"/>
        <w:spacing w:after="0" w:line="240" w:lineRule="auto"/>
        <w:rPr>
          <w:rFonts w:cstheme="minorHAnsi"/>
          <w:bCs/>
        </w:rPr>
      </w:pPr>
    </w:p>
    <w:p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rsidTr="000414E8">
        <w:trPr>
          <w:jc w:val="center"/>
        </w:trPr>
        <w:tc>
          <w:tcPr>
            <w:tcW w:w="5027" w:type="dxa"/>
            <w:shd w:val="clear" w:color="auto" w:fill="D9D9D9" w:themeFill="background1" w:themeFillShade="D9"/>
          </w:tcPr>
          <w:p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rsidTr="000414E8">
        <w:trPr>
          <w:jc w:val="center"/>
        </w:trPr>
        <w:tc>
          <w:tcPr>
            <w:tcW w:w="5027" w:type="dxa"/>
          </w:tcPr>
          <w:p w:rsidR="000414E8" w:rsidRPr="00A01494" w:rsidRDefault="00B17C85"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031687">
                  <w:rPr>
                    <w:rFonts w:ascii="MS Gothic" w:eastAsia="MS Gothic" w:hAnsi="MS Gothic" w:cstheme="minorHAnsi" w:hint="eastAsia"/>
                    <w:bCs/>
                    <w:color w:val="0000FF"/>
                  </w:rPr>
                  <w:t>☐</w:t>
                </w:r>
              </w:sdtContent>
            </w:sdt>
            <w:r w:rsidR="000414E8">
              <w:rPr>
                <w:rFonts w:cstheme="minorHAnsi"/>
                <w:bCs/>
              </w:rPr>
              <w:t xml:space="preserve"> individual clinician</w:t>
            </w:r>
          </w:p>
        </w:tc>
        <w:tc>
          <w:tcPr>
            <w:tcW w:w="5028" w:type="dxa"/>
          </w:tcPr>
          <w:p w:rsidR="000414E8" w:rsidRPr="00A01494" w:rsidRDefault="00B17C85"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rsidTr="000414E8">
        <w:trPr>
          <w:jc w:val="center"/>
        </w:trPr>
        <w:tc>
          <w:tcPr>
            <w:tcW w:w="5027" w:type="dxa"/>
          </w:tcPr>
          <w:p w:rsidR="000414E8" w:rsidRPr="00A01494" w:rsidRDefault="00B17C85" w:rsidP="00D61410">
            <w:pPr>
              <w:autoSpaceDE w:val="0"/>
              <w:autoSpaceDN w:val="0"/>
              <w:adjustRightInd w:val="0"/>
              <w:rPr>
                <w:rFonts w:cstheme="minorHAnsi"/>
                <w:bCs/>
              </w:rPr>
            </w:pPr>
            <w:sdt>
              <w:sdtPr>
                <w:rPr>
                  <w:rFonts w:cstheme="minorHAnsi"/>
                  <w:bCs/>
                  <w:color w:val="0000FF"/>
                </w:rPr>
                <w:id w:val="-834455086"/>
                <w14:checkbox>
                  <w14:checked w14:val="1"/>
                  <w14:checkedState w14:val="2612" w14:font="MS Gothic"/>
                  <w14:uncheckedState w14:val="2610" w14:font="MS Gothic"/>
                </w14:checkbox>
              </w:sdtPr>
              <w:sdtEndPr/>
              <w:sdtContent>
                <w:r w:rsidR="00205BC4">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rsidR="000414E8" w:rsidRPr="00A01494" w:rsidRDefault="00B17C85" w:rsidP="00D61410">
            <w:pPr>
              <w:autoSpaceDE w:val="0"/>
              <w:autoSpaceDN w:val="0"/>
              <w:adjustRightInd w:val="0"/>
              <w:rPr>
                <w:rFonts w:cstheme="minorHAnsi"/>
                <w:bCs/>
              </w:rPr>
            </w:pPr>
            <w:sdt>
              <w:sdtPr>
                <w:rPr>
                  <w:rFonts w:cstheme="minorHAnsi"/>
                  <w:bCs/>
                  <w:color w:val="0000FF"/>
                </w:rPr>
                <w:id w:val="-412627602"/>
                <w14:checkbox>
                  <w14:checked w14:val="1"/>
                  <w14:checkedState w14:val="2612" w14:font="MS Gothic"/>
                  <w14:uncheckedState w14:val="2610" w14:font="MS Gothic"/>
                </w14:checkbox>
              </w:sdtPr>
              <w:sdtEndPr/>
              <w:sdtContent>
                <w:r w:rsidR="00205BC4">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rsidTr="000414E8">
        <w:trPr>
          <w:jc w:val="center"/>
        </w:trPr>
        <w:tc>
          <w:tcPr>
            <w:tcW w:w="5027" w:type="dxa"/>
          </w:tcPr>
          <w:p w:rsidR="000414E8" w:rsidRPr="00A01494" w:rsidRDefault="00B17C85"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rsidR="000414E8" w:rsidRPr="00A01494" w:rsidRDefault="00B17C85"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rsidTr="000414E8">
        <w:trPr>
          <w:jc w:val="center"/>
        </w:trPr>
        <w:tc>
          <w:tcPr>
            <w:tcW w:w="5027" w:type="dxa"/>
          </w:tcPr>
          <w:p w:rsidR="000414E8" w:rsidRPr="00A01494" w:rsidRDefault="00B17C85"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rsidR="000414E8" w:rsidRPr="00A01494" w:rsidRDefault="00B17C85"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rsidTr="000414E8">
        <w:trPr>
          <w:jc w:val="center"/>
        </w:trPr>
        <w:tc>
          <w:tcPr>
            <w:tcW w:w="5027" w:type="dxa"/>
          </w:tcPr>
          <w:p w:rsidR="000414E8" w:rsidRPr="00A01494" w:rsidRDefault="00B17C85"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rsidR="000414E8" w:rsidRPr="00A01494" w:rsidRDefault="00B17C85"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rsidR="000414E8" w:rsidRPr="00A25024" w:rsidRDefault="000414E8" w:rsidP="00DB3627">
      <w:pPr>
        <w:autoSpaceDE w:val="0"/>
        <w:autoSpaceDN w:val="0"/>
        <w:adjustRightInd w:val="0"/>
        <w:spacing w:after="0" w:line="240" w:lineRule="auto"/>
        <w:rPr>
          <w:rFonts w:cstheme="minorHAnsi"/>
          <w:bCs/>
        </w:rPr>
      </w:pPr>
    </w:p>
    <w:p w:rsidR="00205BC4"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rsidR="00205BC4" w:rsidRDefault="00205BC4" w:rsidP="00DB3627">
      <w:pPr>
        <w:autoSpaceDE w:val="0"/>
        <w:autoSpaceDN w:val="0"/>
        <w:adjustRightInd w:val="0"/>
        <w:spacing w:after="0" w:line="240" w:lineRule="auto"/>
        <w:rPr>
          <w:rFonts w:cstheme="minorHAnsi"/>
          <w:bCs/>
        </w:rPr>
      </w:pPr>
    </w:p>
    <w:p w:rsidR="002B5016" w:rsidRPr="00A25024" w:rsidRDefault="00031687" w:rsidP="00DB3627">
      <w:pPr>
        <w:autoSpaceDE w:val="0"/>
        <w:autoSpaceDN w:val="0"/>
        <w:adjustRightInd w:val="0"/>
        <w:spacing w:after="0" w:line="240" w:lineRule="auto"/>
        <w:rPr>
          <w:rFonts w:cstheme="minorHAnsi"/>
          <w:bCs/>
        </w:rPr>
      </w:pPr>
      <w:r>
        <w:rPr>
          <w:color w:val="548DD4" w:themeColor="text2" w:themeTint="99"/>
        </w:rPr>
        <w:t xml:space="preserve">See full testing report. </w:t>
      </w:r>
      <w:r w:rsidR="00205BC4" w:rsidRPr="00205BC4">
        <w:rPr>
          <w:color w:val="548DD4" w:themeColor="text2" w:themeTint="99"/>
        </w:rPr>
        <w:t>Two of the practices were independent, physician owned practices located in the Twin Cities and the third practice was a large integrated delivery system in southeast Minnesota.</w:t>
      </w:r>
      <w:r w:rsidR="00F102C3">
        <w:rPr>
          <w:color w:val="548DD4" w:themeColor="text2" w:themeTint="99"/>
        </w:rPr>
        <w:t xml:space="preserve"> </w:t>
      </w:r>
      <w:r>
        <w:rPr>
          <w:color w:val="548DD4" w:themeColor="text2" w:themeTint="99"/>
        </w:rPr>
        <w:t>One practice</w:t>
      </w:r>
      <w:r w:rsidR="00F102C3">
        <w:rPr>
          <w:color w:val="548DD4" w:themeColor="text2" w:themeTint="99"/>
        </w:rPr>
        <w:t xml:space="preserve"> extracted all data via EHR; </w:t>
      </w:r>
      <w:r>
        <w:rPr>
          <w:color w:val="548DD4" w:themeColor="text2" w:themeTint="99"/>
        </w:rPr>
        <w:t>two</w:t>
      </w:r>
      <w:r w:rsidR="00F102C3">
        <w:rPr>
          <w:color w:val="548DD4" w:themeColor="text2" w:themeTint="99"/>
        </w:rPr>
        <w:t xml:space="preserve"> practices had data extracted via EHR and also required manual chart review. </w:t>
      </w:r>
      <w:r w:rsidR="004348CC" w:rsidRPr="00205BC4">
        <w:rPr>
          <w:rFonts w:cstheme="minorHAnsi"/>
          <w:bCs/>
          <w:color w:val="548DD4" w:themeColor="text2" w:themeTint="99"/>
        </w:rPr>
        <w:br/>
      </w:r>
    </w:p>
    <w:p w:rsidR="00205BC4"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205BC4" w:rsidRPr="00205BC4">
        <w:rPr>
          <w:rFonts w:cstheme="minorHAnsi"/>
          <w:bCs/>
          <w:color w:val="548DD4" w:themeColor="text2" w:themeTint="99"/>
        </w:rPr>
        <w:t xml:space="preserve"> </w:t>
      </w:r>
      <w:r w:rsidR="00205BC4" w:rsidRPr="00205BC4">
        <w:rPr>
          <w:color w:val="548DD4" w:themeColor="text2" w:themeTint="99"/>
        </w:rPr>
        <w:t xml:space="preserve">In order to achieve a reliable sample of patients for this measure MNCM and AAN sought a minimum of 1,000 combined patient records from the three Neurology sites that agree to participate.  </w:t>
      </w:r>
      <w:r w:rsidR="00205BC4" w:rsidRPr="00205BC4">
        <w:rPr>
          <w:rFonts w:cstheme="minorHAnsi"/>
          <w:bCs/>
          <w:color w:val="548DD4" w:themeColor="text2" w:themeTint="99"/>
        </w:rPr>
        <w:t>See below.</w:t>
      </w:r>
    </w:p>
    <w:p w:rsidR="00205BC4" w:rsidRDefault="00205BC4" w:rsidP="00DB3627">
      <w:pPr>
        <w:autoSpaceDE w:val="0"/>
        <w:autoSpaceDN w:val="0"/>
        <w:adjustRightInd w:val="0"/>
        <w:spacing w:after="0" w:line="240" w:lineRule="auto"/>
        <w:rPr>
          <w:rFonts w:cstheme="minorHAnsi"/>
          <w:bCs/>
        </w:rPr>
      </w:pPr>
      <w:r>
        <w:rPr>
          <w:rFonts w:ascii="Calibri" w:hAnsi="Calibri"/>
          <w:i/>
          <w:noProof/>
          <w:sz w:val="20"/>
          <w:szCs w:val="20"/>
        </w:rPr>
        <w:drawing>
          <wp:inline distT="0" distB="0" distL="0" distR="0" wp14:anchorId="0ADB6095" wp14:editId="1D14D88C">
            <wp:extent cx="3580900" cy="4794637"/>
            <wp:effectExtent l="0" t="0" r="635"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84708" cy="4799736"/>
                    </a:xfrm>
                    <a:prstGeom prst="rect">
                      <a:avLst/>
                    </a:prstGeom>
                    <a:noFill/>
                    <a:ln>
                      <a:noFill/>
                    </a:ln>
                  </pic:spPr>
                </pic:pic>
              </a:graphicData>
            </a:graphic>
          </wp:inline>
        </w:drawing>
      </w:r>
    </w:p>
    <w:p w:rsidR="007422FD" w:rsidRDefault="0066319B" w:rsidP="00DB3627">
      <w:pPr>
        <w:autoSpaceDE w:val="0"/>
        <w:autoSpaceDN w:val="0"/>
        <w:adjustRightInd w:val="0"/>
        <w:spacing w:after="0" w:line="240" w:lineRule="auto"/>
        <w:rPr>
          <w:rFonts w:cstheme="minorHAnsi"/>
          <w:bCs/>
        </w:rPr>
      </w:pPr>
      <w:r>
        <w:rPr>
          <w:rFonts w:cstheme="minorHAnsi"/>
          <w:bCs/>
          <w:noProof/>
        </w:rPr>
        <w:drawing>
          <wp:inline distT="0" distB="0" distL="0" distR="0">
            <wp:extent cx="3919993" cy="1645978"/>
            <wp:effectExtent l="0" t="0" r="444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18371" cy="1645297"/>
                    </a:xfrm>
                    <a:prstGeom prst="rect">
                      <a:avLst/>
                    </a:prstGeom>
                    <a:noFill/>
                    <a:ln>
                      <a:noFill/>
                    </a:ln>
                  </pic:spPr>
                </pic:pic>
              </a:graphicData>
            </a:graphic>
          </wp:inline>
        </w:drawing>
      </w:r>
    </w:p>
    <w:p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rsidR="00E37E1B" w:rsidRDefault="00E37E1B" w:rsidP="00E37E1B">
      <w:pPr>
        <w:autoSpaceDE w:val="0"/>
        <w:autoSpaceDN w:val="0"/>
        <w:adjustRightInd w:val="0"/>
        <w:spacing w:after="0" w:line="240" w:lineRule="auto"/>
        <w:rPr>
          <w:rFonts w:cstheme="minorHAnsi"/>
          <w:bCs/>
        </w:rPr>
      </w:pPr>
    </w:p>
    <w:p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rsidR="008C54A9" w:rsidRPr="00A25024" w:rsidRDefault="008C54A9" w:rsidP="00DB3627">
      <w:pPr>
        <w:autoSpaceDE w:val="0"/>
        <w:autoSpaceDN w:val="0"/>
        <w:adjustRightInd w:val="0"/>
        <w:spacing w:after="0" w:line="240" w:lineRule="auto"/>
        <w:rPr>
          <w:rFonts w:cstheme="minorHAnsi"/>
          <w:b/>
          <w:bCs/>
        </w:rPr>
      </w:pPr>
    </w:p>
    <w:p w:rsidR="001969C5" w:rsidRPr="006F3A2F" w:rsidRDefault="00092566" w:rsidP="008C54A9">
      <w:pPr>
        <w:autoSpaceDE w:val="0"/>
        <w:autoSpaceDN w:val="0"/>
        <w:adjustRightInd w:val="0"/>
        <w:spacing w:after="0" w:line="240" w:lineRule="auto"/>
        <w:rPr>
          <w:rFonts w:cstheme="minorHAnsi"/>
          <w:bCs/>
          <w:color w:val="548DD4" w:themeColor="text2" w:themeTint="99"/>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1"/>
            <w14:checkedState w14:val="2612" w14:font="MS Gothic"/>
            <w14:uncheckedState w14:val="2610" w14:font="MS Gothic"/>
          </w14:checkbox>
        </w:sdtPr>
        <w:sdtEndPr/>
        <w:sdtContent>
          <w:r w:rsidR="00205BC4">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205BC4">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 xml:space="preserve">what statistical analysis </w:t>
      </w:r>
      <w:r w:rsidR="0022691B" w:rsidRPr="006F3A2F">
        <w:rPr>
          <w:rFonts w:cstheme="minorHAnsi"/>
          <w:bCs/>
          <w:i/>
        </w:rPr>
        <w:t>was used</w:t>
      </w:r>
      <w:r w:rsidR="007757CE" w:rsidRPr="006F3A2F">
        <w:rPr>
          <w:rFonts w:cstheme="minorHAnsi"/>
          <w:bCs/>
        </w:rPr>
        <w:t>)</w:t>
      </w:r>
    </w:p>
    <w:p w:rsidR="008C54A9" w:rsidRPr="006F3A2F" w:rsidRDefault="006F3A2F" w:rsidP="006F3A2F">
      <w:pPr>
        <w:autoSpaceDE w:val="0"/>
        <w:autoSpaceDN w:val="0"/>
        <w:adjustRightInd w:val="0"/>
        <w:spacing w:after="0" w:line="240" w:lineRule="auto"/>
        <w:rPr>
          <w:rFonts w:cstheme="minorHAnsi"/>
          <w:bCs/>
          <w:color w:val="548DD4" w:themeColor="text2" w:themeTint="99"/>
        </w:rPr>
      </w:pPr>
      <w:r w:rsidRPr="006F3A2F">
        <w:rPr>
          <w:rFonts w:ascii="Calibri" w:hAnsi="Calibri" w:cs="Calibri"/>
          <w:color w:val="548DD4" w:themeColor="text2" w:themeTint="99"/>
        </w:rPr>
        <w:t>The AAN identified and recruited Neurology practices in Minnesota that have experience treating patients with epilepsy. As part of the recruitment process MNCM and the AAN hosted an informational webinar explaining the purpose of the measurement testing project for the Counseling for Women with Epilepsy measure. Three Neurology practices volunteered to participate and submit retrospective data from the 2012 calendar year (i.e. dates of service 01/01/2012 – 12/31/2012). MNCM produced a data collection guide, measure flow and detailed file specifications to educate and assist each medical group in the data collection and submission process. As a requirement of participating in the measure testing each group had to submit a denominator certifications form (see appendix A). The denominator certification process helps ensure that each medical group is using the appropriate measure parameters and collecting data in a standardized way.</w:t>
      </w:r>
    </w:p>
    <w:p w:rsidR="007422FD" w:rsidRPr="00A25024"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r w:rsidR="006F3A2F" w:rsidRPr="00083E1F">
        <w:rPr>
          <w:rFonts w:ascii="Calibri" w:hAnsi="Calibri" w:cs="Calibri"/>
          <w:color w:val="548DD4" w:themeColor="text2" w:themeTint="99"/>
        </w:rPr>
        <w:t>MNCM did not identify any major flaws or issues during the review of each medical group’s denominator forms and therefore each medical group passed denominator certification within the given timeframe.</w:t>
      </w:r>
    </w:p>
    <w:p w:rsidR="00083E1F" w:rsidRPr="00083E1F" w:rsidRDefault="00092566" w:rsidP="00083E1F">
      <w:pPr>
        <w:pStyle w:val="Default"/>
        <w:rPr>
          <w:rFonts w:ascii="Calibri" w:hAnsi="Calibri" w:cs="Calibri"/>
          <w:color w:val="548DD4" w:themeColor="text2" w:themeTint="99"/>
          <w:sz w:val="22"/>
          <w:szCs w:val="22"/>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r w:rsidR="00083E1F" w:rsidRPr="00083E1F">
        <w:rPr>
          <w:rFonts w:ascii="Calibri" w:hAnsi="Calibri" w:cs="Calibri"/>
          <w:color w:val="548DD4" w:themeColor="text2" w:themeTint="99"/>
          <w:sz w:val="22"/>
          <w:szCs w:val="22"/>
        </w:rPr>
        <w:t xml:space="preserve">There were a few corrections and clarifications that required MNCM to send a follow-up email to the respective group; however, each issue was resolved in a timely manner. The list below documents the issues that were identified and required additional follow-up based on the information received on the denominator certification forms: </w:t>
      </w:r>
    </w:p>
    <w:p w:rsidR="00083E1F" w:rsidRPr="00083E1F" w:rsidRDefault="00083E1F" w:rsidP="00083E1F">
      <w:pPr>
        <w:pStyle w:val="ListParagraph"/>
        <w:numPr>
          <w:ilvl w:val="0"/>
          <w:numId w:val="26"/>
        </w:numPr>
        <w:autoSpaceDE w:val="0"/>
        <w:autoSpaceDN w:val="0"/>
        <w:adjustRightInd w:val="0"/>
        <w:spacing w:after="71" w:line="240" w:lineRule="auto"/>
        <w:rPr>
          <w:rFonts w:ascii="Calibri" w:hAnsi="Calibri" w:cs="Calibri"/>
          <w:color w:val="548DD4" w:themeColor="text2" w:themeTint="99"/>
        </w:rPr>
      </w:pPr>
      <w:r w:rsidRPr="00083E1F">
        <w:rPr>
          <w:rFonts w:ascii="Calibri" w:hAnsi="Calibri" w:cs="Calibri"/>
          <w:color w:val="548DD4" w:themeColor="text2" w:themeTint="99"/>
        </w:rPr>
        <w:t xml:space="preserve">Incorrect diagnosis codes included in data query </w:t>
      </w:r>
    </w:p>
    <w:p w:rsidR="00083E1F" w:rsidRPr="00083E1F" w:rsidRDefault="00083E1F" w:rsidP="00083E1F">
      <w:pPr>
        <w:pStyle w:val="ListParagraph"/>
        <w:numPr>
          <w:ilvl w:val="0"/>
          <w:numId w:val="26"/>
        </w:numPr>
        <w:autoSpaceDE w:val="0"/>
        <w:autoSpaceDN w:val="0"/>
        <w:adjustRightInd w:val="0"/>
        <w:spacing w:after="71" w:line="240" w:lineRule="auto"/>
        <w:rPr>
          <w:rFonts w:ascii="Calibri" w:hAnsi="Calibri" w:cs="Calibri"/>
          <w:color w:val="548DD4" w:themeColor="text2" w:themeTint="99"/>
        </w:rPr>
      </w:pPr>
      <w:r w:rsidRPr="00083E1F">
        <w:rPr>
          <w:rFonts w:ascii="Calibri" w:hAnsi="Calibri" w:cs="Calibri"/>
          <w:color w:val="548DD4" w:themeColor="text2" w:themeTint="99"/>
        </w:rPr>
        <w:t xml:space="preserve">Group did not indicate if they would be submitting a sample or full population for the measure </w:t>
      </w:r>
    </w:p>
    <w:p w:rsidR="00083E1F" w:rsidRPr="00083E1F" w:rsidRDefault="00083E1F" w:rsidP="00083E1F">
      <w:pPr>
        <w:pStyle w:val="ListParagraph"/>
        <w:numPr>
          <w:ilvl w:val="0"/>
          <w:numId w:val="26"/>
        </w:numPr>
        <w:autoSpaceDE w:val="0"/>
        <w:autoSpaceDN w:val="0"/>
        <w:adjustRightInd w:val="0"/>
        <w:spacing w:after="0" w:line="240" w:lineRule="auto"/>
        <w:rPr>
          <w:rFonts w:ascii="Calibri" w:hAnsi="Calibri" w:cs="Calibri"/>
          <w:color w:val="548DD4" w:themeColor="text2" w:themeTint="99"/>
        </w:rPr>
      </w:pPr>
      <w:r w:rsidRPr="00083E1F">
        <w:rPr>
          <w:rFonts w:ascii="Calibri" w:hAnsi="Calibri" w:cs="Calibri"/>
          <w:color w:val="548DD4" w:themeColor="text2" w:themeTint="99"/>
        </w:rPr>
        <w:t xml:space="preserve">Incorrect encounter codes included in data query </w:t>
      </w:r>
    </w:p>
    <w:p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1"/>
            <w14:checkedState w14:val="2612" w14:font="MS Gothic"/>
            <w14:uncheckedState w14:val="2610" w14:font="MS Gothic"/>
          </w14:checkbox>
        </w:sdtPr>
        <w:sdtEndPr/>
        <w:sdtContent>
          <w:r w:rsidR="00083E1F">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rsidR="00696262" w:rsidRPr="00A25024" w:rsidRDefault="00B17C85"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083E1F">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rsidR="000574AB" w:rsidRPr="00A25024" w:rsidRDefault="00B17C85"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rsidR="00CA06D8" w:rsidRPr="00A25024" w:rsidRDefault="00CA06D8" w:rsidP="00DB3627">
      <w:pPr>
        <w:autoSpaceDE w:val="0"/>
        <w:autoSpaceDN w:val="0"/>
        <w:adjustRightInd w:val="0"/>
        <w:spacing w:after="0" w:line="240" w:lineRule="auto"/>
        <w:rPr>
          <w:rFonts w:cstheme="minorHAnsi"/>
        </w:rPr>
      </w:pPr>
    </w:p>
    <w:p w:rsidR="0066319B" w:rsidRPr="0066319B" w:rsidRDefault="00092566" w:rsidP="0066319B">
      <w:pPr>
        <w:pStyle w:val="Default"/>
        <w:rPr>
          <w:b/>
          <w:bCs/>
          <w:sz w:val="26"/>
          <w:szCs w:val="26"/>
        </w:rPr>
      </w:pPr>
      <w:r>
        <w:rPr>
          <w:rFonts w:cstheme="minorHAnsi"/>
          <w:b/>
          <w:bCs/>
        </w:rPr>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r w:rsidR="0066319B" w:rsidRPr="0066319B">
        <w:rPr>
          <w:rFonts w:ascii="Calibri" w:hAnsi="Calibri" w:cs="Calibri"/>
          <w:color w:val="548DD4" w:themeColor="text2" w:themeTint="99"/>
          <w:sz w:val="22"/>
          <w:szCs w:val="22"/>
        </w:rPr>
        <w:t xml:space="preserve">MNCM completed validation of the data in a three-step process: 1) denominator certification, 2) data file quality checks, and 3) validation audit. Details of this validation are described in this report. </w:t>
      </w:r>
    </w:p>
    <w:p w:rsidR="0066319B" w:rsidRPr="0066319B" w:rsidRDefault="0066319B" w:rsidP="0066319B">
      <w:pPr>
        <w:pStyle w:val="Default"/>
        <w:rPr>
          <w:rFonts w:ascii="Calibri" w:hAnsi="Calibri" w:cs="Calibri"/>
          <w:color w:val="548DD4" w:themeColor="text2" w:themeTint="99"/>
          <w:sz w:val="22"/>
          <w:szCs w:val="22"/>
        </w:rPr>
      </w:pPr>
      <w:r w:rsidRPr="0066319B">
        <w:rPr>
          <w:rFonts w:ascii="Calibri" w:hAnsi="Calibri" w:cs="Calibri"/>
          <w:b/>
          <w:bCs/>
          <w:i/>
          <w:iCs/>
          <w:color w:val="548DD4" w:themeColor="text2" w:themeTint="99"/>
          <w:sz w:val="22"/>
          <w:szCs w:val="22"/>
        </w:rPr>
        <w:t xml:space="preserve">Denominator Certification </w:t>
      </w:r>
    </w:p>
    <w:p w:rsidR="0066319B" w:rsidRPr="0066319B" w:rsidRDefault="0066319B" w:rsidP="0066319B">
      <w:pPr>
        <w:pStyle w:val="Default"/>
        <w:rPr>
          <w:rFonts w:ascii="Calibri" w:hAnsi="Calibri" w:cs="Calibri"/>
          <w:color w:val="548DD4" w:themeColor="text2" w:themeTint="99"/>
          <w:sz w:val="22"/>
          <w:szCs w:val="22"/>
        </w:rPr>
      </w:pPr>
      <w:r w:rsidRPr="0066319B">
        <w:rPr>
          <w:rFonts w:ascii="Calibri" w:hAnsi="Calibri" w:cs="Calibri"/>
          <w:color w:val="548DD4" w:themeColor="text2" w:themeTint="99"/>
          <w:sz w:val="22"/>
          <w:szCs w:val="22"/>
        </w:rPr>
        <w:t xml:space="preserve">Denominator certification is an essential step in the process to obtaining valid and accurate data. It requires each participant to attest that they will submit accurate data and follow the measure specifications exactly how they are written. It also ensures that each participant is querying the correct: </w:t>
      </w:r>
    </w:p>
    <w:p w:rsidR="0066319B" w:rsidRPr="0066319B" w:rsidRDefault="0066319B" w:rsidP="0066319B">
      <w:pPr>
        <w:pStyle w:val="Default"/>
        <w:numPr>
          <w:ilvl w:val="0"/>
          <w:numId w:val="26"/>
        </w:numPr>
        <w:spacing w:after="71"/>
        <w:rPr>
          <w:rFonts w:ascii="Calibri" w:hAnsi="Calibri" w:cs="Calibri"/>
          <w:color w:val="548DD4" w:themeColor="text2" w:themeTint="99"/>
          <w:sz w:val="22"/>
          <w:szCs w:val="22"/>
        </w:rPr>
      </w:pPr>
      <w:r w:rsidRPr="0066319B">
        <w:rPr>
          <w:rFonts w:ascii="Calibri" w:hAnsi="Calibri" w:cs="Calibri"/>
          <w:color w:val="548DD4" w:themeColor="text2" w:themeTint="99"/>
          <w:sz w:val="22"/>
          <w:szCs w:val="22"/>
        </w:rPr>
        <w:t xml:space="preserve">Diagnosis codes </w:t>
      </w:r>
      <w:r w:rsidRPr="0066319B">
        <w:rPr>
          <w:rFonts w:ascii="Calibri" w:hAnsi="Calibri" w:cs="Calibri"/>
          <w:i/>
          <w:iCs/>
          <w:color w:val="548DD4" w:themeColor="text2" w:themeTint="99"/>
          <w:sz w:val="22"/>
          <w:szCs w:val="22"/>
        </w:rPr>
        <w:t xml:space="preserve">(i.e. 345.00, 345.01, 345.10, 345.11, 345.40, 345.41, 345.50, 345.51, 345.70, 345.71, 345.90, 345.91) </w:t>
      </w:r>
    </w:p>
    <w:p w:rsidR="0066319B" w:rsidRPr="0066319B" w:rsidRDefault="0066319B" w:rsidP="0066319B">
      <w:pPr>
        <w:pStyle w:val="Default"/>
        <w:numPr>
          <w:ilvl w:val="0"/>
          <w:numId w:val="26"/>
        </w:numPr>
        <w:spacing w:after="71"/>
        <w:rPr>
          <w:rFonts w:ascii="Calibri" w:hAnsi="Calibri" w:cs="Calibri"/>
          <w:color w:val="548DD4" w:themeColor="text2" w:themeTint="99"/>
          <w:sz w:val="22"/>
          <w:szCs w:val="22"/>
        </w:rPr>
      </w:pPr>
      <w:r w:rsidRPr="0066319B">
        <w:rPr>
          <w:rFonts w:ascii="Calibri" w:hAnsi="Calibri" w:cs="Calibri"/>
          <w:color w:val="548DD4" w:themeColor="text2" w:themeTint="99"/>
          <w:sz w:val="22"/>
          <w:szCs w:val="22"/>
        </w:rPr>
        <w:t>Encounter codes (</w:t>
      </w:r>
      <w:r w:rsidRPr="0066319B">
        <w:rPr>
          <w:rFonts w:ascii="Calibri" w:hAnsi="Calibri" w:cs="Calibri"/>
          <w:i/>
          <w:iCs/>
          <w:color w:val="548DD4" w:themeColor="text2" w:themeTint="99"/>
          <w:sz w:val="22"/>
          <w:szCs w:val="22"/>
        </w:rPr>
        <w:t xml:space="preserve">i.e. 99201, 99202, 99203, 99204, 99205, 99212, 99213, 99214, 99215, 99241, 99242, 99243, 99244, 99245) </w:t>
      </w:r>
    </w:p>
    <w:p w:rsidR="0066319B" w:rsidRPr="0066319B" w:rsidRDefault="0066319B" w:rsidP="0066319B">
      <w:pPr>
        <w:pStyle w:val="Default"/>
        <w:numPr>
          <w:ilvl w:val="0"/>
          <w:numId w:val="26"/>
        </w:numPr>
        <w:spacing w:after="71"/>
        <w:rPr>
          <w:rFonts w:ascii="Calibri" w:hAnsi="Calibri" w:cs="Calibri"/>
          <w:color w:val="548DD4" w:themeColor="text2" w:themeTint="99"/>
          <w:sz w:val="22"/>
          <w:szCs w:val="22"/>
        </w:rPr>
      </w:pPr>
      <w:r w:rsidRPr="0066319B">
        <w:rPr>
          <w:rFonts w:ascii="Calibri" w:hAnsi="Calibri" w:cs="Calibri"/>
          <w:color w:val="548DD4" w:themeColor="text2" w:themeTint="99"/>
          <w:sz w:val="22"/>
          <w:szCs w:val="22"/>
        </w:rPr>
        <w:t xml:space="preserve">Date of birth ranges </w:t>
      </w:r>
      <w:r w:rsidRPr="0066319B">
        <w:rPr>
          <w:rFonts w:ascii="Calibri" w:hAnsi="Calibri" w:cs="Calibri"/>
          <w:i/>
          <w:iCs/>
          <w:color w:val="548DD4" w:themeColor="text2" w:themeTint="99"/>
          <w:sz w:val="22"/>
          <w:szCs w:val="22"/>
        </w:rPr>
        <w:t xml:space="preserve">(i.e. 01/01/1968-01/01/2000) </w:t>
      </w:r>
    </w:p>
    <w:p w:rsidR="0066319B" w:rsidRPr="0066319B" w:rsidRDefault="0066319B" w:rsidP="0066319B">
      <w:pPr>
        <w:pStyle w:val="Default"/>
        <w:numPr>
          <w:ilvl w:val="0"/>
          <w:numId w:val="26"/>
        </w:numPr>
        <w:rPr>
          <w:rFonts w:ascii="Calibri" w:hAnsi="Calibri" w:cs="Calibri"/>
          <w:color w:val="548DD4" w:themeColor="text2" w:themeTint="99"/>
          <w:sz w:val="22"/>
          <w:szCs w:val="22"/>
        </w:rPr>
      </w:pPr>
      <w:r w:rsidRPr="0066319B">
        <w:rPr>
          <w:rFonts w:ascii="Calibri" w:hAnsi="Calibri" w:cs="Calibri"/>
          <w:color w:val="548DD4" w:themeColor="text2" w:themeTint="99"/>
          <w:sz w:val="22"/>
          <w:szCs w:val="22"/>
        </w:rPr>
        <w:t xml:space="preserve">Date of service ranges </w:t>
      </w:r>
      <w:r w:rsidRPr="0066319B">
        <w:rPr>
          <w:rFonts w:ascii="Calibri" w:hAnsi="Calibri" w:cs="Calibri"/>
          <w:i/>
          <w:iCs/>
          <w:color w:val="548DD4" w:themeColor="text2" w:themeTint="99"/>
          <w:sz w:val="22"/>
          <w:szCs w:val="22"/>
        </w:rPr>
        <w:t xml:space="preserve">(i.e. 01/01/2012- 12/31/2012) </w:t>
      </w:r>
    </w:p>
    <w:p w:rsidR="0066319B" w:rsidRPr="0066319B" w:rsidRDefault="0066319B" w:rsidP="0066319B">
      <w:pPr>
        <w:pStyle w:val="Default"/>
        <w:rPr>
          <w:rFonts w:ascii="Calibri" w:hAnsi="Calibri" w:cs="Calibri"/>
          <w:color w:val="548DD4" w:themeColor="text2" w:themeTint="99"/>
          <w:sz w:val="22"/>
          <w:szCs w:val="22"/>
        </w:rPr>
      </w:pPr>
    </w:p>
    <w:p w:rsidR="0066319B" w:rsidRPr="0066319B" w:rsidRDefault="0066319B" w:rsidP="0066319B">
      <w:pPr>
        <w:pStyle w:val="Default"/>
        <w:rPr>
          <w:rFonts w:ascii="Calibri" w:hAnsi="Calibri" w:cs="Calibri"/>
          <w:color w:val="548DD4" w:themeColor="text2" w:themeTint="99"/>
          <w:sz w:val="22"/>
          <w:szCs w:val="22"/>
        </w:rPr>
      </w:pPr>
      <w:r w:rsidRPr="0066319B">
        <w:rPr>
          <w:rFonts w:ascii="Calibri" w:hAnsi="Calibri" w:cs="Calibri"/>
          <w:color w:val="548DD4" w:themeColor="text2" w:themeTint="99"/>
          <w:sz w:val="22"/>
          <w:szCs w:val="22"/>
        </w:rPr>
        <w:t xml:space="preserve">MNCM did not identify any major flaws or issues during the review of each medical group’s denominator forms and therefore each medical group passed denominator certification within the given timeframe. There were a few corrections and clarifications that required MNCM to send a follow-up email to the respective group; however, each issue was resolved in a timely manner. The list below documents the issues that were identified and required additional follow-up based on the information received on the denominator certification forms: </w:t>
      </w:r>
    </w:p>
    <w:p w:rsidR="0066319B" w:rsidRPr="0066319B" w:rsidRDefault="0066319B" w:rsidP="0066319B">
      <w:pPr>
        <w:pStyle w:val="Default"/>
        <w:numPr>
          <w:ilvl w:val="0"/>
          <w:numId w:val="26"/>
        </w:numPr>
        <w:spacing w:after="71"/>
        <w:rPr>
          <w:rFonts w:ascii="Calibri" w:hAnsi="Calibri" w:cs="Calibri"/>
          <w:color w:val="548DD4" w:themeColor="text2" w:themeTint="99"/>
          <w:sz w:val="22"/>
          <w:szCs w:val="22"/>
        </w:rPr>
      </w:pPr>
      <w:r w:rsidRPr="0066319B">
        <w:rPr>
          <w:rFonts w:ascii="Calibri" w:hAnsi="Calibri" w:cs="Calibri"/>
          <w:color w:val="548DD4" w:themeColor="text2" w:themeTint="99"/>
          <w:sz w:val="22"/>
          <w:szCs w:val="22"/>
        </w:rPr>
        <w:t xml:space="preserve">Incorrect diagnosis codes included in data query </w:t>
      </w:r>
    </w:p>
    <w:p w:rsidR="0066319B" w:rsidRPr="0066319B" w:rsidRDefault="0066319B" w:rsidP="0066319B">
      <w:pPr>
        <w:pStyle w:val="Default"/>
        <w:numPr>
          <w:ilvl w:val="0"/>
          <w:numId w:val="26"/>
        </w:numPr>
        <w:spacing w:after="71"/>
        <w:rPr>
          <w:rFonts w:ascii="Calibri" w:hAnsi="Calibri" w:cs="Calibri"/>
          <w:color w:val="548DD4" w:themeColor="text2" w:themeTint="99"/>
          <w:sz w:val="22"/>
          <w:szCs w:val="22"/>
        </w:rPr>
      </w:pPr>
      <w:r w:rsidRPr="0066319B">
        <w:rPr>
          <w:rFonts w:ascii="Calibri" w:hAnsi="Calibri" w:cs="Calibri"/>
          <w:color w:val="548DD4" w:themeColor="text2" w:themeTint="99"/>
          <w:sz w:val="22"/>
          <w:szCs w:val="22"/>
        </w:rPr>
        <w:t xml:space="preserve">Group did not indicate if they would be submitting a sample or full population for the measure </w:t>
      </w:r>
    </w:p>
    <w:p w:rsidR="0066319B" w:rsidRPr="0066319B" w:rsidRDefault="0066319B" w:rsidP="0066319B">
      <w:pPr>
        <w:pStyle w:val="Default"/>
        <w:numPr>
          <w:ilvl w:val="0"/>
          <w:numId w:val="26"/>
        </w:numPr>
        <w:rPr>
          <w:rFonts w:ascii="Calibri" w:hAnsi="Calibri" w:cs="Calibri"/>
          <w:color w:val="548DD4" w:themeColor="text2" w:themeTint="99"/>
          <w:sz w:val="22"/>
          <w:szCs w:val="22"/>
        </w:rPr>
      </w:pPr>
      <w:r w:rsidRPr="0066319B">
        <w:rPr>
          <w:rFonts w:ascii="Calibri" w:hAnsi="Calibri" w:cs="Calibri"/>
          <w:color w:val="548DD4" w:themeColor="text2" w:themeTint="99"/>
          <w:sz w:val="22"/>
          <w:szCs w:val="22"/>
        </w:rPr>
        <w:t xml:space="preserve">Incorrect encounter codes included in data query </w:t>
      </w:r>
    </w:p>
    <w:p w:rsidR="0066319B" w:rsidRPr="0066319B" w:rsidRDefault="0066319B" w:rsidP="0066319B">
      <w:pPr>
        <w:pStyle w:val="Default"/>
        <w:rPr>
          <w:rFonts w:ascii="Calibri" w:hAnsi="Calibri" w:cs="Calibri"/>
          <w:color w:val="548DD4" w:themeColor="text2" w:themeTint="99"/>
          <w:sz w:val="22"/>
          <w:szCs w:val="22"/>
        </w:rPr>
      </w:pPr>
    </w:p>
    <w:p w:rsidR="0066319B" w:rsidRPr="0066319B" w:rsidRDefault="0066319B" w:rsidP="0066319B">
      <w:pPr>
        <w:pStyle w:val="Default"/>
        <w:rPr>
          <w:rFonts w:ascii="Calibri" w:hAnsi="Calibri" w:cs="Calibri"/>
          <w:color w:val="548DD4" w:themeColor="text2" w:themeTint="99"/>
          <w:sz w:val="22"/>
          <w:szCs w:val="22"/>
        </w:rPr>
      </w:pPr>
      <w:r w:rsidRPr="0066319B">
        <w:rPr>
          <w:rFonts w:ascii="Calibri" w:hAnsi="Calibri" w:cs="Calibri"/>
          <w:b/>
          <w:bCs/>
          <w:i/>
          <w:iCs/>
          <w:color w:val="548DD4" w:themeColor="text2" w:themeTint="99"/>
          <w:sz w:val="22"/>
          <w:szCs w:val="22"/>
        </w:rPr>
        <w:t xml:space="preserve">Data File Quality Checks </w:t>
      </w:r>
    </w:p>
    <w:p w:rsidR="0066319B" w:rsidRPr="0066319B" w:rsidRDefault="0066319B" w:rsidP="0066319B">
      <w:pPr>
        <w:pStyle w:val="Default"/>
        <w:rPr>
          <w:rFonts w:ascii="Calibri" w:hAnsi="Calibri" w:cs="Calibri"/>
          <w:color w:val="548DD4" w:themeColor="text2" w:themeTint="99"/>
          <w:sz w:val="22"/>
          <w:szCs w:val="22"/>
        </w:rPr>
      </w:pPr>
      <w:r w:rsidRPr="0066319B">
        <w:rPr>
          <w:rFonts w:ascii="Calibri" w:hAnsi="Calibri" w:cs="Calibri"/>
          <w:color w:val="548DD4" w:themeColor="text2" w:themeTint="99"/>
          <w:sz w:val="22"/>
          <w:szCs w:val="22"/>
        </w:rPr>
        <w:t xml:space="preserve">After each medical group submitted their data file to MNCM, quality checks of the files were completed. Each column in the data file represented a field of data for each patient row; the following checks were completed: </w:t>
      </w:r>
    </w:p>
    <w:p w:rsidR="0066319B" w:rsidRPr="0066319B" w:rsidRDefault="0066319B" w:rsidP="0066319B">
      <w:pPr>
        <w:pStyle w:val="Default"/>
        <w:numPr>
          <w:ilvl w:val="0"/>
          <w:numId w:val="26"/>
        </w:numPr>
        <w:spacing w:after="68"/>
        <w:rPr>
          <w:rFonts w:ascii="Calibri" w:hAnsi="Calibri" w:cs="Calibri"/>
          <w:color w:val="548DD4" w:themeColor="text2" w:themeTint="99"/>
          <w:sz w:val="22"/>
          <w:szCs w:val="22"/>
        </w:rPr>
      </w:pPr>
      <w:r w:rsidRPr="0066319B">
        <w:rPr>
          <w:rFonts w:ascii="Calibri" w:hAnsi="Calibri" w:cs="Calibri"/>
          <w:color w:val="548DD4" w:themeColor="text2" w:themeTint="99"/>
          <w:sz w:val="22"/>
          <w:szCs w:val="22"/>
        </w:rPr>
        <w:t xml:space="preserve">Number of patients/rows submitted were reasonable/expected </w:t>
      </w:r>
    </w:p>
    <w:p w:rsidR="0066319B" w:rsidRPr="0066319B" w:rsidRDefault="0066319B" w:rsidP="0066319B">
      <w:pPr>
        <w:pStyle w:val="Default"/>
        <w:numPr>
          <w:ilvl w:val="0"/>
          <w:numId w:val="26"/>
        </w:numPr>
        <w:spacing w:after="68"/>
        <w:rPr>
          <w:rFonts w:ascii="Calibri" w:hAnsi="Calibri" w:cs="Calibri"/>
          <w:color w:val="548DD4" w:themeColor="text2" w:themeTint="99"/>
          <w:sz w:val="22"/>
          <w:szCs w:val="22"/>
        </w:rPr>
      </w:pPr>
      <w:r w:rsidRPr="0066319B">
        <w:rPr>
          <w:rFonts w:ascii="Calibri" w:hAnsi="Calibri" w:cs="Calibri"/>
          <w:color w:val="548DD4" w:themeColor="text2" w:themeTint="99"/>
          <w:sz w:val="22"/>
          <w:szCs w:val="22"/>
        </w:rPr>
        <w:t xml:space="preserve">Necessary data fields (columns) were included and completed appropriately </w:t>
      </w:r>
    </w:p>
    <w:p w:rsidR="0066319B" w:rsidRPr="0066319B" w:rsidRDefault="0066319B" w:rsidP="0066319B">
      <w:pPr>
        <w:pStyle w:val="Default"/>
        <w:numPr>
          <w:ilvl w:val="0"/>
          <w:numId w:val="26"/>
        </w:numPr>
        <w:spacing w:after="68"/>
        <w:rPr>
          <w:rFonts w:ascii="Calibri" w:hAnsi="Calibri" w:cs="Calibri"/>
          <w:color w:val="548DD4" w:themeColor="text2" w:themeTint="99"/>
          <w:sz w:val="22"/>
          <w:szCs w:val="22"/>
        </w:rPr>
      </w:pPr>
      <w:r w:rsidRPr="0066319B">
        <w:rPr>
          <w:rFonts w:ascii="Calibri" w:hAnsi="Calibri" w:cs="Calibri"/>
          <w:color w:val="548DD4" w:themeColor="text2" w:themeTint="99"/>
          <w:sz w:val="22"/>
          <w:szCs w:val="22"/>
        </w:rPr>
        <w:t xml:space="preserve">Patient date of birth spanned the expected range </w:t>
      </w:r>
    </w:p>
    <w:p w:rsidR="0066319B" w:rsidRPr="0066319B" w:rsidRDefault="0066319B" w:rsidP="0066319B">
      <w:pPr>
        <w:pStyle w:val="Default"/>
        <w:numPr>
          <w:ilvl w:val="0"/>
          <w:numId w:val="26"/>
        </w:numPr>
        <w:spacing w:after="68"/>
        <w:rPr>
          <w:rFonts w:ascii="Calibri" w:hAnsi="Calibri" w:cs="Calibri"/>
          <w:color w:val="548DD4" w:themeColor="text2" w:themeTint="99"/>
          <w:sz w:val="22"/>
          <w:szCs w:val="22"/>
        </w:rPr>
      </w:pPr>
      <w:r w:rsidRPr="0066319B">
        <w:rPr>
          <w:rFonts w:ascii="Calibri" w:hAnsi="Calibri" w:cs="Calibri"/>
          <w:color w:val="548DD4" w:themeColor="text2" w:themeTint="99"/>
          <w:sz w:val="22"/>
          <w:szCs w:val="22"/>
        </w:rPr>
        <w:t xml:space="preserve">Zip codes were 5-digit and primarily within MN and other bordering states as expected </w:t>
      </w:r>
    </w:p>
    <w:p w:rsidR="0066319B" w:rsidRPr="0066319B" w:rsidRDefault="0066319B" w:rsidP="0066319B">
      <w:pPr>
        <w:pStyle w:val="Default"/>
        <w:numPr>
          <w:ilvl w:val="0"/>
          <w:numId w:val="26"/>
        </w:numPr>
        <w:spacing w:after="68"/>
        <w:rPr>
          <w:rFonts w:ascii="Calibri" w:hAnsi="Calibri" w:cs="Calibri"/>
          <w:color w:val="548DD4" w:themeColor="text2" w:themeTint="99"/>
          <w:sz w:val="22"/>
          <w:szCs w:val="22"/>
        </w:rPr>
      </w:pPr>
      <w:r w:rsidRPr="0066319B">
        <w:rPr>
          <w:rFonts w:ascii="Calibri" w:hAnsi="Calibri" w:cs="Calibri"/>
          <w:color w:val="548DD4" w:themeColor="text2" w:themeTint="99"/>
          <w:sz w:val="22"/>
          <w:szCs w:val="22"/>
        </w:rPr>
        <w:t xml:space="preserve">Race field(s) were included and populated appropriately </w:t>
      </w:r>
    </w:p>
    <w:p w:rsidR="0066319B" w:rsidRPr="0066319B" w:rsidRDefault="0066319B" w:rsidP="0066319B">
      <w:pPr>
        <w:pStyle w:val="Default"/>
        <w:numPr>
          <w:ilvl w:val="0"/>
          <w:numId w:val="26"/>
        </w:numPr>
        <w:spacing w:after="68"/>
        <w:rPr>
          <w:rFonts w:ascii="Calibri" w:hAnsi="Calibri" w:cs="Calibri"/>
          <w:color w:val="548DD4" w:themeColor="text2" w:themeTint="99"/>
          <w:sz w:val="22"/>
          <w:szCs w:val="22"/>
        </w:rPr>
      </w:pPr>
      <w:r w:rsidRPr="0066319B">
        <w:rPr>
          <w:rFonts w:ascii="Calibri" w:hAnsi="Calibri" w:cs="Calibri"/>
          <w:color w:val="548DD4" w:themeColor="text2" w:themeTint="99"/>
          <w:sz w:val="22"/>
          <w:szCs w:val="22"/>
        </w:rPr>
        <w:t xml:space="preserve">Provider NPI field was included and number of providers expected </w:t>
      </w:r>
    </w:p>
    <w:p w:rsidR="0066319B" w:rsidRPr="0066319B" w:rsidRDefault="0066319B" w:rsidP="0066319B">
      <w:pPr>
        <w:pStyle w:val="Default"/>
        <w:numPr>
          <w:ilvl w:val="0"/>
          <w:numId w:val="26"/>
        </w:numPr>
        <w:spacing w:after="68"/>
        <w:rPr>
          <w:rFonts w:ascii="Calibri" w:hAnsi="Calibri" w:cs="Calibri"/>
          <w:color w:val="548DD4" w:themeColor="text2" w:themeTint="99"/>
          <w:sz w:val="22"/>
          <w:szCs w:val="22"/>
        </w:rPr>
      </w:pPr>
      <w:r w:rsidRPr="0066319B">
        <w:rPr>
          <w:rFonts w:ascii="Calibri" w:hAnsi="Calibri" w:cs="Calibri"/>
          <w:color w:val="548DD4" w:themeColor="text2" w:themeTint="99"/>
          <w:sz w:val="22"/>
          <w:szCs w:val="22"/>
        </w:rPr>
        <w:t xml:space="preserve">Insurance information was included and was reasonable </w:t>
      </w:r>
    </w:p>
    <w:p w:rsidR="0066319B" w:rsidRPr="0066319B" w:rsidRDefault="0066319B" w:rsidP="0066319B">
      <w:pPr>
        <w:pStyle w:val="Default"/>
        <w:numPr>
          <w:ilvl w:val="0"/>
          <w:numId w:val="26"/>
        </w:numPr>
        <w:spacing w:after="68"/>
        <w:rPr>
          <w:rFonts w:ascii="Calibri" w:hAnsi="Calibri" w:cs="Calibri"/>
          <w:color w:val="548DD4" w:themeColor="text2" w:themeTint="99"/>
          <w:sz w:val="22"/>
          <w:szCs w:val="22"/>
        </w:rPr>
      </w:pPr>
      <w:r w:rsidRPr="0066319B">
        <w:rPr>
          <w:rFonts w:ascii="Calibri" w:hAnsi="Calibri" w:cs="Calibri"/>
          <w:color w:val="548DD4" w:themeColor="text2" w:themeTint="99"/>
          <w:sz w:val="22"/>
          <w:szCs w:val="22"/>
        </w:rPr>
        <w:t xml:space="preserve">Office visit dates and counseling dates spanned the expected range </w:t>
      </w:r>
    </w:p>
    <w:p w:rsidR="0066319B" w:rsidRPr="0066319B" w:rsidRDefault="0066319B" w:rsidP="0066319B">
      <w:pPr>
        <w:pStyle w:val="Default"/>
        <w:numPr>
          <w:ilvl w:val="0"/>
          <w:numId w:val="26"/>
        </w:numPr>
        <w:spacing w:after="68"/>
        <w:rPr>
          <w:rFonts w:ascii="Calibri" w:hAnsi="Calibri" w:cs="Calibri"/>
          <w:color w:val="548DD4" w:themeColor="text2" w:themeTint="99"/>
          <w:sz w:val="22"/>
          <w:szCs w:val="22"/>
        </w:rPr>
      </w:pPr>
      <w:r w:rsidRPr="0066319B">
        <w:rPr>
          <w:rFonts w:ascii="Calibri" w:hAnsi="Calibri" w:cs="Calibri"/>
          <w:color w:val="548DD4" w:themeColor="text2" w:themeTint="99"/>
          <w:sz w:val="22"/>
          <w:szCs w:val="22"/>
        </w:rPr>
        <w:t xml:space="preserve">Diagnoses were included and spanned the entire list of expected codes </w:t>
      </w:r>
    </w:p>
    <w:p w:rsidR="0066319B" w:rsidRPr="0066319B" w:rsidRDefault="0066319B" w:rsidP="0066319B">
      <w:pPr>
        <w:pStyle w:val="Default"/>
        <w:numPr>
          <w:ilvl w:val="0"/>
          <w:numId w:val="26"/>
        </w:numPr>
        <w:rPr>
          <w:rFonts w:ascii="Calibri" w:hAnsi="Calibri" w:cs="Calibri"/>
          <w:color w:val="548DD4" w:themeColor="text2" w:themeTint="99"/>
          <w:sz w:val="22"/>
          <w:szCs w:val="22"/>
        </w:rPr>
      </w:pPr>
      <w:r w:rsidRPr="0066319B">
        <w:rPr>
          <w:rFonts w:ascii="Calibri" w:hAnsi="Calibri" w:cs="Calibri"/>
          <w:color w:val="548DD4" w:themeColor="text2" w:themeTint="99"/>
          <w:sz w:val="22"/>
          <w:szCs w:val="22"/>
        </w:rPr>
        <w:t xml:space="preserve">Medical reasons for NOT counseling were applied correctly; were not misused </w:t>
      </w:r>
    </w:p>
    <w:p w:rsidR="0066319B" w:rsidRPr="0066319B" w:rsidRDefault="0066319B" w:rsidP="0066319B">
      <w:pPr>
        <w:pStyle w:val="Default"/>
        <w:rPr>
          <w:rFonts w:ascii="Calibri" w:hAnsi="Calibri" w:cs="Calibri"/>
          <w:color w:val="548DD4" w:themeColor="text2" w:themeTint="99"/>
          <w:sz w:val="22"/>
          <w:szCs w:val="22"/>
        </w:rPr>
      </w:pPr>
    </w:p>
    <w:p w:rsidR="0066319B" w:rsidRPr="0066319B" w:rsidRDefault="0066319B" w:rsidP="0066319B">
      <w:pPr>
        <w:pStyle w:val="Default"/>
        <w:rPr>
          <w:rFonts w:ascii="Calibri" w:hAnsi="Calibri" w:cs="Calibri"/>
          <w:color w:val="548DD4" w:themeColor="text2" w:themeTint="99"/>
          <w:sz w:val="22"/>
          <w:szCs w:val="22"/>
        </w:rPr>
      </w:pPr>
      <w:r w:rsidRPr="0066319B">
        <w:rPr>
          <w:rFonts w:ascii="Calibri" w:hAnsi="Calibri" w:cs="Calibri"/>
          <w:color w:val="548DD4" w:themeColor="text2" w:themeTint="99"/>
          <w:sz w:val="22"/>
          <w:szCs w:val="22"/>
        </w:rPr>
        <w:t xml:space="preserve">Issues identified through the data file quality checks were generally minor, requiring no corrections. Other mentionable items include: </w:t>
      </w:r>
    </w:p>
    <w:p w:rsidR="0066319B" w:rsidRPr="0066319B" w:rsidRDefault="0066319B" w:rsidP="0066319B">
      <w:pPr>
        <w:pStyle w:val="Default"/>
        <w:spacing w:after="59"/>
        <w:rPr>
          <w:rFonts w:ascii="Calibri" w:hAnsi="Calibri" w:cs="Calibri"/>
          <w:color w:val="548DD4" w:themeColor="text2" w:themeTint="99"/>
          <w:sz w:val="22"/>
          <w:szCs w:val="22"/>
        </w:rPr>
      </w:pPr>
      <w:r w:rsidRPr="0066319B">
        <w:rPr>
          <w:rFonts w:ascii="Calibri" w:hAnsi="Calibri" w:cs="Calibri"/>
          <w:color w:val="548DD4" w:themeColor="text2" w:themeTint="99"/>
          <w:sz w:val="22"/>
          <w:szCs w:val="22"/>
        </w:rPr>
        <w:t xml:space="preserve">1. All three groups did not have patients with diagnosis codes 345.70 (Epilepsia partialis continua, without mention of intractable epilepsy) or 345.71 (Epilepsia partialis continua, with intractable epilepsy). These are rare diagnoses and did not come up in the population. </w:t>
      </w:r>
    </w:p>
    <w:p w:rsidR="0066319B" w:rsidRPr="0066319B" w:rsidRDefault="0066319B" w:rsidP="0066319B">
      <w:pPr>
        <w:pStyle w:val="Default"/>
        <w:spacing w:after="59"/>
        <w:rPr>
          <w:rFonts w:ascii="Calibri" w:hAnsi="Calibri" w:cs="Calibri"/>
          <w:color w:val="548DD4" w:themeColor="text2" w:themeTint="99"/>
          <w:sz w:val="22"/>
          <w:szCs w:val="22"/>
        </w:rPr>
      </w:pPr>
      <w:r w:rsidRPr="0066319B">
        <w:rPr>
          <w:rFonts w:ascii="Calibri" w:hAnsi="Calibri" w:cs="Calibri"/>
          <w:color w:val="548DD4" w:themeColor="text2" w:themeTint="99"/>
          <w:sz w:val="22"/>
          <w:szCs w:val="22"/>
        </w:rPr>
        <w:t xml:space="preserve">2. Medical groups B and C listed many neurological or congenital conditions as reasons for the patient to NOT receive counseling. These were verified during audit. </w:t>
      </w:r>
    </w:p>
    <w:p w:rsidR="0066319B" w:rsidRPr="0066319B" w:rsidRDefault="0066319B" w:rsidP="0066319B">
      <w:pPr>
        <w:pStyle w:val="Default"/>
        <w:rPr>
          <w:rFonts w:ascii="Calibri" w:hAnsi="Calibri" w:cs="Calibri"/>
          <w:color w:val="548DD4" w:themeColor="text2" w:themeTint="99"/>
          <w:sz w:val="22"/>
          <w:szCs w:val="22"/>
        </w:rPr>
      </w:pPr>
      <w:r w:rsidRPr="0066319B">
        <w:rPr>
          <w:rFonts w:ascii="Calibri" w:hAnsi="Calibri" w:cs="Calibri"/>
          <w:color w:val="548DD4" w:themeColor="text2" w:themeTint="99"/>
          <w:sz w:val="22"/>
          <w:szCs w:val="22"/>
        </w:rPr>
        <w:t xml:space="preserve">3. Medical group C did not include their entire population in first submission, excluding patients whose date of birth was between January thru June 1968. They queried their system again, this time using the specific dates of birth (rather than “age” values) and included the additional patients in their denominator. </w:t>
      </w:r>
    </w:p>
    <w:p w:rsidR="0066319B" w:rsidRPr="0066319B" w:rsidRDefault="0066319B" w:rsidP="0066319B">
      <w:pPr>
        <w:pStyle w:val="Default"/>
        <w:rPr>
          <w:rFonts w:ascii="Calibri" w:hAnsi="Calibri" w:cs="Calibri"/>
          <w:color w:val="548DD4" w:themeColor="text2" w:themeTint="99"/>
          <w:sz w:val="22"/>
          <w:szCs w:val="22"/>
        </w:rPr>
      </w:pPr>
    </w:p>
    <w:p w:rsidR="0066319B" w:rsidRPr="0066319B" w:rsidRDefault="0066319B" w:rsidP="0066319B">
      <w:pPr>
        <w:pStyle w:val="Default"/>
        <w:rPr>
          <w:rFonts w:ascii="Calibri" w:hAnsi="Calibri" w:cs="Calibri"/>
          <w:color w:val="548DD4" w:themeColor="text2" w:themeTint="99"/>
          <w:sz w:val="22"/>
          <w:szCs w:val="22"/>
        </w:rPr>
      </w:pPr>
      <w:r w:rsidRPr="0066319B">
        <w:rPr>
          <w:rFonts w:ascii="Calibri" w:hAnsi="Calibri" w:cs="Calibri"/>
          <w:b/>
          <w:bCs/>
          <w:i/>
          <w:iCs/>
          <w:color w:val="548DD4" w:themeColor="text2" w:themeTint="99"/>
          <w:sz w:val="22"/>
          <w:szCs w:val="22"/>
        </w:rPr>
        <w:t xml:space="preserve">Validation Audit </w:t>
      </w:r>
    </w:p>
    <w:p w:rsidR="00833325" w:rsidRPr="0066319B" w:rsidRDefault="0066319B" w:rsidP="00083E1F">
      <w:pPr>
        <w:pStyle w:val="Default"/>
        <w:rPr>
          <w:rFonts w:cstheme="minorHAnsi"/>
          <w:bCs/>
          <w:color w:val="548DD4" w:themeColor="text2" w:themeTint="99"/>
        </w:rPr>
      </w:pPr>
      <w:r w:rsidRPr="0066319B">
        <w:rPr>
          <w:rFonts w:ascii="Calibri" w:hAnsi="Calibri" w:cs="Calibri"/>
          <w:color w:val="548DD4" w:themeColor="text2" w:themeTint="99"/>
          <w:sz w:val="22"/>
          <w:szCs w:val="22"/>
        </w:rPr>
        <w:t>After the data file checks were completed, MNCM completed audits of the patient records to verify the submitted clinical data. We also verified the diagnosis of epilepsy and other demographic data (e.g., race). MNCM uses a validation process developed by the NCQA – National Committee for Quality Assurance, known as the “8 and 30” process. In this process, the first eight records are verified for accuracy and if no errors are identified, the data is considered to be 100% compliant. If errors in the first eight records are identified, we continue reviewing the total 30 records to identify any error patterns and or issues that may need correction. The audits revealed some data errors, requiring one medical group to make corrections and resubmit data. Individual medical group results were as follows:</w:t>
      </w:r>
    </w:p>
    <w:p w:rsidR="00833325" w:rsidRPr="00A25024" w:rsidRDefault="0066319B" w:rsidP="00DB3627">
      <w:pPr>
        <w:autoSpaceDE w:val="0"/>
        <w:autoSpaceDN w:val="0"/>
        <w:adjustRightInd w:val="0"/>
        <w:spacing w:after="0" w:line="240" w:lineRule="auto"/>
        <w:rPr>
          <w:rFonts w:cstheme="minorHAnsi"/>
          <w:bCs/>
        </w:rPr>
      </w:pPr>
      <w:r>
        <w:rPr>
          <w:rFonts w:cstheme="minorHAnsi"/>
          <w:bCs/>
          <w:noProof/>
        </w:rPr>
        <w:drawing>
          <wp:inline distT="0" distB="0" distL="0" distR="0">
            <wp:extent cx="5280048" cy="3013544"/>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6518" cy="3011529"/>
                    </a:xfrm>
                    <a:prstGeom prst="rect">
                      <a:avLst/>
                    </a:prstGeom>
                    <a:noFill/>
                    <a:ln>
                      <a:noFill/>
                    </a:ln>
                  </pic:spPr>
                </pic:pic>
              </a:graphicData>
            </a:graphic>
          </wp:inline>
        </w:drawing>
      </w:r>
    </w:p>
    <w:p w:rsidR="0066319B" w:rsidRPr="0066319B" w:rsidRDefault="00092566" w:rsidP="0066319B">
      <w:pPr>
        <w:pStyle w:val="Default"/>
        <w:rPr>
          <w:rFonts w:ascii="Calibri" w:hAnsi="Calibri" w:cs="Calibri"/>
          <w:sz w:val="22"/>
          <w:szCs w:val="22"/>
        </w:rPr>
      </w:pPr>
      <w:r>
        <w:rPr>
          <w:rFonts w:cstheme="minorHAnsi"/>
          <w:b/>
          <w:bCs/>
        </w:rPr>
        <w:t>2b2.</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r w:rsidR="0066319B" w:rsidRPr="0066319B">
        <w:rPr>
          <w:rFonts w:ascii="Calibri" w:hAnsi="Calibri" w:cs="Calibri"/>
          <w:b/>
          <w:bCs/>
          <w:i/>
          <w:iCs/>
          <w:sz w:val="22"/>
          <w:szCs w:val="22"/>
        </w:rPr>
        <w:t xml:space="preserve">Validation/ Audit Conclusion </w:t>
      </w:r>
    </w:p>
    <w:p w:rsidR="0066319B" w:rsidRPr="00092566" w:rsidRDefault="0066319B" w:rsidP="0066319B">
      <w:pPr>
        <w:autoSpaceDE w:val="0"/>
        <w:autoSpaceDN w:val="0"/>
        <w:adjustRightInd w:val="0"/>
        <w:spacing w:after="0" w:line="240" w:lineRule="auto"/>
        <w:rPr>
          <w:rFonts w:cstheme="minorHAnsi"/>
          <w:bCs/>
        </w:rPr>
      </w:pPr>
      <w:r>
        <w:rPr>
          <w:rFonts w:cstheme="minorHAnsi"/>
          <w:bCs/>
          <w:noProof/>
        </w:rPr>
        <w:drawing>
          <wp:inline distT="0" distB="0" distL="0" distR="0">
            <wp:extent cx="4309081" cy="3572014"/>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06581" cy="3569942"/>
                    </a:xfrm>
                    <a:prstGeom prst="rect">
                      <a:avLst/>
                    </a:prstGeom>
                    <a:noFill/>
                    <a:ln>
                      <a:noFill/>
                    </a:ln>
                  </pic:spPr>
                </pic:pic>
              </a:graphicData>
            </a:graphic>
          </wp:inline>
        </w:drawing>
      </w:r>
    </w:p>
    <w:p w:rsidR="0066319B" w:rsidRPr="0066319B" w:rsidRDefault="00092566" w:rsidP="0066319B">
      <w:pPr>
        <w:autoSpaceDE w:val="0"/>
        <w:autoSpaceDN w:val="0"/>
        <w:adjustRightInd w:val="0"/>
        <w:spacing w:after="0" w:line="240" w:lineRule="auto"/>
        <w:rPr>
          <w:rFonts w:ascii="Calibri" w:hAnsi="Calibri" w:cs="Calibri"/>
          <w:color w:val="548DD4" w:themeColor="text2" w:themeTint="99"/>
        </w:rPr>
      </w:pPr>
      <w:r>
        <w:rPr>
          <w:rFonts w:cstheme="minorHAnsi"/>
          <w:b/>
          <w:bCs/>
        </w:rPr>
        <w:t>2b2.</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r w:rsidR="0066319B" w:rsidRPr="0066319B">
        <w:rPr>
          <w:rFonts w:ascii="Calibri" w:hAnsi="Calibri" w:cs="Calibri"/>
          <w:color w:val="548DD4" w:themeColor="text2" w:themeTint="99"/>
        </w:rPr>
        <w:t>The validation process was successful in identifying errors (with subsequent corrections) and verifying the accuracy of the data submitted by medical groups A, B, and C. Finding no significant flaws or errors with the data MNCM is confident the rate calculation and any additional data analysis can be completed using validated and reliable data. Additionally, during a review of the National Quality Forum’s feedback to the American Academy of Neurology for this measure, it was noted that there was a concern that this may simply be a “check-the-box” measure. During the validation audit, it was noted on several occasions that the practices provided excellent, personalized progress notes about the counseling that was being provided, that were above and beyond a “check the box”.</w:t>
      </w:r>
    </w:p>
    <w:p w:rsidR="007422FD" w:rsidRPr="00A25024" w:rsidRDefault="007422FD" w:rsidP="00DB3627">
      <w:pPr>
        <w:autoSpaceDE w:val="0"/>
        <w:autoSpaceDN w:val="0"/>
        <w:adjustRightInd w:val="0"/>
        <w:spacing w:after="0" w:line="240" w:lineRule="auto"/>
        <w:rPr>
          <w:rFonts w:cstheme="minorHAnsi"/>
          <w:bCs/>
        </w:rPr>
      </w:pPr>
    </w:p>
    <w:p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rsidR="00001D73" w:rsidRDefault="00001D73" w:rsidP="00DB3627">
      <w:pPr>
        <w:autoSpaceDE w:val="0"/>
        <w:autoSpaceDN w:val="0"/>
        <w:adjustRightInd w:val="0"/>
        <w:spacing w:after="0" w:line="240" w:lineRule="auto"/>
        <w:rPr>
          <w:rFonts w:cstheme="minorHAnsi"/>
          <w:b/>
          <w:bCs/>
        </w:rPr>
      </w:pPr>
    </w:p>
    <w:p w:rsidR="0066319B" w:rsidRPr="0066319B" w:rsidRDefault="00092566" w:rsidP="0066319B">
      <w:pPr>
        <w:pStyle w:val="Default"/>
        <w:rPr>
          <w:rFonts w:ascii="Calibri" w:hAnsi="Calibri" w:cs="Calibri"/>
          <w:color w:val="548DD4" w:themeColor="text2" w:themeTint="99"/>
          <w:sz w:val="22"/>
          <w:szCs w:val="22"/>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r>
      <w:r w:rsidR="00833325" w:rsidRPr="0066319B">
        <w:rPr>
          <w:rFonts w:cstheme="minorHAnsi"/>
          <w:bCs/>
          <w:color w:val="548DD4" w:themeColor="text2" w:themeTint="99"/>
        </w:rPr>
        <w:t xml:space="preserve"> </w:t>
      </w:r>
      <w:r w:rsidR="0066319B" w:rsidRPr="0066319B">
        <w:rPr>
          <w:rFonts w:ascii="Calibri" w:hAnsi="Calibri" w:cs="Calibri"/>
          <w:color w:val="548DD4" w:themeColor="text2" w:themeTint="99"/>
          <w:sz w:val="22"/>
          <w:szCs w:val="22"/>
        </w:rPr>
        <w:t xml:space="preserve">The main limitation that MNCM identified during the testing of the Counseling for Women with Epilepsy measure is related to the denominator of included and excluded patients. The measure specifications offered two different options for excluding patients from the measure: </w:t>
      </w:r>
    </w:p>
    <w:p w:rsidR="0066319B" w:rsidRPr="0066319B" w:rsidRDefault="0066319B" w:rsidP="0066319B">
      <w:pPr>
        <w:autoSpaceDE w:val="0"/>
        <w:autoSpaceDN w:val="0"/>
        <w:adjustRightInd w:val="0"/>
        <w:spacing w:after="56" w:line="240" w:lineRule="auto"/>
        <w:rPr>
          <w:rFonts w:ascii="Calibri" w:hAnsi="Calibri" w:cs="Calibri"/>
          <w:color w:val="548DD4" w:themeColor="text2" w:themeTint="99"/>
        </w:rPr>
      </w:pPr>
      <w:r w:rsidRPr="0066319B">
        <w:rPr>
          <w:rFonts w:ascii="Calibri" w:hAnsi="Calibri" w:cs="Calibri"/>
          <w:color w:val="548DD4" w:themeColor="text2" w:themeTint="99"/>
        </w:rPr>
        <w:t xml:space="preserve">1. Patient was surgically sterile (tubal ligation, hysterectomy) </w:t>
      </w:r>
    </w:p>
    <w:p w:rsidR="0066319B" w:rsidRPr="0066319B" w:rsidRDefault="0066319B" w:rsidP="0066319B">
      <w:pPr>
        <w:autoSpaceDE w:val="0"/>
        <w:autoSpaceDN w:val="0"/>
        <w:adjustRightInd w:val="0"/>
        <w:spacing w:after="0" w:line="240" w:lineRule="auto"/>
        <w:rPr>
          <w:rFonts w:ascii="Calibri" w:hAnsi="Calibri" w:cs="Calibri"/>
          <w:color w:val="548DD4" w:themeColor="text2" w:themeTint="99"/>
        </w:rPr>
      </w:pPr>
      <w:r w:rsidRPr="0066319B">
        <w:rPr>
          <w:rFonts w:ascii="Calibri" w:hAnsi="Calibri" w:cs="Calibri"/>
          <w:color w:val="548DD4" w:themeColor="text2" w:themeTint="99"/>
        </w:rPr>
        <w:t xml:space="preserve">2. Patient has an intellectual disability as defined by ICD-9 codes </w:t>
      </w:r>
    </w:p>
    <w:p w:rsidR="0066319B" w:rsidRPr="0066319B" w:rsidRDefault="0066319B" w:rsidP="0066319B">
      <w:pPr>
        <w:autoSpaceDE w:val="0"/>
        <w:autoSpaceDN w:val="0"/>
        <w:adjustRightInd w:val="0"/>
        <w:spacing w:after="59" w:line="240" w:lineRule="auto"/>
        <w:rPr>
          <w:rFonts w:ascii="Calibri" w:hAnsi="Calibri" w:cs="Calibri"/>
          <w:color w:val="548DD4" w:themeColor="text2" w:themeTint="99"/>
        </w:rPr>
      </w:pPr>
      <w:r w:rsidRPr="0066319B">
        <w:rPr>
          <w:rFonts w:ascii="Calibri" w:hAnsi="Calibri" w:cs="Calibri"/>
          <w:color w:val="548DD4" w:themeColor="text2" w:themeTint="99"/>
        </w:rPr>
        <w:t xml:space="preserve">a. 318.0 moderate intellectual disabilities; IQ 35 to 48 </w:t>
      </w:r>
    </w:p>
    <w:p w:rsidR="0066319B" w:rsidRPr="0066319B" w:rsidRDefault="0066319B" w:rsidP="0066319B">
      <w:pPr>
        <w:autoSpaceDE w:val="0"/>
        <w:autoSpaceDN w:val="0"/>
        <w:adjustRightInd w:val="0"/>
        <w:spacing w:after="59" w:line="240" w:lineRule="auto"/>
        <w:rPr>
          <w:rFonts w:ascii="Calibri" w:hAnsi="Calibri" w:cs="Calibri"/>
          <w:color w:val="548DD4" w:themeColor="text2" w:themeTint="99"/>
        </w:rPr>
      </w:pPr>
      <w:r w:rsidRPr="0066319B">
        <w:rPr>
          <w:rFonts w:ascii="Calibri" w:hAnsi="Calibri" w:cs="Calibri"/>
          <w:color w:val="548DD4" w:themeColor="text2" w:themeTint="99"/>
        </w:rPr>
        <w:t xml:space="preserve">b. 318.1 severe intellectual disabilities; IQ 20 to 34 </w:t>
      </w:r>
    </w:p>
    <w:p w:rsidR="0066319B" w:rsidRPr="0066319B" w:rsidRDefault="0066319B" w:rsidP="0066319B">
      <w:pPr>
        <w:autoSpaceDE w:val="0"/>
        <w:autoSpaceDN w:val="0"/>
        <w:adjustRightInd w:val="0"/>
        <w:spacing w:after="0" w:line="240" w:lineRule="auto"/>
        <w:rPr>
          <w:rFonts w:ascii="Calibri" w:hAnsi="Calibri" w:cs="Calibri"/>
          <w:color w:val="548DD4" w:themeColor="text2" w:themeTint="99"/>
        </w:rPr>
      </w:pPr>
      <w:r w:rsidRPr="0066319B">
        <w:rPr>
          <w:rFonts w:ascii="Calibri" w:hAnsi="Calibri" w:cs="Calibri"/>
          <w:color w:val="548DD4" w:themeColor="text2" w:themeTint="99"/>
        </w:rPr>
        <w:t xml:space="preserve">c. 318.2 profound intellectual disabilities; IQ under 20 </w:t>
      </w:r>
    </w:p>
    <w:p w:rsidR="0066319B" w:rsidRPr="0066319B" w:rsidRDefault="0066319B" w:rsidP="0066319B">
      <w:pPr>
        <w:autoSpaceDE w:val="0"/>
        <w:autoSpaceDN w:val="0"/>
        <w:adjustRightInd w:val="0"/>
        <w:spacing w:after="0" w:line="240" w:lineRule="auto"/>
        <w:rPr>
          <w:rFonts w:ascii="Calibri" w:hAnsi="Calibri" w:cs="Calibri"/>
          <w:color w:val="548DD4" w:themeColor="text2" w:themeTint="99"/>
        </w:rPr>
      </w:pPr>
    </w:p>
    <w:p w:rsidR="00833325" w:rsidRPr="0066319B" w:rsidRDefault="0066319B" w:rsidP="0066319B">
      <w:pPr>
        <w:autoSpaceDE w:val="0"/>
        <w:autoSpaceDN w:val="0"/>
        <w:adjustRightInd w:val="0"/>
        <w:spacing w:after="0" w:line="240" w:lineRule="auto"/>
        <w:rPr>
          <w:rFonts w:cstheme="minorHAnsi"/>
          <w:bCs/>
          <w:color w:val="548DD4" w:themeColor="text2" w:themeTint="99"/>
        </w:rPr>
      </w:pPr>
      <w:r w:rsidRPr="0066319B">
        <w:rPr>
          <w:rFonts w:ascii="Calibri" w:hAnsi="Calibri" w:cs="Calibri"/>
          <w:color w:val="548DD4" w:themeColor="text2" w:themeTint="99"/>
        </w:rPr>
        <w:t>Groups submitted these patients and indicated which reason applied. Additionally, if they felt that there was another medical reason for not providing counseling, they indicated this by a code and accompanying description. These reasons were not used to exclude patients from the measure; rather the purpose was to provide additional information about the population of patients included in the measure. Reasons Provided by Medical Groups for Not Providing Counseling:</w:t>
      </w:r>
    </w:p>
    <w:p w:rsidR="00833325" w:rsidRPr="00A25024" w:rsidRDefault="0066319B" w:rsidP="00DB3627">
      <w:pPr>
        <w:autoSpaceDE w:val="0"/>
        <w:autoSpaceDN w:val="0"/>
        <w:adjustRightInd w:val="0"/>
        <w:spacing w:after="0" w:line="240" w:lineRule="auto"/>
        <w:rPr>
          <w:rFonts w:cstheme="minorHAnsi"/>
          <w:bCs/>
        </w:rPr>
      </w:pPr>
      <w:r>
        <w:rPr>
          <w:rFonts w:cstheme="minorHAnsi"/>
          <w:bCs/>
          <w:noProof/>
        </w:rPr>
        <w:drawing>
          <wp:inline distT="0" distB="0" distL="0" distR="0">
            <wp:extent cx="4367547" cy="291812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71346" cy="2920667"/>
                    </a:xfrm>
                    <a:prstGeom prst="rect">
                      <a:avLst/>
                    </a:prstGeom>
                    <a:noFill/>
                    <a:ln>
                      <a:noFill/>
                    </a:ln>
                  </pic:spPr>
                </pic:pic>
              </a:graphicData>
            </a:graphic>
          </wp:inline>
        </w:drawing>
      </w:r>
    </w:p>
    <w:p w:rsidR="007422FD" w:rsidRDefault="00092566" w:rsidP="00092566">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r w:rsidR="00083E1F">
        <w:rPr>
          <w:rFonts w:cstheme="minorHAnsi"/>
          <w:bCs/>
          <w:noProof/>
        </w:rPr>
        <w:drawing>
          <wp:inline distT="0" distB="0" distL="0" distR="0" wp14:anchorId="37E385A6" wp14:editId="2E8AF411">
            <wp:extent cx="3912042" cy="3242889"/>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11829" cy="3242713"/>
                    </a:xfrm>
                    <a:prstGeom prst="rect">
                      <a:avLst/>
                    </a:prstGeom>
                    <a:noFill/>
                    <a:ln>
                      <a:noFill/>
                    </a:ln>
                  </pic:spPr>
                </pic:pic>
              </a:graphicData>
            </a:graphic>
          </wp:inline>
        </w:drawing>
      </w:r>
    </w:p>
    <w:p w:rsidR="00092566" w:rsidRPr="00092566" w:rsidRDefault="00092566" w:rsidP="00092566">
      <w:pPr>
        <w:autoSpaceDE w:val="0"/>
        <w:autoSpaceDN w:val="0"/>
        <w:adjustRightInd w:val="0"/>
        <w:spacing w:after="0" w:line="240" w:lineRule="auto"/>
        <w:rPr>
          <w:rFonts w:cstheme="minorHAnsi"/>
          <w:bCs/>
        </w:rPr>
      </w:pPr>
    </w:p>
    <w:p w:rsidR="007422FD" w:rsidRPr="00083E1F" w:rsidRDefault="00092566" w:rsidP="00083E1F">
      <w:pPr>
        <w:pStyle w:val="Default"/>
        <w:rPr>
          <w:rFonts w:cstheme="minorHAnsi"/>
          <w:bCs/>
          <w:color w:val="548DD4" w:themeColor="text2" w:themeTint="99"/>
        </w:rPr>
      </w:pPr>
      <w:r>
        <w:rPr>
          <w:rFonts w:cstheme="minorHAnsi"/>
          <w:b/>
          <w:bCs/>
        </w:rPr>
        <w:t>2b3.</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r w:rsidR="00083E1F" w:rsidRPr="00083E1F">
        <w:rPr>
          <w:rFonts w:ascii="Calibri" w:hAnsi="Calibri" w:cs="Calibri"/>
          <w:color w:val="548DD4" w:themeColor="text2" w:themeTint="99"/>
          <w:sz w:val="22"/>
          <w:szCs w:val="22"/>
        </w:rPr>
        <w:t xml:space="preserve">During the analysis of this data and also as a byproduct of the validation audit in reviewing medical records, MNCM staff has some concerns regarding the denominator and intent of the measure. There may need to be a consideration for adding a component of indicating that the patient is sexually active or has the potential to be sexually active, and not </w:t>
      </w:r>
      <w:r w:rsidR="00083E1F" w:rsidRPr="00083E1F">
        <w:rPr>
          <w:rFonts w:ascii="Calibri" w:hAnsi="Calibri" w:cs="Calibri"/>
          <w:color w:val="548DD4" w:themeColor="text2" w:themeTint="99"/>
        </w:rPr>
        <w:t>physically handicapped. AAN could refer to the NCQA specifications for the Chlamydia Screening in Women measure (NQF# 0033/ CMS 153v1) for reference tables indicating how to identify potentially sexually active women via pharmacy codes, CPTs, ICD-9, UB Revenue and LOINC codes. Rather than trying to capture/ code every possible exclusion; this may be an option. MNCM would not recommend having a general type exclusions code, like one that is stated as “any documented medical reason, because providers will use this to their advantage and exclude patients that are at risk for pregnancy and truly belong in the denominator. Having this type of exclusion weakens the measure, and can impact the validity and reliability of the results.</w:t>
      </w:r>
    </w:p>
    <w:p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rsidR="008871A9" w:rsidRDefault="008871A9" w:rsidP="00092566">
      <w:pPr>
        <w:autoSpaceDE w:val="0"/>
        <w:autoSpaceDN w:val="0"/>
        <w:adjustRightInd w:val="0"/>
        <w:spacing w:after="0" w:line="240" w:lineRule="auto"/>
        <w:rPr>
          <w:rFonts w:cstheme="minorHAnsi"/>
          <w:b/>
          <w:bCs/>
        </w:rPr>
      </w:pPr>
    </w:p>
    <w:p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r w:rsidR="00743E46" w:rsidRPr="005232D6">
        <w:rPr>
          <w:rFonts w:cstheme="minorHAnsi"/>
          <w:b/>
          <w:bCs/>
        </w:rPr>
        <w:t>What method of controlling for differences in case mix is used?</w:t>
      </w:r>
    </w:p>
    <w:p w:rsidR="00033038" w:rsidRPr="005232D6" w:rsidRDefault="00B17C85"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083E1F">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rsidR="00743E46" w:rsidRPr="005232D6" w:rsidRDefault="00B17C85"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rsidR="00743E46" w:rsidRPr="005232D6" w:rsidRDefault="00B17C85"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rsidR="00743E46" w:rsidRPr="005232D6" w:rsidRDefault="00B17C85"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rsidR="00743E46" w:rsidRDefault="00743E46" w:rsidP="00092566">
      <w:pPr>
        <w:autoSpaceDE w:val="0"/>
        <w:autoSpaceDN w:val="0"/>
        <w:adjustRightInd w:val="0"/>
        <w:spacing w:after="0" w:line="240" w:lineRule="auto"/>
        <w:rPr>
          <w:rFonts w:cstheme="minorHAnsi"/>
          <w:b/>
          <w:bCs/>
        </w:rPr>
      </w:pPr>
    </w:p>
    <w:p w:rsidR="00092566" w:rsidRPr="00A25024" w:rsidRDefault="00743E46" w:rsidP="00092566">
      <w:pPr>
        <w:autoSpaceDE w:val="0"/>
        <w:autoSpaceDN w:val="0"/>
        <w:adjustRightInd w:val="0"/>
        <w:spacing w:after="0" w:line="240" w:lineRule="auto"/>
        <w:rPr>
          <w:rFonts w:cstheme="minorHAnsi"/>
          <w:bCs/>
        </w:rPr>
      </w:pPr>
      <w:r>
        <w:rPr>
          <w:rFonts w:cstheme="minorHAnsi"/>
          <w:b/>
          <w:bCs/>
        </w:rPr>
        <w:t xml:space="preserve">2b4.2. </w:t>
      </w:r>
      <w:r w:rsidR="008871A9">
        <w:rPr>
          <w:rFonts w:cstheme="minorHAnsi"/>
          <w:b/>
          <w:bCs/>
        </w:rPr>
        <w:t xml:space="preserve">If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p>
    <w:p w:rsidR="00092566" w:rsidRPr="00A25024" w:rsidRDefault="00092566" w:rsidP="00092566">
      <w:pPr>
        <w:pStyle w:val="ListParagraph"/>
        <w:autoSpaceDE w:val="0"/>
        <w:autoSpaceDN w:val="0"/>
        <w:adjustRightInd w:val="0"/>
        <w:spacing w:after="0" w:line="240" w:lineRule="auto"/>
        <w:ind w:left="360"/>
        <w:rPr>
          <w:rFonts w:cstheme="minorHAnsi"/>
          <w:bCs/>
        </w:rPr>
      </w:pPr>
    </w:p>
    <w:p w:rsidR="00092566" w:rsidRDefault="00092566" w:rsidP="00001D73">
      <w:pPr>
        <w:autoSpaceDE w:val="0"/>
        <w:autoSpaceDN w:val="0"/>
        <w:adjustRightInd w:val="0"/>
        <w:spacing w:after="0" w:line="240" w:lineRule="auto"/>
        <w:rPr>
          <w:rFonts w:cstheme="minorHAnsi"/>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Pr="00A25024">
        <w:rPr>
          <w:rFonts w:cstheme="minorHAnsi"/>
          <w:bCs/>
        </w:rPr>
        <w:t>)</w:t>
      </w:r>
      <w:r w:rsidRPr="00A25024">
        <w:rPr>
          <w:rFonts w:cstheme="minorHAnsi"/>
          <w:bCs/>
        </w:rPr>
        <w:br/>
      </w:r>
    </w:p>
    <w:p w:rsidR="00001D73" w:rsidRPr="00001D73" w:rsidRDefault="00001D73" w:rsidP="00001D73">
      <w:pPr>
        <w:autoSpaceDE w:val="0"/>
        <w:autoSpaceDN w:val="0"/>
        <w:adjustRightInd w:val="0"/>
        <w:spacing w:after="0" w:line="240" w:lineRule="auto"/>
        <w:rPr>
          <w:rFonts w:cstheme="minorHAnsi"/>
          <w:bCs/>
        </w:rPr>
      </w:pPr>
    </w:p>
    <w:p w:rsidR="00092566" w:rsidRDefault="00092566" w:rsidP="00001D73">
      <w:pPr>
        <w:autoSpaceDE w:val="0"/>
        <w:autoSpaceDN w:val="0"/>
        <w:adjustRightInd w:val="0"/>
        <w:spacing w:after="0" w:line="240" w:lineRule="auto"/>
        <w:rPr>
          <w:rFonts w:cstheme="minorHAnsi"/>
          <w:b/>
          <w:bCs/>
        </w:rPr>
      </w:pPr>
      <w:r>
        <w:rPr>
          <w:rFonts w:cstheme="minorHAnsi"/>
          <w:b/>
          <w:bCs/>
        </w:rPr>
        <w:t xml:space="preserve">2b4.4. </w:t>
      </w:r>
      <w:r w:rsidRPr="00A25024">
        <w:rPr>
          <w:rFonts w:cstheme="minorHAnsi"/>
          <w:b/>
          <w:bCs/>
        </w:rPr>
        <w:t>What were the statistical results of the analyses used to select risk factors?</w:t>
      </w:r>
      <w:r w:rsidR="00001D73">
        <w:rPr>
          <w:rFonts w:cstheme="minorHAnsi"/>
          <w:b/>
          <w:bCs/>
        </w:rPr>
        <w:br/>
      </w:r>
    </w:p>
    <w:p w:rsidR="00001D73" w:rsidRPr="00001D73" w:rsidRDefault="00001D73" w:rsidP="00001D73">
      <w:pPr>
        <w:autoSpaceDE w:val="0"/>
        <w:autoSpaceDN w:val="0"/>
        <w:adjustRightInd w:val="0"/>
        <w:spacing w:after="0" w:line="240" w:lineRule="auto"/>
        <w:rPr>
          <w:rFonts w:cstheme="minorHAnsi"/>
          <w:b/>
          <w:bCs/>
        </w:rPr>
      </w:pPr>
    </w:p>
    <w:p w:rsidR="00092566" w:rsidRPr="00A25024" w:rsidRDefault="00E1508F" w:rsidP="00092566">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rsidR="00092566" w:rsidRPr="00A25024" w:rsidRDefault="00092566" w:rsidP="00092566">
      <w:pPr>
        <w:autoSpaceDE w:val="0"/>
        <w:autoSpaceDN w:val="0"/>
        <w:adjustRightInd w:val="0"/>
        <w:spacing w:after="0" w:line="240" w:lineRule="auto"/>
        <w:rPr>
          <w:rFonts w:cstheme="minorHAnsi"/>
          <w:bCs/>
        </w:rPr>
      </w:pPr>
    </w:p>
    <w:p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rsidR="00743E46" w:rsidRDefault="00743E46" w:rsidP="00092566">
      <w:pPr>
        <w:autoSpaceDE w:val="0"/>
        <w:autoSpaceDN w:val="0"/>
        <w:adjustRightInd w:val="0"/>
        <w:spacing w:after="0" w:line="240" w:lineRule="auto"/>
        <w:rPr>
          <w:rFonts w:cstheme="minorHAnsi"/>
          <w:b/>
          <w:bCs/>
        </w:rPr>
      </w:pPr>
    </w:p>
    <w:p w:rsidR="00001D73" w:rsidRPr="00001D73" w:rsidRDefault="00743E46" w:rsidP="00092566">
      <w:pPr>
        <w:autoSpaceDE w:val="0"/>
        <w:autoSpaceDN w:val="0"/>
        <w:adjustRightInd w:val="0"/>
        <w:spacing w:after="0" w:line="240" w:lineRule="auto"/>
        <w:rPr>
          <w:rFonts w:cstheme="minorHAnsi"/>
          <w:b/>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rsidR="00001D73" w:rsidRDefault="00743E46" w:rsidP="00092566">
      <w:pPr>
        <w:autoSpaceDE w:val="0"/>
        <w:autoSpaceDN w:val="0"/>
        <w:adjustRightInd w:val="0"/>
        <w:spacing w:after="0" w:line="240" w:lineRule="auto"/>
        <w:rPr>
          <w:rFonts w:cstheme="minorHAnsi"/>
          <w:b/>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Hosmer-Lemeshow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p w:rsidR="00743E46" w:rsidRDefault="00743E46" w:rsidP="00092566">
      <w:pPr>
        <w:autoSpaceDE w:val="0"/>
        <w:autoSpaceDN w:val="0"/>
        <w:adjustRightInd w:val="0"/>
        <w:spacing w:after="0" w:line="240" w:lineRule="auto"/>
        <w:rPr>
          <w:rFonts w:cstheme="minorHAnsi"/>
          <w:b/>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092566" w:rsidRPr="00A25024">
        <w:rPr>
          <w:rFonts w:cstheme="minorHAnsi"/>
          <w:bCs/>
        </w:rPr>
        <w:br/>
      </w:r>
      <w:r w:rsidR="00092566" w:rsidRPr="00A25024">
        <w:rPr>
          <w:rFonts w:cstheme="minorHAnsi"/>
        </w:rPr>
        <w:br/>
      </w:r>
    </w:p>
    <w:p w:rsidR="00092566" w:rsidRPr="00A25024" w:rsidRDefault="00743E46" w:rsidP="00092566">
      <w:pPr>
        <w:autoSpaceDE w:val="0"/>
        <w:autoSpaceDN w:val="0"/>
        <w:adjustRightInd w:val="0"/>
        <w:spacing w:after="0" w:line="240" w:lineRule="auto"/>
        <w:rPr>
          <w:rFonts w:cstheme="minorHAnsi"/>
          <w:bCs/>
        </w:rPr>
      </w:pPr>
      <w:bookmarkStart w:id="13" w:name="question2b49"/>
      <w:bookmarkEnd w:id="13"/>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rsidR="00092566" w:rsidRPr="00A25024" w:rsidRDefault="00092566" w:rsidP="00092566">
      <w:pPr>
        <w:pStyle w:val="ListParagraph"/>
        <w:rPr>
          <w:rFonts w:cstheme="minorHAnsi"/>
          <w:bCs/>
        </w:rPr>
      </w:pPr>
    </w:p>
    <w:p w:rsidR="00092566" w:rsidRPr="00A25024" w:rsidRDefault="00743E46" w:rsidP="00092566">
      <w:pPr>
        <w:autoSpaceDE w:val="0"/>
        <w:autoSpaceDN w:val="0"/>
        <w:adjustRightInd w:val="0"/>
        <w:spacing w:after="0" w:line="240" w:lineRule="auto"/>
        <w:rPr>
          <w:rFonts w:cstheme="minorHAnsi"/>
          <w:bCs/>
        </w:rPr>
      </w:pPr>
      <w:r>
        <w:rPr>
          <w:rFonts w:cstheme="minorHAnsi"/>
          <w:b/>
          <w:bCs/>
        </w:rPr>
        <w:t>2b4.10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r w:rsidR="00092566" w:rsidRPr="00A25024">
        <w:rPr>
          <w:rFonts w:cstheme="minorHAnsi"/>
          <w:bCs/>
        </w:rPr>
        <w:br/>
      </w:r>
    </w:p>
    <w:p w:rsidR="00092566" w:rsidRPr="00A25024" w:rsidRDefault="00092566" w:rsidP="00092566">
      <w:pPr>
        <w:spacing w:after="0" w:line="240" w:lineRule="auto"/>
        <w:rPr>
          <w:rFonts w:cstheme="minorHAnsi"/>
        </w:rPr>
      </w:pPr>
    </w:p>
    <w:p w:rsidR="00021170" w:rsidRPr="009B1A15" w:rsidRDefault="009B1A15" w:rsidP="009B1A15">
      <w:pPr>
        <w:spacing w:after="0" w:line="240" w:lineRule="auto"/>
        <w:rPr>
          <w:rFonts w:cstheme="minorHAnsi"/>
        </w:rPr>
      </w:pPr>
      <w:r w:rsidRPr="009B1A15">
        <w:rPr>
          <w:rFonts w:cstheme="minorHAnsi"/>
          <w:b/>
          <w:highlight w:val="green"/>
        </w:rPr>
        <w:t>2b4.11.</w:t>
      </w:r>
      <w:r>
        <w:rPr>
          <w:rFonts w:cstheme="minorHAnsi"/>
          <w:highlight w:val="green"/>
        </w:rPr>
        <w:t xml:space="preserve"> </w:t>
      </w:r>
      <w:r w:rsidR="00092566" w:rsidRPr="009B1A15">
        <w:rPr>
          <w:rFonts w:cstheme="minorHAnsi"/>
          <w:b/>
          <w:highlight w:val="green"/>
        </w:rPr>
        <w:t>Optional</w:t>
      </w:r>
      <w:r w:rsidRPr="009B1A15">
        <w:rPr>
          <w:rFonts w:cstheme="minorHAnsi"/>
          <w:b/>
          <w:highlight w:val="green"/>
        </w:rPr>
        <w:t xml:space="preserve"> Additional </w:t>
      </w:r>
      <w:r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rsidR="003755CB" w:rsidRDefault="003755CB" w:rsidP="00D61410">
      <w:pPr>
        <w:autoSpaceDE w:val="0"/>
        <w:autoSpaceDN w:val="0"/>
        <w:adjustRightInd w:val="0"/>
        <w:spacing w:after="0" w:line="240" w:lineRule="auto"/>
        <w:rPr>
          <w:rFonts w:cstheme="minorHAnsi"/>
          <w:b/>
          <w:bCs/>
        </w:rPr>
      </w:pPr>
    </w:p>
    <w:p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rsidR="00D61410" w:rsidRPr="00A25024" w:rsidRDefault="00D61410" w:rsidP="00D61410">
      <w:pPr>
        <w:autoSpaceDE w:val="0"/>
        <w:autoSpaceDN w:val="0"/>
        <w:adjustRightInd w:val="0"/>
        <w:spacing w:after="0" w:line="240" w:lineRule="auto"/>
        <w:rPr>
          <w:rFonts w:cstheme="minorHAnsi"/>
          <w:b/>
          <w:bCs/>
        </w:rPr>
      </w:pPr>
      <w:bookmarkStart w:id="14" w:name="section2b5"/>
      <w:bookmarkEnd w:id="14"/>
      <w:r w:rsidRPr="00A25024">
        <w:rPr>
          <w:rFonts w:cstheme="minorHAnsi"/>
          <w:b/>
          <w:bCs/>
        </w:rPr>
        <w:t>2b5. IDENTIFICATION OF STATISTICALLY SIGNIFICANT &amp; MEANINGFUL DIFFERENCES IN PERFORMANCE</w:t>
      </w:r>
    </w:p>
    <w:p w:rsidR="00D61410" w:rsidRPr="00A25024" w:rsidRDefault="00D61410" w:rsidP="00D61410">
      <w:pPr>
        <w:autoSpaceDE w:val="0"/>
        <w:autoSpaceDN w:val="0"/>
        <w:adjustRightInd w:val="0"/>
        <w:spacing w:after="0" w:line="240" w:lineRule="auto"/>
        <w:rPr>
          <w:rFonts w:cstheme="minorHAnsi"/>
          <w:bCs/>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Pr="00A25024">
        <w:rPr>
          <w:rFonts w:cstheme="minorHAnsi"/>
          <w:bCs/>
        </w:rPr>
        <w:br/>
        <w:t xml:space="preserve"> </w:t>
      </w:r>
    </w:p>
    <w:p w:rsidR="00D61410" w:rsidRPr="00A25024" w:rsidRDefault="00D61410" w:rsidP="00D61410">
      <w:pPr>
        <w:autoSpaceDE w:val="0"/>
        <w:autoSpaceDN w:val="0"/>
        <w:adjustRightInd w:val="0"/>
        <w:spacing w:after="0" w:line="240" w:lineRule="auto"/>
        <w:rPr>
          <w:rFonts w:cstheme="minorHAnsi"/>
          <w:bCs/>
        </w:rPr>
      </w:pPr>
    </w:p>
    <w:p w:rsidR="00D61410" w:rsidRDefault="00D61410" w:rsidP="00D61410">
      <w:pPr>
        <w:autoSpaceDE w:val="0"/>
        <w:autoSpaceDN w:val="0"/>
        <w:adjustRightInd w:val="0"/>
        <w:spacing w:after="0" w:line="240" w:lineRule="auto"/>
        <w:rPr>
          <w:rFonts w:cstheme="minorHAnsi"/>
          <w:bCs/>
        </w:rPr>
      </w:pPr>
      <w:r>
        <w:rPr>
          <w:rFonts w:cstheme="minorHAnsi"/>
          <w:b/>
          <w:bCs/>
        </w:rPr>
        <w:t xml:space="preserve">2b5.2. </w:t>
      </w:r>
      <w:r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r w:rsidRPr="00A25024">
        <w:rPr>
          <w:rFonts w:cstheme="minorHAnsi"/>
          <w:bCs/>
        </w:rPr>
        <w:br/>
      </w:r>
    </w:p>
    <w:p w:rsidR="00D61410" w:rsidRPr="00927027" w:rsidRDefault="00D61410" w:rsidP="00D61410">
      <w:pPr>
        <w:autoSpaceDE w:val="0"/>
        <w:autoSpaceDN w:val="0"/>
        <w:adjustRightInd w:val="0"/>
        <w:spacing w:after="0" w:line="240" w:lineRule="auto"/>
        <w:rPr>
          <w:rFonts w:cstheme="minorHAnsi"/>
          <w:bCs/>
        </w:rPr>
      </w:pPr>
    </w:p>
    <w:p w:rsidR="00D61410" w:rsidRPr="00A25024" w:rsidRDefault="00D61410" w:rsidP="00D61410">
      <w:pPr>
        <w:autoSpaceDE w:val="0"/>
        <w:autoSpaceDN w:val="0"/>
        <w:adjustRightInd w:val="0"/>
        <w:spacing w:after="0" w:line="240" w:lineRule="auto"/>
        <w:rPr>
          <w:rFonts w:cstheme="minorHAnsi"/>
          <w:bCs/>
        </w:rPr>
      </w:pPr>
      <w:r>
        <w:rPr>
          <w:rFonts w:cstheme="minorHAnsi"/>
          <w:b/>
          <w:bCs/>
        </w:rPr>
        <w:t xml:space="preserve">2b5.3. </w:t>
      </w:r>
      <w:r w:rsidRPr="00A25024">
        <w:rPr>
          <w:rFonts w:cstheme="minorHAnsi"/>
          <w:b/>
          <w:bCs/>
        </w:rPr>
        <w:t>What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p>
    <w:p w:rsidR="0086464B" w:rsidRDefault="0086464B" w:rsidP="0086464B">
      <w:pPr>
        <w:spacing w:after="0" w:line="240" w:lineRule="auto"/>
        <w:rPr>
          <w:rFonts w:cstheme="minorHAnsi"/>
          <w:b/>
          <w:bCs/>
        </w:rPr>
      </w:pPr>
      <w:r>
        <w:rPr>
          <w:rFonts w:cstheme="minorHAnsi"/>
          <w:b/>
          <w:bCs/>
        </w:rPr>
        <w:t>_______________________________________</w:t>
      </w:r>
    </w:p>
    <w:p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rsidR="00567D12" w:rsidRPr="00A25024" w:rsidRDefault="00567D12" w:rsidP="00DB3627">
      <w:pPr>
        <w:autoSpaceDE w:val="0"/>
        <w:autoSpaceDN w:val="0"/>
        <w:adjustRightInd w:val="0"/>
        <w:spacing w:after="0" w:line="240" w:lineRule="auto"/>
        <w:rPr>
          <w:rFonts w:cstheme="minorHAnsi"/>
          <w:b/>
          <w:bCs/>
        </w:rPr>
      </w:pPr>
    </w:p>
    <w:p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eMeasures</w:t>
      </w:r>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rsidR="000F06B5" w:rsidRPr="00A25024" w:rsidRDefault="000F06B5" w:rsidP="00DB3627">
      <w:pPr>
        <w:autoSpaceDE w:val="0"/>
        <w:autoSpaceDN w:val="0"/>
        <w:adjustRightInd w:val="0"/>
        <w:spacing w:after="0" w:line="240" w:lineRule="auto"/>
        <w:rPr>
          <w:rFonts w:cstheme="minorHAnsi"/>
          <w:bCs/>
        </w:rPr>
      </w:pPr>
    </w:p>
    <w:p w:rsidR="000F06B5" w:rsidRPr="00A25024" w:rsidRDefault="00E1508F" w:rsidP="00DB3627">
      <w:pPr>
        <w:autoSpaceDE w:val="0"/>
        <w:autoSpaceDN w:val="0"/>
        <w:adjustRightInd w:val="0"/>
        <w:spacing w:after="0" w:line="240" w:lineRule="auto"/>
        <w:rPr>
          <w:rFonts w:cstheme="minorHAnsi"/>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rsidR="000F06B5" w:rsidRPr="00A25024" w:rsidRDefault="000F06B5" w:rsidP="00DB3627">
      <w:pPr>
        <w:pStyle w:val="ListParagraph"/>
        <w:autoSpaceDE w:val="0"/>
        <w:autoSpaceDN w:val="0"/>
        <w:adjustRightInd w:val="0"/>
        <w:spacing w:after="0" w:line="240" w:lineRule="auto"/>
        <w:ind w:left="0"/>
        <w:rPr>
          <w:rFonts w:cstheme="minorHAnsi"/>
          <w:bCs/>
        </w:rPr>
      </w:pPr>
    </w:p>
    <w:p w:rsidR="00A35F8F" w:rsidRDefault="00E1508F" w:rsidP="00E1508F">
      <w:pPr>
        <w:autoSpaceDE w:val="0"/>
        <w:autoSpaceDN w:val="0"/>
        <w:adjustRightInd w:val="0"/>
        <w:spacing w:after="0" w:line="240" w:lineRule="auto"/>
        <w:rPr>
          <w:rFonts w:cstheme="minorHAnsi"/>
          <w:bCs/>
        </w:rPr>
      </w:pPr>
      <w:r>
        <w:rPr>
          <w:rFonts w:cstheme="minorHAnsi"/>
          <w:b/>
          <w:bCs/>
        </w:rPr>
        <w:t xml:space="preserve">2b6.2.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rsidR="00E1508F" w:rsidRPr="00E1508F" w:rsidRDefault="00E1508F" w:rsidP="00E1508F">
      <w:pPr>
        <w:autoSpaceDE w:val="0"/>
        <w:autoSpaceDN w:val="0"/>
        <w:adjustRightInd w:val="0"/>
        <w:spacing w:after="0" w:line="240" w:lineRule="auto"/>
        <w:rPr>
          <w:rFonts w:cstheme="minorHAnsi"/>
          <w:bCs/>
        </w:rPr>
      </w:pPr>
    </w:p>
    <w:p w:rsidR="0079180E" w:rsidRDefault="00E1508F" w:rsidP="00DB3627">
      <w:pPr>
        <w:autoSpaceDE w:val="0"/>
        <w:autoSpaceDN w:val="0"/>
        <w:adjustRightInd w:val="0"/>
        <w:spacing w:after="0" w:line="240" w:lineRule="auto"/>
        <w:rPr>
          <w:rFonts w:cstheme="minorHAnsi"/>
          <w:bCs/>
        </w:rPr>
      </w:pPr>
      <w:r>
        <w:rPr>
          <w:rFonts w:cstheme="minorHAnsi"/>
          <w:b/>
          <w:bCs/>
        </w:rPr>
        <w:t xml:space="preserve">2b6.3. </w:t>
      </w:r>
      <w:r w:rsidR="002B0C3A" w:rsidRPr="00A25024">
        <w:rPr>
          <w:rFonts w:cstheme="minorHAnsi"/>
          <w:b/>
          <w:bCs/>
        </w:rPr>
        <w:t xml:space="preserve">What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r w:rsidR="00A35F8F" w:rsidRPr="00DB3627">
        <w:rPr>
          <w:rFonts w:cstheme="minorHAnsi"/>
          <w:bCs/>
        </w:rPr>
        <w:br/>
      </w:r>
    </w:p>
    <w:p w:rsidR="008F7E67" w:rsidRDefault="008F7E67" w:rsidP="008F7E67">
      <w:pPr>
        <w:spacing w:after="0" w:line="240" w:lineRule="auto"/>
        <w:rPr>
          <w:rFonts w:cstheme="minorHAnsi"/>
          <w:b/>
          <w:bCs/>
        </w:rPr>
      </w:pPr>
      <w:r>
        <w:rPr>
          <w:rFonts w:cstheme="minorHAnsi"/>
          <w:b/>
          <w:bCs/>
        </w:rPr>
        <w:t>_______________________________________</w:t>
      </w:r>
    </w:p>
    <w:p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rsidR="008F7E67" w:rsidRDefault="008F7E67" w:rsidP="008F7E67">
      <w:pPr>
        <w:autoSpaceDE w:val="0"/>
        <w:autoSpaceDN w:val="0"/>
        <w:adjustRightInd w:val="0"/>
        <w:spacing w:after="0" w:line="240" w:lineRule="auto"/>
        <w:rPr>
          <w:rFonts w:cstheme="minorHAnsi"/>
          <w:bCs/>
        </w:rPr>
      </w:pPr>
    </w:p>
    <w:p w:rsidR="00083E1F" w:rsidRPr="00083E1F" w:rsidRDefault="008F7E67" w:rsidP="00083E1F">
      <w:pPr>
        <w:pStyle w:val="Default"/>
        <w:rPr>
          <w:rFonts w:asciiTheme="minorHAnsi" w:hAnsiTheme="minorHAnsi"/>
          <w:color w:val="548DD4" w:themeColor="text2" w:themeTint="99"/>
          <w:sz w:val="22"/>
          <w:szCs w:val="22"/>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r w:rsidRPr="00A25024">
        <w:rPr>
          <w:rFonts w:cstheme="minorHAnsi"/>
          <w:bCs/>
        </w:rPr>
        <w:br/>
      </w:r>
      <w:r w:rsidRPr="00083E1F">
        <w:rPr>
          <w:rFonts w:asciiTheme="minorHAnsi" w:hAnsiTheme="minorHAnsi" w:cstheme="minorHAnsi"/>
          <w:bCs/>
          <w:color w:val="548DD4" w:themeColor="text2" w:themeTint="99"/>
          <w:sz w:val="22"/>
          <w:szCs w:val="22"/>
        </w:rPr>
        <w:t xml:space="preserve"> </w:t>
      </w:r>
      <w:r w:rsidR="00083E1F" w:rsidRPr="00083E1F">
        <w:rPr>
          <w:rFonts w:asciiTheme="minorHAnsi" w:hAnsiTheme="minorHAnsi" w:cstheme="minorHAnsi"/>
          <w:bCs/>
          <w:color w:val="548DD4" w:themeColor="text2" w:themeTint="99"/>
          <w:sz w:val="22"/>
          <w:szCs w:val="22"/>
        </w:rPr>
        <w:t>S</w:t>
      </w:r>
      <w:r w:rsidR="00083E1F" w:rsidRPr="00083E1F">
        <w:rPr>
          <w:rFonts w:asciiTheme="minorHAnsi" w:hAnsiTheme="minorHAnsi"/>
          <w:color w:val="548DD4" w:themeColor="text2" w:themeTint="99"/>
          <w:sz w:val="22"/>
          <w:szCs w:val="22"/>
        </w:rPr>
        <w:t xml:space="preserve">ee Full AAN Women with Epilepsy of Childbearing Potential Measure Testing Report. The validation process is conducted to verify that the submitted data matches the source data in the medical record. After the clinical data file is successfully transferred to MNCM and passes the initial quality checks, MNCM will contact the medical group about the validation process.  MNCM utilizes the National Committee for Quality Assurance (NCQA) “8 and 30” process for validation audits. If the first clinic site is in high compliance and the data collection process for all clinic sites within the medical group is identical, further review may be abbreviated at the discretion of the MNCM auditor. If clinic sites are not in high compliance after review of the first eight records, the MNCM auditor will continue to review the remaining 22 records. If after review of all 30 records the clinic site is not in high compliance on all factors (less than 90%), the MNCM auditor will review the results with the clinic representative and communicate the results with MNCM. MNCM will then contact the medical group to develop a mutually agreed upon re-submission plan. (Re-submission plans will only be allowed for errors in the numerator portion.) Clinic sites that are not in high compliance or have not been in high compliance in a previous MNCM audit may be held to a more rigorous denominator certification and validation audit. </w:t>
      </w:r>
    </w:p>
    <w:p w:rsidR="008F7E67" w:rsidRPr="00A25024" w:rsidRDefault="008F7E67" w:rsidP="008F7E67">
      <w:pPr>
        <w:autoSpaceDE w:val="0"/>
        <w:autoSpaceDN w:val="0"/>
        <w:adjustRightInd w:val="0"/>
        <w:spacing w:after="0" w:line="240" w:lineRule="auto"/>
        <w:rPr>
          <w:rFonts w:cstheme="minorHAnsi"/>
          <w:bCs/>
        </w:rPr>
      </w:pPr>
    </w:p>
    <w:p w:rsidR="008F7E67" w:rsidRDefault="008F7E67" w:rsidP="008F7E67">
      <w:pPr>
        <w:autoSpaceDE w:val="0"/>
        <w:autoSpaceDN w:val="0"/>
        <w:adjustRightInd w:val="0"/>
        <w:spacing w:after="0" w:line="240" w:lineRule="auto"/>
        <w:rPr>
          <w:rFonts w:cstheme="minorHAnsi"/>
          <w:bCs/>
        </w:rPr>
      </w:pPr>
      <w:r>
        <w:rPr>
          <w:rFonts w:cstheme="minorHAnsi"/>
          <w:b/>
          <w:bCs/>
        </w:rPr>
        <w:t xml:space="preserve">2b7.2.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p>
    <w:p w:rsidR="008F7E67" w:rsidRPr="00E1508F" w:rsidRDefault="008F7E67" w:rsidP="008F7E67">
      <w:pPr>
        <w:autoSpaceDE w:val="0"/>
        <w:autoSpaceDN w:val="0"/>
        <w:adjustRightInd w:val="0"/>
        <w:spacing w:after="0" w:line="240" w:lineRule="auto"/>
        <w:rPr>
          <w:rFonts w:cstheme="minorHAnsi"/>
          <w:bCs/>
        </w:rPr>
      </w:pPr>
    </w:p>
    <w:p w:rsidR="008B604D" w:rsidRDefault="008F7E67">
      <w:pPr>
        <w:autoSpaceDE w:val="0"/>
        <w:autoSpaceDN w:val="0"/>
        <w:adjustRightInd w:val="0"/>
        <w:spacing w:after="0" w:line="240" w:lineRule="auto"/>
        <w:rPr>
          <w:rFonts w:cstheme="minorHAnsi"/>
          <w:bCs/>
        </w:rPr>
      </w:pPr>
      <w:r>
        <w:rPr>
          <w:rFonts w:cstheme="minorHAnsi"/>
          <w:b/>
          <w:bCs/>
        </w:rPr>
        <w:t xml:space="preserve">2b7.3. </w:t>
      </w:r>
      <w:r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rsidR="00083E1F" w:rsidRPr="00083E1F" w:rsidRDefault="00083E1F" w:rsidP="00083E1F">
      <w:pPr>
        <w:autoSpaceDE w:val="0"/>
        <w:autoSpaceDN w:val="0"/>
        <w:adjustRightInd w:val="0"/>
        <w:spacing w:after="0" w:line="240" w:lineRule="auto"/>
        <w:rPr>
          <w:rFonts w:ascii="Calibri" w:hAnsi="Calibri" w:cs="Calibri"/>
          <w:color w:val="548DD4" w:themeColor="text2" w:themeTint="99"/>
        </w:rPr>
      </w:pPr>
      <w:r w:rsidRPr="00083E1F">
        <w:rPr>
          <w:rFonts w:ascii="Calibri" w:hAnsi="Calibri" w:cs="Calibri"/>
          <w:color w:val="548DD4" w:themeColor="text2" w:themeTint="99"/>
        </w:rPr>
        <w:t xml:space="preserve">MNCM did not identify any major flaws or issues during the review of each medical group’s denominator forms and therefore each medical group passed denominator certification within the given timeframe. There were a few corrections and clarifications that required MNCM to send a follow-up email to the respective group; however, each issue was resolved in a timely manner. The list below documents the issues that were identified and required additional follow-up based on the information received on the denominator certification forms: </w:t>
      </w:r>
    </w:p>
    <w:p w:rsidR="00083E1F" w:rsidRPr="00083E1F" w:rsidRDefault="00083E1F" w:rsidP="00083E1F">
      <w:pPr>
        <w:pStyle w:val="ListParagraph"/>
        <w:numPr>
          <w:ilvl w:val="0"/>
          <w:numId w:val="26"/>
        </w:numPr>
        <w:autoSpaceDE w:val="0"/>
        <w:autoSpaceDN w:val="0"/>
        <w:adjustRightInd w:val="0"/>
        <w:spacing w:after="71" w:line="240" w:lineRule="auto"/>
        <w:rPr>
          <w:rFonts w:ascii="Calibri" w:hAnsi="Calibri" w:cs="Calibri"/>
          <w:color w:val="548DD4" w:themeColor="text2" w:themeTint="99"/>
        </w:rPr>
      </w:pPr>
      <w:r w:rsidRPr="00083E1F">
        <w:rPr>
          <w:rFonts w:ascii="Calibri" w:hAnsi="Calibri" w:cs="Calibri"/>
          <w:color w:val="548DD4" w:themeColor="text2" w:themeTint="99"/>
        </w:rPr>
        <w:t xml:space="preserve">Incorrect diagnosis codes included in data query </w:t>
      </w:r>
    </w:p>
    <w:p w:rsidR="00083E1F" w:rsidRPr="00083E1F" w:rsidRDefault="00083E1F" w:rsidP="00083E1F">
      <w:pPr>
        <w:pStyle w:val="ListParagraph"/>
        <w:numPr>
          <w:ilvl w:val="0"/>
          <w:numId w:val="26"/>
        </w:numPr>
        <w:autoSpaceDE w:val="0"/>
        <w:autoSpaceDN w:val="0"/>
        <w:adjustRightInd w:val="0"/>
        <w:spacing w:after="71" w:line="240" w:lineRule="auto"/>
        <w:rPr>
          <w:rFonts w:ascii="Calibri" w:hAnsi="Calibri" w:cs="Calibri"/>
          <w:color w:val="548DD4" w:themeColor="text2" w:themeTint="99"/>
        </w:rPr>
      </w:pPr>
      <w:r w:rsidRPr="00083E1F">
        <w:rPr>
          <w:rFonts w:ascii="Calibri" w:hAnsi="Calibri" w:cs="Calibri"/>
          <w:color w:val="548DD4" w:themeColor="text2" w:themeTint="99"/>
        </w:rPr>
        <w:t xml:space="preserve">Group did not indicate if they would be submitting a sample or full population for the measure </w:t>
      </w:r>
    </w:p>
    <w:p w:rsidR="00083E1F" w:rsidRPr="00083E1F" w:rsidRDefault="00083E1F" w:rsidP="00083E1F">
      <w:pPr>
        <w:pStyle w:val="ListParagraph"/>
        <w:numPr>
          <w:ilvl w:val="0"/>
          <w:numId w:val="26"/>
        </w:numPr>
        <w:autoSpaceDE w:val="0"/>
        <w:autoSpaceDN w:val="0"/>
        <w:adjustRightInd w:val="0"/>
        <w:spacing w:after="0" w:line="240" w:lineRule="auto"/>
        <w:rPr>
          <w:rFonts w:ascii="Calibri" w:hAnsi="Calibri" w:cs="Calibri"/>
          <w:color w:val="000000"/>
        </w:rPr>
      </w:pPr>
      <w:r w:rsidRPr="00083E1F">
        <w:rPr>
          <w:rFonts w:ascii="Calibri" w:hAnsi="Calibri" w:cs="Calibri"/>
          <w:color w:val="548DD4" w:themeColor="text2" w:themeTint="99"/>
        </w:rPr>
        <w:t>Incorrect encounter codes included in data query</w:t>
      </w:r>
      <w:r w:rsidRPr="00083E1F">
        <w:rPr>
          <w:rFonts w:ascii="Calibri" w:hAnsi="Calibri" w:cs="Calibri"/>
          <w:color w:val="000000"/>
        </w:rPr>
        <w:t xml:space="preserve"> </w:t>
      </w:r>
    </w:p>
    <w:p w:rsidR="00BA053B" w:rsidRPr="005560E7" w:rsidRDefault="00BA053B">
      <w:pPr>
        <w:autoSpaceDE w:val="0"/>
        <w:autoSpaceDN w:val="0"/>
        <w:adjustRightInd w:val="0"/>
        <w:spacing w:after="0" w:line="240" w:lineRule="auto"/>
        <w:rPr>
          <w:rFonts w:cstheme="minorHAnsi"/>
          <w:bCs/>
        </w:rPr>
      </w:pPr>
    </w:p>
    <w:sectPr w:rsidR="00BA053B" w:rsidRPr="005560E7" w:rsidSect="008505D1">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7C85" w:rsidRDefault="00B17C85" w:rsidP="005C73CA">
      <w:pPr>
        <w:spacing w:after="0" w:line="240" w:lineRule="auto"/>
      </w:pPr>
      <w:r>
        <w:separator/>
      </w:r>
    </w:p>
  </w:endnote>
  <w:endnote w:type="continuationSeparator" w:id="0">
    <w:p w:rsidR="00B17C85" w:rsidRDefault="00B17C85"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89F" w:rsidRDefault="0012454F">
    <w:pPr>
      <w:pStyle w:val="Footer"/>
    </w:pPr>
    <w:r>
      <w:t xml:space="preserve">Version 6.5 </w:t>
    </w:r>
    <w:r w:rsidR="003A7DE7">
      <w:t xml:space="preserve"> </w:t>
    </w:r>
    <w:r w:rsidR="008F7E67">
      <w:t>08/20/13</w:t>
    </w:r>
    <w:r w:rsidR="008F589F">
      <w:ptab w:relativeTo="margin" w:alignment="center" w:leader="none"/>
    </w:r>
    <w:r w:rsidR="008F589F">
      <w:ptab w:relativeTo="margin" w:alignment="right" w:leader="none"/>
    </w:r>
    <w:r w:rsidR="008F589F">
      <w:fldChar w:fldCharType="begin"/>
    </w:r>
    <w:r w:rsidR="008F589F">
      <w:instrText xml:space="preserve"> PAGE   \* MERGEFORMAT </w:instrText>
    </w:r>
    <w:r w:rsidR="008F589F">
      <w:fldChar w:fldCharType="separate"/>
    </w:r>
    <w:r w:rsidR="00B17C85">
      <w:rPr>
        <w:noProof/>
      </w:rPr>
      <w:t>1</w:t>
    </w:r>
    <w:r w:rsidR="008F589F">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7C85" w:rsidRDefault="00B17C85" w:rsidP="005C73CA">
      <w:pPr>
        <w:spacing w:after="0" w:line="240" w:lineRule="auto"/>
      </w:pPr>
      <w:r>
        <w:separator/>
      </w:r>
    </w:p>
  </w:footnote>
  <w:footnote w:type="continuationSeparator" w:id="0">
    <w:p w:rsidR="00B17C85" w:rsidRDefault="00B17C85"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89F" w:rsidRPr="00105D8B" w:rsidRDefault="008F589F"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9081F74"/>
    <w:multiLevelType w:val="hybridMultilevel"/>
    <w:tmpl w:val="B2F4A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D43A1C"/>
    <w:multiLevelType w:val="hybridMultilevel"/>
    <w:tmpl w:val="F2240C7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76528E"/>
    <w:multiLevelType w:val="hybridMultilevel"/>
    <w:tmpl w:val="B9B4A504"/>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71944EA"/>
    <w:multiLevelType w:val="hybridMultilevel"/>
    <w:tmpl w:val="180E2B18"/>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C4A315C"/>
    <w:multiLevelType w:val="hybridMultilevel"/>
    <w:tmpl w:val="C900B90A"/>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CBE0B43"/>
    <w:multiLevelType w:val="hybridMultilevel"/>
    <w:tmpl w:val="6062F98C"/>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2"/>
  </w:num>
  <w:num w:numId="4">
    <w:abstractNumId w:val="7"/>
  </w:num>
  <w:num w:numId="5">
    <w:abstractNumId w:val="1"/>
  </w:num>
  <w:num w:numId="6">
    <w:abstractNumId w:val="0"/>
  </w:num>
  <w:num w:numId="7">
    <w:abstractNumId w:val="3"/>
  </w:num>
  <w:num w:numId="8">
    <w:abstractNumId w:val="21"/>
  </w:num>
  <w:num w:numId="9">
    <w:abstractNumId w:val="10"/>
  </w:num>
  <w:num w:numId="10">
    <w:abstractNumId w:val="27"/>
  </w:num>
  <w:num w:numId="11">
    <w:abstractNumId w:val="12"/>
  </w:num>
  <w:num w:numId="12">
    <w:abstractNumId w:val="25"/>
  </w:num>
  <w:num w:numId="13">
    <w:abstractNumId w:val="19"/>
  </w:num>
  <w:num w:numId="14">
    <w:abstractNumId w:val="19"/>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8"/>
  </w:num>
  <w:num w:numId="16">
    <w:abstractNumId w:val="9"/>
  </w:num>
  <w:num w:numId="17">
    <w:abstractNumId w:val="26"/>
  </w:num>
  <w:num w:numId="18">
    <w:abstractNumId w:val="24"/>
  </w:num>
  <w:num w:numId="19">
    <w:abstractNumId w:val="23"/>
  </w:num>
  <w:num w:numId="20">
    <w:abstractNumId w:val="17"/>
  </w:num>
  <w:num w:numId="21">
    <w:abstractNumId w:val="20"/>
  </w:num>
  <w:num w:numId="22">
    <w:abstractNumId w:val="16"/>
  </w:num>
  <w:num w:numId="23">
    <w:abstractNumId w:val="8"/>
  </w:num>
  <w:num w:numId="24">
    <w:abstractNumId w:val="15"/>
  </w:num>
  <w:num w:numId="25">
    <w:abstractNumId w:val="13"/>
  </w:num>
  <w:num w:numId="26">
    <w:abstractNumId w:val="28"/>
  </w:num>
  <w:num w:numId="27">
    <w:abstractNumId w:val="4"/>
  </w:num>
  <w:num w:numId="28">
    <w:abstractNumId w:val="22"/>
  </w:num>
  <w:num w:numId="29">
    <w:abstractNumId w:val="14"/>
  </w:num>
  <w:num w:numId="30">
    <w:abstractNumId w:val="29"/>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0"/>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1D73"/>
    <w:rsid w:val="00003469"/>
    <w:rsid w:val="0001094F"/>
    <w:rsid w:val="00021170"/>
    <w:rsid w:val="0002128B"/>
    <w:rsid w:val="00024DFD"/>
    <w:rsid w:val="00027AB8"/>
    <w:rsid w:val="000309DD"/>
    <w:rsid w:val="00031414"/>
    <w:rsid w:val="00031687"/>
    <w:rsid w:val="00033038"/>
    <w:rsid w:val="00033D63"/>
    <w:rsid w:val="0003436F"/>
    <w:rsid w:val="000414E8"/>
    <w:rsid w:val="0004593A"/>
    <w:rsid w:val="00050A3E"/>
    <w:rsid w:val="00052A6F"/>
    <w:rsid w:val="00053F02"/>
    <w:rsid w:val="0005612B"/>
    <w:rsid w:val="000574AB"/>
    <w:rsid w:val="0006147A"/>
    <w:rsid w:val="000775F8"/>
    <w:rsid w:val="00080CF7"/>
    <w:rsid w:val="00083E1F"/>
    <w:rsid w:val="000851B2"/>
    <w:rsid w:val="00092566"/>
    <w:rsid w:val="000968F8"/>
    <w:rsid w:val="00097012"/>
    <w:rsid w:val="000B032A"/>
    <w:rsid w:val="000B2DF7"/>
    <w:rsid w:val="000B3880"/>
    <w:rsid w:val="000C54A5"/>
    <w:rsid w:val="000D7948"/>
    <w:rsid w:val="000D7C84"/>
    <w:rsid w:val="000E4E13"/>
    <w:rsid w:val="000E78F6"/>
    <w:rsid w:val="000F034A"/>
    <w:rsid w:val="000F06B5"/>
    <w:rsid w:val="000F39E9"/>
    <w:rsid w:val="00104B45"/>
    <w:rsid w:val="00105D8B"/>
    <w:rsid w:val="0011342F"/>
    <w:rsid w:val="001202E9"/>
    <w:rsid w:val="0012454F"/>
    <w:rsid w:val="00125273"/>
    <w:rsid w:val="0012575E"/>
    <w:rsid w:val="00127C06"/>
    <w:rsid w:val="00145149"/>
    <w:rsid w:val="00145D4F"/>
    <w:rsid w:val="0014773C"/>
    <w:rsid w:val="0017696D"/>
    <w:rsid w:val="001848FC"/>
    <w:rsid w:val="001969C5"/>
    <w:rsid w:val="001A6CDD"/>
    <w:rsid w:val="001C12EE"/>
    <w:rsid w:val="001C7B02"/>
    <w:rsid w:val="001E4DD4"/>
    <w:rsid w:val="001E69DC"/>
    <w:rsid w:val="001F169D"/>
    <w:rsid w:val="001F1DA1"/>
    <w:rsid w:val="001F6F93"/>
    <w:rsid w:val="001F7A20"/>
    <w:rsid w:val="00205BC4"/>
    <w:rsid w:val="0021195A"/>
    <w:rsid w:val="00213383"/>
    <w:rsid w:val="00220250"/>
    <w:rsid w:val="0022691B"/>
    <w:rsid w:val="00232163"/>
    <w:rsid w:val="002376F8"/>
    <w:rsid w:val="002408E4"/>
    <w:rsid w:val="00241591"/>
    <w:rsid w:val="00250B4F"/>
    <w:rsid w:val="0025762F"/>
    <w:rsid w:val="0028114D"/>
    <w:rsid w:val="00287649"/>
    <w:rsid w:val="00287E84"/>
    <w:rsid w:val="0029286C"/>
    <w:rsid w:val="0029300E"/>
    <w:rsid w:val="002B0C3A"/>
    <w:rsid w:val="002B2116"/>
    <w:rsid w:val="002B2D9B"/>
    <w:rsid w:val="002B5016"/>
    <w:rsid w:val="002B742C"/>
    <w:rsid w:val="002B7F4D"/>
    <w:rsid w:val="002C285C"/>
    <w:rsid w:val="002C7BE4"/>
    <w:rsid w:val="002D417D"/>
    <w:rsid w:val="002D5E5D"/>
    <w:rsid w:val="002E78A0"/>
    <w:rsid w:val="002F2687"/>
    <w:rsid w:val="002F48E1"/>
    <w:rsid w:val="002F4F3B"/>
    <w:rsid w:val="003059EB"/>
    <w:rsid w:val="003116AC"/>
    <w:rsid w:val="00315567"/>
    <w:rsid w:val="00330144"/>
    <w:rsid w:val="00346245"/>
    <w:rsid w:val="00356267"/>
    <w:rsid w:val="00356BAD"/>
    <w:rsid w:val="003605B4"/>
    <w:rsid w:val="003627AC"/>
    <w:rsid w:val="00366914"/>
    <w:rsid w:val="00372FE3"/>
    <w:rsid w:val="003755CB"/>
    <w:rsid w:val="00383F85"/>
    <w:rsid w:val="003A306C"/>
    <w:rsid w:val="003A7DE7"/>
    <w:rsid w:val="003B1006"/>
    <w:rsid w:val="003C5F11"/>
    <w:rsid w:val="003D6401"/>
    <w:rsid w:val="003E1863"/>
    <w:rsid w:val="0041606D"/>
    <w:rsid w:val="00416962"/>
    <w:rsid w:val="004348CC"/>
    <w:rsid w:val="004658FF"/>
    <w:rsid w:val="00474ED7"/>
    <w:rsid w:val="004756E1"/>
    <w:rsid w:val="0048008A"/>
    <w:rsid w:val="00483E94"/>
    <w:rsid w:val="00484120"/>
    <w:rsid w:val="004853A0"/>
    <w:rsid w:val="00496B5F"/>
    <w:rsid w:val="004A2E10"/>
    <w:rsid w:val="004B17FF"/>
    <w:rsid w:val="004B1BA0"/>
    <w:rsid w:val="004B6CEE"/>
    <w:rsid w:val="004C2443"/>
    <w:rsid w:val="004C498F"/>
    <w:rsid w:val="004C5D29"/>
    <w:rsid w:val="004C681A"/>
    <w:rsid w:val="004D4D8A"/>
    <w:rsid w:val="004F68EE"/>
    <w:rsid w:val="005038D5"/>
    <w:rsid w:val="00511BA4"/>
    <w:rsid w:val="005149E7"/>
    <w:rsid w:val="005232D6"/>
    <w:rsid w:val="005333CC"/>
    <w:rsid w:val="005363F1"/>
    <w:rsid w:val="0055007C"/>
    <w:rsid w:val="00554922"/>
    <w:rsid w:val="00555282"/>
    <w:rsid w:val="005560E7"/>
    <w:rsid w:val="005612CC"/>
    <w:rsid w:val="00563029"/>
    <w:rsid w:val="00567D12"/>
    <w:rsid w:val="00576062"/>
    <w:rsid w:val="0059559F"/>
    <w:rsid w:val="005A49FF"/>
    <w:rsid w:val="005A7634"/>
    <w:rsid w:val="005C0447"/>
    <w:rsid w:val="005C739F"/>
    <w:rsid w:val="005C73CA"/>
    <w:rsid w:val="005D4768"/>
    <w:rsid w:val="005E2CAB"/>
    <w:rsid w:val="005E429E"/>
    <w:rsid w:val="00601ED4"/>
    <w:rsid w:val="006030BC"/>
    <w:rsid w:val="00612866"/>
    <w:rsid w:val="00616EB5"/>
    <w:rsid w:val="006269D4"/>
    <w:rsid w:val="006327D8"/>
    <w:rsid w:val="0064070A"/>
    <w:rsid w:val="00643A01"/>
    <w:rsid w:val="006574D2"/>
    <w:rsid w:val="0066319B"/>
    <w:rsid w:val="006676D4"/>
    <w:rsid w:val="00675535"/>
    <w:rsid w:val="00681359"/>
    <w:rsid w:val="00696262"/>
    <w:rsid w:val="006C3A4F"/>
    <w:rsid w:val="006C4845"/>
    <w:rsid w:val="006D6BC1"/>
    <w:rsid w:val="006E2BFC"/>
    <w:rsid w:val="006E5C57"/>
    <w:rsid w:val="006F22A5"/>
    <w:rsid w:val="006F3A2F"/>
    <w:rsid w:val="00702C73"/>
    <w:rsid w:val="00713394"/>
    <w:rsid w:val="00724677"/>
    <w:rsid w:val="007252B2"/>
    <w:rsid w:val="00725AC2"/>
    <w:rsid w:val="00732880"/>
    <w:rsid w:val="007416B9"/>
    <w:rsid w:val="007422FD"/>
    <w:rsid w:val="00743E46"/>
    <w:rsid w:val="00747C45"/>
    <w:rsid w:val="00756FDB"/>
    <w:rsid w:val="007629B6"/>
    <w:rsid w:val="007665BF"/>
    <w:rsid w:val="00771B2A"/>
    <w:rsid w:val="007757CE"/>
    <w:rsid w:val="00775800"/>
    <w:rsid w:val="0079180E"/>
    <w:rsid w:val="007950CC"/>
    <w:rsid w:val="0079538B"/>
    <w:rsid w:val="007961B8"/>
    <w:rsid w:val="00797624"/>
    <w:rsid w:val="007A4828"/>
    <w:rsid w:val="007B093D"/>
    <w:rsid w:val="007B2069"/>
    <w:rsid w:val="007C04A1"/>
    <w:rsid w:val="007C21FA"/>
    <w:rsid w:val="007D4351"/>
    <w:rsid w:val="007D7019"/>
    <w:rsid w:val="007E18DB"/>
    <w:rsid w:val="007E6F1C"/>
    <w:rsid w:val="00804C69"/>
    <w:rsid w:val="0080711D"/>
    <w:rsid w:val="008155CD"/>
    <w:rsid w:val="00833325"/>
    <w:rsid w:val="00840A41"/>
    <w:rsid w:val="00842F3C"/>
    <w:rsid w:val="008505D1"/>
    <w:rsid w:val="00855158"/>
    <w:rsid w:val="00857EE8"/>
    <w:rsid w:val="0086464B"/>
    <w:rsid w:val="008647FC"/>
    <w:rsid w:val="00864CA8"/>
    <w:rsid w:val="00865E2D"/>
    <w:rsid w:val="00870E6C"/>
    <w:rsid w:val="00884486"/>
    <w:rsid w:val="008871A9"/>
    <w:rsid w:val="008916BA"/>
    <w:rsid w:val="00892176"/>
    <w:rsid w:val="008A1DB7"/>
    <w:rsid w:val="008A403A"/>
    <w:rsid w:val="008A4C13"/>
    <w:rsid w:val="008B604D"/>
    <w:rsid w:val="008C54A9"/>
    <w:rsid w:val="008E67C3"/>
    <w:rsid w:val="008F589F"/>
    <w:rsid w:val="008F76A9"/>
    <w:rsid w:val="008F7E67"/>
    <w:rsid w:val="00900DBF"/>
    <w:rsid w:val="009048B9"/>
    <w:rsid w:val="00904E91"/>
    <w:rsid w:val="00915886"/>
    <w:rsid w:val="009214DC"/>
    <w:rsid w:val="00927027"/>
    <w:rsid w:val="009344BA"/>
    <w:rsid w:val="00947F78"/>
    <w:rsid w:val="00953234"/>
    <w:rsid w:val="00961EAF"/>
    <w:rsid w:val="0096278F"/>
    <w:rsid w:val="009726E1"/>
    <w:rsid w:val="00977591"/>
    <w:rsid w:val="00980E75"/>
    <w:rsid w:val="00994BE0"/>
    <w:rsid w:val="009A25B1"/>
    <w:rsid w:val="009A4608"/>
    <w:rsid w:val="009A6A57"/>
    <w:rsid w:val="009A70BF"/>
    <w:rsid w:val="009B1A15"/>
    <w:rsid w:val="009C0852"/>
    <w:rsid w:val="009C13CA"/>
    <w:rsid w:val="009C32C6"/>
    <w:rsid w:val="009C665F"/>
    <w:rsid w:val="009D7E38"/>
    <w:rsid w:val="009E095B"/>
    <w:rsid w:val="009E1846"/>
    <w:rsid w:val="009E78FF"/>
    <w:rsid w:val="00A01494"/>
    <w:rsid w:val="00A22FA9"/>
    <w:rsid w:val="00A25024"/>
    <w:rsid w:val="00A35F8F"/>
    <w:rsid w:val="00A41377"/>
    <w:rsid w:val="00A4263D"/>
    <w:rsid w:val="00A509B8"/>
    <w:rsid w:val="00A52AB9"/>
    <w:rsid w:val="00A6210B"/>
    <w:rsid w:val="00A7323A"/>
    <w:rsid w:val="00A831B4"/>
    <w:rsid w:val="00A97798"/>
    <w:rsid w:val="00AA5213"/>
    <w:rsid w:val="00AA65A6"/>
    <w:rsid w:val="00AC1D8E"/>
    <w:rsid w:val="00AC48FA"/>
    <w:rsid w:val="00AD0240"/>
    <w:rsid w:val="00AD4137"/>
    <w:rsid w:val="00AE32C8"/>
    <w:rsid w:val="00B037BA"/>
    <w:rsid w:val="00B17C85"/>
    <w:rsid w:val="00B20139"/>
    <w:rsid w:val="00B218DA"/>
    <w:rsid w:val="00B342FA"/>
    <w:rsid w:val="00B53E8B"/>
    <w:rsid w:val="00B774D2"/>
    <w:rsid w:val="00B8015A"/>
    <w:rsid w:val="00B82A57"/>
    <w:rsid w:val="00BA053B"/>
    <w:rsid w:val="00BB35AE"/>
    <w:rsid w:val="00BC03A1"/>
    <w:rsid w:val="00BC0D25"/>
    <w:rsid w:val="00BD2505"/>
    <w:rsid w:val="00BE592D"/>
    <w:rsid w:val="00BF52B0"/>
    <w:rsid w:val="00BF5697"/>
    <w:rsid w:val="00C14CCC"/>
    <w:rsid w:val="00C22C1C"/>
    <w:rsid w:val="00C33F2E"/>
    <w:rsid w:val="00C34936"/>
    <w:rsid w:val="00C34C14"/>
    <w:rsid w:val="00C355B9"/>
    <w:rsid w:val="00C401C4"/>
    <w:rsid w:val="00C41680"/>
    <w:rsid w:val="00C60A25"/>
    <w:rsid w:val="00C765C5"/>
    <w:rsid w:val="00C82479"/>
    <w:rsid w:val="00C867F0"/>
    <w:rsid w:val="00CA06D8"/>
    <w:rsid w:val="00CA345A"/>
    <w:rsid w:val="00CB49FF"/>
    <w:rsid w:val="00CC02CF"/>
    <w:rsid w:val="00CC086A"/>
    <w:rsid w:val="00CD0F66"/>
    <w:rsid w:val="00CD364B"/>
    <w:rsid w:val="00CE23B8"/>
    <w:rsid w:val="00CE50D7"/>
    <w:rsid w:val="00D00344"/>
    <w:rsid w:val="00D1754D"/>
    <w:rsid w:val="00D2223F"/>
    <w:rsid w:val="00D274A4"/>
    <w:rsid w:val="00D277AF"/>
    <w:rsid w:val="00D31163"/>
    <w:rsid w:val="00D320B1"/>
    <w:rsid w:val="00D33AFD"/>
    <w:rsid w:val="00D36489"/>
    <w:rsid w:val="00D42195"/>
    <w:rsid w:val="00D50704"/>
    <w:rsid w:val="00D5760A"/>
    <w:rsid w:val="00D61410"/>
    <w:rsid w:val="00D8181D"/>
    <w:rsid w:val="00D968D8"/>
    <w:rsid w:val="00DA563D"/>
    <w:rsid w:val="00DA7277"/>
    <w:rsid w:val="00DB3627"/>
    <w:rsid w:val="00DB4724"/>
    <w:rsid w:val="00DC4746"/>
    <w:rsid w:val="00DE7149"/>
    <w:rsid w:val="00E0314C"/>
    <w:rsid w:val="00E1508F"/>
    <w:rsid w:val="00E27240"/>
    <w:rsid w:val="00E27EDD"/>
    <w:rsid w:val="00E30584"/>
    <w:rsid w:val="00E310B9"/>
    <w:rsid w:val="00E37E1B"/>
    <w:rsid w:val="00E562C0"/>
    <w:rsid w:val="00E672D6"/>
    <w:rsid w:val="00E76024"/>
    <w:rsid w:val="00E856A2"/>
    <w:rsid w:val="00E96884"/>
    <w:rsid w:val="00EA5435"/>
    <w:rsid w:val="00EA5F47"/>
    <w:rsid w:val="00EC79DE"/>
    <w:rsid w:val="00ED4ACE"/>
    <w:rsid w:val="00EE4D35"/>
    <w:rsid w:val="00EF2DA7"/>
    <w:rsid w:val="00F102C3"/>
    <w:rsid w:val="00F435AA"/>
    <w:rsid w:val="00F5738A"/>
    <w:rsid w:val="00F612D4"/>
    <w:rsid w:val="00F77F1D"/>
    <w:rsid w:val="00F87CCB"/>
    <w:rsid w:val="00FA48C7"/>
    <w:rsid w:val="00FB73C1"/>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2684000-AB8A-4EA4-A0B7-F6C2FD250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paragraph" w:customStyle="1" w:styleId="Default">
    <w:name w:val="Default"/>
    <w:rsid w:val="0066319B"/>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qualityforum.org/Measuring_Performance/Submitting_Standards.aspx" TargetMode="Externa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90AF4"/>
    <w:rsid w:val="00223FA3"/>
    <w:rsid w:val="002A288F"/>
    <w:rsid w:val="002F052A"/>
    <w:rsid w:val="00350176"/>
    <w:rsid w:val="003840F0"/>
    <w:rsid w:val="00437537"/>
    <w:rsid w:val="0053654E"/>
    <w:rsid w:val="00632A7E"/>
    <w:rsid w:val="00632AB6"/>
    <w:rsid w:val="00730B33"/>
    <w:rsid w:val="00772B2A"/>
    <w:rsid w:val="007C672A"/>
    <w:rsid w:val="007D4368"/>
    <w:rsid w:val="00822666"/>
    <w:rsid w:val="00823ECC"/>
    <w:rsid w:val="00866C97"/>
    <w:rsid w:val="009017AE"/>
    <w:rsid w:val="009C542D"/>
    <w:rsid w:val="00A95183"/>
    <w:rsid w:val="00AB4AF7"/>
    <w:rsid w:val="00AD7C4F"/>
    <w:rsid w:val="00B445F5"/>
    <w:rsid w:val="00B6113C"/>
    <w:rsid w:val="00BD40CB"/>
    <w:rsid w:val="00C362A2"/>
    <w:rsid w:val="00C90121"/>
    <w:rsid w:val="00CA344F"/>
    <w:rsid w:val="00D1676E"/>
    <w:rsid w:val="00DC0246"/>
    <w:rsid w:val="00E6518A"/>
    <w:rsid w:val="00F52F1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Pages>
  <Words>4979</Words>
  <Characters>28381</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33294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Amy Bennett</cp:lastModifiedBy>
  <cp:revision>4</cp:revision>
  <dcterms:created xsi:type="dcterms:W3CDTF">2016-01-27T14:58:00Z</dcterms:created>
  <dcterms:modified xsi:type="dcterms:W3CDTF">2016-01-27T15:02:00Z</dcterms:modified>
</cp:coreProperties>
</file>