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AB2AE"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12356440" w14:textId="77777777" w:rsidR="00797624" w:rsidRDefault="00797624" w:rsidP="00105D8B">
      <w:pPr>
        <w:contextualSpacing/>
        <w:rPr>
          <w:rFonts w:cstheme="minorHAnsi"/>
          <w:b/>
          <w:noProof/>
        </w:rPr>
      </w:pPr>
    </w:p>
    <w:p w14:paraId="2553B714" w14:textId="77777777"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Fonts w:eastAsiaTheme="minorHAnsi"/>
          </w:rPr>
          <w:id w:val="1103681744"/>
          <w:placeholder>
            <w:docPart w:val="D06AB11FD608490E9B47857CE12EB3BD"/>
          </w:placeholder>
        </w:sdtPr>
        <w:sdtEndPr>
          <w:rPr>
            <w:rStyle w:val="Style1"/>
          </w:rPr>
        </w:sdtEndPr>
        <w:sdtContent>
          <w:r w:rsidR="004A528A" w:rsidRPr="00257C65">
            <w:rPr>
              <w:rStyle w:val="Style1"/>
              <w:rFonts w:eastAsiaTheme="minorHAnsi"/>
            </w:rPr>
            <w:t>0052</w:t>
          </w:r>
        </w:sdtContent>
      </w:sdt>
    </w:p>
    <w:p w14:paraId="17A34D37" w14:textId="77777777"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564223670"/>
              <w:placeholder>
                <w:docPart w:val="49FB08EDA43742B4AF528183682E55FA"/>
              </w:placeholder>
            </w:sdtPr>
            <w:sdtEndPr>
              <w:rPr>
                <w:rStyle w:val="DefaultParagraphFont"/>
                <w:noProof/>
                <w:color w:val="auto"/>
              </w:rPr>
            </w:sdtEndPr>
            <w:sdtContent>
              <w:r w:rsidR="00495B48" w:rsidRPr="00257C65">
                <w:rPr>
                  <w:rStyle w:val="Style1"/>
                  <w:rFonts w:eastAsiaTheme="minorHAnsi"/>
                </w:rPr>
                <w:t>Use of Imaging Studies for Low Back</w:t>
              </w:r>
              <w:r w:rsidR="0091548A" w:rsidRPr="00257C65">
                <w:rPr>
                  <w:rStyle w:val="Style1"/>
                  <w:rFonts w:eastAsiaTheme="minorHAnsi"/>
                </w:rPr>
                <w:t xml:space="preserve"> Pain</w:t>
              </w:r>
            </w:sdtContent>
          </w:sdt>
        </w:sdtContent>
      </w:sdt>
    </w:p>
    <w:p w14:paraId="6ED5ED60" w14:textId="77777777" w:rsidR="005C73CA" w:rsidRDefault="00105D8B" w:rsidP="009E1846">
      <w:pPr>
        <w:spacing w:after="0"/>
        <w:rPr>
          <w:rStyle w:val="Style2"/>
          <w:rFonts w:cstheme="minorHAnsi"/>
        </w:rPr>
      </w:pPr>
      <w:r w:rsidRPr="00A25024">
        <w:rPr>
          <w:rFonts w:cstheme="minorHAnsi"/>
          <w:b/>
          <w:noProof/>
        </w:rPr>
        <w:t>Date of Submission</w:t>
      </w:r>
      <w:r w:rsidR="000915E9">
        <w:rPr>
          <w:rFonts w:cstheme="minorHAnsi"/>
          <w:b/>
          <w:noProof/>
        </w:rPr>
        <w:t xml:space="preserve">: </w:t>
      </w:r>
      <w:r w:rsidR="000915E9" w:rsidRPr="00257C65">
        <w:rPr>
          <w:rStyle w:val="Style1"/>
          <w:rFonts w:eastAsiaTheme="minorHAnsi"/>
        </w:rPr>
        <w:t>3/3/2014</w:t>
      </w:r>
    </w:p>
    <w:p w14:paraId="20007722" w14:textId="77777777" w:rsidR="00CD364B" w:rsidRPr="009E1846" w:rsidRDefault="009E1846" w:rsidP="009E1846">
      <w:pPr>
        <w:spacing w:after="0"/>
        <w:rPr>
          <w:rFonts w:cstheme="minorHAnsi"/>
          <w:b/>
        </w:rPr>
      </w:pPr>
      <w:r>
        <w:rPr>
          <w:rStyle w:val="Style2"/>
          <w:rFonts w:cstheme="minorHAnsi"/>
          <w:b/>
          <w:color w:val="auto"/>
          <w:u w:val="none"/>
        </w:rPr>
        <w:t>Type of Measure:</w:t>
      </w:r>
      <w:r w:rsidR="004A528A">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B82A57" w14:paraId="20350480" w14:textId="77777777" w:rsidTr="000B3880">
        <w:trPr>
          <w:jc w:val="center"/>
        </w:trPr>
        <w:tc>
          <w:tcPr>
            <w:tcW w:w="2547" w:type="pct"/>
          </w:tcPr>
          <w:p w14:paraId="4CE7258C" w14:textId="77777777" w:rsidR="00CD364B" w:rsidRPr="00B82A57" w:rsidRDefault="00216958"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5A984FAA" w14:textId="77777777" w:rsidR="00CD364B" w:rsidRPr="00B82A57" w:rsidRDefault="00216958"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24201EEA" w14:textId="77777777" w:rsidTr="000B3880">
        <w:trPr>
          <w:jc w:val="center"/>
        </w:trPr>
        <w:tc>
          <w:tcPr>
            <w:tcW w:w="2547" w:type="pct"/>
          </w:tcPr>
          <w:p w14:paraId="2CFA70E0" w14:textId="77777777" w:rsidR="00CD364B" w:rsidRPr="00B82A57" w:rsidRDefault="00216958"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1EC91B11" w14:textId="77777777" w:rsidR="00CD364B" w:rsidRPr="00B82A57" w:rsidRDefault="00216958" w:rsidP="00CD364B">
            <w:pPr>
              <w:autoSpaceDE w:val="0"/>
              <w:autoSpaceDN w:val="0"/>
              <w:adjustRightInd w:val="0"/>
              <w:rPr>
                <w:rFonts w:cstheme="minorHAnsi"/>
                <w:bCs/>
              </w:rPr>
            </w:pPr>
            <w:sdt>
              <w:sdtPr>
                <w:rPr>
                  <w:rFonts w:cstheme="minorHAnsi"/>
                  <w:bCs/>
                  <w:color w:val="0000FF"/>
                </w:rPr>
                <w:id w:val="-1952933063"/>
              </w:sdtPr>
              <w:sdtEndPr/>
              <w:sdtContent/>
            </w:sdt>
            <w:sdt>
              <w:sdtPr>
                <w:rPr>
                  <w:rFonts w:cstheme="minorHAnsi"/>
                  <w:bCs/>
                  <w:color w:val="0000FF"/>
                </w:rPr>
                <w:id w:val="-1656836104"/>
              </w:sdtPr>
              <w:sdtEndPr/>
              <w:sdtContent>
                <w:r w:rsidR="000C7139">
                  <w:rPr>
                    <w:rFonts w:ascii="MS Gothic" w:eastAsia="MS Gothic" w:hAnsi="MS Gothic" w:cstheme="minorHAnsi" w:hint="eastAsia"/>
                    <w:bCs/>
                    <w:color w:val="0000FF"/>
                  </w:rPr>
                  <w:t>☒</w:t>
                </w:r>
              </w:sdtContent>
            </w:sdt>
            <w:r w:rsidR="000C7139" w:rsidRPr="00E15D81">
              <w:rPr>
                <w:rFonts w:eastAsia="MS Gothic" w:cstheme="minorHAnsi"/>
                <w:bCs/>
              </w:rPr>
              <w:t xml:space="preserve"> </w:t>
            </w:r>
            <w:r w:rsidR="00CD364B" w:rsidRPr="00E15D81">
              <w:rPr>
                <w:rFonts w:eastAsia="MS Gothic" w:cstheme="minorHAnsi"/>
                <w:bCs/>
              </w:rPr>
              <w:t>Process</w:t>
            </w:r>
          </w:p>
        </w:tc>
      </w:tr>
      <w:tr w:rsidR="00CD364B" w:rsidRPr="00B82A57" w14:paraId="4994F903" w14:textId="77777777" w:rsidTr="000B3880">
        <w:trPr>
          <w:jc w:val="center"/>
        </w:trPr>
        <w:tc>
          <w:tcPr>
            <w:tcW w:w="2547" w:type="pct"/>
          </w:tcPr>
          <w:p w14:paraId="7F4EB246" w14:textId="77777777" w:rsidR="00CD364B" w:rsidRPr="00B82A57" w:rsidRDefault="00216958" w:rsidP="00CD364B">
            <w:pPr>
              <w:autoSpaceDE w:val="0"/>
              <w:autoSpaceDN w:val="0"/>
              <w:adjustRightInd w:val="0"/>
              <w:rPr>
                <w:rFonts w:cstheme="minorHAnsi"/>
                <w:bCs/>
              </w:rPr>
            </w:pPr>
            <w:sdt>
              <w:sdtPr>
                <w:rPr>
                  <w:rFonts w:cstheme="minorHAnsi"/>
                  <w:bCs/>
                  <w:color w:val="0000FF"/>
                </w:rPr>
                <w:id w:val="1581719781"/>
              </w:sdtPr>
              <w:sdtEndPr/>
              <w:sdtContent>
                <w:sdt>
                  <w:sdtPr>
                    <w:rPr>
                      <w:rFonts w:cstheme="minorHAnsi"/>
                      <w:bCs/>
                      <w:color w:val="0000FF"/>
                    </w:rPr>
                    <w:id w:val="1506098432"/>
                  </w:sdtPr>
                  <w:sdtEndPr/>
                  <w:sdtContent>
                    <w:sdt>
                      <w:sdtPr>
                        <w:rPr>
                          <w:rFonts w:cstheme="minorHAnsi"/>
                          <w:bCs/>
                          <w:color w:val="0000FF"/>
                        </w:rPr>
                        <w:id w:val="1355146191"/>
                      </w:sdtPr>
                      <w:sdtEndPr/>
                      <w:sdtContent>
                        <w:r w:rsidR="000C7139" w:rsidRPr="006574D2">
                          <w:rPr>
                            <w:rFonts w:ascii="MS Gothic" w:eastAsia="MS Gothic" w:cstheme="minorHAnsi" w:hint="eastAsia"/>
                            <w:bCs/>
                            <w:color w:val="0000FF"/>
                          </w:rPr>
                          <w:t>☐</w:t>
                        </w:r>
                      </w:sdtContent>
                    </w:sdt>
                  </w:sdtContent>
                </w:sdt>
              </w:sdtContent>
            </w:sdt>
            <w:r w:rsidR="00B82A57" w:rsidRPr="00B82A57">
              <w:rPr>
                <w:rFonts w:cstheme="minorHAnsi"/>
                <w:bCs/>
              </w:rPr>
              <w:t xml:space="preserve"> </w:t>
            </w:r>
            <w:r w:rsidR="00CD364B" w:rsidRPr="00E15D81">
              <w:rPr>
                <w:rFonts w:eastAsia="MS Gothic" w:cstheme="minorHAnsi"/>
                <w:bCs/>
              </w:rPr>
              <w:t>Efficiency</w:t>
            </w:r>
          </w:p>
        </w:tc>
        <w:tc>
          <w:tcPr>
            <w:tcW w:w="2453" w:type="pct"/>
          </w:tcPr>
          <w:p w14:paraId="091A1B46" w14:textId="77777777" w:rsidR="00CD364B" w:rsidRPr="00B82A57" w:rsidRDefault="00216958"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7321C4D9"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4AB881D2" w14:textId="77777777" w:rsidTr="00145149">
        <w:trPr>
          <w:jc w:val="center"/>
        </w:trPr>
        <w:tc>
          <w:tcPr>
            <w:tcW w:w="9576" w:type="dxa"/>
          </w:tcPr>
          <w:p w14:paraId="7189B416" w14:textId="77777777" w:rsidR="00B53E8B" w:rsidRPr="00B53E8B" w:rsidRDefault="00B53E8B" w:rsidP="00B53E8B">
            <w:pPr>
              <w:rPr>
                <w:rFonts w:cstheme="minorHAnsi"/>
                <w:b/>
                <w:noProof/>
              </w:rPr>
            </w:pPr>
            <w:r w:rsidRPr="00B53E8B">
              <w:rPr>
                <w:rFonts w:cstheme="minorHAnsi"/>
                <w:b/>
                <w:noProof/>
              </w:rPr>
              <w:t>Instructions</w:t>
            </w:r>
          </w:p>
          <w:p w14:paraId="4ACEA88D"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75250D19"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29747D28"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4F231C8"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0A6CC616"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9F7FA5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94C5006"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4FA6BD49"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14:paraId="23592923"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16781EF2" w14:textId="77777777" w:rsidTr="00145149">
        <w:trPr>
          <w:jc w:val="center"/>
        </w:trPr>
        <w:tc>
          <w:tcPr>
            <w:tcW w:w="9576" w:type="dxa"/>
          </w:tcPr>
          <w:p w14:paraId="2E8BE102"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4743D388" w14:textId="77777777" w:rsidR="00B53E8B" w:rsidRPr="00A831B4" w:rsidRDefault="00B53E8B" w:rsidP="00702C73">
            <w:pPr>
              <w:rPr>
                <w:rFonts w:cstheme="minorHAnsi"/>
                <w:b/>
                <w:bCs/>
                <w:sz w:val="20"/>
                <w:szCs w:val="20"/>
              </w:rPr>
            </w:pPr>
          </w:p>
          <w:p w14:paraId="1016DF07"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5876C21E" w14:textId="77777777" w:rsidR="00145149" w:rsidRPr="000F034A" w:rsidRDefault="00145149" w:rsidP="00145149">
            <w:pPr>
              <w:autoSpaceDE w:val="0"/>
              <w:autoSpaceDN w:val="0"/>
              <w:adjustRightInd w:val="0"/>
              <w:rPr>
                <w:rFonts w:cstheme="minorHAnsi"/>
                <w:b/>
                <w:iCs/>
              </w:rPr>
            </w:pPr>
          </w:p>
          <w:p w14:paraId="5F01EA0A"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77C661C" w14:textId="77777777" w:rsidR="00145149" w:rsidRPr="000F034A" w:rsidRDefault="00145149" w:rsidP="00145149">
            <w:pPr>
              <w:rPr>
                <w:rFonts w:cstheme="minorHAnsi"/>
              </w:rPr>
            </w:pPr>
            <w:bookmarkStart w:id="0" w:name="_Toc256067249"/>
          </w:p>
          <w:p w14:paraId="2A663044" w14:textId="77777777"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2D56705A" w14:textId="77777777" w:rsidR="00145149" w:rsidRPr="000F034A" w:rsidRDefault="00145149" w:rsidP="00145149">
            <w:pPr>
              <w:rPr>
                <w:rFonts w:cstheme="minorHAnsi"/>
                <w:b/>
              </w:rPr>
            </w:pPr>
            <w:r w:rsidRPr="000F034A">
              <w:rPr>
                <w:rFonts w:cstheme="minorHAnsi"/>
                <w:b/>
              </w:rPr>
              <w:t xml:space="preserve">AND </w:t>
            </w:r>
          </w:p>
          <w:p w14:paraId="682109C1"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568021E1" w14:textId="77777777" w:rsidR="00145149" w:rsidRPr="000F034A" w:rsidRDefault="00145149" w:rsidP="00145149">
            <w:pPr>
              <w:rPr>
                <w:rFonts w:cstheme="minorHAnsi"/>
                <w:b/>
                <w:bCs/>
              </w:rPr>
            </w:pPr>
          </w:p>
          <w:p w14:paraId="0CA09CBE"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8A9DD00"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778FF069" w14:textId="77777777" w:rsidR="00145149" w:rsidRPr="000F034A" w:rsidRDefault="00145149" w:rsidP="00145149">
            <w:pPr>
              <w:rPr>
                <w:rFonts w:cstheme="minorHAnsi"/>
                <w:b/>
              </w:rPr>
            </w:pPr>
            <w:r w:rsidRPr="000F034A">
              <w:rPr>
                <w:rFonts w:cstheme="minorHAnsi"/>
                <w:b/>
              </w:rPr>
              <w:t>OR</w:t>
            </w:r>
          </w:p>
          <w:p w14:paraId="6806DAD0"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6A054257" w14:textId="77777777" w:rsidR="00145149" w:rsidRPr="000F034A" w:rsidRDefault="00145149" w:rsidP="00145149">
            <w:pPr>
              <w:rPr>
                <w:rFonts w:cstheme="minorHAnsi"/>
                <w:b/>
                <w:bCs/>
              </w:rPr>
            </w:pPr>
          </w:p>
          <w:bookmarkEnd w:id="1"/>
          <w:p w14:paraId="66CEE935"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AD57BC9" w14:textId="77777777" w:rsidR="00145149" w:rsidRPr="000F034A" w:rsidRDefault="00145149" w:rsidP="00145149">
            <w:pPr>
              <w:rPr>
                <w:rFonts w:cstheme="minorHAnsi"/>
              </w:rPr>
            </w:pPr>
            <w:r w:rsidRPr="000F034A">
              <w:rPr>
                <w:rFonts w:cstheme="minorHAnsi"/>
                <w:b/>
              </w:rPr>
              <w:t>OR</w:t>
            </w:r>
          </w:p>
          <w:p w14:paraId="5AFA8637"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57FBCEA9" w14:textId="77777777" w:rsidR="00145149" w:rsidRPr="000F034A" w:rsidRDefault="00145149" w:rsidP="00145149">
            <w:pPr>
              <w:rPr>
                <w:rFonts w:cstheme="minorHAnsi"/>
                <w:b/>
                <w:bCs/>
              </w:rPr>
            </w:pPr>
          </w:p>
          <w:p w14:paraId="72340BB3"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51B1B7DB" w14:textId="77777777" w:rsidR="00E30584" w:rsidRPr="000F034A" w:rsidRDefault="00E30584" w:rsidP="00145149">
            <w:pPr>
              <w:rPr>
                <w:rFonts w:cstheme="minorHAnsi"/>
              </w:rPr>
            </w:pPr>
          </w:p>
          <w:p w14:paraId="29E720B4"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22DE728F" w14:textId="77777777" w:rsidR="00145149" w:rsidRPr="00A831B4" w:rsidRDefault="00145149" w:rsidP="00145149">
            <w:pPr>
              <w:rPr>
                <w:rFonts w:cstheme="minorHAnsi"/>
                <w:b/>
                <w:bCs/>
                <w:sz w:val="20"/>
                <w:szCs w:val="20"/>
              </w:rPr>
            </w:pPr>
          </w:p>
          <w:p w14:paraId="4ADD9145"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311ADC2F"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E7DC1ED"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9858C8B"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436D9C9E"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5F1E375B"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253E95B9"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D0290C1"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Pr="00A831B4">
              <w:rPr>
                <w:rFonts w:cstheme="minorHAnsi"/>
                <w:sz w:val="20"/>
                <w:szCs w:val="20"/>
              </w:rPr>
              <w:lastRenderedPageBreak/>
              <w:t>$5,025) is practically meaningful. Measures with overall less-than-optimal performance may not demonstrate much variability across providers.</w:t>
            </w:r>
          </w:p>
        </w:tc>
      </w:tr>
    </w:tbl>
    <w:p w14:paraId="1947F3DF" w14:textId="77777777" w:rsidR="00BC0D25" w:rsidRDefault="00BC0D25" w:rsidP="00702C73">
      <w:pPr>
        <w:spacing w:after="0" w:line="240" w:lineRule="auto"/>
        <w:rPr>
          <w:rFonts w:cstheme="minorHAnsi"/>
          <w:noProof/>
        </w:rPr>
      </w:pPr>
    </w:p>
    <w:p w14:paraId="19D44B97"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064AB76"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31128BE9" w14:textId="77777777" w:rsidR="000574AB" w:rsidRPr="00A25024" w:rsidRDefault="000574AB" w:rsidP="008A403A">
      <w:pPr>
        <w:spacing w:after="0" w:line="240" w:lineRule="auto"/>
        <w:rPr>
          <w:rFonts w:cstheme="minorHAnsi"/>
          <w:noProof/>
        </w:rPr>
      </w:pPr>
    </w:p>
    <w:p w14:paraId="2F8E2C69"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7DDC3414" w14:textId="77777777" w:rsidTr="0014773C">
        <w:trPr>
          <w:jc w:val="center"/>
        </w:trPr>
        <w:tc>
          <w:tcPr>
            <w:tcW w:w="5208" w:type="dxa"/>
            <w:shd w:val="clear" w:color="auto" w:fill="D9D9D9" w:themeFill="background1" w:themeFillShade="D9"/>
          </w:tcPr>
          <w:p w14:paraId="7C4A73EF"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4F4E9614"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14E059A8"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48C6C328" w14:textId="77777777" w:rsidTr="0014773C">
        <w:trPr>
          <w:jc w:val="center"/>
        </w:trPr>
        <w:tc>
          <w:tcPr>
            <w:tcW w:w="5208" w:type="dxa"/>
          </w:tcPr>
          <w:p w14:paraId="03C6F05C"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1FFAE1A"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98917060"/>
              </w:sdtPr>
              <w:sdtEndPr/>
              <w:sdtContent>
                <w:r w:rsidR="00C604E0">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2DE0EEAC" w14:textId="77777777" w:rsidTr="0014773C">
        <w:trPr>
          <w:jc w:val="center"/>
        </w:trPr>
        <w:tc>
          <w:tcPr>
            <w:tcW w:w="5208" w:type="dxa"/>
          </w:tcPr>
          <w:p w14:paraId="0C39B9B7"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560149406"/>
              </w:sdtPr>
              <w:sdtEndPr/>
              <w:sdtContent>
                <w:r w:rsidR="003632E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1D966658"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387195507"/>
              </w:sdtPr>
              <w:sdtEndPr/>
              <w:sdtContent>
                <w:r w:rsidR="00F94646">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57216B53" w14:textId="77777777" w:rsidTr="0014773C">
        <w:trPr>
          <w:jc w:val="center"/>
        </w:trPr>
        <w:tc>
          <w:tcPr>
            <w:tcW w:w="5208" w:type="dxa"/>
          </w:tcPr>
          <w:p w14:paraId="293118DF"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5B93FB6D"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693176A9" w14:textId="77777777" w:rsidTr="0014773C">
        <w:trPr>
          <w:jc w:val="center"/>
        </w:trPr>
        <w:tc>
          <w:tcPr>
            <w:tcW w:w="5208" w:type="dxa"/>
          </w:tcPr>
          <w:p w14:paraId="381F2A1E"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1E9F8802"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359203911"/>
              </w:sdtPr>
              <w:sdtEndPr/>
              <w:sdtContent>
                <w:r w:rsidR="00E757A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4CF15BC0" w14:textId="77777777" w:rsidTr="0014773C">
        <w:trPr>
          <w:jc w:val="center"/>
        </w:trPr>
        <w:tc>
          <w:tcPr>
            <w:tcW w:w="5208" w:type="dxa"/>
          </w:tcPr>
          <w:p w14:paraId="29A22B9B" w14:textId="77777777" w:rsidR="00A01494" w:rsidRPr="00A01494" w:rsidRDefault="00216958"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4D6F9699"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73F95322" w14:textId="77777777" w:rsidTr="0014773C">
        <w:trPr>
          <w:jc w:val="center"/>
        </w:trPr>
        <w:tc>
          <w:tcPr>
            <w:tcW w:w="5208" w:type="dxa"/>
          </w:tcPr>
          <w:p w14:paraId="6259AB5E"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25100E17" w14:textId="77777777" w:rsidR="00A01494" w:rsidRPr="00A01494" w:rsidRDefault="00216958"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3EF723D5"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2A266C2F" w14:textId="77777777"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1F111DB2" w14:textId="77777777" w:rsidR="00B816FB" w:rsidRDefault="00B816FB" w:rsidP="00DB3627">
      <w:pPr>
        <w:autoSpaceDE w:val="0"/>
        <w:autoSpaceDN w:val="0"/>
        <w:adjustRightInd w:val="0"/>
        <w:spacing w:after="0" w:line="240" w:lineRule="auto"/>
        <w:rPr>
          <w:rFonts w:cstheme="minorHAnsi"/>
          <w:bCs/>
          <w:color w:val="FF0000"/>
        </w:rPr>
      </w:pPr>
    </w:p>
    <w:p w14:paraId="6EACE83D" w14:textId="77777777" w:rsidR="00C355B9" w:rsidRPr="00257C65" w:rsidRDefault="00F94646" w:rsidP="00DB3627">
      <w:pPr>
        <w:autoSpaceDE w:val="0"/>
        <w:autoSpaceDN w:val="0"/>
        <w:adjustRightInd w:val="0"/>
        <w:spacing w:after="0" w:line="240" w:lineRule="auto"/>
        <w:rPr>
          <w:rStyle w:val="Style1"/>
          <w:rFonts w:eastAsiaTheme="minorHAnsi"/>
        </w:rPr>
      </w:pPr>
      <w:r w:rsidRPr="00257C65">
        <w:rPr>
          <w:rStyle w:val="Style1"/>
          <w:rFonts w:eastAsiaTheme="minorHAnsi"/>
        </w:rPr>
        <w:t>N/A</w:t>
      </w:r>
    </w:p>
    <w:p w14:paraId="7A565D4C" w14:textId="77777777" w:rsidR="009E1846" w:rsidRDefault="009E1846" w:rsidP="00DB3627">
      <w:pPr>
        <w:autoSpaceDE w:val="0"/>
        <w:autoSpaceDN w:val="0"/>
        <w:adjustRightInd w:val="0"/>
        <w:spacing w:after="0" w:line="240" w:lineRule="auto"/>
        <w:rPr>
          <w:rFonts w:cstheme="minorHAnsi"/>
          <w:b/>
        </w:rPr>
      </w:pPr>
    </w:p>
    <w:p w14:paraId="5E46379A"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Fonts w:eastAsiaTheme="minorHAnsi"/>
          </w:rPr>
          <w:id w:val="950514773"/>
          <w:text/>
        </w:sdtPr>
        <w:sdtEndPr>
          <w:rPr>
            <w:rStyle w:val="Style1"/>
          </w:rPr>
        </w:sdtEndPr>
        <w:sdtContent>
          <w:r w:rsidR="00162DA6" w:rsidRPr="00257C65" w:rsidDel="0085703D">
            <w:rPr>
              <w:rStyle w:val="Style1"/>
              <w:rFonts w:eastAsiaTheme="minorHAnsi"/>
            </w:rPr>
            <w:t>Data element validity testing was performed using data from January 1 to December 31, 2002.</w:t>
          </w:r>
          <w:r w:rsidR="00AD26AF" w:rsidRPr="00257C65" w:rsidDel="0085703D">
            <w:rPr>
              <w:rStyle w:val="Style1"/>
              <w:rFonts w:eastAsiaTheme="minorHAnsi"/>
            </w:rPr>
            <w:t xml:space="preserve"> Testing of face validity was performed in</w:t>
          </w:r>
          <w:r w:rsidR="002F3A34" w:rsidRPr="00257C65" w:rsidDel="0085703D">
            <w:rPr>
              <w:rStyle w:val="Style1"/>
              <w:rFonts w:eastAsiaTheme="minorHAnsi"/>
            </w:rPr>
            <w:t xml:space="preserve"> January and May</w:t>
          </w:r>
          <w:r w:rsidR="00AD26AF" w:rsidRPr="00257C65" w:rsidDel="0085703D">
            <w:rPr>
              <w:rStyle w:val="Style1"/>
              <w:rFonts w:eastAsiaTheme="minorHAnsi"/>
            </w:rPr>
            <w:t xml:space="preserve"> 2004 and re-evaluated in 2012. </w:t>
          </w:r>
          <w:r w:rsidR="00162DA6" w:rsidRPr="00257C65" w:rsidDel="0085703D">
            <w:rPr>
              <w:rStyle w:val="Style1"/>
              <w:rFonts w:eastAsiaTheme="minorHAnsi"/>
            </w:rPr>
            <w:t xml:space="preserve">Measure score reliability testing was performed using data from </w:t>
          </w:r>
          <w:r w:rsidR="00A124A0" w:rsidRPr="00257C65" w:rsidDel="0085703D">
            <w:rPr>
              <w:rStyle w:val="Style1"/>
              <w:rFonts w:eastAsiaTheme="minorHAnsi"/>
            </w:rPr>
            <w:t>January 1 t</w:t>
          </w:r>
          <w:r w:rsidR="0085703D" w:rsidRPr="00257C65">
            <w:rPr>
              <w:rStyle w:val="Style1"/>
              <w:rFonts w:eastAsiaTheme="minorHAnsi"/>
            </w:rPr>
            <w:t xml:space="preserve">o December 31, 2012. </w:t>
          </w:r>
        </w:sdtContent>
      </w:sdt>
    </w:p>
    <w:p w14:paraId="46CFE6B0" w14:textId="77777777" w:rsidR="000574AB" w:rsidRDefault="000574AB" w:rsidP="00DB3627">
      <w:pPr>
        <w:autoSpaceDE w:val="0"/>
        <w:autoSpaceDN w:val="0"/>
        <w:adjustRightInd w:val="0"/>
        <w:spacing w:after="0" w:line="240" w:lineRule="auto"/>
        <w:rPr>
          <w:rFonts w:cstheme="minorHAnsi"/>
          <w:bCs/>
        </w:rPr>
      </w:pPr>
    </w:p>
    <w:p w14:paraId="30D1BC50"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7138C1B4" w14:textId="77777777" w:rsidTr="000414E8">
        <w:trPr>
          <w:jc w:val="center"/>
        </w:trPr>
        <w:tc>
          <w:tcPr>
            <w:tcW w:w="5027" w:type="dxa"/>
            <w:shd w:val="clear" w:color="auto" w:fill="D9D9D9" w:themeFill="background1" w:themeFillShade="D9"/>
          </w:tcPr>
          <w:p w14:paraId="793222C0"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136C09DA"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32C2AB77"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7DF0805D" w14:textId="77777777" w:rsidTr="000414E8">
        <w:trPr>
          <w:jc w:val="center"/>
        </w:trPr>
        <w:tc>
          <w:tcPr>
            <w:tcW w:w="5027" w:type="dxa"/>
          </w:tcPr>
          <w:p w14:paraId="296C0F8D"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319D6320"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7B6BA5C1" w14:textId="77777777" w:rsidTr="000414E8">
        <w:trPr>
          <w:jc w:val="center"/>
        </w:trPr>
        <w:tc>
          <w:tcPr>
            <w:tcW w:w="5027" w:type="dxa"/>
          </w:tcPr>
          <w:p w14:paraId="0E796367"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61E72462"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50843D42" w14:textId="77777777" w:rsidTr="000414E8">
        <w:trPr>
          <w:jc w:val="center"/>
        </w:trPr>
        <w:tc>
          <w:tcPr>
            <w:tcW w:w="5027" w:type="dxa"/>
          </w:tcPr>
          <w:p w14:paraId="6BC2DB5D"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2D668189"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68E2B112" w14:textId="77777777" w:rsidTr="000414E8">
        <w:trPr>
          <w:jc w:val="center"/>
        </w:trPr>
        <w:tc>
          <w:tcPr>
            <w:tcW w:w="5027" w:type="dxa"/>
          </w:tcPr>
          <w:p w14:paraId="7C2EFAAB"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275535217"/>
              </w:sdtPr>
              <w:sdtEndPr/>
              <w:sdtContent>
                <w:r w:rsidR="00B241E1">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31536F54"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1896924375"/>
              </w:sdtPr>
              <w:sdtEndPr/>
              <w:sdtContent>
                <w:r w:rsidR="00B241E1">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2E7EB2E7" w14:textId="77777777" w:rsidTr="000414E8">
        <w:trPr>
          <w:jc w:val="center"/>
        </w:trPr>
        <w:tc>
          <w:tcPr>
            <w:tcW w:w="5027" w:type="dxa"/>
          </w:tcPr>
          <w:p w14:paraId="5BAFEB49"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6E23101" w14:textId="77777777" w:rsidR="000414E8" w:rsidRPr="00A01494" w:rsidRDefault="00216958"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4DA222F5" w14:textId="77777777" w:rsidR="000414E8" w:rsidRPr="00A25024" w:rsidRDefault="000414E8" w:rsidP="00DB3627">
      <w:pPr>
        <w:autoSpaceDE w:val="0"/>
        <w:autoSpaceDN w:val="0"/>
        <w:adjustRightInd w:val="0"/>
        <w:spacing w:after="0" w:line="240" w:lineRule="auto"/>
        <w:rPr>
          <w:rFonts w:cstheme="minorHAnsi"/>
          <w:bCs/>
        </w:rPr>
      </w:pPr>
    </w:p>
    <w:p w14:paraId="6023DF14"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 xml:space="preserve">of measured entities </w:t>
      </w:r>
      <w:r w:rsidR="004348CC" w:rsidRPr="00A25024">
        <w:rPr>
          <w:rFonts w:cstheme="minorHAnsi"/>
          <w:bCs/>
          <w:i/>
        </w:rPr>
        <w:lastRenderedPageBreak/>
        <w:t>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14:paraId="5188CB3E" w14:textId="79756C73" w:rsidR="002F77FD" w:rsidRPr="00EC03C2" w:rsidRDefault="00B816FB" w:rsidP="00257C65">
      <w:pPr>
        <w:autoSpaceDE w:val="0"/>
        <w:autoSpaceDN w:val="0"/>
        <w:adjustRightInd w:val="0"/>
        <w:spacing w:after="0" w:line="240" w:lineRule="auto"/>
        <w:rPr>
          <w:rStyle w:val="Style1"/>
          <w:rFonts w:eastAsiaTheme="minorHAnsi"/>
          <w:b/>
          <w:u w:val="single"/>
        </w:rPr>
      </w:pPr>
      <w:r w:rsidRPr="00EC03C2">
        <w:rPr>
          <w:rStyle w:val="Style1"/>
          <w:rFonts w:eastAsiaTheme="minorHAnsi"/>
          <w:b/>
          <w:u w:val="single"/>
        </w:rPr>
        <w:t xml:space="preserve">Data </w:t>
      </w:r>
      <w:r w:rsidR="00DD204D" w:rsidRPr="00EC03C2">
        <w:rPr>
          <w:rStyle w:val="Style1"/>
          <w:rFonts w:eastAsiaTheme="minorHAnsi"/>
          <w:b/>
          <w:u w:val="single"/>
        </w:rPr>
        <w:t>E</w:t>
      </w:r>
      <w:r w:rsidRPr="00EC03C2">
        <w:rPr>
          <w:rStyle w:val="Style1"/>
          <w:rFonts w:eastAsiaTheme="minorHAnsi"/>
          <w:b/>
          <w:u w:val="single"/>
        </w:rPr>
        <w:t xml:space="preserve">lement </w:t>
      </w:r>
      <w:r w:rsidR="00DD204D" w:rsidRPr="00EC03C2">
        <w:rPr>
          <w:rStyle w:val="Style1"/>
          <w:rFonts w:eastAsiaTheme="minorHAnsi"/>
          <w:b/>
          <w:u w:val="single"/>
        </w:rPr>
        <w:t>V</w:t>
      </w:r>
      <w:r w:rsidRPr="00EC03C2">
        <w:rPr>
          <w:rStyle w:val="Style1"/>
          <w:rFonts w:eastAsiaTheme="minorHAnsi"/>
          <w:b/>
          <w:u w:val="single"/>
        </w:rPr>
        <w:t xml:space="preserve">alidity </w:t>
      </w:r>
      <w:r w:rsidR="00DD204D" w:rsidRPr="00EC03C2">
        <w:rPr>
          <w:rStyle w:val="Style1"/>
          <w:rFonts w:eastAsiaTheme="minorHAnsi"/>
          <w:b/>
          <w:u w:val="single"/>
        </w:rPr>
        <w:t>T</w:t>
      </w:r>
      <w:r w:rsidRPr="00EC03C2">
        <w:rPr>
          <w:rStyle w:val="Style1"/>
          <w:rFonts w:eastAsiaTheme="minorHAnsi"/>
          <w:b/>
          <w:u w:val="single"/>
        </w:rPr>
        <w:t>esting</w:t>
      </w:r>
    </w:p>
    <w:p w14:paraId="5B31E672" w14:textId="07E9E41E" w:rsidR="00AA55F1" w:rsidRPr="00257C65" w:rsidRDefault="006C6F67" w:rsidP="00257C65">
      <w:pPr>
        <w:autoSpaceDE w:val="0"/>
        <w:autoSpaceDN w:val="0"/>
        <w:adjustRightInd w:val="0"/>
        <w:spacing w:after="0" w:line="240" w:lineRule="auto"/>
        <w:rPr>
          <w:rStyle w:val="Style1"/>
          <w:rFonts w:eastAsiaTheme="minorHAnsi"/>
        </w:rPr>
      </w:pPr>
      <w:r w:rsidRPr="00257C65">
        <w:rPr>
          <w:rStyle w:val="Style1"/>
          <w:rFonts w:eastAsiaTheme="minorHAnsi"/>
        </w:rPr>
        <w:t>We used f</w:t>
      </w:r>
      <w:r w:rsidR="00D45E51" w:rsidRPr="00257C65">
        <w:rPr>
          <w:rStyle w:val="Style1"/>
          <w:rFonts w:eastAsiaTheme="minorHAnsi"/>
        </w:rPr>
        <w:t>ield test data for d</w:t>
      </w:r>
      <w:r w:rsidR="00AA55F1" w:rsidRPr="00257C65">
        <w:rPr>
          <w:rStyle w:val="Style1"/>
          <w:rFonts w:eastAsiaTheme="minorHAnsi"/>
        </w:rPr>
        <w:t xml:space="preserve">ata element </w:t>
      </w:r>
      <w:r w:rsidR="006B2763" w:rsidRPr="00257C65">
        <w:rPr>
          <w:rStyle w:val="Style1"/>
          <w:rFonts w:eastAsiaTheme="minorHAnsi"/>
        </w:rPr>
        <w:t>validity</w:t>
      </w:r>
      <w:r w:rsidR="00AA55F1" w:rsidRPr="00257C65">
        <w:rPr>
          <w:rStyle w:val="Style1"/>
          <w:rFonts w:eastAsiaTheme="minorHAnsi"/>
        </w:rPr>
        <w:t xml:space="preserve"> testing</w:t>
      </w:r>
      <w:r w:rsidR="00D45E51" w:rsidRPr="00257C65">
        <w:rPr>
          <w:rStyle w:val="Style1"/>
          <w:rFonts w:eastAsiaTheme="minorHAnsi"/>
        </w:rPr>
        <w:t>.</w:t>
      </w:r>
      <w:r w:rsidR="00011D67" w:rsidRPr="00257C65">
        <w:rPr>
          <w:rStyle w:val="Style1"/>
          <w:rFonts w:eastAsiaTheme="minorHAnsi"/>
        </w:rPr>
        <w:t xml:space="preserve"> The field test included </w:t>
      </w:r>
      <w:r w:rsidR="00C435C3" w:rsidRPr="00257C65">
        <w:rPr>
          <w:rStyle w:val="Style1"/>
          <w:rFonts w:eastAsiaTheme="minorHAnsi"/>
        </w:rPr>
        <w:t>three</w:t>
      </w:r>
      <w:r w:rsidR="00011D67" w:rsidRPr="00257C65">
        <w:rPr>
          <w:rStyle w:val="Style1"/>
          <w:rFonts w:eastAsiaTheme="minorHAnsi"/>
        </w:rPr>
        <w:t xml:space="preserve"> </w:t>
      </w:r>
      <w:r w:rsidR="00AA55F1" w:rsidRPr="00257C65">
        <w:rPr>
          <w:rStyle w:val="Style1"/>
          <w:rFonts w:eastAsiaTheme="minorHAnsi"/>
        </w:rPr>
        <w:t>health plans</w:t>
      </w:r>
      <w:r w:rsidR="0032089F" w:rsidRPr="00257C65">
        <w:rPr>
          <w:rStyle w:val="Style1"/>
          <w:rFonts w:eastAsiaTheme="minorHAnsi"/>
        </w:rPr>
        <w:t xml:space="preserve"> </w:t>
      </w:r>
      <w:r w:rsidR="00AA55F1" w:rsidRPr="00257C65">
        <w:rPr>
          <w:rStyle w:val="Style1"/>
          <w:rFonts w:eastAsiaTheme="minorHAnsi"/>
        </w:rPr>
        <w:t xml:space="preserve">that provided </w:t>
      </w:r>
      <w:r w:rsidR="00FD1C57" w:rsidRPr="00257C65">
        <w:rPr>
          <w:rStyle w:val="Style1"/>
          <w:rFonts w:eastAsiaTheme="minorHAnsi"/>
        </w:rPr>
        <w:t>patient</w:t>
      </w:r>
      <w:r w:rsidR="00AA55F1" w:rsidRPr="00257C65">
        <w:rPr>
          <w:rStyle w:val="Style1"/>
          <w:rFonts w:eastAsiaTheme="minorHAnsi"/>
        </w:rPr>
        <w:t>-level administrative</w:t>
      </w:r>
      <w:r w:rsidR="00011D67" w:rsidRPr="00257C65">
        <w:rPr>
          <w:rStyle w:val="Style1"/>
          <w:rFonts w:eastAsiaTheme="minorHAnsi"/>
        </w:rPr>
        <w:t xml:space="preserve"> and medical record</w:t>
      </w:r>
      <w:r w:rsidR="00B816FB" w:rsidRPr="00257C65">
        <w:rPr>
          <w:rStyle w:val="Style1"/>
          <w:rFonts w:eastAsiaTheme="minorHAnsi"/>
        </w:rPr>
        <w:t xml:space="preserve"> data to NCQA for this study. </w:t>
      </w:r>
      <w:r w:rsidR="007265C9" w:rsidRPr="00257C65">
        <w:rPr>
          <w:rStyle w:val="Style1"/>
          <w:rFonts w:eastAsiaTheme="minorHAnsi"/>
        </w:rPr>
        <w:t xml:space="preserve">Two plans submitted data for only the commercial population, and one plan submitted data for both its commercial and Medicaid population. They </w:t>
      </w:r>
      <w:r w:rsidR="00011D67" w:rsidRPr="00257C65">
        <w:rPr>
          <w:rStyle w:val="Style1"/>
          <w:rFonts w:eastAsiaTheme="minorHAnsi"/>
        </w:rPr>
        <w:t>represented</w:t>
      </w:r>
      <w:r w:rsidR="0063308C" w:rsidRPr="00257C65">
        <w:rPr>
          <w:rStyle w:val="Style1"/>
          <w:rFonts w:eastAsiaTheme="minorHAnsi"/>
        </w:rPr>
        <w:t xml:space="preserve"> several geographic regions of </w:t>
      </w:r>
      <w:r w:rsidR="00011D67" w:rsidRPr="00257C65">
        <w:rPr>
          <w:rStyle w:val="Style1"/>
          <w:rFonts w:eastAsiaTheme="minorHAnsi"/>
        </w:rPr>
        <w:t>the country</w:t>
      </w:r>
      <w:r w:rsidR="007265C9" w:rsidRPr="00257C65">
        <w:rPr>
          <w:rStyle w:val="Style1"/>
          <w:rFonts w:eastAsiaTheme="minorHAnsi"/>
        </w:rPr>
        <w:t>, and included</w:t>
      </w:r>
      <w:r w:rsidR="00556909" w:rsidRPr="00257C65">
        <w:rPr>
          <w:rStyle w:val="Style1"/>
          <w:rFonts w:eastAsiaTheme="minorHAnsi"/>
        </w:rPr>
        <w:t xml:space="preserve"> network models and staff model health plans</w:t>
      </w:r>
      <w:r w:rsidR="00AA55F1" w:rsidRPr="00257C65">
        <w:rPr>
          <w:rStyle w:val="Style1"/>
          <w:rFonts w:eastAsiaTheme="minorHAnsi"/>
        </w:rPr>
        <w:t xml:space="preserve">. </w:t>
      </w:r>
      <w:r w:rsidR="00011D67" w:rsidRPr="00257C65">
        <w:rPr>
          <w:rStyle w:val="Style1"/>
          <w:rFonts w:eastAsiaTheme="minorHAnsi"/>
        </w:rPr>
        <w:t>The participating plans provide</w:t>
      </w:r>
      <w:r w:rsidRPr="00257C65">
        <w:rPr>
          <w:rStyle w:val="Style1"/>
          <w:rFonts w:eastAsiaTheme="minorHAnsi"/>
        </w:rPr>
        <w:t>d</w:t>
      </w:r>
      <w:r w:rsidR="00011D67" w:rsidRPr="00257C65">
        <w:rPr>
          <w:rStyle w:val="Style1"/>
          <w:rFonts w:eastAsiaTheme="minorHAnsi"/>
        </w:rPr>
        <w:t xml:space="preserve"> patient information from administrative data systems for the entire eligible population. They </w:t>
      </w:r>
      <w:r w:rsidR="007265C9" w:rsidRPr="00257C65">
        <w:rPr>
          <w:rStyle w:val="Style1"/>
          <w:rFonts w:eastAsiaTheme="minorHAnsi"/>
        </w:rPr>
        <w:t xml:space="preserve">also </w:t>
      </w:r>
      <w:r w:rsidR="00011D67" w:rsidRPr="00257C65">
        <w:rPr>
          <w:rStyle w:val="Style1"/>
          <w:rFonts w:eastAsiaTheme="minorHAnsi"/>
        </w:rPr>
        <w:t>provide</w:t>
      </w:r>
      <w:r w:rsidR="007265C9" w:rsidRPr="00257C65">
        <w:rPr>
          <w:rStyle w:val="Style1"/>
          <w:rFonts w:eastAsiaTheme="minorHAnsi"/>
        </w:rPr>
        <w:t>d</w:t>
      </w:r>
      <w:r w:rsidR="00011D67" w:rsidRPr="00257C65">
        <w:rPr>
          <w:rStyle w:val="Style1"/>
          <w:rFonts w:eastAsiaTheme="minorHAnsi"/>
        </w:rPr>
        <w:t xml:space="preserve"> </w:t>
      </w:r>
      <w:r w:rsidRPr="00257C65">
        <w:rPr>
          <w:rStyle w:val="Style1"/>
          <w:rFonts w:eastAsiaTheme="minorHAnsi"/>
        </w:rPr>
        <w:t xml:space="preserve">medical record </w:t>
      </w:r>
      <w:r w:rsidR="00011D67" w:rsidRPr="00257C65">
        <w:rPr>
          <w:rStyle w:val="Style1"/>
          <w:rFonts w:eastAsiaTheme="minorHAnsi"/>
        </w:rPr>
        <w:t xml:space="preserve">information </w:t>
      </w:r>
      <w:r w:rsidRPr="00257C65">
        <w:rPr>
          <w:rStyle w:val="Style1"/>
          <w:rFonts w:eastAsiaTheme="minorHAnsi"/>
        </w:rPr>
        <w:t xml:space="preserve">for </w:t>
      </w:r>
      <w:r w:rsidR="007265C9" w:rsidRPr="00257C65">
        <w:rPr>
          <w:rStyle w:val="Style1"/>
          <w:rFonts w:eastAsiaTheme="minorHAnsi"/>
        </w:rPr>
        <w:t xml:space="preserve">a random sample of 150 patients in the eligible population. </w:t>
      </w:r>
      <w:r w:rsidRPr="00257C65">
        <w:rPr>
          <w:rStyle w:val="Style1"/>
          <w:rFonts w:eastAsiaTheme="minorHAnsi"/>
        </w:rPr>
        <w:t xml:space="preserve">Medical records came from providers identified on the first claim for low back pain during the measurement period. </w:t>
      </w:r>
    </w:p>
    <w:p w14:paraId="246277A3" w14:textId="77777777" w:rsidR="00C269DA" w:rsidRPr="00257C65" w:rsidRDefault="00C269DA" w:rsidP="00C269DA">
      <w:pPr>
        <w:autoSpaceDE w:val="0"/>
        <w:autoSpaceDN w:val="0"/>
        <w:adjustRightInd w:val="0"/>
        <w:spacing w:after="0" w:line="240" w:lineRule="auto"/>
        <w:rPr>
          <w:rStyle w:val="Style1"/>
          <w:rFonts w:eastAsiaTheme="minorHAnsi"/>
        </w:rPr>
      </w:pPr>
    </w:p>
    <w:p w14:paraId="32E0F72A" w14:textId="55E4FD56" w:rsidR="002F77FD" w:rsidRPr="00EC03C2" w:rsidRDefault="00B816FB" w:rsidP="00257C65">
      <w:pPr>
        <w:autoSpaceDE w:val="0"/>
        <w:autoSpaceDN w:val="0"/>
        <w:adjustRightInd w:val="0"/>
        <w:spacing w:after="0" w:line="240" w:lineRule="auto"/>
        <w:rPr>
          <w:rStyle w:val="Style1"/>
          <w:rFonts w:eastAsiaTheme="minorHAnsi"/>
          <w:b/>
          <w:u w:val="single"/>
        </w:rPr>
      </w:pPr>
      <w:r w:rsidRPr="00EC03C2">
        <w:rPr>
          <w:rStyle w:val="Style1"/>
          <w:rFonts w:eastAsiaTheme="minorHAnsi"/>
          <w:b/>
          <w:u w:val="single"/>
        </w:rPr>
        <w:t xml:space="preserve">Measure </w:t>
      </w:r>
      <w:r w:rsidR="00DD204D" w:rsidRPr="00EC03C2">
        <w:rPr>
          <w:rStyle w:val="Style1"/>
          <w:rFonts w:eastAsiaTheme="minorHAnsi"/>
          <w:b/>
          <w:u w:val="single"/>
        </w:rPr>
        <w:t>S</w:t>
      </w:r>
      <w:r w:rsidRPr="00EC03C2">
        <w:rPr>
          <w:rStyle w:val="Style1"/>
          <w:rFonts w:eastAsiaTheme="minorHAnsi"/>
          <w:b/>
          <w:u w:val="single"/>
        </w:rPr>
        <w:t xml:space="preserve">core </w:t>
      </w:r>
      <w:r w:rsidR="00DD204D" w:rsidRPr="00EC03C2">
        <w:rPr>
          <w:rStyle w:val="Style1"/>
          <w:rFonts w:eastAsiaTheme="minorHAnsi"/>
          <w:b/>
          <w:u w:val="single"/>
        </w:rPr>
        <w:t>R</w:t>
      </w:r>
      <w:r w:rsidRPr="00EC03C2">
        <w:rPr>
          <w:rStyle w:val="Style1"/>
          <w:rFonts w:eastAsiaTheme="minorHAnsi"/>
          <w:b/>
          <w:u w:val="single"/>
        </w:rPr>
        <w:t>eliability</w:t>
      </w:r>
      <w:r w:rsidR="00DD204D" w:rsidRPr="00EC03C2">
        <w:rPr>
          <w:rStyle w:val="Style1"/>
          <w:rFonts w:eastAsiaTheme="minorHAnsi"/>
          <w:b/>
          <w:u w:val="single"/>
        </w:rPr>
        <w:t xml:space="preserve"> Testing</w:t>
      </w:r>
    </w:p>
    <w:p w14:paraId="709461FB" w14:textId="7B76DCCC" w:rsidR="00AA55F1" w:rsidRPr="009F7B22" w:rsidRDefault="006C6F67" w:rsidP="00257C65">
      <w:pPr>
        <w:autoSpaceDE w:val="0"/>
        <w:autoSpaceDN w:val="0"/>
        <w:adjustRightInd w:val="0"/>
        <w:spacing w:after="0" w:line="240" w:lineRule="auto"/>
        <w:rPr>
          <w:rFonts w:eastAsia="Times New Roman" w:cs="Times New Roman"/>
          <w:color w:val="0070C0"/>
        </w:rPr>
      </w:pPr>
      <w:r w:rsidRPr="00257C65">
        <w:rPr>
          <w:rStyle w:val="Style1"/>
          <w:rFonts w:eastAsiaTheme="minorHAnsi"/>
        </w:rPr>
        <w:t xml:space="preserve">We used </w:t>
      </w:r>
      <w:r w:rsidR="00D45E51" w:rsidRPr="00257C65">
        <w:rPr>
          <w:rStyle w:val="Style1"/>
          <w:rFonts w:eastAsiaTheme="minorHAnsi"/>
        </w:rPr>
        <w:t xml:space="preserve">HEDIS </w:t>
      </w:r>
      <w:r w:rsidRPr="00257C65">
        <w:rPr>
          <w:rStyle w:val="Style1"/>
          <w:rFonts w:eastAsiaTheme="minorHAnsi"/>
        </w:rPr>
        <w:t>d</w:t>
      </w:r>
      <w:r w:rsidR="00D45E51" w:rsidRPr="00257C65">
        <w:rPr>
          <w:rStyle w:val="Style1"/>
          <w:rFonts w:eastAsiaTheme="minorHAnsi"/>
        </w:rPr>
        <w:t xml:space="preserve">ata for measure score reliability testing using the beta-binomial method. </w:t>
      </w:r>
      <w:r w:rsidRPr="00257C65">
        <w:rPr>
          <w:rStyle w:val="Style1"/>
          <w:rFonts w:eastAsiaTheme="minorHAnsi"/>
        </w:rPr>
        <w:t>We calculated t</w:t>
      </w:r>
      <w:r w:rsidR="00AA55F1" w:rsidRPr="00257C65">
        <w:rPr>
          <w:rStyle w:val="Style1"/>
          <w:rFonts w:eastAsiaTheme="minorHAnsi"/>
        </w:rPr>
        <w:t>he measure score reliability f</w:t>
      </w:r>
      <w:r w:rsidR="001939F5" w:rsidRPr="00257C65">
        <w:rPr>
          <w:rStyle w:val="Style1"/>
          <w:rFonts w:eastAsiaTheme="minorHAnsi"/>
        </w:rPr>
        <w:t>rom</w:t>
      </w:r>
      <w:r w:rsidR="00D45E51" w:rsidRPr="00257C65">
        <w:rPr>
          <w:rStyle w:val="Style1"/>
          <w:rFonts w:eastAsiaTheme="minorHAnsi"/>
        </w:rPr>
        <w:t xml:space="preserve"> the most recent</w:t>
      </w:r>
      <w:r w:rsidR="001939F5" w:rsidRPr="00257C65">
        <w:rPr>
          <w:rStyle w:val="Style1"/>
          <w:rFonts w:eastAsiaTheme="minorHAnsi"/>
        </w:rPr>
        <w:t xml:space="preserve"> HEDIS data</w:t>
      </w:r>
      <w:r w:rsidRPr="00257C65">
        <w:rPr>
          <w:rStyle w:val="Style1"/>
          <w:rFonts w:eastAsiaTheme="minorHAnsi"/>
        </w:rPr>
        <w:t>,</w:t>
      </w:r>
      <w:r w:rsidR="001939F5" w:rsidRPr="00257C65">
        <w:rPr>
          <w:rStyle w:val="Style1"/>
          <w:rFonts w:eastAsiaTheme="minorHAnsi"/>
        </w:rPr>
        <w:t xml:space="preserve"> </w:t>
      </w:r>
      <w:r w:rsidRPr="00257C65">
        <w:rPr>
          <w:rStyle w:val="Style1"/>
          <w:rFonts w:eastAsiaTheme="minorHAnsi"/>
        </w:rPr>
        <w:t xml:space="preserve">which </w:t>
      </w:r>
      <w:r w:rsidR="001939F5" w:rsidRPr="00257C65">
        <w:rPr>
          <w:rStyle w:val="Style1"/>
          <w:rFonts w:eastAsiaTheme="minorHAnsi"/>
        </w:rPr>
        <w:t>included 180</w:t>
      </w:r>
      <w:r w:rsidR="00AA55F1" w:rsidRPr="00257C65">
        <w:rPr>
          <w:rStyle w:val="Style1"/>
          <w:rFonts w:eastAsiaTheme="minorHAnsi"/>
        </w:rPr>
        <w:t xml:space="preserve"> Medicaid </w:t>
      </w:r>
      <w:r w:rsidR="002866D8" w:rsidRPr="00257C65">
        <w:rPr>
          <w:rStyle w:val="Style1"/>
          <w:rFonts w:eastAsiaTheme="minorHAnsi"/>
        </w:rPr>
        <w:t>and 409 c</w:t>
      </w:r>
      <w:r w:rsidR="001939F5" w:rsidRPr="00257C65">
        <w:rPr>
          <w:rStyle w:val="Style1"/>
          <w:rFonts w:eastAsiaTheme="minorHAnsi"/>
        </w:rPr>
        <w:t xml:space="preserve">ommercial </w:t>
      </w:r>
      <w:r w:rsidR="00AA55F1" w:rsidRPr="00257C65">
        <w:rPr>
          <w:rStyle w:val="Style1"/>
          <w:rFonts w:eastAsiaTheme="minorHAnsi"/>
        </w:rPr>
        <w:t xml:space="preserve">health plans. The sample included all Medicaid </w:t>
      </w:r>
      <w:r w:rsidR="002866D8" w:rsidRPr="00257C65">
        <w:rPr>
          <w:rStyle w:val="Style1"/>
          <w:rFonts w:eastAsiaTheme="minorHAnsi"/>
        </w:rPr>
        <w:t xml:space="preserve">and commercial </w:t>
      </w:r>
      <w:r w:rsidR="00AA55F1" w:rsidRPr="00257C65">
        <w:rPr>
          <w:rStyle w:val="Style1"/>
          <w:rFonts w:eastAsiaTheme="minorHAnsi"/>
        </w:rPr>
        <w:t>health plans submitting data to NCQA for HEDIS. The plans were geograp</w:t>
      </w:r>
      <w:r w:rsidR="002866D8" w:rsidRPr="00257C65">
        <w:rPr>
          <w:rStyle w:val="Style1"/>
          <w:rFonts w:eastAsiaTheme="minorHAnsi"/>
        </w:rPr>
        <w:t xml:space="preserve">hically diverse and </w:t>
      </w:r>
      <w:r w:rsidR="00AA55F1" w:rsidRPr="00257C65">
        <w:rPr>
          <w:rStyle w:val="Style1"/>
          <w:rFonts w:eastAsiaTheme="minorHAnsi"/>
        </w:rPr>
        <w:t>varied in size</w:t>
      </w:r>
      <w:r w:rsidR="00AA55F1" w:rsidRPr="009F7B22">
        <w:rPr>
          <w:color w:val="0070C0"/>
        </w:rPr>
        <w:t xml:space="preserve">.  </w:t>
      </w:r>
    </w:p>
    <w:p w14:paraId="077FDC1D" w14:textId="77777777" w:rsidR="00C269DA" w:rsidRPr="00A25024" w:rsidRDefault="00C269DA" w:rsidP="00DB3627">
      <w:pPr>
        <w:autoSpaceDE w:val="0"/>
        <w:autoSpaceDN w:val="0"/>
        <w:adjustRightInd w:val="0"/>
        <w:spacing w:after="0" w:line="240" w:lineRule="auto"/>
        <w:rPr>
          <w:rFonts w:cstheme="minorHAnsi"/>
          <w:bCs/>
        </w:rPr>
      </w:pPr>
    </w:p>
    <w:p w14:paraId="4F2BF6D0" w14:textId="77777777" w:rsidR="00DA41F8" w:rsidRPr="009F7B22" w:rsidRDefault="002B5016" w:rsidP="006F5CE0">
      <w:pPr>
        <w:pStyle w:val="NoSpacing"/>
        <w:rPr>
          <w:rFonts w:ascii="Trebuchet MS" w:hAnsi="Trebuchet MS"/>
          <w:color w:val="0070C0"/>
          <w:sz w:val="20"/>
          <w:szCs w:val="20"/>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4529C277" w14:textId="71066165" w:rsidR="002F77FD" w:rsidRPr="00EC03C2" w:rsidRDefault="002F77FD" w:rsidP="002F77FD">
      <w:pPr>
        <w:spacing w:after="0" w:line="240" w:lineRule="auto"/>
        <w:rPr>
          <w:rStyle w:val="Style1"/>
          <w:rFonts w:eastAsiaTheme="minorHAnsi"/>
          <w:b/>
          <w:u w:val="single"/>
        </w:rPr>
      </w:pPr>
      <w:r w:rsidRPr="00EC03C2">
        <w:rPr>
          <w:rStyle w:val="Style1"/>
          <w:rFonts w:eastAsiaTheme="minorHAnsi"/>
          <w:b/>
          <w:u w:val="single"/>
        </w:rPr>
        <w:t xml:space="preserve">Data </w:t>
      </w:r>
      <w:r w:rsidR="00DD204D" w:rsidRPr="00EC03C2">
        <w:rPr>
          <w:rStyle w:val="Style1"/>
          <w:rFonts w:eastAsiaTheme="minorHAnsi"/>
          <w:b/>
          <w:u w:val="single"/>
        </w:rPr>
        <w:t>E</w:t>
      </w:r>
      <w:r w:rsidRPr="00EC03C2">
        <w:rPr>
          <w:rStyle w:val="Style1"/>
          <w:rFonts w:eastAsiaTheme="minorHAnsi"/>
          <w:b/>
          <w:u w:val="single"/>
        </w:rPr>
        <w:t xml:space="preserve">lement </w:t>
      </w:r>
      <w:r w:rsidR="00DD204D" w:rsidRPr="00EC03C2">
        <w:rPr>
          <w:rStyle w:val="Style1"/>
          <w:rFonts w:eastAsiaTheme="minorHAnsi"/>
          <w:b/>
          <w:u w:val="single"/>
        </w:rPr>
        <w:t>V</w:t>
      </w:r>
      <w:r w:rsidRPr="00EC03C2">
        <w:rPr>
          <w:rStyle w:val="Style1"/>
          <w:rFonts w:eastAsiaTheme="minorHAnsi"/>
          <w:b/>
          <w:u w:val="single"/>
        </w:rPr>
        <w:t xml:space="preserve">alidity </w:t>
      </w:r>
      <w:r w:rsidR="00DD204D" w:rsidRPr="00EC03C2">
        <w:rPr>
          <w:rStyle w:val="Style1"/>
          <w:rFonts w:eastAsiaTheme="minorHAnsi"/>
          <w:b/>
          <w:u w:val="single"/>
        </w:rPr>
        <w:t>T</w:t>
      </w:r>
      <w:r w:rsidRPr="00EC03C2">
        <w:rPr>
          <w:rStyle w:val="Style1"/>
          <w:rFonts w:eastAsiaTheme="minorHAnsi"/>
          <w:b/>
          <w:u w:val="single"/>
        </w:rPr>
        <w:t xml:space="preserve">esting </w:t>
      </w:r>
    </w:p>
    <w:p w14:paraId="6BB226E8" w14:textId="77777777" w:rsidR="002F77FD" w:rsidRPr="00257C65" w:rsidRDefault="002F77FD" w:rsidP="006F5CE0">
      <w:pPr>
        <w:pStyle w:val="NoSpacing"/>
        <w:rPr>
          <w:rStyle w:val="Style1"/>
          <w:rFonts w:eastAsiaTheme="minorHAnsi"/>
        </w:rPr>
      </w:pPr>
    </w:p>
    <w:p w14:paraId="64A85ED4" w14:textId="3CECB54C" w:rsidR="006F5CE0" w:rsidRPr="00257C65" w:rsidRDefault="006E4CDD" w:rsidP="006F5CE0">
      <w:pPr>
        <w:spacing w:after="0" w:line="240" w:lineRule="auto"/>
        <w:rPr>
          <w:rStyle w:val="Style1"/>
          <w:rFonts w:eastAsiaTheme="minorHAnsi"/>
        </w:rPr>
      </w:pPr>
      <w:r w:rsidRPr="00257C65">
        <w:rPr>
          <w:rStyle w:val="Style1"/>
          <w:rFonts w:eastAsiaTheme="minorHAnsi"/>
          <w:b/>
        </w:rPr>
        <w:t>Table 1</w:t>
      </w:r>
      <w:r w:rsidRPr="00257C65">
        <w:rPr>
          <w:rStyle w:val="Style1"/>
          <w:rFonts w:eastAsiaTheme="minorHAnsi"/>
        </w:rPr>
        <w:t xml:space="preserve">. </w:t>
      </w:r>
      <w:r w:rsidR="001E4A3C" w:rsidRPr="00EC03C2">
        <w:rPr>
          <w:rStyle w:val="Style1"/>
          <w:rFonts w:eastAsiaTheme="minorHAnsi"/>
          <w:b/>
        </w:rPr>
        <w:t>Plan Size for Data E</w:t>
      </w:r>
      <w:r w:rsidR="00B816FB" w:rsidRPr="00EC03C2">
        <w:rPr>
          <w:rStyle w:val="Style1"/>
          <w:rFonts w:eastAsiaTheme="minorHAnsi"/>
          <w:b/>
        </w:rPr>
        <w:t xml:space="preserve">lement </w:t>
      </w:r>
      <w:r w:rsidR="001E4A3C" w:rsidRPr="00EC03C2">
        <w:rPr>
          <w:rStyle w:val="Style1"/>
          <w:rFonts w:eastAsiaTheme="minorHAnsi"/>
          <w:b/>
        </w:rPr>
        <w:t>Validity T</w:t>
      </w:r>
      <w:r w:rsidR="00B816FB" w:rsidRPr="00EC03C2">
        <w:rPr>
          <w:rStyle w:val="Style1"/>
          <w:rFonts w:eastAsiaTheme="minorHAnsi"/>
          <w:b/>
        </w:rPr>
        <w:t>esting</w:t>
      </w:r>
      <w:r w:rsidR="0064442D" w:rsidRPr="00257C65">
        <w:rPr>
          <w:rStyle w:val="Style1"/>
          <w:rFonts w:eastAsiaTheme="minorHAnsi"/>
        </w:rPr>
        <w:t xml:space="preserve"> </w:t>
      </w:r>
    </w:p>
    <w:tbl>
      <w:tblPr>
        <w:tblStyle w:val="TableGrid"/>
        <w:tblW w:w="0" w:type="auto"/>
        <w:tblLook w:val="04A0" w:firstRow="1" w:lastRow="0" w:firstColumn="1" w:lastColumn="0" w:noHBand="0" w:noVBand="1"/>
      </w:tblPr>
      <w:tblGrid>
        <w:gridCol w:w="1638"/>
        <w:gridCol w:w="1800"/>
        <w:gridCol w:w="2047"/>
        <w:gridCol w:w="1530"/>
        <w:gridCol w:w="1980"/>
      </w:tblGrid>
      <w:tr w:rsidR="009F7B22" w:rsidRPr="00257C65" w14:paraId="6230E98B" w14:textId="77777777" w:rsidTr="00E43F65">
        <w:tc>
          <w:tcPr>
            <w:tcW w:w="1638" w:type="dxa"/>
          </w:tcPr>
          <w:p w14:paraId="157F686B" w14:textId="77777777" w:rsidR="00E43F65" w:rsidRPr="00257C65" w:rsidRDefault="00E43F65" w:rsidP="00E43F65">
            <w:pPr>
              <w:jc w:val="center"/>
              <w:rPr>
                <w:rStyle w:val="Style1"/>
                <w:rFonts w:eastAsiaTheme="minorHAnsi"/>
              </w:rPr>
            </w:pPr>
            <w:r w:rsidRPr="00257C65">
              <w:rPr>
                <w:rStyle w:val="Style1"/>
                <w:rFonts w:eastAsiaTheme="minorHAnsi"/>
              </w:rPr>
              <w:t>Plan</w:t>
            </w:r>
          </w:p>
        </w:tc>
        <w:tc>
          <w:tcPr>
            <w:tcW w:w="1800" w:type="dxa"/>
          </w:tcPr>
          <w:p w14:paraId="53D5883E" w14:textId="77777777" w:rsidR="00E43F65" w:rsidRPr="00257C65" w:rsidRDefault="00E43F65" w:rsidP="00441842">
            <w:pPr>
              <w:jc w:val="center"/>
              <w:rPr>
                <w:rStyle w:val="Style1"/>
                <w:rFonts w:eastAsiaTheme="minorHAnsi"/>
              </w:rPr>
            </w:pPr>
            <w:r w:rsidRPr="00257C65">
              <w:rPr>
                <w:rStyle w:val="Style1"/>
                <w:rFonts w:eastAsiaTheme="minorHAnsi"/>
              </w:rPr>
              <w:t>Total Enrollment</w:t>
            </w:r>
          </w:p>
        </w:tc>
        <w:tc>
          <w:tcPr>
            <w:tcW w:w="2047" w:type="dxa"/>
          </w:tcPr>
          <w:p w14:paraId="41D89547" w14:textId="77777777" w:rsidR="00E43F65" w:rsidRPr="00257C65" w:rsidRDefault="00E43F65" w:rsidP="00441842">
            <w:pPr>
              <w:jc w:val="center"/>
              <w:rPr>
                <w:rStyle w:val="Style1"/>
                <w:rFonts w:eastAsiaTheme="minorHAnsi"/>
              </w:rPr>
            </w:pPr>
            <w:r w:rsidRPr="00257C65">
              <w:rPr>
                <w:rStyle w:val="Style1"/>
                <w:rFonts w:eastAsiaTheme="minorHAnsi"/>
              </w:rPr>
              <w:t xml:space="preserve">Patients w/ LBP Episode </w:t>
            </w:r>
            <w:r w:rsidR="00B816FB" w:rsidRPr="00257C65">
              <w:rPr>
                <w:rStyle w:val="Style1"/>
                <w:rFonts w:eastAsiaTheme="minorHAnsi"/>
              </w:rPr>
              <w:t>S</w:t>
            </w:r>
            <w:r w:rsidRPr="00257C65">
              <w:rPr>
                <w:rStyle w:val="Style1"/>
                <w:rFonts w:eastAsiaTheme="minorHAnsi"/>
              </w:rPr>
              <w:t>ampled for Validity Testing</w:t>
            </w:r>
          </w:p>
        </w:tc>
        <w:tc>
          <w:tcPr>
            <w:tcW w:w="1530" w:type="dxa"/>
          </w:tcPr>
          <w:p w14:paraId="2CE3AE12" w14:textId="0D0239C5" w:rsidR="00E43F65" w:rsidRPr="00257C65" w:rsidRDefault="002F77FD" w:rsidP="00441842">
            <w:pPr>
              <w:jc w:val="center"/>
              <w:rPr>
                <w:rStyle w:val="Style1"/>
                <w:rFonts w:eastAsiaTheme="minorHAnsi"/>
              </w:rPr>
            </w:pPr>
            <w:r w:rsidRPr="00257C65">
              <w:rPr>
                <w:rStyle w:val="Style1"/>
                <w:rFonts w:eastAsiaTheme="minorHAnsi"/>
              </w:rPr>
              <w:t>Percent</w:t>
            </w:r>
            <w:r w:rsidR="00E43F65" w:rsidRPr="00257C65">
              <w:rPr>
                <w:rStyle w:val="Style1"/>
                <w:rFonts w:eastAsiaTheme="minorHAnsi"/>
              </w:rPr>
              <w:t xml:space="preserve"> of </w:t>
            </w:r>
            <w:r w:rsidRPr="00257C65">
              <w:rPr>
                <w:rStyle w:val="Style1"/>
                <w:rFonts w:eastAsiaTheme="minorHAnsi"/>
              </w:rPr>
              <w:t>Sample with MR Missing</w:t>
            </w:r>
          </w:p>
        </w:tc>
        <w:tc>
          <w:tcPr>
            <w:tcW w:w="1980" w:type="dxa"/>
          </w:tcPr>
          <w:p w14:paraId="3599A3E2" w14:textId="77777777" w:rsidR="00E43F65" w:rsidRPr="00257C65" w:rsidRDefault="00E43F65" w:rsidP="00441842">
            <w:pPr>
              <w:jc w:val="center"/>
              <w:rPr>
                <w:rStyle w:val="Style1"/>
                <w:rFonts w:eastAsiaTheme="minorHAnsi"/>
              </w:rPr>
            </w:pPr>
            <w:r w:rsidRPr="00257C65">
              <w:rPr>
                <w:rStyle w:val="Style1"/>
                <w:rFonts w:eastAsiaTheme="minorHAnsi"/>
              </w:rPr>
              <w:t>Final Sample for Validity Testing</w:t>
            </w:r>
          </w:p>
        </w:tc>
      </w:tr>
      <w:tr w:rsidR="009F7B22" w:rsidRPr="00257C65" w14:paraId="161D22AA" w14:textId="77777777" w:rsidTr="00E43F65">
        <w:tc>
          <w:tcPr>
            <w:tcW w:w="1638" w:type="dxa"/>
          </w:tcPr>
          <w:p w14:paraId="097C6E8A" w14:textId="77777777" w:rsidR="00E43F65" w:rsidRPr="00257C65" w:rsidRDefault="00E43F65" w:rsidP="00484A2E">
            <w:pPr>
              <w:jc w:val="center"/>
              <w:rPr>
                <w:rStyle w:val="Style1"/>
                <w:rFonts w:eastAsiaTheme="minorHAnsi"/>
              </w:rPr>
            </w:pPr>
            <w:r w:rsidRPr="00257C65">
              <w:rPr>
                <w:rStyle w:val="Style1"/>
                <w:rFonts w:eastAsiaTheme="minorHAnsi"/>
              </w:rPr>
              <w:t>A</w:t>
            </w:r>
          </w:p>
        </w:tc>
        <w:tc>
          <w:tcPr>
            <w:tcW w:w="1800" w:type="dxa"/>
          </w:tcPr>
          <w:p w14:paraId="05A94CF9" w14:textId="77777777" w:rsidR="00E43F65" w:rsidRPr="00257C65" w:rsidRDefault="00E43F65" w:rsidP="00484A2E">
            <w:pPr>
              <w:jc w:val="center"/>
              <w:rPr>
                <w:rStyle w:val="Style1"/>
                <w:rFonts w:eastAsiaTheme="minorHAnsi"/>
              </w:rPr>
            </w:pPr>
            <w:r w:rsidRPr="00257C65">
              <w:rPr>
                <w:rStyle w:val="Style1"/>
                <w:rFonts w:eastAsiaTheme="minorHAnsi"/>
              </w:rPr>
              <w:t>464,637</w:t>
            </w:r>
          </w:p>
        </w:tc>
        <w:tc>
          <w:tcPr>
            <w:tcW w:w="2047" w:type="dxa"/>
          </w:tcPr>
          <w:p w14:paraId="4AFA9FB5" w14:textId="77777777" w:rsidR="00E43F65" w:rsidRPr="00257C65" w:rsidRDefault="00E43F65" w:rsidP="00484A2E">
            <w:pPr>
              <w:jc w:val="center"/>
              <w:rPr>
                <w:rStyle w:val="Style1"/>
                <w:rFonts w:eastAsiaTheme="minorHAnsi"/>
              </w:rPr>
            </w:pPr>
            <w:r w:rsidRPr="00257C65">
              <w:rPr>
                <w:rStyle w:val="Style1"/>
                <w:rFonts w:eastAsiaTheme="minorHAnsi"/>
              </w:rPr>
              <w:t>148</w:t>
            </w:r>
          </w:p>
        </w:tc>
        <w:tc>
          <w:tcPr>
            <w:tcW w:w="1530" w:type="dxa"/>
          </w:tcPr>
          <w:p w14:paraId="0BCDC5E3" w14:textId="45FEDA0C" w:rsidR="00E43F65" w:rsidRPr="00257C65" w:rsidRDefault="00441842" w:rsidP="00484A2E">
            <w:pPr>
              <w:jc w:val="center"/>
              <w:rPr>
                <w:rStyle w:val="Style1"/>
                <w:rFonts w:eastAsiaTheme="minorHAnsi"/>
              </w:rPr>
            </w:pPr>
            <w:r w:rsidRPr="00257C65">
              <w:rPr>
                <w:rStyle w:val="Style1"/>
                <w:rFonts w:eastAsiaTheme="minorHAnsi"/>
              </w:rPr>
              <w:t>17.6</w:t>
            </w:r>
          </w:p>
        </w:tc>
        <w:tc>
          <w:tcPr>
            <w:tcW w:w="1980" w:type="dxa"/>
          </w:tcPr>
          <w:p w14:paraId="702D54DA" w14:textId="77777777" w:rsidR="00E43F65" w:rsidRPr="00257C65" w:rsidRDefault="00E43F65" w:rsidP="00484A2E">
            <w:pPr>
              <w:jc w:val="center"/>
              <w:rPr>
                <w:rStyle w:val="Style1"/>
                <w:rFonts w:eastAsiaTheme="minorHAnsi"/>
              </w:rPr>
            </w:pPr>
            <w:r w:rsidRPr="00257C65">
              <w:rPr>
                <w:rStyle w:val="Style1"/>
                <w:rFonts w:eastAsiaTheme="minorHAnsi"/>
              </w:rPr>
              <w:t>122</w:t>
            </w:r>
          </w:p>
        </w:tc>
      </w:tr>
      <w:tr w:rsidR="009F7B22" w:rsidRPr="00257C65" w14:paraId="7FCC31DA" w14:textId="77777777" w:rsidTr="00E43F65">
        <w:tc>
          <w:tcPr>
            <w:tcW w:w="1638" w:type="dxa"/>
          </w:tcPr>
          <w:p w14:paraId="76C783C9" w14:textId="77777777" w:rsidR="00E43F65" w:rsidRPr="00257C65" w:rsidRDefault="00E43F65" w:rsidP="00484A2E">
            <w:pPr>
              <w:jc w:val="center"/>
              <w:rPr>
                <w:rStyle w:val="Style1"/>
                <w:rFonts w:eastAsiaTheme="minorHAnsi"/>
              </w:rPr>
            </w:pPr>
            <w:r w:rsidRPr="00257C65">
              <w:rPr>
                <w:rStyle w:val="Style1"/>
                <w:rFonts w:eastAsiaTheme="minorHAnsi"/>
              </w:rPr>
              <w:t>B</w:t>
            </w:r>
          </w:p>
        </w:tc>
        <w:tc>
          <w:tcPr>
            <w:tcW w:w="1800" w:type="dxa"/>
          </w:tcPr>
          <w:p w14:paraId="5F17A06B" w14:textId="77777777" w:rsidR="00E43F65" w:rsidRPr="00257C65" w:rsidRDefault="00E43F65" w:rsidP="00484A2E">
            <w:pPr>
              <w:jc w:val="center"/>
              <w:rPr>
                <w:rStyle w:val="Style1"/>
                <w:rFonts w:eastAsiaTheme="minorHAnsi"/>
              </w:rPr>
            </w:pPr>
            <w:r w:rsidRPr="00257C65">
              <w:rPr>
                <w:rStyle w:val="Style1"/>
                <w:rFonts w:eastAsiaTheme="minorHAnsi"/>
              </w:rPr>
              <w:t>378,909</w:t>
            </w:r>
          </w:p>
        </w:tc>
        <w:tc>
          <w:tcPr>
            <w:tcW w:w="2047" w:type="dxa"/>
          </w:tcPr>
          <w:p w14:paraId="28720004" w14:textId="77777777" w:rsidR="00E43F65" w:rsidRPr="00257C65" w:rsidRDefault="00E43F65" w:rsidP="00484A2E">
            <w:pPr>
              <w:jc w:val="center"/>
              <w:rPr>
                <w:rStyle w:val="Style1"/>
                <w:rFonts w:eastAsiaTheme="minorHAnsi"/>
              </w:rPr>
            </w:pPr>
            <w:r w:rsidRPr="00257C65">
              <w:rPr>
                <w:rStyle w:val="Style1"/>
                <w:rFonts w:eastAsiaTheme="minorHAnsi"/>
              </w:rPr>
              <w:t>150</w:t>
            </w:r>
          </w:p>
        </w:tc>
        <w:tc>
          <w:tcPr>
            <w:tcW w:w="1530" w:type="dxa"/>
          </w:tcPr>
          <w:p w14:paraId="38775672" w14:textId="603535C1" w:rsidR="00E43F65" w:rsidRPr="00257C65" w:rsidRDefault="00441842" w:rsidP="00484A2E">
            <w:pPr>
              <w:jc w:val="center"/>
              <w:rPr>
                <w:rStyle w:val="Style1"/>
                <w:rFonts w:eastAsiaTheme="minorHAnsi"/>
              </w:rPr>
            </w:pPr>
            <w:r w:rsidRPr="00257C65">
              <w:rPr>
                <w:rStyle w:val="Style1"/>
                <w:rFonts w:eastAsiaTheme="minorHAnsi"/>
              </w:rPr>
              <w:t>0</w:t>
            </w:r>
          </w:p>
        </w:tc>
        <w:tc>
          <w:tcPr>
            <w:tcW w:w="1980" w:type="dxa"/>
          </w:tcPr>
          <w:p w14:paraId="553C27B5" w14:textId="77777777" w:rsidR="00E43F65" w:rsidRPr="00257C65" w:rsidRDefault="00E43F65" w:rsidP="00484A2E">
            <w:pPr>
              <w:jc w:val="center"/>
              <w:rPr>
                <w:rStyle w:val="Style1"/>
                <w:rFonts w:eastAsiaTheme="minorHAnsi"/>
              </w:rPr>
            </w:pPr>
            <w:r w:rsidRPr="00257C65">
              <w:rPr>
                <w:rStyle w:val="Style1"/>
                <w:rFonts w:eastAsiaTheme="minorHAnsi"/>
              </w:rPr>
              <w:t>150</w:t>
            </w:r>
          </w:p>
        </w:tc>
      </w:tr>
      <w:tr w:rsidR="009F7B22" w:rsidRPr="00257C65" w14:paraId="476FCDCC" w14:textId="77777777" w:rsidTr="00E43F65">
        <w:tc>
          <w:tcPr>
            <w:tcW w:w="1638" w:type="dxa"/>
          </w:tcPr>
          <w:p w14:paraId="57A17600" w14:textId="77777777" w:rsidR="00E43F65" w:rsidRPr="00257C65" w:rsidRDefault="00E43F65" w:rsidP="00484A2E">
            <w:pPr>
              <w:jc w:val="center"/>
              <w:rPr>
                <w:rStyle w:val="Style1"/>
                <w:rFonts w:eastAsiaTheme="minorHAnsi"/>
              </w:rPr>
            </w:pPr>
            <w:r w:rsidRPr="00257C65">
              <w:rPr>
                <w:rStyle w:val="Style1"/>
                <w:rFonts w:eastAsiaTheme="minorHAnsi"/>
              </w:rPr>
              <w:t>C</w:t>
            </w:r>
          </w:p>
        </w:tc>
        <w:tc>
          <w:tcPr>
            <w:tcW w:w="1800" w:type="dxa"/>
          </w:tcPr>
          <w:p w14:paraId="6838B6F0" w14:textId="77777777" w:rsidR="00E43F65" w:rsidRPr="00257C65" w:rsidRDefault="00E43F65" w:rsidP="00484A2E">
            <w:pPr>
              <w:jc w:val="center"/>
              <w:rPr>
                <w:rStyle w:val="Style1"/>
                <w:rFonts w:eastAsiaTheme="minorHAnsi"/>
              </w:rPr>
            </w:pPr>
            <w:r w:rsidRPr="00257C65">
              <w:rPr>
                <w:rStyle w:val="Style1"/>
                <w:rFonts w:eastAsiaTheme="minorHAnsi"/>
              </w:rPr>
              <w:t>111,986</w:t>
            </w:r>
          </w:p>
        </w:tc>
        <w:tc>
          <w:tcPr>
            <w:tcW w:w="2047" w:type="dxa"/>
          </w:tcPr>
          <w:p w14:paraId="62CF0654" w14:textId="77777777" w:rsidR="00E43F65" w:rsidRPr="00257C65" w:rsidRDefault="00E43F65" w:rsidP="00484A2E">
            <w:pPr>
              <w:jc w:val="center"/>
              <w:rPr>
                <w:rStyle w:val="Style1"/>
                <w:rFonts w:eastAsiaTheme="minorHAnsi"/>
              </w:rPr>
            </w:pPr>
            <w:r w:rsidRPr="00257C65">
              <w:rPr>
                <w:rStyle w:val="Style1"/>
                <w:rFonts w:eastAsiaTheme="minorHAnsi"/>
              </w:rPr>
              <w:t>150</w:t>
            </w:r>
          </w:p>
        </w:tc>
        <w:tc>
          <w:tcPr>
            <w:tcW w:w="1530" w:type="dxa"/>
          </w:tcPr>
          <w:p w14:paraId="3B32A8FF" w14:textId="0D7482EC" w:rsidR="00E43F65" w:rsidRPr="00257C65" w:rsidRDefault="00441842" w:rsidP="00484A2E">
            <w:pPr>
              <w:jc w:val="center"/>
              <w:rPr>
                <w:rStyle w:val="Style1"/>
                <w:rFonts w:eastAsiaTheme="minorHAnsi"/>
              </w:rPr>
            </w:pPr>
            <w:r w:rsidRPr="00257C65">
              <w:rPr>
                <w:rStyle w:val="Style1"/>
                <w:rFonts w:eastAsiaTheme="minorHAnsi"/>
              </w:rPr>
              <w:t>0</w:t>
            </w:r>
          </w:p>
        </w:tc>
        <w:tc>
          <w:tcPr>
            <w:tcW w:w="1980" w:type="dxa"/>
          </w:tcPr>
          <w:p w14:paraId="218A085E" w14:textId="77777777" w:rsidR="00E43F65" w:rsidRPr="00257C65" w:rsidRDefault="00E43F65" w:rsidP="00484A2E">
            <w:pPr>
              <w:jc w:val="center"/>
              <w:rPr>
                <w:rStyle w:val="Style1"/>
                <w:rFonts w:eastAsiaTheme="minorHAnsi"/>
              </w:rPr>
            </w:pPr>
            <w:r w:rsidRPr="00257C65">
              <w:rPr>
                <w:rStyle w:val="Style1"/>
                <w:rFonts w:eastAsiaTheme="minorHAnsi"/>
              </w:rPr>
              <w:t>150</w:t>
            </w:r>
          </w:p>
        </w:tc>
      </w:tr>
    </w:tbl>
    <w:p w14:paraId="2736E82C" w14:textId="77777777" w:rsidR="008B49BB" w:rsidRPr="00257C65" w:rsidRDefault="008B49BB" w:rsidP="008B49BB">
      <w:pPr>
        <w:pStyle w:val="NoSpacing"/>
        <w:rPr>
          <w:rStyle w:val="Style1"/>
          <w:rFonts w:eastAsiaTheme="minorHAnsi"/>
        </w:rPr>
      </w:pPr>
    </w:p>
    <w:p w14:paraId="0075AA64" w14:textId="11830817" w:rsidR="008B49BB" w:rsidRPr="00257C65" w:rsidRDefault="00366221" w:rsidP="008B49BB">
      <w:pPr>
        <w:pStyle w:val="NoSpacing"/>
        <w:rPr>
          <w:rStyle w:val="Style1"/>
          <w:rFonts w:eastAsiaTheme="minorHAnsi"/>
        </w:rPr>
      </w:pPr>
      <w:r w:rsidRPr="00257C65">
        <w:rPr>
          <w:rStyle w:val="Style1"/>
          <w:rFonts w:eastAsiaTheme="minorHAnsi"/>
        </w:rPr>
        <w:t>Table 1</w:t>
      </w:r>
      <w:r w:rsidR="008B49BB" w:rsidRPr="00257C65">
        <w:rPr>
          <w:rStyle w:val="Style1"/>
          <w:rFonts w:eastAsiaTheme="minorHAnsi"/>
        </w:rPr>
        <w:t xml:space="preserve"> shows the total enrollment for each plan and the sample size used for the medical record review in 2002. Note that Plan C had both a commercial and Medicaid product line. Only one plan (Plan A) had missing medical records (17.6</w:t>
      </w:r>
      <w:r w:rsidR="00B8721F" w:rsidRPr="00257C65">
        <w:rPr>
          <w:rStyle w:val="Style1"/>
          <w:rFonts w:eastAsiaTheme="minorHAnsi"/>
        </w:rPr>
        <w:t xml:space="preserve"> percent)</w:t>
      </w:r>
      <w:r w:rsidR="008B49BB" w:rsidRPr="00257C65">
        <w:rPr>
          <w:rStyle w:val="Style1"/>
          <w:rFonts w:eastAsiaTheme="minorHAnsi"/>
        </w:rPr>
        <w:t xml:space="preserve"> in the sample of patients randomly selected for the medical record review. Only those patients whose medical record was found were counted as the final sample for validity testing. </w:t>
      </w:r>
    </w:p>
    <w:p w14:paraId="3D167FF7" w14:textId="77777777" w:rsidR="006E00A4" w:rsidRPr="00257C65" w:rsidRDefault="006E00A4" w:rsidP="006F5CE0">
      <w:pPr>
        <w:pStyle w:val="NoSpacing"/>
        <w:rPr>
          <w:rStyle w:val="Style1"/>
          <w:rFonts w:eastAsiaTheme="minorHAnsi"/>
        </w:rPr>
      </w:pPr>
    </w:p>
    <w:p w14:paraId="28254C4B" w14:textId="51EDB170" w:rsidR="00C7436B" w:rsidRPr="00257C65" w:rsidRDefault="00C7436B" w:rsidP="00C7436B">
      <w:pPr>
        <w:pStyle w:val="Heading2"/>
        <w:rPr>
          <w:rStyle w:val="Style1"/>
          <w:rFonts w:eastAsiaTheme="minorHAnsi"/>
        </w:rPr>
      </w:pPr>
      <w:r w:rsidRPr="00257C65">
        <w:rPr>
          <w:rStyle w:val="Style1"/>
          <w:rFonts w:eastAsiaTheme="minorHAnsi"/>
        </w:rPr>
        <w:t>Table 2</w:t>
      </w:r>
      <w:r w:rsidR="006E4CDD" w:rsidRPr="00257C65">
        <w:rPr>
          <w:rStyle w:val="Style1"/>
          <w:rFonts w:eastAsiaTheme="minorHAnsi"/>
          <w:b w:val="0"/>
        </w:rPr>
        <w:t xml:space="preserve">. </w:t>
      </w:r>
      <w:r w:rsidRPr="00EC03C2">
        <w:rPr>
          <w:rStyle w:val="Style1"/>
          <w:rFonts w:eastAsiaTheme="minorHAnsi"/>
        </w:rPr>
        <w:t>Demographics of Patients with Episodes of LBP for Data Element Validity Testing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5"/>
        <w:gridCol w:w="1823"/>
        <w:gridCol w:w="1800"/>
      </w:tblGrid>
      <w:tr w:rsidR="009F7B22" w:rsidRPr="00257C65" w14:paraId="1A5CE653" w14:textId="77777777" w:rsidTr="006B7C99">
        <w:tc>
          <w:tcPr>
            <w:tcW w:w="1435" w:type="dxa"/>
          </w:tcPr>
          <w:p w14:paraId="48B063E3" w14:textId="77777777" w:rsidR="00C7436B" w:rsidRPr="00257C65" w:rsidRDefault="00C7436B" w:rsidP="006B7C99">
            <w:pPr>
              <w:spacing w:after="0" w:line="240" w:lineRule="auto"/>
              <w:rPr>
                <w:rStyle w:val="Style1"/>
                <w:rFonts w:eastAsiaTheme="minorHAnsi"/>
              </w:rPr>
            </w:pPr>
          </w:p>
        </w:tc>
        <w:tc>
          <w:tcPr>
            <w:tcW w:w="1823" w:type="dxa"/>
          </w:tcPr>
          <w:p w14:paraId="31F4E27E"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Commercial</w:t>
            </w:r>
          </w:p>
          <w:p w14:paraId="6282F910" w14:textId="144A6656" w:rsidR="00C7436B" w:rsidRPr="00257C65" w:rsidRDefault="006E4CDD" w:rsidP="006B7C99">
            <w:pPr>
              <w:spacing w:after="0" w:line="240" w:lineRule="auto"/>
              <w:jc w:val="center"/>
              <w:rPr>
                <w:rStyle w:val="Style1"/>
                <w:rFonts w:eastAsiaTheme="minorHAnsi"/>
              </w:rPr>
            </w:pPr>
            <w:r w:rsidRPr="00257C65">
              <w:rPr>
                <w:rStyle w:val="Style1"/>
                <w:rFonts w:eastAsiaTheme="minorHAnsi"/>
              </w:rPr>
              <w:t>Percent</w:t>
            </w:r>
          </w:p>
          <w:p w14:paraId="1AA1CC40" w14:textId="3713A5A3" w:rsidR="00366221" w:rsidRPr="00257C65" w:rsidRDefault="006E4CDD" w:rsidP="006B7C99">
            <w:pPr>
              <w:spacing w:after="0" w:line="240" w:lineRule="auto"/>
              <w:jc w:val="center"/>
              <w:rPr>
                <w:rStyle w:val="Style1"/>
                <w:rFonts w:eastAsiaTheme="minorHAnsi"/>
              </w:rPr>
            </w:pPr>
            <w:r w:rsidRPr="00257C65">
              <w:rPr>
                <w:rStyle w:val="Style1"/>
                <w:rFonts w:eastAsiaTheme="minorHAnsi"/>
              </w:rPr>
              <w:t>(</w:t>
            </w:r>
            <w:r w:rsidR="00366221" w:rsidRPr="00257C65">
              <w:rPr>
                <w:rStyle w:val="Style1"/>
                <w:rFonts w:eastAsiaTheme="minorHAnsi"/>
              </w:rPr>
              <w:t>N=21,777</w:t>
            </w:r>
            <w:r w:rsidRPr="00257C65">
              <w:rPr>
                <w:rStyle w:val="Style1"/>
                <w:rFonts w:eastAsiaTheme="minorHAnsi"/>
              </w:rPr>
              <w:t>)</w:t>
            </w:r>
          </w:p>
        </w:tc>
        <w:tc>
          <w:tcPr>
            <w:tcW w:w="1800" w:type="dxa"/>
          </w:tcPr>
          <w:p w14:paraId="4C2569DF"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Medicaid</w:t>
            </w:r>
          </w:p>
          <w:p w14:paraId="06A2A619" w14:textId="065FA4CB" w:rsidR="00C7436B" w:rsidRPr="00257C65" w:rsidRDefault="006E4CDD" w:rsidP="006B7C99">
            <w:pPr>
              <w:spacing w:after="0" w:line="240" w:lineRule="auto"/>
              <w:jc w:val="center"/>
              <w:rPr>
                <w:rStyle w:val="Style1"/>
                <w:rFonts w:eastAsiaTheme="minorHAnsi"/>
              </w:rPr>
            </w:pPr>
            <w:r w:rsidRPr="00257C65">
              <w:rPr>
                <w:rStyle w:val="Style1"/>
                <w:rFonts w:eastAsiaTheme="minorHAnsi"/>
              </w:rPr>
              <w:t>Percent</w:t>
            </w:r>
          </w:p>
          <w:p w14:paraId="525B79CF" w14:textId="5ACA34C4" w:rsidR="00366221" w:rsidRPr="00257C65" w:rsidRDefault="006E4CDD" w:rsidP="006B7C99">
            <w:pPr>
              <w:spacing w:after="0" w:line="240" w:lineRule="auto"/>
              <w:jc w:val="center"/>
              <w:rPr>
                <w:rStyle w:val="Style1"/>
                <w:rFonts w:eastAsiaTheme="minorHAnsi"/>
              </w:rPr>
            </w:pPr>
            <w:r w:rsidRPr="00257C65">
              <w:rPr>
                <w:rStyle w:val="Style1"/>
                <w:rFonts w:eastAsiaTheme="minorHAnsi"/>
              </w:rPr>
              <w:t>(</w:t>
            </w:r>
            <w:r w:rsidR="00366221" w:rsidRPr="00257C65">
              <w:rPr>
                <w:rStyle w:val="Style1"/>
                <w:rFonts w:eastAsiaTheme="minorHAnsi"/>
              </w:rPr>
              <w:t>N=504</w:t>
            </w:r>
            <w:r w:rsidRPr="00257C65">
              <w:rPr>
                <w:rStyle w:val="Style1"/>
                <w:rFonts w:eastAsiaTheme="minorHAnsi"/>
              </w:rPr>
              <w:t>)</w:t>
            </w:r>
          </w:p>
        </w:tc>
      </w:tr>
      <w:tr w:rsidR="009F7B22" w:rsidRPr="00257C65" w14:paraId="215836EE" w14:textId="77777777" w:rsidTr="006B7C99">
        <w:tc>
          <w:tcPr>
            <w:tcW w:w="1435" w:type="dxa"/>
          </w:tcPr>
          <w:p w14:paraId="0AECBE05" w14:textId="5040023B" w:rsidR="006E4CDD" w:rsidRPr="00257C65" w:rsidRDefault="006E4CDD" w:rsidP="006B7C99">
            <w:pPr>
              <w:pStyle w:val="CommentText"/>
              <w:spacing w:after="0"/>
              <w:rPr>
                <w:rStyle w:val="Style1"/>
                <w:rFonts w:eastAsiaTheme="minorHAnsi"/>
              </w:rPr>
            </w:pPr>
            <w:r w:rsidRPr="00257C65">
              <w:rPr>
                <w:rStyle w:val="Style1"/>
                <w:rFonts w:eastAsiaTheme="minorHAnsi"/>
              </w:rPr>
              <w:t>Sex</w:t>
            </w:r>
          </w:p>
        </w:tc>
        <w:tc>
          <w:tcPr>
            <w:tcW w:w="1823" w:type="dxa"/>
            <w:vAlign w:val="bottom"/>
          </w:tcPr>
          <w:p w14:paraId="37426D87" w14:textId="77777777" w:rsidR="006E4CDD" w:rsidRPr="00257C65" w:rsidRDefault="006E4CDD" w:rsidP="006B7C99">
            <w:pPr>
              <w:spacing w:after="0" w:line="240" w:lineRule="auto"/>
              <w:jc w:val="center"/>
              <w:rPr>
                <w:rStyle w:val="Style1"/>
                <w:rFonts w:eastAsiaTheme="minorHAnsi"/>
              </w:rPr>
            </w:pPr>
          </w:p>
        </w:tc>
        <w:tc>
          <w:tcPr>
            <w:tcW w:w="1800" w:type="dxa"/>
            <w:vAlign w:val="bottom"/>
          </w:tcPr>
          <w:p w14:paraId="0A70B83A" w14:textId="77777777" w:rsidR="006E4CDD" w:rsidRPr="00257C65" w:rsidRDefault="006E4CDD" w:rsidP="006B7C99">
            <w:pPr>
              <w:spacing w:after="0" w:line="240" w:lineRule="auto"/>
              <w:jc w:val="center"/>
              <w:rPr>
                <w:rStyle w:val="Style1"/>
                <w:rFonts w:eastAsiaTheme="minorHAnsi"/>
              </w:rPr>
            </w:pPr>
          </w:p>
        </w:tc>
      </w:tr>
      <w:tr w:rsidR="009F7B22" w:rsidRPr="00257C65" w14:paraId="46FD96C4" w14:textId="77777777" w:rsidTr="006B7C99">
        <w:tc>
          <w:tcPr>
            <w:tcW w:w="1435" w:type="dxa"/>
          </w:tcPr>
          <w:p w14:paraId="78FCB5BF" w14:textId="77777777" w:rsidR="00C7436B" w:rsidRPr="00257C65" w:rsidRDefault="00C7436B" w:rsidP="006B7C99">
            <w:pPr>
              <w:pStyle w:val="CommentText"/>
              <w:spacing w:after="0"/>
              <w:rPr>
                <w:rStyle w:val="Style1"/>
                <w:rFonts w:eastAsiaTheme="minorHAnsi"/>
              </w:rPr>
            </w:pPr>
            <w:r w:rsidRPr="00257C65">
              <w:rPr>
                <w:rStyle w:val="Style1"/>
                <w:rFonts w:eastAsiaTheme="minorHAnsi"/>
              </w:rPr>
              <w:t xml:space="preserve">   Male</w:t>
            </w:r>
          </w:p>
        </w:tc>
        <w:tc>
          <w:tcPr>
            <w:tcW w:w="1823" w:type="dxa"/>
            <w:vAlign w:val="bottom"/>
          </w:tcPr>
          <w:p w14:paraId="11D5580D"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45.9</w:t>
            </w:r>
          </w:p>
        </w:tc>
        <w:tc>
          <w:tcPr>
            <w:tcW w:w="1800" w:type="dxa"/>
            <w:vAlign w:val="bottom"/>
          </w:tcPr>
          <w:p w14:paraId="409FA158"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13.5</w:t>
            </w:r>
          </w:p>
        </w:tc>
      </w:tr>
      <w:tr w:rsidR="009F7B22" w:rsidRPr="00257C65" w14:paraId="43BFD84A" w14:textId="77777777" w:rsidTr="006B7C99">
        <w:tc>
          <w:tcPr>
            <w:tcW w:w="1435" w:type="dxa"/>
          </w:tcPr>
          <w:p w14:paraId="098DC954" w14:textId="77777777" w:rsidR="00C7436B" w:rsidRPr="00257C65" w:rsidRDefault="00C7436B" w:rsidP="006B7C99">
            <w:pPr>
              <w:spacing w:after="0" w:line="240" w:lineRule="auto"/>
              <w:rPr>
                <w:rStyle w:val="Style1"/>
                <w:rFonts w:eastAsiaTheme="minorHAnsi"/>
              </w:rPr>
            </w:pPr>
            <w:r w:rsidRPr="00257C65">
              <w:rPr>
                <w:rStyle w:val="Style1"/>
                <w:rFonts w:eastAsiaTheme="minorHAnsi"/>
              </w:rPr>
              <w:t xml:space="preserve">   Female</w:t>
            </w:r>
          </w:p>
        </w:tc>
        <w:tc>
          <w:tcPr>
            <w:tcW w:w="1823" w:type="dxa"/>
            <w:vAlign w:val="bottom"/>
          </w:tcPr>
          <w:p w14:paraId="1F71531D"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54.1</w:t>
            </w:r>
          </w:p>
        </w:tc>
        <w:tc>
          <w:tcPr>
            <w:tcW w:w="1800" w:type="dxa"/>
            <w:vAlign w:val="bottom"/>
          </w:tcPr>
          <w:p w14:paraId="598E50D5"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86.5</w:t>
            </w:r>
          </w:p>
        </w:tc>
      </w:tr>
      <w:tr w:rsidR="009F7B22" w:rsidRPr="00257C65" w14:paraId="317D679F" w14:textId="77777777" w:rsidTr="006B7C99">
        <w:tc>
          <w:tcPr>
            <w:tcW w:w="1435" w:type="dxa"/>
          </w:tcPr>
          <w:p w14:paraId="31D971B7" w14:textId="77777777" w:rsidR="00C7436B" w:rsidRPr="00257C65" w:rsidRDefault="00C7436B" w:rsidP="006E4CDD">
            <w:pPr>
              <w:pStyle w:val="CommentText"/>
              <w:spacing w:after="0"/>
              <w:rPr>
                <w:rStyle w:val="Style1"/>
                <w:rFonts w:eastAsiaTheme="minorHAnsi"/>
              </w:rPr>
            </w:pPr>
            <w:r w:rsidRPr="00257C65">
              <w:rPr>
                <w:rStyle w:val="Style1"/>
                <w:rFonts w:eastAsiaTheme="minorHAnsi"/>
              </w:rPr>
              <w:lastRenderedPageBreak/>
              <w:t>Age</w:t>
            </w:r>
          </w:p>
        </w:tc>
        <w:tc>
          <w:tcPr>
            <w:tcW w:w="1823" w:type="dxa"/>
          </w:tcPr>
          <w:p w14:paraId="7DEC435B" w14:textId="77777777" w:rsidR="00C7436B" w:rsidRPr="00257C65" w:rsidRDefault="00C7436B" w:rsidP="006B7C99">
            <w:pPr>
              <w:spacing w:after="0" w:line="240" w:lineRule="auto"/>
              <w:jc w:val="center"/>
              <w:rPr>
                <w:rStyle w:val="Style1"/>
                <w:rFonts w:eastAsiaTheme="minorHAnsi"/>
              </w:rPr>
            </w:pPr>
          </w:p>
        </w:tc>
        <w:tc>
          <w:tcPr>
            <w:tcW w:w="1800" w:type="dxa"/>
          </w:tcPr>
          <w:p w14:paraId="6BE0FE01" w14:textId="77777777" w:rsidR="00C7436B" w:rsidRPr="00257C65" w:rsidRDefault="00C7436B" w:rsidP="006B7C99">
            <w:pPr>
              <w:spacing w:after="0" w:line="240" w:lineRule="auto"/>
              <w:jc w:val="center"/>
              <w:rPr>
                <w:rStyle w:val="Style1"/>
                <w:rFonts w:eastAsiaTheme="minorHAnsi"/>
              </w:rPr>
            </w:pPr>
          </w:p>
        </w:tc>
      </w:tr>
      <w:tr w:rsidR="009F7B22" w:rsidRPr="00257C65" w14:paraId="3EDD11ED" w14:textId="77777777" w:rsidTr="006B7C99">
        <w:tc>
          <w:tcPr>
            <w:tcW w:w="1435" w:type="dxa"/>
          </w:tcPr>
          <w:p w14:paraId="32FD10F6" w14:textId="77777777" w:rsidR="00C7436B" w:rsidRPr="00257C65" w:rsidRDefault="00C7436B" w:rsidP="006B7C99">
            <w:pPr>
              <w:pStyle w:val="CommentText"/>
              <w:spacing w:after="0"/>
              <w:rPr>
                <w:rStyle w:val="Style1"/>
                <w:rFonts w:eastAsiaTheme="minorHAnsi"/>
              </w:rPr>
            </w:pPr>
            <w:r w:rsidRPr="00257C65">
              <w:rPr>
                <w:rStyle w:val="Style1"/>
                <w:rFonts w:eastAsiaTheme="minorHAnsi"/>
              </w:rPr>
              <w:t xml:space="preserve">   &lt;=20</w:t>
            </w:r>
          </w:p>
        </w:tc>
        <w:tc>
          <w:tcPr>
            <w:tcW w:w="1823" w:type="dxa"/>
            <w:vAlign w:val="bottom"/>
          </w:tcPr>
          <w:p w14:paraId="31806ACF"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6.0</w:t>
            </w:r>
          </w:p>
        </w:tc>
        <w:tc>
          <w:tcPr>
            <w:tcW w:w="1800" w:type="dxa"/>
            <w:vAlign w:val="bottom"/>
          </w:tcPr>
          <w:p w14:paraId="268E5EF1"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8.5</w:t>
            </w:r>
          </w:p>
        </w:tc>
      </w:tr>
      <w:tr w:rsidR="009F7B22" w:rsidRPr="00257C65" w14:paraId="320BD1E2" w14:textId="77777777" w:rsidTr="006B7C99">
        <w:tc>
          <w:tcPr>
            <w:tcW w:w="1435" w:type="dxa"/>
            <w:vAlign w:val="bottom"/>
          </w:tcPr>
          <w:p w14:paraId="42058AC9" w14:textId="77777777" w:rsidR="00C7436B" w:rsidRPr="00257C65" w:rsidRDefault="00C7436B" w:rsidP="006B7C99">
            <w:pPr>
              <w:spacing w:after="0" w:line="240" w:lineRule="auto"/>
              <w:rPr>
                <w:rStyle w:val="Style1"/>
                <w:rFonts w:eastAsiaTheme="minorHAnsi"/>
              </w:rPr>
            </w:pPr>
            <w:r w:rsidRPr="00257C65">
              <w:rPr>
                <w:rStyle w:val="Style1"/>
                <w:rFonts w:eastAsiaTheme="minorHAnsi"/>
              </w:rPr>
              <w:t xml:space="preserve">  21-30</w:t>
            </w:r>
          </w:p>
        </w:tc>
        <w:tc>
          <w:tcPr>
            <w:tcW w:w="1823" w:type="dxa"/>
            <w:vAlign w:val="bottom"/>
          </w:tcPr>
          <w:p w14:paraId="69AA2B1E"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24.2</w:t>
            </w:r>
          </w:p>
        </w:tc>
        <w:tc>
          <w:tcPr>
            <w:tcW w:w="1800" w:type="dxa"/>
            <w:vAlign w:val="bottom"/>
          </w:tcPr>
          <w:p w14:paraId="4044FF88"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33.7</w:t>
            </w:r>
          </w:p>
        </w:tc>
      </w:tr>
      <w:tr w:rsidR="009F7B22" w:rsidRPr="00257C65" w14:paraId="4C25493F" w14:textId="77777777" w:rsidTr="006B7C99">
        <w:tc>
          <w:tcPr>
            <w:tcW w:w="1435" w:type="dxa"/>
            <w:vAlign w:val="bottom"/>
          </w:tcPr>
          <w:p w14:paraId="0A7F9DE7" w14:textId="77777777" w:rsidR="00C7436B" w:rsidRPr="00257C65" w:rsidRDefault="00C7436B" w:rsidP="006B7C99">
            <w:pPr>
              <w:spacing w:after="0" w:line="240" w:lineRule="auto"/>
              <w:rPr>
                <w:rStyle w:val="Style1"/>
                <w:rFonts w:eastAsiaTheme="minorHAnsi"/>
              </w:rPr>
            </w:pPr>
            <w:r w:rsidRPr="00257C65">
              <w:rPr>
                <w:rStyle w:val="Style1"/>
                <w:rFonts w:eastAsiaTheme="minorHAnsi"/>
              </w:rPr>
              <w:t xml:space="preserve">  31-40</w:t>
            </w:r>
          </w:p>
        </w:tc>
        <w:tc>
          <w:tcPr>
            <w:tcW w:w="1823" w:type="dxa"/>
            <w:vAlign w:val="bottom"/>
          </w:tcPr>
          <w:p w14:paraId="5CD94F61"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32.4</w:t>
            </w:r>
          </w:p>
        </w:tc>
        <w:tc>
          <w:tcPr>
            <w:tcW w:w="1800" w:type="dxa"/>
            <w:vAlign w:val="bottom"/>
          </w:tcPr>
          <w:p w14:paraId="17C71960"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38.9</w:t>
            </w:r>
          </w:p>
        </w:tc>
      </w:tr>
      <w:tr w:rsidR="009F7B22" w:rsidRPr="00257C65" w14:paraId="1C0D9568" w14:textId="77777777" w:rsidTr="006B7C99">
        <w:tc>
          <w:tcPr>
            <w:tcW w:w="1435" w:type="dxa"/>
            <w:vAlign w:val="bottom"/>
          </w:tcPr>
          <w:p w14:paraId="4D77D9C4" w14:textId="77777777" w:rsidR="00C7436B" w:rsidRPr="00257C65" w:rsidRDefault="00C7436B" w:rsidP="006B7C99">
            <w:pPr>
              <w:spacing w:after="0" w:line="240" w:lineRule="auto"/>
              <w:rPr>
                <w:rStyle w:val="Style1"/>
                <w:rFonts w:eastAsiaTheme="minorHAnsi"/>
              </w:rPr>
            </w:pPr>
            <w:r w:rsidRPr="00257C65">
              <w:rPr>
                <w:rStyle w:val="Style1"/>
                <w:rFonts w:eastAsiaTheme="minorHAnsi"/>
              </w:rPr>
              <w:t xml:space="preserve">  41-50</w:t>
            </w:r>
          </w:p>
        </w:tc>
        <w:tc>
          <w:tcPr>
            <w:tcW w:w="1823" w:type="dxa"/>
            <w:vAlign w:val="bottom"/>
          </w:tcPr>
          <w:p w14:paraId="09EA12EB"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37.4</w:t>
            </w:r>
          </w:p>
        </w:tc>
        <w:tc>
          <w:tcPr>
            <w:tcW w:w="1800" w:type="dxa"/>
            <w:vAlign w:val="bottom"/>
          </w:tcPr>
          <w:p w14:paraId="73E46542" w14:textId="77777777" w:rsidR="00C7436B" w:rsidRPr="00257C65" w:rsidRDefault="00C7436B" w:rsidP="006B7C99">
            <w:pPr>
              <w:spacing w:after="0" w:line="240" w:lineRule="auto"/>
              <w:jc w:val="center"/>
              <w:rPr>
                <w:rStyle w:val="Style1"/>
                <w:rFonts w:eastAsiaTheme="minorHAnsi"/>
              </w:rPr>
            </w:pPr>
            <w:r w:rsidRPr="00257C65">
              <w:rPr>
                <w:rStyle w:val="Style1"/>
                <w:rFonts w:eastAsiaTheme="minorHAnsi"/>
              </w:rPr>
              <w:t>18.9</w:t>
            </w:r>
          </w:p>
        </w:tc>
      </w:tr>
    </w:tbl>
    <w:p w14:paraId="22FEE85F" w14:textId="77777777" w:rsidR="00C7436B" w:rsidRPr="00257C65" w:rsidRDefault="00C7436B" w:rsidP="006F5CE0">
      <w:pPr>
        <w:pStyle w:val="NoSpacing"/>
        <w:rPr>
          <w:rStyle w:val="Style1"/>
          <w:rFonts w:eastAsiaTheme="minorHAnsi"/>
        </w:rPr>
      </w:pPr>
    </w:p>
    <w:p w14:paraId="0A99C600" w14:textId="3521F945" w:rsidR="006E4CDD" w:rsidRPr="00EC03C2" w:rsidRDefault="006E4CDD" w:rsidP="006E4CDD">
      <w:pPr>
        <w:pStyle w:val="NoSpacing"/>
        <w:rPr>
          <w:rStyle w:val="Style1"/>
          <w:rFonts w:eastAsiaTheme="minorHAnsi"/>
          <w:b/>
          <w:u w:val="single"/>
        </w:rPr>
      </w:pPr>
      <w:r w:rsidRPr="00EC03C2">
        <w:rPr>
          <w:rStyle w:val="Style1"/>
          <w:rFonts w:eastAsiaTheme="minorHAnsi"/>
          <w:b/>
          <w:u w:val="single"/>
        </w:rPr>
        <w:t xml:space="preserve">Measure </w:t>
      </w:r>
      <w:r w:rsidR="00DD204D" w:rsidRPr="00EC03C2">
        <w:rPr>
          <w:rStyle w:val="Style1"/>
          <w:rFonts w:eastAsiaTheme="minorHAnsi"/>
          <w:b/>
          <w:u w:val="single"/>
        </w:rPr>
        <w:t>S</w:t>
      </w:r>
      <w:r w:rsidRPr="00EC03C2">
        <w:rPr>
          <w:rStyle w:val="Style1"/>
          <w:rFonts w:eastAsiaTheme="minorHAnsi"/>
          <w:b/>
          <w:u w:val="single"/>
        </w:rPr>
        <w:t xml:space="preserve">core </w:t>
      </w:r>
      <w:r w:rsidR="00DD204D" w:rsidRPr="00EC03C2">
        <w:rPr>
          <w:rStyle w:val="Style1"/>
          <w:rFonts w:eastAsiaTheme="minorHAnsi"/>
          <w:b/>
          <w:u w:val="single"/>
        </w:rPr>
        <w:t>R</w:t>
      </w:r>
      <w:r w:rsidRPr="00EC03C2">
        <w:rPr>
          <w:rStyle w:val="Style1"/>
          <w:rFonts w:eastAsiaTheme="minorHAnsi"/>
          <w:b/>
          <w:u w:val="single"/>
        </w:rPr>
        <w:t xml:space="preserve">eliability </w:t>
      </w:r>
      <w:r w:rsidR="00DD204D" w:rsidRPr="00EC03C2">
        <w:rPr>
          <w:rStyle w:val="Style1"/>
          <w:rFonts w:eastAsiaTheme="minorHAnsi"/>
          <w:b/>
          <w:u w:val="single"/>
        </w:rPr>
        <w:t>T</w:t>
      </w:r>
      <w:r w:rsidRPr="00EC03C2">
        <w:rPr>
          <w:rStyle w:val="Style1"/>
          <w:rFonts w:eastAsiaTheme="minorHAnsi"/>
          <w:b/>
          <w:u w:val="single"/>
        </w:rPr>
        <w:t>esting</w:t>
      </w:r>
    </w:p>
    <w:p w14:paraId="2B5AA9A2" w14:textId="77777777" w:rsidR="006E4CDD" w:rsidRPr="00257C65" w:rsidRDefault="006E4CDD" w:rsidP="006F5CE0">
      <w:pPr>
        <w:pStyle w:val="NoSpacing"/>
        <w:rPr>
          <w:rStyle w:val="Style1"/>
          <w:rFonts w:eastAsiaTheme="minorHAnsi"/>
        </w:rPr>
      </w:pPr>
    </w:p>
    <w:p w14:paraId="23380512" w14:textId="4B571DF6" w:rsidR="00AA5131" w:rsidRPr="00257C65" w:rsidRDefault="00C7436B" w:rsidP="006F5CE0">
      <w:pPr>
        <w:pStyle w:val="NoSpacing"/>
        <w:rPr>
          <w:rStyle w:val="Style1"/>
          <w:rFonts w:eastAsiaTheme="minorHAnsi"/>
        </w:rPr>
      </w:pPr>
      <w:r w:rsidRPr="00257C65">
        <w:rPr>
          <w:rStyle w:val="Style1"/>
          <w:rFonts w:eastAsiaTheme="minorHAnsi"/>
          <w:b/>
        </w:rPr>
        <w:t>Table 3</w:t>
      </w:r>
      <w:r w:rsidR="006E4CDD" w:rsidRPr="00257C65">
        <w:rPr>
          <w:rStyle w:val="Style1"/>
          <w:rFonts w:eastAsiaTheme="minorHAnsi"/>
          <w:b/>
        </w:rPr>
        <w:t>.</w:t>
      </w:r>
      <w:r w:rsidR="006E4CDD" w:rsidRPr="00257C65">
        <w:rPr>
          <w:rStyle w:val="Style1"/>
          <w:rFonts w:eastAsiaTheme="minorHAnsi"/>
        </w:rPr>
        <w:t xml:space="preserve"> </w:t>
      </w:r>
      <w:r w:rsidR="0001729B" w:rsidRPr="00EC03C2">
        <w:rPr>
          <w:rStyle w:val="Style1"/>
          <w:rFonts w:eastAsiaTheme="minorHAnsi"/>
          <w:b/>
        </w:rPr>
        <w:t>HEDIS Plan S</w:t>
      </w:r>
      <w:r w:rsidR="001E4A3C" w:rsidRPr="00EC03C2">
        <w:rPr>
          <w:rStyle w:val="Style1"/>
          <w:rFonts w:eastAsiaTheme="minorHAnsi"/>
          <w:b/>
        </w:rPr>
        <w:t>ize for Reliability T</w:t>
      </w:r>
      <w:r w:rsidR="00B816FB" w:rsidRPr="00EC03C2">
        <w:rPr>
          <w:rStyle w:val="Style1"/>
          <w:rFonts w:eastAsiaTheme="minorHAnsi"/>
          <w:b/>
        </w:rPr>
        <w:t>esting</w:t>
      </w:r>
      <w:r w:rsidR="006F5CE0" w:rsidRPr="00257C65">
        <w:rPr>
          <w:rStyle w:val="Style1"/>
          <w:rFonts w:eastAsiaTheme="minorHAnsi"/>
        </w:rPr>
        <w:t xml:space="preserve"> </w:t>
      </w:r>
    </w:p>
    <w:tbl>
      <w:tblPr>
        <w:tblStyle w:val="TableGrid"/>
        <w:tblW w:w="0" w:type="auto"/>
        <w:tblLook w:val="04A0" w:firstRow="1" w:lastRow="0" w:firstColumn="1" w:lastColumn="0" w:noHBand="0" w:noVBand="1"/>
      </w:tblPr>
      <w:tblGrid>
        <w:gridCol w:w="2394"/>
        <w:gridCol w:w="1741"/>
        <w:gridCol w:w="2790"/>
      </w:tblGrid>
      <w:tr w:rsidR="009F7B22" w:rsidRPr="00257C65" w14:paraId="5B14F6AD" w14:textId="77777777" w:rsidTr="00310936">
        <w:tc>
          <w:tcPr>
            <w:tcW w:w="2394" w:type="dxa"/>
          </w:tcPr>
          <w:p w14:paraId="7AD5ED21" w14:textId="29B30E60" w:rsidR="006F5CE0" w:rsidRPr="00257C65" w:rsidRDefault="006F5CE0" w:rsidP="009C293A">
            <w:pPr>
              <w:jc w:val="center"/>
              <w:rPr>
                <w:rStyle w:val="Style1"/>
                <w:rFonts w:eastAsiaTheme="minorHAnsi"/>
              </w:rPr>
            </w:pPr>
            <w:r w:rsidRPr="00257C65">
              <w:rPr>
                <w:rStyle w:val="Style1"/>
                <w:rFonts w:eastAsiaTheme="minorHAnsi"/>
              </w:rPr>
              <w:t xml:space="preserve">Product </w:t>
            </w:r>
            <w:r w:rsidR="009C293A" w:rsidRPr="00257C65">
              <w:rPr>
                <w:rStyle w:val="Style1"/>
                <w:rFonts w:eastAsiaTheme="minorHAnsi"/>
              </w:rPr>
              <w:t>T</w:t>
            </w:r>
            <w:r w:rsidRPr="00257C65">
              <w:rPr>
                <w:rStyle w:val="Style1"/>
                <w:rFonts w:eastAsiaTheme="minorHAnsi"/>
              </w:rPr>
              <w:t>ype</w:t>
            </w:r>
          </w:p>
        </w:tc>
        <w:tc>
          <w:tcPr>
            <w:tcW w:w="1741" w:type="dxa"/>
          </w:tcPr>
          <w:p w14:paraId="7BF6F9E1" w14:textId="77777777" w:rsidR="006F5CE0" w:rsidRPr="00257C65" w:rsidRDefault="006F5CE0" w:rsidP="009C293A">
            <w:pPr>
              <w:jc w:val="center"/>
              <w:rPr>
                <w:rStyle w:val="Style1"/>
                <w:rFonts w:eastAsiaTheme="minorHAnsi"/>
              </w:rPr>
            </w:pPr>
            <w:r w:rsidRPr="00257C65">
              <w:rPr>
                <w:rStyle w:val="Style1"/>
                <w:rFonts w:eastAsiaTheme="minorHAnsi"/>
              </w:rPr>
              <w:t>Number of Plans</w:t>
            </w:r>
          </w:p>
        </w:tc>
        <w:tc>
          <w:tcPr>
            <w:tcW w:w="2790" w:type="dxa"/>
          </w:tcPr>
          <w:p w14:paraId="4CDD2659" w14:textId="7E7DA12F" w:rsidR="006F5CE0" w:rsidRPr="00257C65" w:rsidRDefault="006F5CE0" w:rsidP="009C293A">
            <w:pPr>
              <w:jc w:val="center"/>
              <w:rPr>
                <w:rStyle w:val="Style1"/>
                <w:rFonts w:eastAsiaTheme="minorHAnsi"/>
              </w:rPr>
            </w:pPr>
            <w:r w:rsidRPr="00257C65">
              <w:rPr>
                <w:rStyle w:val="Style1"/>
                <w:rFonts w:eastAsiaTheme="minorHAnsi"/>
              </w:rPr>
              <w:t xml:space="preserve">Median </w:t>
            </w:r>
            <w:r w:rsidR="009F7D1D" w:rsidRPr="00257C65">
              <w:rPr>
                <w:rStyle w:val="Style1"/>
                <w:rFonts w:eastAsiaTheme="minorHAnsi"/>
              </w:rPr>
              <w:t>N</w:t>
            </w:r>
            <w:r w:rsidRPr="00257C65">
              <w:rPr>
                <w:rStyle w:val="Style1"/>
                <w:rFonts w:eastAsiaTheme="minorHAnsi"/>
              </w:rPr>
              <w:t xml:space="preserve">umber of </w:t>
            </w:r>
            <w:r w:rsidR="009F7D1D" w:rsidRPr="00257C65">
              <w:rPr>
                <w:rStyle w:val="Style1"/>
                <w:rFonts w:eastAsiaTheme="minorHAnsi"/>
              </w:rPr>
              <w:t>E</w:t>
            </w:r>
            <w:r w:rsidRPr="00257C65">
              <w:rPr>
                <w:rStyle w:val="Style1"/>
                <w:rFonts w:eastAsiaTheme="minorHAnsi"/>
              </w:rPr>
              <w:t xml:space="preserve">ligible </w:t>
            </w:r>
            <w:r w:rsidR="009F7D1D" w:rsidRPr="00257C65">
              <w:rPr>
                <w:rStyle w:val="Style1"/>
                <w:rFonts w:eastAsiaTheme="minorHAnsi"/>
              </w:rPr>
              <w:t>P</w:t>
            </w:r>
            <w:r w:rsidRPr="00257C65">
              <w:rPr>
                <w:rStyle w:val="Style1"/>
                <w:rFonts w:eastAsiaTheme="minorHAnsi"/>
              </w:rPr>
              <w:t xml:space="preserve">atients per </w:t>
            </w:r>
            <w:r w:rsidR="009F7D1D" w:rsidRPr="00257C65">
              <w:rPr>
                <w:rStyle w:val="Style1"/>
                <w:rFonts w:eastAsiaTheme="minorHAnsi"/>
              </w:rPr>
              <w:t>P</w:t>
            </w:r>
            <w:r w:rsidRPr="00257C65">
              <w:rPr>
                <w:rStyle w:val="Style1"/>
                <w:rFonts w:eastAsiaTheme="minorHAnsi"/>
              </w:rPr>
              <w:t>lan</w:t>
            </w:r>
          </w:p>
        </w:tc>
      </w:tr>
      <w:tr w:rsidR="009F7B22" w:rsidRPr="00257C65" w14:paraId="536763B8" w14:textId="77777777" w:rsidTr="00310936">
        <w:tc>
          <w:tcPr>
            <w:tcW w:w="2394" w:type="dxa"/>
          </w:tcPr>
          <w:p w14:paraId="4E483C97" w14:textId="77777777" w:rsidR="006F5CE0" w:rsidRPr="00257C65" w:rsidRDefault="006F5CE0" w:rsidP="00225515">
            <w:pPr>
              <w:rPr>
                <w:rStyle w:val="Style1"/>
                <w:rFonts w:eastAsiaTheme="minorHAnsi"/>
              </w:rPr>
            </w:pPr>
            <w:r w:rsidRPr="00257C65">
              <w:rPr>
                <w:rStyle w:val="Style1"/>
                <w:rFonts w:eastAsiaTheme="minorHAnsi"/>
              </w:rPr>
              <w:t>Commercial HMO</w:t>
            </w:r>
          </w:p>
        </w:tc>
        <w:tc>
          <w:tcPr>
            <w:tcW w:w="1741" w:type="dxa"/>
          </w:tcPr>
          <w:p w14:paraId="44493C5B" w14:textId="77777777" w:rsidR="006F5CE0" w:rsidRPr="00257C65" w:rsidRDefault="0064442D" w:rsidP="00D45E51">
            <w:pPr>
              <w:jc w:val="center"/>
              <w:rPr>
                <w:rStyle w:val="Style1"/>
                <w:rFonts w:eastAsiaTheme="minorHAnsi"/>
              </w:rPr>
            </w:pPr>
            <w:r w:rsidRPr="00257C65">
              <w:rPr>
                <w:rStyle w:val="Style1"/>
                <w:rFonts w:eastAsiaTheme="minorHAnsi"/>
              </w:rPr>
              <w:t>210</w:t>
            </w:r>
          </w:p>
        </w:tc>
        <w:tc>
          <w:tcPr>
            <w:tcW w:w="2790" w:type="dxa"/>
          </w:tcPr>
          <w:p w14:paraId="489D3E2F" w14:textId="77777777" w:rsidR="006F5CE0" w:rsidRPr="00257C65" w:rsidRDefault="0064442D" w:rsidP="00D45E51">
            <w:pPr>
              <w:jc w:val="center"/>
              <w:rPr>
                <w:rStyle w:val="Style1"/>
                <w:rFonts w:eastAsiaTheme="minorHAnsi"/>
              </w:rPr>
            </w:pPr>
            <w:r w:rsidRPr="00257C65">
              <w:rPr>
                <w:rStyle w:val="Style1"/>
                <w:rFonts w:eastAsiaTheme="minorHAnsi"/>
              </w:rPr>
              <w:t>835</w:t>
            </w:r>
          </w:p>
        </w:tc>
      </w:tr>
      <w:tr w:rsidR="009F7B22" w:rsidRPr="00257C65" w14:paraId="19B5FA51" w14:textId="77777777" w:rsidTr="00310936">
        <w:tc>
          <w:tcPr>
            <w:tcW w:w="2394" w:type="dxa"/>
          </w:tcPr>
          <w:p w14:paraId="40697118" w14:textId="77777777" w:rsidR="006F5CE0" w:rsidRPr="00257C65" w:rsidRDefault="006F5CE0" w:rsidP="00225515">
            <w:pPr>
              <w:rPr>
                <w:rStyle w:val="Style1"/>
                <w:rFonts w:eastAsiaTheme="minorHAnsi"/>
              </w:rPr>
            </w:pPr>
            <w:r w:rsidRPr="00257C65">
              <w:rPr>
                <w:rStyle w:val="Style1"/>
                <w:rFonts w:eastAsiaTheme="minorHAnsi"/>
              </w:rPr>
              <w:t>Commercial PPO</w:t>
            </w:r>
          </w:p>
        </w:tc>
        <w:tc>
          <w:tcPr>
            <w:tcW w:w="1741" w:type="dxa"/>
          </w:tcPr>
          <w:p w14:paraId="28248B19" w14:textId="77777777" w:rsidR="006F5CE0" w:rsidRPr="00257C65" w:rsidRDefault="0064442D" w:rsidP="00D45E51">
            <w:pPr>
              <w:jc w:val="center"/>
              <w:rPr>
                <w:rStyle w:val="Style1"/>
                <w:rFonts w:eastAsiaTheme="minorHAnsi"/>
              </w:rPr>
            </w:pPr>
            <w:r w:rsidRPr="00257C65">
              <w:rPr>
                <w:rStyle w:val="Style1"/>
                <w:rFonts w:eastAsiaTheme="minorHAnsi"/>
              </w:rPr>
              <w:t>199</w:t>
            </w:r>
          </w:p>
        </w:tc>
        <w:tc>
          <w:tcPr>
            <w:tcW w:w="2790" w:type="dxa"/>
          </w:tcPr>
          <w:p w14:paraId="1CF90EB5" w14:textId="77777777" w:rsidR="006F5CE0" w:rsidRPr="00257C65" w:rsidRDefault="0064442D" w:rsidP="00D45E51">
            <w:pPr>
              <w:jc w:val="center"/>
              <w:rPr>
                <w:rStyle w:val="Style1"/>
                <w:rFonts w:eastAsiaTheme="minorHAnsi"/>
              </w:rPr>
            </w:pPr>
            <w:r w:rsidRPr="00257C65">
              <w:rPr>
                <w:rStyle w:val="Style1"/>
                <w:rFonts w:eastAsiaTheme="minorHAnsi"/>
              </w:rPr>
              <w:t>2547</w:t>
            </w:r>
          </w:p>
        </w:tc>
      </w:tr>
      <w:tr w:rsidR="009F7B22" w:rsidRPr="00257C65" w14:paraId="02D124DF" w14:textId="77777777" w:rsidTr="00310936">
        <w:tc>
          <w:tcPr>
            <w:tcW w:w="2394" w:type="dxa"/>
          </w:tcPr>
          <w:p w14:paraId="7550B09E" w14:textId="77777777" w:rsidR="0064442D" w:rsidRPr="00257C65" w:rsidRDefault="0064442D" w:rsidP="00225515">
            <w:pPr>
              <w:rPr>
                <w:rStyle w:val="Style1"/>
                <w:rFonts w:eastAsiaTheme="minorHAnsi"/>
              </w:rPr>
            </w:pPr>
            <w:r w:rsidRPr="00257C65">
              <w:rPr>
                <w:rStyle w:val="Style1"/>
                <w:rFonts w:eastAsiaTheme="minorHAnsi"/>
              </w:rPr>
              <w:t>Medicaid HMO</w:t>
            </w:r>
          </w:p>
        </w:tc>
        <w:tc>
          <w:tcPr>
            <w:tcW w:w="1741" w:type="dxa"/>
          </w:tcPr>
          <w:p w14:paraId="33948A45" w14:textId="77777777" w:rsidR="0064442D" w:rsidRPr="00257C65" w:rsidRDefault="002866D8" w:rsidP="00D45E51">
            <w:pPr>
              <w:jc w:val="center"/>
              <w:rPr>
                <w:rStyle w:val="Style1"/>
                <w:rFonts w:eastAsiaTheme="minorHAnsi"/>
              </w:rPr>
            </w:pPr>
            <w:r w:rsidRPr="00257C65">
              <w:rPr>
                <w:rStyle w:val="Style1"/>
                <w:rFonts w:eastAsiaTheme="minorHAnsi"/>
              </w:rPr>
              <w:t>180</w:t>
            </w:r>
          </w:p>
        </w:tc>
        <w:tc>
          <w:tcPr>
            <w:tcW w:w="2790" w:type="dxa"/>
          </w:tcPr>
          <w:p w14:paraId="6489500E" w14:textId="77777777" w:rsidR="0064442D" w:rsidRPr="00257C65" w:rsidRDefault="002866D8" w:rsidP="00D45E51">
            <w:pPr>
              <w:jc w:val="center"/>
              <w:rPr>
                <w:rStyle w:val="Style1"/>
                <w:rFonts w:eastAsiaTheme="minorHAnsi"/>
              </w:rPr>
            </w:pPr>
            <w:r w:rsidRPr="00257C65">
              <w:rPr>
                <w:rStyle w:val="Style1"/>
                <w:rFonts w:eastAsiaTheme="minorHAnsi"/>
              </w:rPr>
              <w:t>698</w:t>
            </w:r>
          </w:p>
        </w:tc>
      </w:tr>
    </w:tbl>
    <w:p w14:paraId="2C803530" w14:textId="77777777" w:rsidR="007422FD" w:rsidRPr="00257C65" w:rsidRDefault="007422FD" w:rsidP="00DB3627">
      <w:pPr>
        <w:autoSpaceDE w:val="0"/>
        <w:autoSpaceDN w:val="0"/>
        <w:adjustRightInd w:val="0"/>
        <w:spacing w:after="0" w:line="240" w:lineRule="auto"/>
        <w:rPr>
          <w:rStyle w:val="Style1"/>
          <w:rFonts w:eastAsiaTheme="minorHAnsi"/>
        </w:rPr>
      </w:pPr>
    </w:p>
    <w:p w14:paraId="62B12858" w14:textId="4EEAFF7D" w:rsidR="00C7436B" w:rsidRPr="00257C65" w:rsidRDefault="00C7436B" w:rsidP="00C7436B">
      <w:pPr>
        <w:pStyle w:val="NoSpacing"/>
        <w:rPr>
          <w:rStyle w:val="Style1"/>
          <w:rFonts w:eastAsiaTheme="minorHAnsi"/>
        </w:rPr>
      </w:pPr>
      <w:r w:rsidRPr="00257C65">
        <w:rPr>
          <w:rStyle w:val="Style1"/>
          <w:rFonts w:eastAsiaTheme="minorHAnsi"/>
        </w:rPr>
        <w:t xml:space="preserve">In 2012, HEDIS measures covered 107.3 million commercial health plan members and 21.7 million Medicaid HMO members.  Data is summarized at the health plan level. Data is stratified by product line (i.e. commercial and Medicaid). </w:t>
      </w:r>
      <w:r w:rsidR="006B7C99" w:rsidRPr="00257C65">
        <w:rPr>
          <w:rStyle w:val="Style1"/>
          <w:rFonts w:eastAsiaTheme="minorHAnsi"/>
        </w:rPr>
        <w:t xml:space="preserve">Table 3 provides </w:t>
      </w:r>
      <w:r w:rsidRPr="00257C65">
        <w:rPr>
          <w:rStyle w:val="Style1"/>
          <w:rFonts w:eastAsiaTheme="minorHAnsi"/>
        </w:rPr>
        <w:t xml:space="preserve">a description of the sample. It includes the number of health plans included in the HEDIS data collection and the median eligible population for the measure across health plans. </w:t>
      </w:r>
    </w:p>
    <w:p w14:paraId="3CE4418B" w14:textId="77777777" w:rsidR="00C7436B" w:rsidRDefault="00C7436B" w:rsidP="00DB3627">
      <w:pPr>
        <w:autoSpaceDE w:val="0"/>
        <w:autoSpaceDN w:val="0"/>
        <w:adjustRightInd w:val="0"/>
        <w:spacing w:after="0" w:line="240" w:lineRule="auto"/>
        <w:rPr>
          <w:rFonts w:cstheme="minorHAnsi"/>
          <w:bCs/>
        </w:rPr>
      </w:pPr>
    </w:p>
    <w:p w14:paraId="4D85326E" w14:textId="77777777"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9EC7517" w14:textId="77777777" w:rsidR="00E37E1B" w:rsidRDefault="00E37E1B" w:rsidP="00E37E1B">
      <w:pPr>
        <w:autoSpaceDE w:val="0"/>
        <w:autoSpaceDN w:val="0"/>
        <w:adjustRightInd w:val="0"/>
        <w:spacing w:after="0" w:line="240" w:lineRule="auto"/>
        <w:rPr>
          <w:rFonts w:cstheme="minorHAnsi"/>
          <w:bCs/>
        </w:rPr>
      </w:pPr>
    </w:p>
    <w:p w14:paraId="003CF3A9" w14:textId="4B877011" w:rsidR="006D4AB9" w:rsidRPr="00EC03C2" w:rsidRDefault="00B816FB" w:rsidP="00E37E1B">
      <w:pPr>
        <w:autoSpaceDE w:val="0"/>
        <w:autoSpaceDN w:val="0"/>
        <w:adjustRightInd w:val="0"/>
        <w:spacing w:after="0" w:line="240" w:lineRule="auto"/>
        <w:rPr>
          <w:b/>
          <w:color w:val="0000FF"/>
          <w:u w:val="single"/>
        </w:rPr>
      </w:pPr>
      <w:r w:rsidRPr="00EC03C2">
        <w:rPr>
          <w:b/>
          <w:color w:val="0000FF"/>
          <w:u w:val="single"/>
        </w:rPr>
        <w:t xml:space="preserve">Data </w:t>
      </w:r>
      <w:r w:rsidR="00DD204D" w:rsidRPr="00EC03C2">
        <w:rPr>
          <w:b/>
          <w:color w:val="0000FF"/>
          <w:u w:val="single"/>
        </w:rPr>
        <w:t>E</w:t>
      </w:r>
      <w:r w:rsidRPr="00EC03C2">
        <w:rPr>
          <w:b/>
          <w:color w:val="0000FF"/>
          <w:u w:val="single"/>
        </w:rPr>
        <w:t xml:space="preserve">lement </w:t>
      </w:r>
      <w:r w:rsidR="00DD204D" w:rsidRPr="00EC03C2">
        <w:rPr>
          <w:b/>
          <w:color w:val="0000FF"/>
          <w:u w:val="single"/>
        </w:rPr>
        <w:t>V</w:t>
      </w:r>
      <w:r w:rsidRPr="00EC03C2">
        <w:rPr>
          <w:b/>
          <w:color w:val="0000FF"/>
          <w:u w:val="single"/>
        </w:rPr>
        <w:t xml:space="preserve">alidity </w:t>
      </w:r>
      <w:r w:rsidR="00DD204D" w:rsidRPr="00EC03C2">
        <w:rPr>
          <w:b/>
          <w:color w:val="0000FF"/>
          <w:u w:val="single"/>
        </w:rPr>
        <w:t>T</w:t>
      </w:r>
      <w:r w:rsidRPr="00EC03C2">
        <w:rPr>
          <w:b/>
          <w:color w:val="0000FF"/>
          <w:u w:val="single"/>
        </w:rPr>
        <w:t>esting</w:t>
      </w:r>
      <w:r w:rsidR="007E0400" w:rsidRPr="00EC03C2">
        <w:rPr>
          <w:b/>
          <w:color w:val="0000FF"/>
          <w:u w:val="single"/>
        </w:rPr>
        <w:t xml:space="preserve"> </w:t>
      </w:r>
    </w:p>
    <w:p w14:paraId="4F549FA3" w14:textId="3D5C46FA" w:rsidR="0064442D" w:rsidRPr="00EC03C2" w:rsidRDefault="006B63A4" w:rsidP="00E37E1B">
      <w:pPr>
        <w:autoSpaceDE w:val="0"/>
        <w:autoSpaceDN w:val="0"/>
        <w:adjustRightInd w:val="0"/>
        <w:spacing w:after="0" w:line="240" w:lineRule="auto"/>
        <w:rPr>
          <w:color w:val="0000FF"/>
        </w:rPr>
      </w:pPr>
      <w:r w:rsidRPr="00EC03C2">
        <w:rPr>
          <w:color w:val="0000FF"/>
        </w:rPr>
        <w:t>We conducted data element validity testing using f</w:t>
      </w:r>
      <w:r w:rsidR="007E0400" w:rsidRPr="00EC03C2">
        <w:rPr>
          <w:color w:val="0000FF"/>
        </w:rPr>
        <w:t>ield test data</w:t>
      </w:r>
      <w:r w:rsidR="00556909" w:rsidRPr="00EC03C2">
        <w:rPr>
          <w:color w:val="0000FF"/>
        </w:rPr>
        <w:t xml:space="preserve"> in 2002</w:t>
      </w:r>
      <w:r w:rsidRPr="00EC03C2">
        <w:rPr>
          <w:color w:val="0000FF"/>
        </w:rPr>
        <w:t xml:space="preserve"> (described above</w:t>
      </w:r>
      <w:r w:rsidR="004A079F" w:rsidRPr="00EC03C2">
        <w:rPr>
          <w:color w:val="0000FF"/>
        </w:rPr>
        <w:t xml:space="preserve"> in Table</w:t>
      </w:r>
      <w:r w:rsidR="00B1314A" w:rsidRPr="00EC03C2">
        <w:rPr>
          <w:color w:val="0000FF"/>
        </w:rPr>
        <w:t>s</w:t>
      </w:r>
      <w:r w:rsidR="004A079F" w:rsidRPr="00EC03C2">
        <w:rPr>
          <w:color w:val="0000FF"/>
        </w:rPr>
        <w:t xml:space="preserve"> 1</w:t>
      </w:r>
      <w:r w:rsidR="00B1314A" w:rsidRPr="00EC03C2">
        <w:rPr>
          <w:color w:val="0000FF"/>
        </w:rPr>
        <w:t xml:space="preserve"> and 2</w:t>
      </w:r>
      <w:r w:rsidRPr="00EC03C2">
        <w:rPr>
          <w:color w:val="0000FF"/>
        </w:rPr>
        <w:t xml:space="preserve">). </w:t>
      </w:r>
    </w:p>
    <w:p w14:paraId="7C7D1776" w14:textId="77777777" w:rsidR="00C269DA" w:rsidRPr="00EC03C2" w:rsidRDefault="00C269DA" w:rsidP="00E37E1B">
      <w:pPr>
        <w:autoSpaceDE w:val="0"/>
        <w:autoSpaceDN w:val="0"/>
        <w:adjustRightInd w:val="0"/>
        <w:spacing w:after="0" w:line="240" w:lineRule="auto"/>
        <w:rPr>
          <w:color w:val="0000FF"/>
        </w:rPr>
      </w:pPr>
    </w:p>
    <w:p w14:paraId="1B590D79" w14:textId="20C8E424" w:rsidR="006D4AB9" w:rsidRPr="00EC03C2" w:rsidRDefault="00B816FB" w:rsidP="00E37E1B">
      <w:pPr>
        <w:autoSpaceDE w:val="0"/>
        <w:autoSpaceDN w:val="0"/>
        <w:adjustRightInd w:val="0"/>
        <w:spacing w:after="0" w:line="240" w:lineRule="auto"/>
        <w:rPr>
          <w:b/>
          <w:color w:val="0000FF"/>
          <w:u w:val="single"/>
        </w:rPr>
      </w:pPr>
      <w:r w:rsidRPr="00EC03C2">
        <w:rPr>
          <w:b/>
          <w:color w:val="0000FF"/>
          <w:u w:val="single"/>
        </w:rPr>
        <w:t xml:space="preserve">Measure </w:t>
      </w:r>
      <w:r w:rsidR="00DD204D" w:rsidRPr="00EC03C2">
        <w:rPr>
          <w:b/>
          <w:color w:val="0000FF"/>
          <w:u w:val="single"/>
        </w:rPr>
        <w:t>S</w:t>
      </w:r>
      <w:r w:rsidRPr="00EC03C2">
        <w:rPr>
          <w:b/>
          <w:color w:val="0000FF"/>
          <w:u w:val="single"/>
        </w:rPr>
        <w:t xml:space="preserve">core </w:t>
      </w:r>
      <w:r w:rsidR="00DD204D" w:rsidRPr="00EC03C2">
        <w:rPr>
          <w:b/>
          <w:color w:val="0000FF"/>
          <w:u w:val="single"/>
        </w:rPr>
        <w:t>R</w:t>
      </w:r>
      <w:r w:rsidRPr="00EC03C2">
        <w:rPr>
          <w:b/>
          <w:color w:val="0000FF"/>
          <w:u w:val="single"/>
        </w:rPr>
        <w:t xml:space="preserve">eliability </w:t>
      </w:r>
      <w:r w:rsidR="00DD204D" w:rsidRPr="00EC03C2">
        <w:rPr>
          <w:b/>
          <w:color w:val="0000FF"/>
          <w:u w:val="single"/>
        </w:rPr>
        <w:t>T</w:t>
      </w:r>
      <w:r w:rsidRPr="00EC03C2">
        <w:rPr>
          <w:b/>
          <w:color w:val="0000FF"/>
          <w:u w:val="single"/>
        </w:rPr>
        <w:t>esting</w:t>
      </w:r>
    </w:p>
    <w:p w14:paraId="65FA159B" w14:textId="42669FD1" w:rsidR="0064442D" w:rsidRPr="00EC03C2" w:rsidRDefault="006B63A4" w:rsidP="00E37E1B">
      <w:pPr>
        <w:autoSpaceDE w:val="0"/>
        <w:autoSpaceDN w:val="0"/>
        <w:adjustRightInd w:val="0"/>
        <w:spacing w:after="0" w:line="240" w:lineRule="auto"/>
        <w:rPr>
          <w:color w:val="0000FF"/>
        </w:rPr>
      </w:pPr>
      <w:r w:rsidRPr="00EC03C2">
        <w:rPr>
          <w:color w:val="0000FF"/>
        </w:rPr>
        <w:t xml:space="preserve">We conducted reliability testing </w:t>
      </w:r>
      <w:r w:rsidR="00B1314A" w:rsidRPr="00EC03C2">
        <w:rPr>
          <w:color w:val="0000FF"/>
        </w:rPr>
        <w:t xml:space="preserve">of the measure score </w:t>
      </w:r>
      <w:r w:rsidRPr="00EC03C2">
        <w:rPr>
          <w:color w:val="0000FF"/>
        </w:rPr>
        <w:t xml:space="preserve">using a beta-binomial calculation. This analysis included the entire HEDIS </w:t>
      </w:r>
      <w:r w:rsidR="00B816FB" w:rsidRPr="00EC03C2">
        <w:rPr>
          <w:color w:val="0000FF"/>
        </w:rPr>
        <w:t>c</w:t>
      </w:r>
      <w:r w:rsidR="00556909" w:rsidRPr="00EC03C2">
        <w:rPr>
          <w:color w:val="0000FF"/>
        </w:rPr>
        <w:t xml:space="preserve">ommercial and Medicaid </w:t>
      </w:r>
      <w:r w:rsidR="00C269DA" w:rsidRPr="00EC03C2">
        <w:rPr>
          <w:color w:val="0000FF"/>
        </w:rPr>
        <w:t xml:space="preserve">data </w:t>
      </w:r>
      <w:r w:rsidR="00B1314A" w:rsidRPr="00EC03C2">
        <w:rPr>
          <w:color w:val="0000FF"/>
        </w:rPr>
        <w:t xml:space="preserve">samples </w:t>
      </w:r>
      <w:r w:rsidR="00556909" w:rsidRPr="00EC03C2">
        <w:rPr>
          <w:color w:val="0000FF"/>
        </w:rPr>
        <w:t xml:space="preserve">in 2012 </w:t>
      </w:r>
      <w:r w:rsidR="00C269DA" w:rsidRPr="00EC03C2">
        <w:rPr>
          <w:color w:val="0000FF"/>
        </w:rPr>
        <w:t>(described above</w:t>
      </w:r>
      <w:r w:rsidR="00B1314A" w:rsidRPr="00EC03C2">
        <w:rPr>
          <w:color w:val="0000FF"/>
        </w:rPr>
        <w:t xml:space="preserve"> in Table 3</w:t>
      </w:r>
      <w:r w:rsidR="00C269DA" w:rsidRPr="00EC03C2">
        <w:rPr>
          <w:color w:val="0000FF"/>
        </w:rPr>
        <w:t>).</w:t>
      </w:r>
    </w:p>
    <w:p w14:paraId="461BD25F" w14:textId="77777777" w:rsidR="006B63A4" w:rsidRPr="00EC03C2" w:rsidRDefault="006B63A4" w:rsidP="006B63A4">
      <w:pPr>
        <w:autoSpaceDE w:val="0"/>
        <w:autoSpaceDN w:val="0"/>
        <w:adjustRightInd w:val="0"/>
        <w:spacing w:after="0" w:line="240" w:lineRule="auto"/>
        <w:rPr>
          <w:color w:val="0000FF"/>
        </w:rPr>
      </w:pPr>
    </w:p>
    <w:p w14:paraId="3462520A" w14:textId="4F4FA4B6" w:rsidR="00E43F65" w:rsidRPr="00EC03C2" w:rsidRDefault="006D4AB9" w:rsidP="00E43F65">
      <w:pPr>
        <w:autoSpaceDE w:val="0"/>
        <w:autoSpaceDN w:val="0"/>
        <w:adjustRightInd w:val="0"/>
        <w:spacing w:after="0" w:line="240" w:lineRule="auto"/>
        <w:rPr>
          <w:b/>
          <w:color w:val="0000FF"/>
          <w:u w:val="single"/>
        </w:rPr>
      </w:pPr>
      <w:r w:rsidRPr="00EC03C2">
        <w:rPr>
          <w:b/>
          <w:color w:val="0000FF"/>
          <w:u w:val="single"/>
        </w:rPr>
        <w:t xml:space="preserve">Systematic </w:t>
      </w:r>
      <w:r w:rsidR="00DD204D" w:rsidRPr="00EC03C2">
        <w:rPr>
          <w:b/>
          <w:color w:val="0000FF"/>
          <w:u w:val="single"/>
        </w:rPr>
        <w:t>E</w:t>
      </w:r>
      <w:r w:rsidRPr="00EC03C2">
        <w:rPr>
          <w:b/>
          <w:color w:val="0000FF"/>
          <w:u w:val="single"/>
        </w:rPr>
        <w:t xml:space="preserve">valuation of </w:t>
      </w:r>
      <w:r w:rsidR="00DD204D" w:rsidRPr="00EC03C2">
        <w:rPr>
          <w:b/>
          <w:color w:val="0000FF"/>
          <w:u w:val="single"/>
        </w:rPr>
        <w:t>F</w:t>
      </w:r>
      <w:r w:rsidR="004A079F" w:rsidRPr="00EC03C2">
        <w:rPr>
          <w:b/>
          <w:color w:val="0000FF"/>
          <w:u w:val="single"/>
        </w:rPr>
        <w:t xml:space="preserve">ace </w:t>
      </w:r>
      <w:r w:rsidR="00DD204D" w:rsidRPr="00EC03C2">
        <w:rPr>
          <w:b/>
          <w:color w:val="0000FF"/>
          <w:u w:val="single"/>
        </w:rPr>
        <w:t>V</w:t>
      </w:r>
      <w:r w:rsidRPr="00EC03C2">
        <w:rPr>
          <w:b/>
          <w:color w:val="0000FF"/>
          <w:u w:val="single"/>
        </w:rPr>
        <w:t>alidity</w:t>
      </w:r>
    </w:p>
    <w:p w14:paraId="3AF22712" w14:textId="673E62D5" w:rsidR="00E43F65" w:rsidRPr="00EC03C2" w:rsidRDefault="006D4AB9" w:rsidP="00E43F65">
      <w:pPr>
        <w:autoSpaceDE w:val="0"/>
        <w:autoSpaceDN w:val="0"/>
        <w:adjustRightInd w:val="0"/>
        <w:spacing w:after="0" w:line="240" w:lineRule="auto"/>
        <w:rPr>
          <w:color w:val="0000FF"/>
        </w:rPr>
      </w:pPr>
      <w:r w:rsidRPr="00EC03C2">
        <w:rPr>
          <w:color w:val="0000FF"/>
        </w:rPr>
        <w:t>In addition to data element validity testing, w</w:t>
      </w:r>
      <w:r w:rsidR="00E43F65" w:rsidRPr="00EC03C2">
        <w:rPr>
          <w:color w:val="0000FF"/>
        </w:rPr>
        <w:t xml:space="preserve">e </w:t>
      </w:r>
      <w:r w:rsidR="000A3579" w:rsidRPr="00EC03C2">
        <w:rPr>
          <w:color w:val="0000FF"/>
        </w:rPr>
        <w:t xml:space="preserve">also </w:t>
      </w:r>
      <w:r w:rsidR="00E43F65" w:rsidRPr="00EC03C2">
        <w:rPr>
          <w:color w:val="0000FF"/>
        </w:rPr>
        <w:t xml:space="preserve">completed a systematic assessment of face validity. </w:t>
      </w:r>
      <w:r w:rsidRPr="00EC03C2">
        <w:rPr>
          <w:color w:val="0000FF"/>
        </w:rPr>
        <w:t>We tested t</w:t>
      </w:r>
      <w:r w:rsidR="00E43F65" w:rsidRPr="00EC03C2">
        <w:rPr>
          <w:color w:val="0000FF"/>
        </w:rPr>
        <w:t>his measure for face valid</w:t>
      </w:r>
      <w:r w:rsidRPr="00EC03C2">
        <w:rPr>
          <w:color w:val="0000FF"/>
        </w:rPr>
        <w:t>ity with five panels of experts.</w:t>
      </w:r>
      <w:r w:rsidR="00E43F65" w:rsidRPr="00EC03C2">
        <w:rPr>
          <w:color w:val="0000FF"/>
        </w:rPr>
        <w:t xml:space="preserve"> See Additional Information: Ad.1. Workgroup/Expert Panel Involved in Measure Development for names and affiliation of expert panel</w:t>
      </w:r>
      <w:r w:rsidRPr="00EC03C2">
        <w:rPr>
          <w:color w:val="0000FF"/>
        </w:rPr>
        <w:t xml:space="preserve"> members</w:t>
      </w:r>
      <w:r w:rsidR="00E43F65" w:rsidRPr="00EC03C2">
        <w:rPr>
          <w:color w:val="0000FF"/>
        </w:rPr>
        <w:t>.</w:t>
      </w:r>
    </w:p>
    <w:p w14:paraId="76D1A46B" w14:textId="77777777" w:rsidR="00E43F65" w:rsidRPr="00EC03C2" w:rsidRDefault="00E43F65" w:rsidP="00E43F65">
      <w:pPr>
        <w:pStyle w:val="ListParagraph"/>
        <w:numPr>
          <w:ilvl w:val="0"/>
          <w:numId w:val="27"/>
        </w:numPr>
        <w:autoSpaceDE w:val="0"/>
        <w:autoSpaceDN w:val="0"/>
        <w:adjustRightInd w:val="0"/>
        <w:spacing w:after="0" w:line="240" w:lineRule="auto"/>
        <w:rPr>
          <w:color w:val="0000FF"/>
        </w:rPr>
      </w:pPr>
      <w:r w:rsidRPr="00EC03C2">
        <w:rPr>
          <w:color w:val="0000FF"/>
        </w:rPr>
        <w:t>The Musculoskeletal work group includes 10 experts, including representation by health care providers, foundations, and the C</w:t>
      </w:r>
      <w:r w:rsidR="00D724B3" w:rsidRPr="00EC03C2">
        <w:rPr>
          <w:color w:val="0000FF"/>
        </w:rPr>
        <w:t xml:space="preserve">enters for </w:t>
      </w:r>
      <w:r w:rsidRPr="00EC03C2">
        <w:rPr>
          <w:color w:val="0000FF"/>
        </w:rPr>
        <w:t>D</w:t>
      </w:r>
      <w:r w:rsidR="00D724B3" w:rsidRPr="00EC03C2">
        <w:rPr>
          <w:color w:val="0000FF"/>
        </w:rPr>
        <w:t xml:space="preserve">isease </w:t>
      </w:r>
      <w:r w:rsidRPr="00EC03C2">
        <w:rPr>
          <w:color w:val="0000FF"/>
        </w:rPr>
        <w:t>C</w:t>
      </w:r>
      <w:r w:rsidR="00D724B3" w:rsidRPr="00EC03C2">
        <w:rPr>
          <w:color w:val="0000FF"/>
        </w:rPr>
        <w:t>ontrol and Prevention (CDC)</w:t>
      </w:r>
      <w:r w:rsidRPr="00EC03C2">
        <w:rPr>
          <w:color w:val="0000FF"/>
        </w:rPr>
        <w:t xml:space="preserve">. This panel initially assessed face validity in 2003, but the Bone Joint MAP replaced this work group and assessed the measure during the last re-evaluation in 2012. </w:t>
      </w:r>
    </w:p>
    <w:p w14:paraId="639D96A1" w14:textId="77777777" w:rsidR="00E43F65" w:rsidRPr="00EC03C2" w:rsidRDefault="00E43F65" w:rsidP="00E43F65">
      <w:pPr>
        <w:pStyle w:val="ListParagraph"/>
        <w:numPr>
          <w:ilvl w:val="0"/>
          <w:numId w:val="27"/>
        </w:numPr>
        <w:autoSpaceDE w:val="0"/>
        <w:autoSpaceDN w:val="0"/>
        <w:adjustRightInd w:val="0"/>
        <w:spacing w:after="0" w:line="240" w:lineRule="auto"/>
        <w:rPr>
          <w:color w:val="0000FF"/>
        </w:rPr>
      </w:pPr>
      <w:r w:rsidRPr="00EC03C2">
        <w:rPr>
          <w:color w:val="0000FF"/>
        </w:rPr>
        <w:t xml:space="preserve">The Bone Joint MAP includes 10 experts, including representation by health care providers, health plans, and universities.  </w:t>
      </w:r>
    </w:p>
    <w:p w14:paraId="2FA87EC6" w14:textId="77777777" w:rsidR="00E43F65" w:rsidRPr="00EC03C2" w:rsidRDefault="00E43F65" w:rsidP="00E43F65">
      <w:pPr>
        <w:pStyle w:val="ListParagraph"/>
        <w:numPr>
          <w:ilvl w:val="0"/>
          <w:numId w:val="27"/>
        </w:numPr>
        <w:autoSpaceDE w:val="0"/>
        <w:autoSpaceDN w:val="0"/>
        <w:adjustRightInd w:val="0"/>
        <w:spacing w:after="0" w:line="240" w:lineRule="auto"/>
        <w:rPr>
          <w:color w:val="0000FF"/>
        </w:rPr>
      </w:pPr>
      <w:r w:rsidRPr="00EC03C2">
        <w:rPr>
          <w:color w:val="0000FF"/>
        </w:rPr>
        <w:t>The Technical Measurement Advisory Panel includes 12 members, including representation by health plans methodologists, clinicians and HEDIS auditors.</w:t>
      </w:r>
    </w:p>
    <w:p w14:paraId="6E143510" w14:textId="77777777" w:rsidR="00E43F65" w:rsidRPr="00EC03C2" w:rsidRDefault="00E43F65" w:rsidP="00E43F65">
      <w:pPr>
        <w:pStyle w:val="ListParagraph"/>
        <w:numPr>
          <w:ilvl w:val="0"/>
          <w:numId w:val="27"/>
        </w:numPr>
        <w:autoSpaceDE w:val="0"/>
        <w:autoSpaceDN w:val="0"/>
        <w:adjustRightInd w:val="0"/>
        <w:spacing w:after="0" w:line="240" w:lineRule="auto"/>
        <w:rPr>
          <w:color w:val="0000FF"/>
        </w:rPr>
      </w:pPr>
      <w:r w:rsidRPr="00EC03C2">
        <w:rPr>
          <w:color w:val="0000FF"/>
        </w:rPr>
        <w:lastRenderedPageBreak/>
        <w:t xml:space="preserve">The HEDIS Expert Coding Panel includes 10 members, including representation by health plans, hospital associations, and advisory groups. </w:t>
      </w:r>
    </w:p>
    <w:p w14:paraId="18449D6D" w14:textId="77777777" w:rsidR="006B63A4" w:rsidRPr="00EC03C2" w:rsidRDefault="00E43F65" w:rsidP="006B63A4">
      <w:pPr>
        <w:pStyle w:val="ListParagraph"/>
        <w:numPr>
          <w:ilvl w:val="0"/>
          <w:numId w:val="27"/>
        </w:numPr>
        <w:autoSpaceDE w:val="0"/>
        <w:autoSpaceDN w:val="0"/>
        <w:adjustRightInd w:val="0"/>
        <w:spacing w:after="0" w:line="240" w:lineRule="auto"/>
        <w:rPr>
          <w:color w:val="0000FF"/>
        </w:rPr>
      </w:pPr>
      <w:r w:rsidRPr="00EC03C2">
        <w:rPr>
          <w:color w:val="0000FF"/>
        </w:rPr>
        <w:t xml:space="preserve">NCQA’s Committee on Performance Measurement (CPM) oversees the evolution of the measurement set and includes representation by purchasers, consumers, health plans, health care providers and policy makers. This panel is made up of 18 members. The CPM is organized and managed by NCQA and reports to the NCQA Board of Directors and is responsible for advising NCQA staff on the development and maintenance of performance measures. CPM members reflect the diversity of constituencies that performance measurement serves; some bring other perspectives and additional expertise in quality management and the science of measurement. </w:t>
      </w:r>
    </w:p>
    <w:p w14:paraId="1B5826C2"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1FD390E2"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1269EE9E"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4F3E5F0" w14:textId="77777777" w:rsidR="008C54A9" w:rsidRPr="00A25024" w:rsidRDefault="008C54A9" w:rsidP="00DB3627">
      <w:pPr>
        <w:autoSpaceDE w:val="0"/>
        <w:autoSpaceDN w:val="0"/>
        <w:adjustRightInd w:val="0"/>
        <w:spacing w:after="0" w:line="240" w:lineRule="auto"/>
        <w:rPr>
          <w:rFonts w:cstheme="minorHAnsi"/>
          <w:b/>
          <w:bCs/>
        </w:rPr>
      </w:pPr>
    </w:p>
    <w:p w14:paraId="1BC8E70E" w14:textId="77777777"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EndPr/>
        <w:sdtContent>
          <w:r w:rsidR="00D4765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sdtPr>
        <w:sdtEndPr/>
        <w:sdtContent>
          <w:r w:rsidR="004704A8">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554C6C7" w14:textId="77777777" w:rsidR="00834939" w:rsidRPr="00A25024" w:rsidRDefault="00834939" w:rsidP="008C54A9">
      <w:pPr>
        <w:autoSpaceDE w:val="0"/>
        <w:autoSpaceDN w:val="0"/>
        <w:adjustRightInd w:val="0"/>
        <w:spacing w:after="0" w:line="240" w:lineRule="auto"/>
        <w:rPr>
          <w:rFonts w:cstheme="minorHAnsi"/>
          <w:bCs/>
        </w:rPr>
      </w:pPr>
    </w:p>
    <w:p w14:paraId="205A66BC" w14:textId="19956E95" w:rsidR="00051DB9" w:rsidRPr="00EC03C2" w:rsidRDefault="006D4AB9" w:rsidP="004704A8">
      <w:pPr>
        <w:spacing w:after="0" w:line="240" w:lineRule="auto"/>
        <w:rPr>
          <w:b/>
          <w:color w:val="0000FF"/>
          <w:u w:val="single"/>
        </w:rPr>
      </w:pPr>
      <w:r w:rsidRPr="00EC03C2">
        <w:rPr>
          <w:b/>
          <w:color w:val="0000FF"/>
          <w:u w:val="single"/>
        </w:rPr>
        <w:t xml:space="preserve">Reliability </w:t>
      </w:r>
      <w:r w:rsidR="00DD204D" w:rsidRPr="00EC03C2">
        <w:rPr>
          <w:b/>
          <w:color w:val="0000FF"/>
          <w:u w:val="single"/>
        </w:rPr>
        <w:t>T</w:t>
      </w:r>
      <w:r w:rsidR="004704A8" w:rsidRPr="00EC03C2">
        <w:rPr>
          <w:b/>
          <w:color w:val="0000FF"/>
          <w:u w:val="single"/>
        </w:rPr>
        <w:t xml:space="preserve">esting of </w:t>
      </w:r>
      <w:r w:rsidR="00DD204D" w:rsidRPr="00EC03C2">
        <w:rPr>
          <w:b/>
          <w:color w:val="0000FF"/>
          <w:u w:val="single"/>
        </w:rPr>
        <w:t>P</w:t>
      </w:r>
      <w:r w:rsidR="004704A8" w:rsidRPr="00EC03C2">
        <w:rPr>
          <w:b/>
          <w:color w:val="0000FF"/>
          <w:u w:val="single"/>
        </w:rPr>
        <w:t xml:space="preserve">erformance </w:t>
      </w:r>
      <w:r w:rsidR="00DD204D" w:rsidRPr="00EC03C2">
        <w:rPr>
          <w:b/>
          <w:color w:val="0000FF"/>
          <w:u w:val="single"/>
        </w:rPr>
        <w:t>M</w:t>
      </w:r>
      <w:r w:rsidR="004704A8" w:rsidRPr="00EC03C2">
        <w:rPr>
          <w:b/>
          <w:color w:val="0000FF"/>
          <w:u w:val="single"/>
        </w:rPr>
        <w:t xml:space="preserve">easure </w:t>
      </w:r>
      <w:r w:rsidR="00DD204D" w:rsidRPr="00EC03C2">
        <w:rPr>
          <w:b/>
          <w:color w:val="0000FF"/>
          <w:u w:val="single"/>
        </w:rPr>
        <w:t>S</w:t>
      </w:r>
      <w:r w:rsidR="004704A8" w:rsidRPr="00EC03C2">
        <w:rPr>
          <w:b/>
          <w:color w:val="0000FF"/>
          <w:u w:val="single"/>
        </w:rPr>
        <w:t xml:space="preserve">core </w:t>
      </w:r>
    </w:p>
    <w:p w14:paraId="4723F4BE" w14:textId="77777777" w:rsidR="004704A8" w:rsidRPr="00EC03C2" w:rsidRDefault="004704A8" w:rsidP="004704A8">
      <w:pPr>
        <w:spacing w:after="0" w:line="240" w:lineRule="auto"/>
        <w:rPr>
          <w:color w:val="0000FF"/>
        </w:rPr>
      </w:pPr>
      <w:r w:rsidRPr="00EC03C2">
        <w:rPr>
          <w:color w:val="0000FF"/>
        </w:rPr>
        <w:t xml:space="preserve">In order to assess measure precision in the context of the observed variability across accountable entities, we utilized the reliability estimate proposed by Adams (2009). 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4970EA93" w14:textId="77777777" w:rsidR="004704A8" w:rsidRPr="00EC03C2" w:rsidRDefault="004704A8" w:rsidP="004704A8">
      <w:pPr>
        <w:spacing w:after="0" w:line="240" w:lineRule="auto"/>
        <w:rPr>
          <w:color w:val="0000FF"/>
        </w:rPr>
      </w:pPr>
    </w:p>
    <w:p w14:paraId="0BE3E32C" w14:textId="77777777" w:rsidR="004704A8" w:rsidRPr="00EC03C2" w:rsidRDefault="004704A8" w:rsidP="004704A8">
      <w:pPr>
        <w:spacing w:after="0" w:line="240" w:lineRule="auto"/>
        <w:rPr>
          <w:color w:val="0000FF"/>
        </w:rPr>
      </w:pPr>
      <w:r w:rsidRPr="00EC03C2">
        <w:rPr>
          <w:color w:val="0000FF"/>
        </w:rPr>
        <w:t xml:space="preserve">Adams’ approach uses a </w:t>
      </w:r>
      <w:r w:rsidR="00796117" w:rsidRPr="00EC03C2">
        <w:rPr>
          <w:color w:val="0000FF"/>
        </w:rPr>
        <w:t>b</w:t>
      </w:r>
      <w:r w:rsidRPr="00EC03C2">
        <w:rPr>
          <w:color w:val="0000FF"/>
        </w:rPr>
        <w:t>eta-binomial model to estimate reliability; this model provides a better fit when estimating the reliability of simple pass/fail rate measures as is the case with most HEDIS® measures. 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w:t>
      </w:r>
      <w:r w:rsidR="00796117" w:rsidRPr="00EC03C2">
        <w:rPr>
          <w:color w:val="0000FF"/>
        </w:rPr>
        <w:t>,</w:t>
      </w:r>
      <w:r w:rsidRPr="00EC03C2">
        <w:rPr>
          <w:color w:val="0000FF"/>
        </w:rPr>
        <w:t xml:space="preserve"> whereas a reliability of 1.0 implies that all variation is caused by a real difference in performance (across accountable entities). </w:t>
      </w:r>
    </w:p>
    <w:p w14:paraId="408EB353" w14:textId="77777777" w:rsidR="004704A8" w:rsidRPr="00EC03C2" w:rsidRDefault="004704A8" w:rsidP="004704A8">
      <w:pPr>
        <w:spacing w:after="0" w:line="240" w:lineRule="auto"/>
        <w:rPr>
          <w:color w:val="0000FF"/>
        </w:rPr>
      </w:pPr>
    </w:p>
    <w:p w14:paraId="3D8254AA" w14:textId="77777777" w:rsidR="004704A8" w:rsidRPr="00EC03C2" w:rsidRDefault="004704A8" w:rsidP="004704A8">
      <w:pPr>
        <w:spacing w:after="0" w:line="240" w:lineRule="auto"/>
        <w:rPr>
          <w:color w:val="0000FF"/>
        </w:rPr>
      </w:pPr>
      <w:r w:rsidRPr="00EC03C2">
        <w:rPr>
          <w:color w:val="0000FF"/>
        </w:rPr>
        <w:t>Adams, J. L. The Reliability of Provider Profiling: A Tutorial. Santa Monica, California: RAND Corporation. TR-653-NCQA, 2009 </w:t>
      </w:r>
    </w:p>
    <w:p w14:paraId="4BF6CB9C" w14:textId="77777777" w:rsidR="008C54A9" w:rsidRPr="009F7B22" w:rsidRDefault="008C54A9" w:rsidP="008C54A9">
      <w:pPr>
        <w:autoSpaceDE w:val="0"/>
        <w:autoSpaceDN w:val="0"/>
        <w:adjustRightInd w:val="0"/>
        <w:spacing w:after="0" w:line="240" w:lineRule="auto"/>
        <w:rPr>
          <w:rFonts w:cstheme="minorHAnsi"/>
          <w:bCs/>
          <w:color w:val="0070C0"/>
        </w:rPr>
      </w:pPr>
    </w:p>
    <w:p w14:paraId="55EDEEF2" w14:textId="77777777" w:rsidR="008947E5" w:rsidRDefault="00092566" w:rsidP="008C54A9">
      <w:pPr>
        <w:autoSpaceDE w:val="0"/>
        <w:autoSpaceDN w:val="0"/>
        <w:adjustRightInd w:val="0"/>
        <w:spacing w:after="0" w:line="240" w:lineRule="auto"/>
        <w:rPr>
          <w:rFonts w:cstheme="minorHAnsi"/>
          <w:bCs/>
        </w:rPr>
      </w:pPr>
      <w:r w:rsidRPr="00E120A1">
        <w:rPr>
          <w:rFonts w:cstheme="minorHAnsi"/>
          <w:b/>
          <w:bCs/>
        </w:rPr>
        <w:lastRenderedPageBreak/>
        <w:t>2a2.</w:t>
      </w:r>
      <w:r w:rsidR="008C54A9" w:rsidRPr="00E120A1">
        <w:rPr>
          <w:rFonts w:cstheme="minorHAnsi"/>
          <w:b/>
          <w:bCs/>
        </w:rPr>
        <w:t xml:space="preserve">3. For each level </w:t>
      </w:r>
      <w:r w:rsidR="008F7E67" w:rsidRPr="00E120A1">
        <w:rPr>
          <w:rFonts w:cstheme="minorHAnsi"/>
          <w:b/>
          <w:bCs/>
        </w:rPr>
        <w:t xml:space="preserve">of testing </w:t>
      </w:r>
      <w:r w:rsidR="008C54A9" w:rsidRPr="00E120A1">
        <w:rPr>
          <w:rFonts w:cstheme="minorHAnsi"/>
          <w:b/>
          <w:bCs/>
        </w:rPr>
        <w:t>checked above, w</w:t>
      </w:r>
      <w:r w:rsidR="00900DBF" w:rsidRPr="00E120A1">
        <w:rPr>
          <w:rFonts w:cstheme="minorHAnsi"/>
          <w:b/>
          <w:bCs/>
        </w:rPr>
        <w:t>hat were the statistical results</w:t>
      </w:r>
      <w:r w:rsidR="007422FD" w:rsidRPr="00E120A1">
        <w:rPr>
          <w:rFonts w:cstheme="minorHAnsi"/>
          <w:b/>
          <w:bCs/>
        </w:rPr>
        <w:t xml:space="preserve"> from reliability testing</w:t>
      </w:r>
      <w:r w:rsidR="00900DBF" w:rsidRPr="00E120A1">
        <w:rPr>
          <w:rFonts w:cstheme="minorHAnsi"/>
          <w:bCs/>
        </w:rPr>
        <w:t>?</w:t>
      </w:r>
      <w:r w:rsidR="00B037BA" w:rsidRPr="00E120A1">
        <w:rPr>
          <w:rFonts w:cstheme="minorHAnsi"/>
          <w:bCs/>
        </w:rPr>
        <w:t xml:space="preserve"> </w:t>
      </w:r>
      <w:r w:rsidR="00AA5213" w:rsidRPr="00E120A1">
        <w:rPr>
          <w:rFonts w:cstheme="minorHAnsi"/>
          <w:bCs/>
        </w:rPr>
        <w:t xml:space="preserve"> (e</w:t>
      </w:r>
      <w:r w:rsidR="00AA5213" w:rsidRPr="00E120A1">
        <w:rPr>
          <w:rFonts w:cstheme="minorHAnsi"/>
          <w:bCs/>
          <w:i/>
        </w:rPr>
        <w:t>.g., percent agreement and kappa for the critical data elements; distribution of reliability statistics from a signal-to-noise analysis</w:t>
      </w:r>
      <w:r w:rsidR="00AA5213" w:rsidRPr="00E120A1">
        <w:rPr>
          <w:rFonts w:cstheme="minorHAnsi"/>
          <w:bCs/>
        </w:rPr>
        <w:t>)</w:t>
      </w:r>
    </w:p>
    <w:p w14:paraId="23F49A80" w14:textId="77777777" w:rsidR="008947E5" w:rsidRDefault="008947E5" w:rsidP="008C54A9">
      <w:pPr>
        <w:autoSpaceDE w:val="0"/>
        <w:autoSpaceDN w:val="0"/>
        <w:adjustRightInd w:val="0"/>
        <w:spacing w:after="0" w:line="240" w:lineRule="auto"/>
        <w:rPr>
          <w:rFonts w:cstheme="minorHAnsi"/>
          <w:bCs/>
        </w:rPr>
      </w:pPr>
    </w:p>
    <w:p w14:paraId="79D7D925" w14:textId="1E829833" w:rsidR="005F3603" w:rsidRPr="00EC03C2" w:rsidRDefault="00DF0F34" w:rsidP="008C54A9">
      <w:pPr>
        <w:autoSpaceDE w:val="0"/>
        <w:autoSpaceDN w:val="0"/>
        <w:adjustRightInd w:val="0"/>
        <w:spacing w:after="0" w:line="240" w:lineRule="auto"/>
        <w:rPr>
          <w:b/>
          <w:color w:val="0000FF"/>
          <w:u w:val="single"/>
        </w:rPr>
      </w:pPr>
      <w:r w:rsidRPr="00EC03C2">
        <w:rPr>
          <w:b/>
          <w:color w:val="0000FF"/>
          <w:u w:val="single"/>
        </w:rPr>
        <w:t xml:space="preserve">Results of </w:t>
      </w:r>
      <w:r w:rsidR="005F3603" w:rsidRPr="00EC03C2">
        <w:rPr>
          <w:b/>
          <w:color w:val="0000FF"/>
          <w:u w:val="single"/>
        </w:rPr>
        <w:t>Reliability Testing of Performance Measure Score</w:t>
      </w:r>
    </w:p>
    <w:p w14:paraId="68B24691" w14:textId="77777777" w:rsidR="00507954" w:rsidRPr="00EC03C2" w:rsidRDefault="00507954" w:rsidP="008C54A9">
      <w:pPr>
        <w:autoSpaceDE w:val="0"/>
        <w:autoSpaceDN w:val="0"/>
        <w:adjustRightInd w:val="0"/>
        <w:spacing w:after="0" w:line="240" w:lineRule="auto"/>
        <w:rPr>
          <w:color w:val="0000FF"/>
        </w:rPr>
      </w:pPr>
    </w:p>
    <w:p w14:paraId="1A4A18B2" w14:textId="7761D9D0" w:rsidR="00BB40DB" w:rsidRPr="00EC03C2" w:rsidRDefault="00DF0F34" w:rsidP="008C54A9">
      <w:pPr>
        <w:autoSpaceDE w:val="0"/>
        <w:autoSpaceDN w:val="0"/>
        <w:adjustRightInd w:val="0"/>
        <w:spacing w:after="0" w:line="240" w:lineRule="auto"/>
        <w:rPr>
          <w:b/>
          <w:color w:val="0000FF"/>
        </w:rPr>
      </w:pPr>
      <w:r w:rsidRPr="00EC03C2">
        <w:rPr>
          <w:b/>
          <w:color w:val="0000FF"/>
        </w:rPr>
        <w:t>Figure 1.</w:t>
      </w:r>
      <w:r w:rsidR="00A80403" w:rsidRPr="00EC03C2">
        <w:rPr>
          <w:b/>
          <w:color w:val="0000FF"/>
        </w:rPr>
        <w:t xml:space="preserve"> </w:t>
      </w:r>
      <w:r w:rsidR="00BB40DB" w:rsidRPr="00EC03C2">
        <w:rPr>
          <w:b/>
          <w:color w:val="0000FF"/>
        </w:rPr>
        <w:t>Overall Reliability</w:t>
      </w:r>
      <w:r w:rsidRPr="00EC03C2">
        <w:rPr>
          <w:b/>
          <w:color w:val="0000FF"/>
        </w:rPr>
        <w:t xml:space="preserve"> Results</w:t>
      </w:r>
    </w:p>
    <w:tbl>
      <w:tblPr>
        <w:tblStyle w:val="TableGrid"/>
        <w:tblW w:w="0" w:type="auto"/>
        <w:tblInd w:w="108" w:type="dxa"/>
        <w:tblLook w:val="04A0" w:firstRow="1" w:lastRow="0" w:firstColumn="1" w:lastColumn="0" w:noHBand="0" w:noVBand="1"/>
      </w:tblPr>
      <w:tblGrid>
        <w:gridCol w:w="1170"/>
        <w:gridCol w:w="1710"/>
        <w:gridCol w:w="1260"/>
        <w:gridCol w:w="1980"/>
      </w:tblGrid>
      <w:tr w:rsidR="009F7B22" w:rsidRPr="00EC03C2" w14:paraId="3E9F2433" w14:textId="77777777" w:rsidTr="006E774A">
        <w:tc>
          <w:tcPr>
            <w:tcW w:w="2880" w:type="dxa"/>
            <w:gridSpan w:val="2"/>
          </w:tcPr>
          <w:p w14:paraId="27A22D59" w14:textId="77777777" w:rsidR="006E774A" w:rsidRPr="00EC03C2" w:rsidRDefault="00BB40DB" w:rsidP="00BB40DB">
            <w:pPr>
              <w:autoSpaceDE w:val="0"/>
              <w:autoSpaceDN w:val="0"/>
              <w:adjustRightInd w:val="0"/>
              <w:jc w:val="center"/>
              <w:rPr>
                <w:color w:val="0000FF"/>
              </w:rPr>
            </w:pPr>
            <w:r w:rsidRPr="00EC03C2">
              <w:rPr>
                <w:color w:val="0000FF"/>
              </w:rPr>
              <w:t xml:space="preserve"> </w:t>
            </w:r>
            <w:r w:rsidR="006E774A" w:rsidRPr="00EC03C2">
              <w:rPr>
                <w:color w:val="0000FF"/>
              </w:rPr>
              <w:t>Commercial</w:t>
            </w:r>
          </w:p>
        </w:tc>
        <w:tc>
          <w:tcPr>
            <w:tcW w:w="3240" w:type="dxa"/>
            <w:gridSpan w:val="2"/>
          </w:tcPr>
          <w:p w14:paraId="13B26A27" w14:textId="77777777" w:rsidR="006E774A" w:rsidRPr="00EC03C2" w:rsidRDefault="006E774A" w:rsidP="006E774A">
            <w:pPr>
              <w:autoSpaceDE w:val="0"/>
              <w:autoSpaceDN w:val="0"/>
              <w:adjustRightInd w:val="0"/>
              <w:jc w:val="center"/>
              <w:rPr>
                <w:color w:val="0000FF"/>
              </w:rPr>
            </w:pPr>
            <w:r w:rsidRPr="00EC03C2">
              <w:rPr>
                <w:color w:val="0000FF"/>
              </w:rPr>
              <w:t>Medicaid</w:t>
            </w:r>
          </w:p>
        </w:tc>
      </w:tr>
      <w:tr w:rsidR="009F7B22" w:rsidRPr="00EC03C2" w14:paraId="4C932140" w14:textId="77777777" w:rsidTr="006E774A">
        <w:tc>
          <w:tcPr>
            <w:tcW w:w="1170" w:type="dxa"/>
          </w:tcPr>
          <w:p w14:paraId="7A3C7DAF" w14:textId="77777777" w:rsidR="006E774A" w:rsidRPr="00EC03C2" w:rsidRDefault="006E774A" w:rsidP="00B816FB">
            <w:pPr>
              <w:autoSpaceDE w:val="0"/>
              <w:autoSpaceDN w:val="0"/>
              <w:adjustRightInd w:val="0"/>
              <w:jc w:val="center"/>
              <w:rPr>
                <w:color w:val="0000FF"/>
              </w:rPr>
            </w:pPr>
            <w:r w:rsidRPr="00EC03C2">
              <w:rPr>
                <w:color w:val="0000FF"/>
              </w:rPr>
              <w:t xml:space="preserve"># of </w:t>
            </w:r>
            <w:r w:rsidR="00B816FB" w:rsidRPr="00EC03C2">
              <w:rPr>
                <w:color w:val="0000FF"/>
              </w:rPr>
              <w:t>P</w:t>
            </w:r>
            <w:r w:rsidRPr="00EC03C2">
              <w:rPr>
                <w:color w:val="0000FF"/>
              </w:rPr>
              <w:t>lans</w:t>
            </w:r>
          </w:p>
        </w:tc>
        <w:tc>
          <w:tcPr>
            <w:tcW w:w="1710" w:type="dxa"/>
          </w:tcPr>
          <w:p w14:paraId="7DAE9583" w14:textId="77777777" w:rsidR="006E774A" w:rsidRPr="00EC03C2" w:rsidRDefault="006E774A" w:rsidP="006E774A">
            <w:pPr>
              <w:autoSpaceDE w:val="0"/>
              <w:autoSpaceDN w:val="0"/>
              <w:adjustRightInd w:val="0"/>
              <w:jc w:val="center"/>
              <w:rPr>
                <w:color w:val="0000FF"/>
              </w:rPr>
            </w:pPr>
            <w:r w:rsidRPr="00EC03C2">
              <w:rPr>
                <w:color w:val="0000FF"/>
              </w:rPr>
              <w:t>Reliability Score</w:t>
            </w:r>
          </w:p>
        </w:tc>
        <w:tc>
          <w:tcPr>
            <w:tcW w:w="1260" w:type="dxa"/>
          </w:tcPr>
          <w:p w14:paraId="2DAAB502" w14:textId="77777777" w:rsidR="006E774A" w:rsidRPr="00EC03C2" w:rsidRDefault="006E774A" w:rsidP="00B816FB">
            <w:pPr>
              <w:autoSpaceDE w:val="0"/>
              <w:autoSpaceDN w:val="0"/>
              <w:adjustRightInd w:val="0"/>
              <w:jc w:val="center"/>
              <w:rPr>
                <w:color w:val="0000FF"/>
              </w:rPr>
            </w:pPr>
            <w:r w:rsidRPr="00EC03C2">
              <w:rPr>
                <w:color w:val="0000FF"/>
              </w:rPr>
              <w:t xml:space="preserve"># of </w:t>
            </w:r>
            <w:r w:rsidR="00B816FB" w:rsidRPr="00EC03C2">
              <w:rPr>
                <w:color w:val="0000FF"/>
              </w:rPr>
              <w:t>P</w:t>
            </w:r>
            <w:r w:rsidRPr="00EC03C2">
              <w:rPr>
                <w:color w:val="0000FF"/>
              </w:rPr>
              <w:t>lans</w:t>
            </w:r>
          </w:p>
        </w:tc>
        <w:tc>
          <w:tcPr>
            <w:tcW w:w="1980" w:type="dxa"/>
          </w:tcPr>
          <w:p w14:paraId="08EECF4B" w14:textId="77777777" w:rsidR="006E774A" w:rsidRPr="00EC03C2" w:rsidRDefault="006E774A" w:rsidP="006E774A">
            <w:pPr>
              <w:autoSpaceDE w:val="0"/>
              <w:autoSpaceDN w:val="0"/>
              <w:adjustRightInd w:val="0"/>
              <w:jc w:val="center"/>
              <w:rPr>
                <w:color w:val="0000FF"/>
              </w:rPr>
            </w:pPr>
            <w:r w:rsidRPr="00EC03C2">
              <w:rPr>
                <w:color w:val="0000FF"/>
              </w:rPr>
              <w:t>Reliability Score</w:t>
            </w:r>
          </w:p>
        </w:tc>
      </w:tr>
      <w:tr w:rsidR="009F7B22" w:rsidRPr="00EC03C2" w14:paraId="3B5F4383" w14:textId="77777777" w:rsidTr="006E774A">
        <w:tc>
          <w:tcPr>
            <w:tcW w:w="1170" w:type="dxa"/>
          </w:tcPr>
          <w:p w14:paraId="436F6626" w14:textId="77777777" w:rsidR="006E774A" w:rsidRPr="00EC03C2" w:rsidRDefault="006E774A" w:rsidP="006E774A">
            <w:pPr>
              <w:autoSpaceDE w:val="0"/>
              <w:autoSpaceDN w:val="0"/>
              <w:adjustRightInd w:val="0"/>
              <w:jc w:val="center"/>
              <w:rPr>
                <w:color w:val="0000FF"/>
              </w:rPr>
            </w:pPr>
            <w:r w:rsidRPr="00EC03C2">
              <w:rPr>
                <w:color w:val="0000FF"/>
              </w:rPr>
              <w:t>409</w:t>
            </w:r>
          </w:p>
        </w:tc>
        <w:tc>
          <w:tcPr>
            <w:tcW w:w="1710" w:type="dxa"/>
          </w:tcPr>
          <w:p w14:paraId="23AE87BD" w14:textId="77777777" w:rsidR="006E774A" w:rsidRPr="00EC03C2" w:rsidRDefault="006E774A" w:rsidP="006E774A">
            <w:pPr>
              <w:autoSpaceDE w:val="0"/>
              <w:autoSpaceDN w:val="0"/>
              <w:adjustRightInd w:val="0"/>
              <w:jc w:val="center"/>
              <w:rPr>
                <w:color w:val="0000FF"/>
              </w:rPr>
            </w:pPr>
            <w:r w:rsidRPr="00EC03C2">
              <w:rPr>
                <w:color w:val="0000FF"/>
              </w:rPr>
              <w:t>0.99</w:t>
            </w:r>
          </w:p>
        </w:tc>
        <w:tc>
          <w:tcPr>
            <w:tcW w:w="1260" w:type="dxa"/>
          </w:tcPr>
          <w:p w14:paraId="799A1F85" w14:textId="77777777" w:rsidR="006E774A" w:rsidRPr="00EC03C2" w:rsidRDefault="006E774A" w:rsidP="006E774A">
            <w:pPr>
              <w:autoSpaceDE w:val="0"/>
              <w:autoSpaceDN w:val="0"/>
              <w:adjustRightInd w:val="0"/>
              <w:jc w:val="center"/>
              <w:rPr>
                <w:color w:val="0000FF"/>
              </w:rPr>
            </w:pPr>
            <w:r w:rsidRPr="00EC03C2">
              <w:rPr>
                <w:color w:val="0000FF"/>
              </w:rPr>
              <w:t>180</w:t>
            </w:r>
          </w:p>
        </w:tc>
        <w:tc>
          <w:tcPr>
            <w:tcW w:w="1980" w:type="dxa"/>
          </w:tcPr>
          <w:p w14:paraId="28B8248F" w14:textId="77777777" w:rsidR="006E774A" w:rsidRPr="00EC03C2" w:rsidRDefault="006E774A" w:rsidP="006E774A">
            <w:pPr>
              <w:autoSpaceDE w:val="0"/>
              <w:autoSpaceDN w:val="0"/>
              <w:adjustRightInd w:val="0"/>
              <w:jc w:val="center"/>
              <w:rPr>
                <w:color w:val="0000FF"/>
              </w:rPr>
            </w:pPr>
            <w:r w:rsidRPr="00EC03C2">
              <w:rPr>
                <w:color w:val="0000FF"/>
              </w:rPr>
              <w:t>0.94</w:t>
            </w:r>
          </w:p>
        </w:tc>
      </w:tr>
    </w:tbl>
    <w:p w14:paraId="50ADCFF5" w14:textId="77777777" w:rsidR="000A3579" w:rsidRPr="00EC03C2" w:rsidRDefault="000A3579" w:rsidP="008C54A9">
      <w:pPr>
        <w:autoSpaceDE w:val="0"/>
        <w:autoSpaceDN w:val="0"/>
        <w:adjustRightInd w:val="0"/>
        <w:spacing w:after="0" w:line="240" w:lineRule="auto"/>
        <w:rPr>
          <w:color w:val="0000FF"/>
        </w:rPr>
      </w:pPr>
    </w:p>
    <w:p w14:paraId="370FBBE7" w14:textId="7FEDF838" w:rsidR="00BB40DB" w:rsidRPr="00EC03C2" w:rsidRDefault="00DF0F34" w:rsidP="008C54A9">
      <w:pPr>
        <w:autoSpaceDE w:val="0"/>
        <w:autoSpaceDN w:val="0"/>
        <w:adjustRightInd w:val="0"/>
        <w:spacing w:after="0" w:line="240" w:lineRule="auto"/>
        <w:rPr>
          <w:b/>
          <w:color w:val="0000FF"/>
        </w:rPr>
      </w:pPr>
      <w:r w:rsidRPr="00EC03C2">
        <w:rPr>
          <w:b/>
          <w:color w:val="0000FF"/>
        </w:rPr>
        <w:t xml:space="preserve">Figure 2. </w:t>
      </w:r>
      <w:r w:rsidR="00BB40DB" w:rsidRPr="00EC03C2">
        <w:rPr>
          <w:b/>
          <w:color w:val="0000FF"/>
        </w:rPr>
        <w:t>Individual Reliability and Distribution</w:t>
      </w:r>
      <w:r w:rsidRPr="00EC03C2">
        <w:rPr>
          <w:b/>
          <w:color w:val="0000FF"/>
        </w:rPr>
        <w:t xml:space="preserve"> Results </w:t>
      </w:r>
    </w:p>
    <w:tbl>
      <w:tblPr>
        <w:tblW w:w="5308" w:type="dxa"/>
        <w:tblInd w:w="113" w:type="dxa"/>
        <w:tblLook w:val="04A0" w:firstRow="1" w:lastRow="0" w:firstColumn="1" w:lastColumn="0" w:noHBand="0" w:noVBand="1"/>
      </w:tblPr>
      <w:tblGrid>
        <w:gridCol w:w="1287"/>
        <w:gridCol w:w="1329"/>
        <w:gridCol w:w="1170"/>
        <w:gridCol w:w="1522"/>
      </w:tblGrid>
      <w:tr w:rsidR="009F7B22" w:rsidRPr="00EC03C2" w14:paraId="67EB9966" w14:textId="77777777" w:rsidTr="00BB40DB">
        <w:trPr>
          <w:trHeight w:val="300"/>
        </w:trPr>
        <w:tc>
          <w:tcPr>
            <w:tcW w:w="2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854D9" w14:textId="77777777" w:rsidR="00507954" w:rsidRPr="00EC03C2" w:rsidRDefault="00507954" w:rsidP="00E120A1">
            <w:pPr>
              <w:spacing w:after="0" w:line="240" w:lineRule="auto"/>
              <w:jc w:val="center"/>
              <w:rPr>
                <w:color w:val="0000FF"/>
              </w:rPr>
            </w:pPr>
            <w:r w:rsidRPr="00EC03C2">
              <w:rPr>
                <w:color w:val="0000FF"/>
              </w:rPr>
              <w:t>Commercial</w:t>
            </w:r>
          </w:p>
        </w:tc>
        <w:tc>
          <w:tcPr>
            <w:tcW w:w="26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CBF10E" w14:textId="77777777" w:rsidR="00507954" w:rsidRPr="00EC03C2" w:rsidRDefault="00507954" w:rsidP="00E120A1">
            <w:pPr>
              <w:spacing w:after="0" w:line="240" w:lineRule="auto"/>
              <w:jc w:val="center"/>
              <w:rPr>
                <w:color w:val="0000FF"/>
              </w:rPr>
            </w:pPr>
            <w:r w:rsidRPr="00EC03C2">
              <w:rPr>
                <w:color w:val="0000FF"/>
              </w:rPr>
              <w:t>Medicaid</w:t>
            </w:r>
          </w:p>
        </w:tc>
      </w:tr>
      <w:tr w:rsidR="009F7B22" w:rsidRPr="00EC03C2" w14:paraId="4C3A4B9B" w14:textId="77777777" w:rsidTr="00507954">
        <w:trPr>
          <w:trHeight w:val="300"/>
        </w:trPr>
        <w:tc>
          <w:tcPr>
            <w:tcW w:w="1287" w:type="dxa"/>
            <w:tcBorders>
              <w:top w:val="nil"/>
              <w:left w:val="single" w:sz="4" w:space="0" w:color="auto"/>
              <w:bottom w:val="single" w:sz="4" w:space="0" w:color="auto"/>
              <w:right w:val="single" w:sz="4" w:space="0" w:color="auto"/>
            </w:tcBorders>
            <w:shd w:val="clear" w:color="auto" w:fill="auto"/>
            <w:noWrap/>
            <w:vAlign w:val="bottom"/>
            <w:hideMark/>
          </w:tcPr>
          <w:p w14:paraId="5468CCCC" w14:textId="77777777" w:rsidR="00507954" w:rsidRPr="00EC03C2" w:rsidRDefault="00507954" w:rsidP="00E120A1">
            <w:pPr>
              <w:spacing w:after="0" w:line="240" w:lineRule="auto"/>
              <w:jc w:val="center"/>
              <w:rPr>
                <w:color w:val="0000FF"/>
              </w:rPr>
            </w:pPr>
            <w:r w:rsidRPr="00EC03C2">
              <w:rPr>
                <w:color w:val="0000FF"/>
              </w:rPr>
              <w:t>Median</w:t>
            </w:r>
          </w:p>
        </w:tc>
        <w:tc>
          <w:tcPr>
            <w:tcW w:w="1329" w:type="dxa"/>
            <w:tcBorders>
              <w:top w:val="nil"/>
              <w:left w:val="nil"/>
              <w:bottom w:val="single" w:sz="4" w:space="0" w:color="auto"/>
              <w:right w:val="single" w:sz="4" w:space="0" w:color="auto"/>
            </w:tcBorders>
            <w:shd w:val="clear" w:color="auto" w:fill="auto"/>
            <w:noWrap/>
            <w:vAlign w:val="bottom"/>
            <w:hideMark/>
          </w:tcPr>
          <w:p w14:paraId="538599C8" w14:textId="77777777" w:rsidR="00507954" w:rsidRPr="00EC03C2" w:rsidRDefault="00507954" w:rsidP="00B816FB">
            <w:pPr>
              <w:spacing w:after="0" w:line="240" w:lineRule="auto"/>
              <w:jc w:val="center"/>
              <w:rPr>
                <w:color w:val="0000FF"/>
              </w:rPr>
            </w:pPr>
            <w:r w:rsidRPr="00EC03C2">
              <w:rPr>
                <w:color w:val="0000FF"/>
              </w:rPr>
              <w:t xml:space="preserve">10-90th </w:t>
            </w:r>
            <w:r w:rsidR="00B816FB" w:rsidRPr="00EC03C2">
              <w:rPr>
                <w:color w:val="0000FF"/>
              </w:rPr>
              <w:t>P</w:t>
            </w:r>
            <w:r w:rsidRPr="00EC03C2">
              <w:rPr>
                <w:color w:val="0000FF"/>
              </w:rPr>
              <w:t>ercentile</w:t>
            </w:r>
          </w:p>
        </w:tc>
        <w:tc>
          <w:tcPr>
            <w:tcW w:w="1170" w:type="dxa"/>
            <w:tcBorders>
              <w:top w:val="nil"/>
              <w:left w:val="nil"/>
              <w:bottom w:val="single" w:sz="4" w:space="0" w:color="auto"/>
              <w:right w:val="single" w:sz="4" w:space="0" w:color="auto"/>
            </w:tcBorders>
            <w:shd w:val="clear" w:color="auto" w:fill="auto"/>
            <w:noWrap/>
            <w:vAlign w:val="bottom"/>
            <w:hideMark/>
          </w:tcPr>
          <w:p w14:paraId="4769682B" w14:textId="77777777" w:rsidR="00507954" w:rsidRPr="00EC03C2" w:rsidRDefault="00507954" w:rsidP="00E120A1">
            <w:pPr>
              <w:spacing w:after="0" w:line="240" w:lineRule="auto"/>
              <w:jc w:val="center"/>
              <w:rPr>
                <w:color w:val="0000FF"/>
              </w:rPr>
            </w:pPr>
            <w:r w:rsidRPr="00EC03C2">
              <w:rPr>
                <w:color w:val="0000FF"/>
              </w:rPr>
              <w:t>Median</w:t>
            </w:r>
          </w:p>
        </w:tc>
        <w:tc>
          <w:tcPr>
            <w:tcW w:w="1522" w:type="dxa"/>
            <w:tcBorders>
              <w:top w:val="nil"/>
              <w:left w:val="nil"/>
              <w:bottom w:val="single" w:sz="4" w:space="0" w:color="auto"/>
              <w:right w:val="single" w:sz="4" w:space="0" w:color="auto"/>
            </w:tcBorders>
            <w:shd w:val="clear" w:color="auto" w:fill="auto"/>
            <w:noWrap/>
            <w:vAlign w:val="bottom"/>
            <w:hideMark/>
          </w:tcPr>
          <w:p w14:paraId="31CE23A5" w14:textId="77777777" w:rsidR="00507954" w:rsidRPr="00EC03C2" w:rsidRDefault="00507954" w:rsidP="00B816FB">
            <w:pPr>
              <w:spacing w:after="0" w:line="240" w:lineRule="auto"/>
              <w:jc w:val="center"/>
              <w:rPr>
                <w:color w:val="0000FF"/>
              </w:rPr>
            </w:pPr>
            <w:r w:rsidRPr="00EC03C2">
              <w:rPr>
                <w:color w:val="0000FF"/>
              </w:rPr>
              <w:t xml:space="preserve">10-90th </w:t>
            </w:r>
            <w:r w:rsidR="00B816FB" w:rsidRPr="00EC03C2">
              <w:rPr>
                <w:color w:val="0000FF"/>
              </w:rPr>
              <w:t>P</w:t>
            </w:r>
            <w:r w:rsidRPr="00EC03C2">
              <w:rPr>
                <w:color w:val="0000FF"/>
              </w:rPr>
              <w:t>ercentile</w:t>
            </w:r>
          </w:p>
        </w:tc>
      </w:tr>
      <w:tr w:rsidR="009F7B22" w:rsidRPr="00EC03C2" w14:paraId="7692F021" w14:textId="77777777" w:rsidTr="00507954">
        <w:trPr>
          <w:trHeight w:val="300"/>
        </w:trPr>
        <w:tc>
          <w:tcPr>
            <w:tcW w:w="1287" w:type="dxa"/>
            <w:tcBorders>
              <w:top w:val="nil"/>
              <w:left w:val="single" w:sz="4" w:space="0" w:color="auto"/>
              <w:bottom w:val="single" w:sz="4" w:space="0" w:color="auto"/>
              <w:right w:val="single" w:sz="4" w:space="0" w:color="auto"/>
            </w:tcBorders>
            <w:shd w:val="clear" w:color="auto" w:fill="auto"/>
            <w:noWrap/>
            <w:vAlign w:val="bottom"/>
            <w:hideMark/>
          </w:tcPr>
          <w:p w14:paraId="73734AE7" w14:textId="77777777" w:rsidR="00507954" w:rsidRPr="00EC03C2" w:rsidRDefault="00507954" w:rsidP="00E120A1">
            <w:pPr>
              <w:spacing w:after="0" w:line="240" w:lineRule="auto"/>
              <w:jc w:val="center"/>
              <w:rPr>
                <w:color w:val="0000FF"/>
              </w:rPr>
            </w:pPr>
            <w:r w:rsidRPr="00EC03C2">
              <w:rPr>
                <w:color w:val="0000FF"/>
              </w:rPr>
              <w:t>0.96</w:t>
            </w:r>
          </w:p>
        </w:tc>
        <w:tc>
          <w:tcPr>
            <w:tcW w:w="1329" w:type="dxa"/>
            <w:tcBorders>
              <w:top w:val="nil"/>
              <w:left w:val="nil"/>
              <w:bottom w:val="single" w:sz="4" w:space="0" w:color="auto"/>
              <w:right w:val="single" w:sz="4" w:space="0" w:color="auto"/>
            </w:tcBorders>
            <w:shd w:val="clear" w:color="auto" w:fill="auto"/>
            <w:noWrap/>
            <w:vAlign w:val="bottom"/>
            <w:hideMark/>
          </w:tcPr>
          <w:p w14:paraId="290D78B4" w14:textId="77777777" w:rsidR="00507954" w:rsidRPr="00EC03C2" w:rsidRDefault="00507954" w:rsidP="00E120A1">
            <w:pPr>
              <w:spacing w:after="0" w:line="240" w:lineRule="auto"/>
              <w:jc w:val="center"/>
              <w:rPr>
                <w:color w:val="0000FF"/>
              </w:rPr>
            </w:pPr>
            <w:r w:rsidRPr="00EC03C2">
              <w:rPr>
                <w:color w:val="0000FF"/>
              </w:rPr>
              <w:t>0.81 - 0.99</w:t>
            </w:r>
          </w:p>
        </w:tc>
        <w:tc>
          <w:tcPr>
            <w:tcW w:w="1170" w:type="dxa"/>
            <w:tcBorders>
              <w:top w:val="nil"/>
              <w:left w:val="nil"/>
              <w:bottom w:val="single" w:sz="4" w:space="0" w:color="auto"/>
              <w:right w:val="single" w:sz="4" w:space="0" w:color="auto"/>
            </w:tcBorders>
            <w:shd w:val="clear" w:color="auto" w:fill="auto"/>
            <w:noWrap/>
            <w:vAlign w:val="bottom"/>
            <w:hideMark/>
          </w:tcPr>
          <w:p w14:paraId="04DC63BE" w14:textId="77777777" w:rsidR="00507954" w:rsidRPr="00EC03C2" w:rsidRDefault="00507954" w:rsidP="00E120A1">
            <w:pPr>
              <w:spacing w:after="0" w:line="240" w:lineRule="auto"/>
              <w:jc w:val="center"/>
              <w:rPr>
                <w:color w:val="0000FF"/>
              </w:rPr>
            </w:pPr>
            <w:r w:rsidRPr="00EC03C2">
              <w:rPr>
                <w:color w:val="0000FF"/>
              </w:rPr>
              <w:t>0.92</w:t>
            </w:r>
          </w:p>
        </w:tc>
        <w:tc>
          <w:tcPr>
            <w:tcW w:w="1522" w:type="dxa"/>
            <w:tcBorders>
              <w:top w:val="nil"/>
              <w:left w:val="nil"/>
              <w:bottom w:val="single" w:sz="4" w:space="0" w:color="auto"/>
              <w:right w:val="single" w:sz="4" w:space="0" w:color="auto"/>
            </w:tcBorders>
            <w:shd w:val="clear" w:color="auto" w:fill="auto"/>
            <w:noWrap/>
            <w:vAlign w:val="bottom"/>
            <w:hideMark/>
          </w:tcPr>
          <w:p w14:paraId="15EB150A" w14:textId="77777777" w:rsidR="00507954" w:rsidRPr="00EC03C2" w:rsidRDefault="00507954" w:rsidP="00E120A1">
            <w:pPr>
              <w:spacing w:after="0" w:line="240" w:lineRule="auto"/>
              <w:jc w:val="center"/>
              <w:rPr>
                <w:color w:val="0000FF"/>
              </w:rPr>
            </w:pPr>
            <w:r w:rsidRPr="00EC03C2">
              <w:rPr>
                <w:color w:val="0000FF"/>
              </w:rPr>
              <w:t>0.64 - 0.98</w:t>
            </w:r>
          </w:p>
        </w:tc>
      </w:tr>
    </w:tbl>
    <w:p w14:paraId="7E131779" w14:textId="77777777" w:rsidR="00E120A1" w:rsidRPr="00EC03C2" w:rsidRDefault="00E120A1" w:rsidP="008C54A9">
      <w:pPr>
        <w:autoSpaceDE w:val="0"/>
        <w:autoSpaceDN w:val="0"/>
        <w:adjustRightInd w:val="0"/>
        <w:spacing w:after="0" w:line="240" w:lineRule="auto"/>
        <w:rPr>
          <w:color w:val="0000FF"/>
        </w:rPr>
      </w:pPr>
    </w:p>
    <w:p w14:paraId="0E26004F" w14:textId="7F6762A6" w:rsidR="007422FD" w:rsidRPr="00EC03C2" w:rsidRDefault="00A80403" w:rsidP="008C54A9">
      <w:pPr>
        <w:autoSpaceDE w:val="0"/>
        <w:autoSpaceDN w:val="0"/>
        <w:adjustRightInd w:val="0"/>
        <w:spacing w:after="0" w:line="240" w:lineRule="auto"/>
        <w:rPr>
          <w:b/>
          <w:color w:val="0000FF"/>
        </w:rPr>
      </w:pPr>
      <w:r w:rsidRPr="00EC03C2">
        <w:rPr>
          <w:b/>
          <w:color w:val="0000FF"/>
        </w:rPr>
        <w:t>Figure 3</w:t>
      </w:r>
      <w:r w:rsidR="00DF0F34" w:rsidRPr="00EC03C2">
        <w:rPr>
          <w:b/>
          <w:color w:val="0000FF"/>
        </w:rPr>
        <w:t xml:space="preserve">. </w:t>
      </w:r>
      <w:r w:rsidRPr="00EC03C2">
        <w:rPr>
          <w:b/>
          <w:color w:val="0000FF"/>
        </w:rPr>
        <w:t xml:space="preserve">Reliability </w:t>
      </w:r>
      <w:r w:rsidR="00B816FB" w:rsidRPr="00EC03C2">
        <w:rPr>
          <w:b/>
          <w:color w:val="0000FF"/>
        </w:rPr>
        <w:t>H</w:t>
      </w:r>
      <w:r w:rsidRPr="00EC03C2">
        <w:rPr>
          <w:b/>
          <w:color w:val="0000FF"/>
        </w:rPr>
        <w:t>ist</w:t>
      </w:r>
      <w:r w:rsidR="00715439" w:rsidRPr="00EC03C2">
        <w:rPr>
          <w:b/>
          <w:color w:val="0000FF"/>
        </w:rPr>
        <w:t xml:space="preserve">ograms for </w:t>
      </w:r>
      <w:r w:rsidR="00B816FB" w:rsidRPr="00EC03C2">
        <w:rPr>
          <w:b/>
          <w:color w:val="0000FF"/>
        </w:rPr>
        <w:t>L</w:t>
      </w:r>
      <w:r w:rsidR="00715439" w:rsidRPr="00EC03C2">
        <w:rPr>
          <w:b/>
          <w:color w:val="0000FF"/>
        </w:rPr>
        <w:t xml:space="preserve">ow </w:t>
      </w:r>
      <w:r w:rsidR="00B816FB" w:rsidRPr="00EC03C2">
        <w:rPr>
          <w:b/>
          <w:color w:val="0000FF"/>
        </w:rPr>
        <w:t>B</w:t>
      </w:r>
      <w:r w:rsidR="00715439" w:rsidRPr="00EC03C2">
        <w:rPr>
          <w:b/>
          <w:color w:val="0000FF"/>
        </w:rPr>
        <w:t xml:space="preserve">ack </w:t>
      </w:r>
      <w:r w:rsidR="00B816FB" w:rsidRPr="00EC03C2">
        <w:rPr>
          <w:b/>
          <w:color w:val="0000FF"/>
        </w:rPr>
        <w:t>P</w:t>
      </w:r>
      <w:r w:rsidR="00715439" w:rsidRPr="00EC03C2">
        <w:rPr>
          <w:b/>
          <w:color w:val="0000FF"/>
        </w:rPr>
        <w:t>ain in 2012</w:t>
      </w:r>
      <w:r w:rsidRPr="00EC03C2">
        <w:rPr>
          <w:b/>
          <w:color w:val="0000FF"/>
        </w:rPr>
        <w:t xml:space="preserve"> across </w:t>
      </w:r>
      <w:r w:rsidR="00B816FB" w:rsidRPr="00EC03C2">
        <w:rPr>
          <w:b/>
          <w:color w:val="0000FF"/>
        </w:rPr>
        <w:t>C</w:t>
      </w:r>
      <w:r w:rsidRPr="00EC03C2">
        <w:rPr>
          <w:b/>
          <w:color w:val="0000FF"/>
        </w:rPr>
        <w:t xml:space="preserve">ommercial and Medicaid </w:t>
      </w:r>
      <w:r w:rsidR="00B816FB" w:rsidRPr="00EC03C2">
        <w:rPr>
          <w:b/>
          <w:color w:val="0000FF"/>
        </w:rPr>
        <w:t>P</w:t>
      </w:r>
      <w:r w:rsidRPr="00EC03C2">
        <w:rPr>
          <w:b/>
          <w:color w:val="0000FF"/>
        </w:rPr>
        <w:t>lans</w:t>
      </w:r>
    </w:p>
    <w:p w14:paraId="62E6938A" w14:textId="77777777" w:rsidR="00715439" w:rsidRDefault="00715439" w:rsidP="008C54A9">
      <w:pPr>
        <w:autoSpaceDE w:val="0"/>
        <w:autoSpaceDN w:val="0"/>
        <w:adjustRightInd w:val="0"/>
        <w:spacing w:after="0" w:line="240" w:lineRule="auto"/>
        <w:rPr>
          <w:rFonts w:cstheme="minorHAnsi"/>
          <w:b/>
          <w:bCs/>
          <w:color w:val="FF0000"/>
        </w:rPr>
      </w:pPr>
    </w:p>
    <w:p w14:paraId="42B701DB" w14:textId="77777777" w:rsidR="00715439" w:rsidRPr="00715439" w:rsidRDefault="00715439" w:rsidP="00715439">
      <w:pPr>
        <w:autoSpaceDE w:val="0"/>
        <w:autoSpaceDN w:val="0"/>
        <w:adjustRightInd w:val="0"/>
        <w:spacing w:after="0" w:line="240" w:lineRule="auto"/>
        <w:jc w:val="center"/>
        <w:rPr>
          <w:rFonts w:cstheme="minorHAnsi"/>
          <w:b/>
          <w:bCs/>
          <w:color w:val="000000" w:themeColor="text1"/>
          <w:sz w:val="32"/>
          <w:szCs w:val="32"/>
        </w:rPr>
      </w:pPr>
      <w:r w:rsidRPr="00715439">
        <w:rPr>
          <w:rFonts w:cstheme="minorHAnsi"/>
          <w:b/>
          <w:bCs/>
          <w:color w:val="000000" w:themeColor="text1"/>
          <w:sz w:val="32"/>
          <w:szCs w:val="32"/>
        </w:rPr>
        <w:t>HISTOGRAMS FOR LOW BACK PAIN FOR 2012</w:t>
      </w:r>
    </w:p>
    <w:p w14:paraId="01CEF78B" w14:textId="77777777" w:rsidR="00DC7DF2" w:rsidRDefault="00A46F23" w:rsidP="008C54A9">
      <w:pPr>
        <w:autoSpaceDE w:val="0"/>
        <w:autoSpaceDN w:val="0"/>
        <w:adjustRightInd w:val="0"/>
        <w:spacing w:after="0" w:line="240" w:lineRule="auto"/>
        <w:rPr>
          <w:rFonts w:cstheme="minorHAnsi"/>
          <w:bCs/>
          <w:noProof/>
        </w:rPr>
      </w:pPr>
      <w:r w:rsidRPr="00A46F23">
        <w:rPr>
          <w:rFonts w:cstheme="minorHAnsi"/>
          <w:bCs/>
          <w:noProof/>
        </w:rPr>
        <w:drawing>
          <wp:inline distT="0" distB="0" distL="0" distR="0" wp14:anchorId="5DAF4364" wp14:editId="27B93A95">
            <wp:extent cx="5942524" cy="2975526"/>
            <wp:effectExtent l="0" t="0" r="1270" b="0"/>
            <wp:docPr id="2" name="Picture 2" descr="C:\Users\perla\AppData\Local\Microsoft\Windows\Temporary Internet Files\Content.Outlook\G6B6POS5\histograms for lbp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la\AppData\Local\Microsoft\Windows\Temporary Internet Files\Content.Outlook\G6B6POS5\histograms for lbp 10.p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 t="6002" r="-6" b="27207"/>
                    <a:stretch/>
                  </pic:blipFill>
                  <pic:spPr bwMode="auto">
                    <a:xfrm>
                      <a:off x="0" y="0"/>
                      <a:ext cx="5943600" cy="2976065"/>
                    </a:xfrm>
                    <a:prstGeom prst="rect">
                      <a:avLst/>
                    </a:prstGeom>
                    <a:noFill/>
                    <a:ln>
                      <a:noFill/>
                    </a:ln>
                    <a:extLst>
                      <a:ext uri="{53640926-AAD7-44D8-BBD7-CCE9431645EC}">
                        <a14:shadowObscured xmlns:a14="http://schemas.microsoft.com/office/drawing/2010/main"/>
                      </a:ext>
                    </a:extLst>
                  </pic:spPr>
                </pic:pic>
              </a:graphicData>
            </a:graphic>
          </wp:inline>
        </w:drawing>
      </w:r>
    </w:p>
    <w:p w14:paraId="7BFB3FD2" w14:textId="77777777" w:rsidR="00DC7DF2" w:rsidRPr="00A25024" w:rsidRDefault="00DC7DF2" w:rsidP="008C54A9">
      <w:pPr>
        <w:autoSpaceDE w:val="0"/>
        <w:autoSpaceDN w:val="0"/>
        <w:adjustRightInd w:val="0"/>
        <w:spacing w:after="0" w:line="240" w:lineRule="auto"/>
        <w:rPr>
          <w:rFonts w:cstheme="minorHAnsi"/>
          <w:bCs/>
        </w:rPr>
      </w:pPr>
    </w:p>
    <w:p w14:paraId="70CC618F" w14:textId="77777777" w:rsidR="00C47A4B" w:rsidRDefault="00092566" w:rsidP="004704A8">
      <w:pPr>
        <w:autoSpaceDE w:val="0"/>
        <w:autoSpaceDN w:val="0"/>
        <w:adjustRightInd w:val="0"/>
        <w:spacing w:after="0" w:line="240" w:lineRule="auto"/>
        <w:rPr>
          <w:rFonts w:cs="Times New Roman"/>
          <w:color w:val="FF0000"/>
          <w:sz w:val="20"/>
          <w:szCs w:val="20"/>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6BC7AF0C" w14:textId="3D9FA7EB" w:rsidR="00C47A4B" w:rsidRPr="00EC03C2" w:rsidRDefault="00DD204D" w:rsidP="00C47A4B">
      <w:pPr>
        <w:autoSpaceDE w:val="0"/>
        <w:autoSpaceDN w:val="0"/>
        <w:adjustRightInd w:val="0"/>
        <w:spacing w:after="0" w:line="240" w:lineRule="auto"/>
        <w:rPr>
          <w:b/>
          <w:color w:val="0000FF"/>
          <w:u w:val="single"/>
        </w:rPr>
      </w:pPr>
      <w:r w:rsidRPr="00EC03C2">
        <w:rPr>
          <w:b/>
          <w:color w:val="0000FF"/>
          <w:u w:val="single"/>
        </w:rPr>
        <w:t xml:space="preserve">Interpretation of Measure Score </w:t>
      </w:r>
      <w:r w:rsidR="00C47A4B" w:rsidRPr="00EC03C2">
        <w:rPr>
          <w:b/>
          <w:color w:val="0000FF"/>
          <w:u w:val="single"/>
        </w:rPr>
        <w:t xml:space="preserve">Reliability Testing </w:t>
      </w:r>
    </w:p>
    <w:p w14:paraId="66934230" w14:textId="77777777" w:rsidR="00A80403" w:rsidRPr="00EC03C2" w:rsidRDefault="00A80403" w:rsidP="00BB40DB">
      <w:pPr>
        <w:spacing w:after="0" w:line="240" w:lineRule="auto"/>
        <w:rPr>
          <w:color w:val="0000FF"/>
        </w:rPr>
      </w:pPr>
    </w:p>
    <w:p w14:paraId="3A5F1BC1" w14:textId="77777777" w:rsidR="00A80403" w:rsidRPr="00EC03C2" w:rsidRDefault="00A80403" w:rsidP="00BB40DB">
      <w:pPr>
        <w:spacing w:after="0" w:line="240" w:lineRule="auto"/>
        <w:rPr>
          <w:b/>
          <w:color w:val="0000FF"/>
        </w:rPr>
      </w:pPr>
      <w:r w:rsidRPr="00EC03C2">
        <w:rPr>
          <w:b/>
          <w:color w:val="0000FF"/>
        </w:rPr>
        <w:t xml:space="preserve">Figure 1: </w:t>
      </w:r>
      <w:r w:rsidRPr="00EC03C2">
        <w:rPr>
          <w:color w:val="0000FF"/>
        </w:rPr>
        <w:t>Overall Reliability</w:t>
      </w:r>
    </w:p>
    <w:p w14:paraId="6DB89FAA" w14:textId="77777777" w:rsidR="00BB40DB" w:rsidRPr="00EC03C2" w:rsidRDefault="00BB40DB" w:rsidP="00BB40DB">
      <w:pPr>
        <w:spacing w:after="0" w:line="240" w:lineRule="auto"/>
        <w:rPr>
          <w:color w:val="0000FF"/>
        </w:rPr>
      </w:pPr>
      <w:r w:rsidRPr="00EC03C2">
        <w:rPr>
          <w:color w:val="0000FF"/>
        </w:rPr>
        <w:t xml:space="preserve">The reliability was estimated at 0.99 (commercial) and 0.94 (Medicaid) based on 409 </w:t>
      </w:r>
      <w:r w:rsidR="004D77DB" w:rsidRPr="00EC03C2">
        <w:rPr>
          <w:color w:val="0000FF"/>
        </w:rPr>
        <w:t>c</w:t>
      </w:r>
      <w:r w:rsidRPr="00EC03C2">
        <w:rPr>
          <w:color w:val="0000FF"/>
        </w:rPr>
        <w:t xml:space="preserve">ommercial </w:t>
      </w:r>
      <w:r w:rsidR="004D77DB" w:rsidRPr="00EC03C2">
        <w:rPr>
          <w:color w:val="0000FF"/>
        </w:rPr>
        <w:t xml:space="preserve">plans </w:t>
      </w:r>
      <w:r w:rsidRPr="00EC03C2">
        <w:rPr>
          <w:color w:val="0000FF"/>
        </w:rPr>
        <w:t>and 180 Medicaid</w:t>
      </w:r>
      <w:r w:rsidR="004D77DB" w:rsidRPr="00EC03C2">
        <w:rPr>
          <w:color w:val="0000FF"/>
        </w:rPr>
        <w:t xml:space="preserve"> plans</w:t>
      </w:r>
      <w:r w:rsidRPr="00EC03C2">
        <w:rPr>
          <w:color w:val="0000FF"/>
        </w:rPr>
        <w:t xml:space="preserve"> using the beta-binomial model (Adams, 2009). The beta-binomial method </w:t>
      </w:r>
      <w:r w:rsidRPr="00EC03C2">
        <w:rPr>
          <w:color w:val="0000FF"/>
        </w:rPr>
        <w:lastRenderedPageBreak/>
        <w:t xml:space="preserve">measures the proportion of total variation attributable to a </w:t>
      </w:r>
      <w:r w:rsidR="001F0F12" w:rsidRPr="00EC03C2">
        <w:rPr>
          <w:color w:val="0000FF"/>
        </w:rPr>
        <w:t xml:space="preserve">health plan </w:t>
      </w:r>
      <w:r w:rsidRPr="00EC03C2">
        <w:rPr>
          <w:color w:val="0000FF"/>
        </w:rPr>
        <w:t>which represents the “signal”. The beta-binomial model also estimates the proportion of variation attributable to measurement error for each plan and this is referred to as “noise”. The reliability of the measure is represented as the ratio of signal to noise.</w:t>
      </w:r>
    </w:p>
    <w:p w14:paraId="5ED233D1" w14:textId="77777777" w:rsidR="00BB40DB" w:rsidRPr="00EC03C2" w:rsidRDefault="00BB40DB" w:rsidP="00BB40DB">
      <w:pPr>
        <w:pStyle w:val="ListParagraph"/>
        <w:numPr>
          <w:ilvl w:val="0"/>
          <w:numId w:val="31"/>
        </w:numPr>
        <w:spacing w:after="0" w:line="240" w:lineRule="auto"/>
        <w:rPr>
          <w:color w:val="0000FF"/>
        </w:rPr>
      </w:pPr>
      <w:r w:rsidRPr="00EC03C2">
        <w:rPr>
          <w:color w:val="0000FF"/>
        </w:rPr>
        <w:t>A score of 0.0 indicates none of the variation (signal) is attributa</w:t>
      </w:r>
      <w:r w:rsidR="00A80403" w:rsidRPr="00EC03C2">
        <w:rPr>
          <w:color w:val="0000FF"/>
        </w:rPr>
        <w:t>ble to the health plan</w:t>
      </w:r>
      <w:r w:rsidRPr="00EC03C2">
        <w:rPr>
          <w:color w:val="0000FF"/>
        </w:rPr>
        <w:t>.</w:t>
      </w:r>
    </w:p>
    <w:p w14:paraId="411ACAE4" w14:textId="77777777" w:rsidR="00BB40DB" w:rsidRPr="00EC03C2" w:rsidRDefault="00BB40DB" w:rsidP="00BB40DB">
      <w:pPr>
        <w:pStyle w:val="ListParagraph"/>
        <w:numPr>
          <w:ilvl w:val="0"/>
          <w:numId w:val="31"/>
        </w:numPr>
        <w:spacing w:after="0" w:line="240" w:lineRule="auto"/>
        <w:rPr>
          <w:color w:val="0000FF"/>
        </w:rPr>
      </w:pPr>
      <w:r w:rsidRPr="00EC03C2">
        <w:rPr>
          <w:color w:val="0000FF"/>
        </w:rPr>
        <w:t>A score of 1.0 indicates all of the variation (signal) is at</w:t>
      </w:r>
      <w:r w:rsidR="00A80403" w:rsidRPr="00EC03C2">
        <w:rPr>
          <w:color w:val="0000FF"/>
        </w:rPr>
        <w:t>tributable to the health plan.</w:t>
      </w:r>
    </w:p>
    <w:p w14:paraId="3BE6713C" w14:textId="77777777" w:rsidR="00BB40DB" w:rsidRPr="00EC03C2" w:rsidRDefault="00BB40DB" w:rsidP="00BB40DB">
      <w:pPr>
        <w:pStyle w:val="ListParagraph"/>
        <w:numPr>
          <w:ilvl w:val="0"/>
          <w:numId w:val="31"/>
        </w:numPr>
        <w:spacing w:after="0" w:line="240" w:lineRule="auto"/>
        <w:rPr>
          <w:color w:val="0000FF"/>
        </w:rPr>
      </w:pPr>
      <w:r w:rsidRPr="00EC03C2">
        <w:rPr>
          <w:color w:val="0000FF"/>
        </w:rPr>
        <w:t>A score of 0.7 or higher indicates adequate reliability to distinguish performance between two providers.</w:t>
      </w:r>
    </w:p>
    <w:p w14:paraId="1292CD90" w14:textId="77777777" w:rsidR="00A80403" w:rsidRPr="00EC03C2" w:rsidRDefault="00A80403" w:rsidP="00BB40DB">
      <w:pPr>
        <w:spacing w:after="0" w:line="240" w:lineRule="auto"/>
        <w:rPr>
          <w:color w:val="0000FF"/>
        </w:rPr>
      </w:pPr>
    </w:p>
    <w:p w14:paraId="24E4BAB9" w14:textId="77777777" w:rsidR="00BB40DB" w:rsidRPr="00EC03C2" w:rsidRDefault="00A80403" w:rsidP="00BB40DB">
      <w:pPr>
        <w:spacing w:after="0" w:line="240" w:lineRule="auto"/>
        <w:rPr>
          <w:color w:val="0000FF"/>
        </w:rPr>
      </w:pPr>
      <w:r w:rsidRPr="00EC03C2">
        <w:rPr>
          <w:b/>
          <w:color w:val="0000FF"/>
        </w:rPr>
        <w:t>Figure</w:t>
      </w:r>
      <w:r w:rsidR="004D77DB" w:rsidRPr="00EC03C2">
        <w:rPr>
          <w:b/>
          <w:color w:val="0000FF"/>
        </w:rPr>
        <w:t>s</w:t>
      </w:r>
      <w:r w:rsidRPr="00EC03C2">
        <w:rPr>
          <w:b/>
          <w:color w:val="0000FF"/>
        </w:rPr>
        <w:t xml:space="preserve"> 2</w:t>
      </w:r>
      <w:r w:rsidR="005676E8" w:rsidRPr="00EC03C2">
        <w:rPr>
          <w:b/>
          <w:color w:val="0000FF"/>
        </w:rPr>
        <w:t xml:space="preserve"> and 3</w:t>
      </w:r>
      <w:r w:rsidRPr="00EC03C2">
        <w:rPr>
          <w:color w:val="0000FF"/>
        </w:rPr>
        <w:t xml:space="preserve">: </w:t>
      </w:r>
      <w:r w:rsidR="005676E8" w:rsidRPr="00EC03C2">
        <w:rPr>
          <w:color w:val="0000FF"/>
        </w:rPr>
        <w:t xml:space="preserve">Individual Reliability, </w:t>
      </w:r>
      <w:r w:rsidRPr="00EC03C2">
        <w:rPr>
          <w:color w:val="0000FF"/>
        </w:rPr>
        <w:t>Distribution</w:t>
      </w:r>
      <w:r w:rsidR="005676E8" w:rsidRPr="00EC03C2">
        <w:rPr>
          <w:color w:val="0000FF"/>
        </w:rPr>
        <w:t xml:space="preserve">, and Histograms </w:t>
      </w:r>
    </w:p>
    <w:p w14:paraId="75DC0187" w14:textId="77777777" w:rsidR="00BB40DB" w:rsidRPr="00EC03C2" w:rsidRDefault="00BB40DB" w:rsidP="00BB40DB">
      <w:pPr>
        <w:spacing w:after="0" w:line="240" w:lineRule="auto"/>
        <w:rPr>
          <w:color w:val="0000FF"/>
        </w:rPr>
      </w:pPr>
      <w:r w:rsidRPr="00EC03C2">
        <w:rPr>
          <w:color w:val="0000FF"/>
        </w:rPr>
        <w:t>The underlying formulas for the beta-binomial reliability can be adapted to</w:t>
      </w:r>
      <w:r w:rsidR="00A80403" w:rsidRPr="00EC03C2">
        <w:rPr>
          <w:color w:val="0000FF"/>
        </w:rPr>
        <w:t xml:space="preserve"> construct a health plan</w:t>
      </w:r>
      <w:r w:rsidRPr="00EC03C2">
        <w:rPr>
          <w:color w:val="0000FF"/>
        </w:rPr>
        <w:t>-specific estimate of reliability by substituti</w:t>
      </w:r>
      <w:r w:rsidR="00A80403" w:rsidRPr="00EC03C2">
        <w:rPr>
          <w:color w:val="0000FF"/>
        </w:rPr>
        <w:t>ng variation in the individual health plan’s variation for the average health plan</w:t>
      </w:r>
      <w:r w:rsidRPr="00EC03C2">
        <w:rPr>
          <w:color w:val="0000FF"/>
        </w:rPr>
        <w:t xml:space="preserve">’s variation. As a result, the reliability for some </w:t>
      </w:r>
      <w:r w:rsidR="004D77DB" w:rsidRPr="00EC03C2">
        <w:rPr>
          <w:color w:val="0000FF"/>
        </w:rPr>
        <w:t xml:space="preserve">health plans </w:t>
      </w:r>
      <w:r w:rsidRPr="00EC03C2">
        <w:rPr>
          <w:color w:val="0000FF"/>
        </w:rPr>
        <w:t>may be more or less than the overall re</w:t>
      </w:r>
      <w:r w:rsidR="00A80403" w:rsidRPr="00EC03C2">
        <w:rPr>
          <w:color w:val="0000FF"/>
        </w:rPr>
        <w:t>liability across health plans,</w:t>
      </w:r>
      <w:r w:rsidRPr="00EC03C2">
        <w:rPr>
          <w:color w:val="0000FF"/>
        </w:rPr>
        <w:t xml:space="preserve"> just as not everyone who lives in a we</w:t>
      </w:r>
      <w:r w:rsidR="00A80403" w:rsidRPr="00EC03C2">
        <w:rPr>
          <w:color w:val="0000FF"/>
        </w:rPr>
        <w:t xml:space="preserve">althy neighborhood is wealthy. Figure 2 </w:t>
      </w:r>
      <w:r w:rsidRPr="00EC03C2">
        <w:rPr>
          <w:color w:val="0000FF"/>
        </w:rPr>
        <w:t xml:space="preserve">summarizes the </w:t>
      </w:r>
      <w:r w:rsidR="00A80403" w:rsidRPr="00EC03C2">
        <w:rPr>
          <w:color w:val="0000FF"/>
        </w:rPr>
        <w:t>variability of each individual plan</w:t>
      </w:r>
      <w:r w:rsidRPr="00EC03C2">
        <w:rPr>
          <w:color w:val="0000FF"/>
        </w:rPr>
        <w:t>’s reliability.</w:t>
      </w:r>
    </w:p>
    <w:p w14:paraId="14338C56" w14:textId="77777777" w:rsidR="00BB40DB" w:rsidRPr="00EC03C2" w:rsidRDefault="00A80403" w:rsidP="00BB40DB">
      <w:pPr>
        <w:pStyle w:val="ListParagraph"/>
        <w:numPr>
          <w:ilvl w:val="0"/>
          <w:numId w:val="32"/>
        </w:numPr>
        <w:spacing w:after="0" w:line="240" w:lineRule="auto"/>
        <w:rPr>
          <w:color w:val="0000FF"/>
        </w:rPr>
      </w:pPr>
      <w:r w:rsidRPr="00EC03C2">
        <w:rPr>
          <w:color w:val="0000FF"/>
        </w:rPr>
        <w:t xml:space="preserve">The median </w:t>
      </w:r>
      <w:r w:rsidR="00000FFB" w:rsidRPr="00EC03C2">
        <w:rPr>
          <w:color w:val="0000FF"/>
        </w:rPr>
        <w:t xml:space="preserve">commercial </w:t>
      </w:r>
      <w:r w:rsidRPr="00EC03C2">
        <w:rPr>
          <w:color w:val="0000FF"/>
        </w:rPr>
        <w:t>health plan</w:t>
      </w:r>
      <w:r w:rsidR="00BB40DB" w:rsidRPr="00EC03C2">
        <w:rPr>
          <w:color w:val="0000FF"/>
        </w:rPr>
        <w:t xml:space="preserve">’s reliability </w:t>
      </w:r>
      <w:r w:rsidR="00000FFB" w:rsidRPr="00EC03C2">
        <w:rPr>
          <w:color w:val="0000FF"/>
        </w:rPr>
        <w:t xml:space="preserve">at .96 </w:t>
      </w:r>
      <w:r w:rsidR="00BB40DB" w:rsidRPr="00EC03C2">
        <w:rPr>
          <w:color w:val="0000FF"/>
        </w:rPr>
        <w:t>was</w:t>
      </w:r>
      <w:r w:rsidRPr="00EC03C2">
        <w:rPr>
          <w:color w:val="0000FF"/>
        </w:rPr>
        <w:t xml:space="preserve"> greater</w:t>
      </w:r>
      <w:r w:rsidR="00BB40DB" w:rsidRPr="00EC03C2">
        <w:rPr>
          <w:color w:val="0000FF"/>
        </w:rPr>
        <w:t xml:space="preserve"> than 0.7, indicating high re</w:t>
      </w:r>
      <w:r w:rsidRPr="00EC03C2">
        <w:rPr>
          <w:color w:val="0000FF"/>
        </w:rPr>
        <w:t>liability</w:t>
      </w:r>
      <w:r w:rsidR="00BB40DB" w:rsidRPr="00EC03C2">
        <w:rPr>
          <w:color w:val="0000FF"/>
        </w:rPr>
        <w:t>.</w:t>
      </w:r>
    </w:p>
    <w:p w14:paraId="189B6F20" w14:textId="77777777" w:rsidR="00BB40DB" w:rsidRPr="00EC03C2" w:rsidRDefault="00000FFB" w:rsidP="00BB40DB">
      <w:pPr>
        <w:pStyle w:val="ListParagraph"/>
        <w:numPr>
          <w:ilvl w:val="0"/>
          <w:numId w:val="32"/>
        </w:numPr>
        <w:spacing w:after="0" w:line="240" w:lineRule="auto"/>
        <w:rPr>
          <w:color w:val="0000FF"/>
        </w:rPr>
      </w:pPr>
      <w:r w:rsidRPr="00EC03C2">
        <w:rPr>
          <w:color w:val="0000FF"/>
        </w:rPr>
        <w:t>The median Medicaid h</w:t>
      </w:r>
      <w:r w:rsidR="005676E8" w:rsidRPr="00EC03C2">
        <w:rPr>
          <w:color w:val="0000FF"/>
        </w:rPr>
        <w:t xml:space="preserve">ealth </w:t>
      </w:r>
      <w:r w:rsidRPr="00EC03C2">
        <w:rPr>
          <w:color w:val="0000FF"/>
        </w:rPr>
        <w:t>p</w:t>
      </w:r>
      <w:r w:rsidR="005676E8" w:rsidRPr="00EC03C2">
        <w:rPr>
          <w:color w:val="0000FF"/>
        </w:rPr>
        <w:t>lan</w:t>
      </w:r>
      <w:r w:rsidRPr="00EC03C2">
        <w:rPr>
          <w:color w:val="0000FF"/>
        </w:rPr>
        <w:t xml:space="preserve">’s reliability at .92 was greater than 0.7 indicating high reliability. </w:t>
      </w:r>
    </w:p>
    <w:p w14:paraId="66F14E40" w14:textId="77777777" w:rsidR="00DD204D" w:rsidRPr="00EC03C2" w:rsidRDefault="00DD204D" w:rsidP="00DD204D">
      <w:pPr>
        <w:autoSpaceDE w:val="0"/>
        <w:autoSpaceDN w:val="0"/>
        <w:adjustRightInd w:val="0"/>
        <w:spacing w:after="0" w:line="240" w:lineRule="auto"/>
        <w:rPr>
          <w:color w:val="0000FF"/>
        </w:rPr>
      </w:pPr>
    </w:p>
    <w:p w14:paraId="60AB319A" w14:textId="77777777" w:rsidR="00DD204D" w:rsidRPr="00EC03C2" w:rsidRDefault="00DD204D" w:rsidP="00DD204D">
      <w:pPr>
        <w:autoSpaceDE w:val="0"/>
        <w:autoSpaceDN w:val="0"/>
        <w:adjustRightInd w:val="0"/>
        <w:spacing w:after="0" w:line="240" w:lineRule="auto"/>
        <w:rPr>
          <w:color w:val="0000FF"/>
        </w:rPr>
      </w:pPr>
      <w:r w:rsidRPr="00EC03C2">
        <w:rPr>
          <w:color w:val="0000FF"/>
        </w:rPr>
        <w:t>Adams, J. L. The Reliability of Provider Profiling: A Tutorial. Santa Monica, California: RAND Corporation. TR-653-NCQA, 2009</w:t>
      </w:r>
    </w:p>
    <w:p w14:paraId="6DA79C97" w14:textId="5964671B" w:rsidR="00021170" w:rsidRPr="00A25024" w:rsidRDefault="00216958" w:rsidP="00DB3627">
      <w:pPr>
        <w:autoSpaceDE w:val="0"/>
        <w:autoSpaceDN w:val="0"/>
        <w:adjustRightInd w:val="0"/>
        <w:spacing w:after="0" w:line="240" w:lineRule="auto"/>
        <w:rPr>
          <w:rFonts w:cstheme="minorHAnsi"/>
          <w:noProof/>
        </w:rPr>
      </w:pPr>
      <w:sdt>
        <w:sdtPr>
          <w:rPr>
            <w:rFonts w:cstheme="minorHAnsi"/>
            <w:bCs/>
            <w:color w:val="0000FF"/>
          </w:rPr>
          <w:id w:val="-744643069"/>
          <w:showingPlcHdr/>
        </w:sdtPr>
        <w:sdtEndPr/>
        <w:sdtContent>
          <w:r w:rsidR="00DD204D">
            <w:rPr>
              <w:rFonts w:cstheme="minorHAnsi"/>
              <w:bCs/>
              <w:color w:val="0000FF"/>
            </w:rPr>
            <w:t xml:space="preserve">     </w:t>
          </w:r>
        </w:sdtContent>
      </w:sdt>
      <w:r w:rsidR="00483E94">
        <w:rPr>
          <w:rFonts w:cstheme="minorHAnsi"/>
          <w:noProof/>
        </w:rPr>
        <w:t>_____________________________</w:t>
      </w:r>
    </w:p>
    <w:p w14:paraId="522F2F76"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773C9D34"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sdt>
            <w:sdtPr>
              <w:rPr>
                <w:rFonts w:cstheme="minorHAnsi"/>
                <w:bCs/>
                <w:color w:val="0000FF"/>
              </w:rPr>
              <w:id w:val="-984150669"/>
            </w:sdtPr>
            <w:sdtEndPr/>
            <w:sdtContent>
              <w:r w:rsidR="00C031AF">
                <w:rPr>
                  <w:rFonts w:ascii="MS Gothic" w:eastAsia="MS Gothic" w:hAnsi="MS Gothic" w:cstheme="minorHAnsi" w:hint="eastAsia"/>
                  <w:bCs/>
                  <w:color w:val="0000FF"/>
                </w:rPr>
                <w:t>☒</w:t>
              </w:r>
            </w:sdtContent>
          </w:sdt>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6B67BDD6" w14:textId="77777777" w:rsidR="00696262" w:rsidRPr="00A25024" w:rsidRDefault="00216958"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sdt>
            <w:sdtPr>
              <w:rPr>
                <w:rFonts w:cstheme="minorHAnsi"/>
                <w:bCs/>
                <w:color w:val="0000FF"/>
              </w:rPr>
              <w:id w:val="-437457233"/>
            </w:sdtPr>
            <w:sdtEndPr/>
            <w:sdtContent>
              <w:sdt>
                <w:sdtPr>
                  <w:rPr>
                    <w:rFonts w:cstheme="minorHAnsi"/>
                    <w:bCs/>
                    <w:color w:val="0000FF"/>
                  </w:rPr>
                  <w:id w:val="-1397423150"/>
                </w:sdtPr>
                <w:sdtEndPr/>
                <w:sdtContent>
                  <w:r w:rsidR="00C031AF">
                    <w:rPr>
                      <w:rFonts w:ascii="MS Gothic" w:eastAsia="MS Gothic" w:hAnsi="MS Gothic" w:cstheme="minorHAnsi" w:hint="eastAsia"/>
                      <w:bCs/>
                      <w:color w:val="0000FF"/>
                    </w:rPr>
                    <w:t>☒</w:t>
                  </w:r>
                </w:sdtContent>
              </w:sdt>
            </w:sdtContent>
          </w:sdt>
          <w:r w:rsidR="00C031AF">
            <w:rPr>
              <w:rFonts w:cstheme="minorHAnsi"/>
              <w:bCs/>
              <w:color w:val="0000FF"/>
            </w:rPr>
            <w:t xml:space="preserve"> </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5EAB4F4" w14:textId="77777777" w:rsidR="000574AB" w:rsidRPr="00A25024" w:rsidRDefault="00216958"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1699048837"/>
            </w:sdtPr>
            <w:sdtEndPr/>
            <w:sdtContent>
              <w:r w:rsidR="00C031AF">
                <w:rPr>
                  <w:rFonts w:ascii="MS Gothic" w:eastAsia="MS Gothic" w:hAnsi="MS Gothic" w:cstheme="minorHAnsi" w:hint="eastAsia"/>
                  <w:bCs/>
                  <w:color w:val="0000FF"/>
                </w:rPr>
                <w:t>☐</w:t>
              </w:r>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r w:rsidR="008947E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182CB202" w14:textId="77777777" w:rsidR="00CA06D8" w:rsidRPr="00A25024" w:rsidRDefault="00CA06D8" w:rsidP="00DB3627">
      <w:pPr>
        <w:autoSpaceDE w:val="0"/>
        <w:autoSpaceDN w:val="0"/>
        <w:adjustRightInd w:val="0"/>
        <w:spacing w:after="0" w:line="240" w:lineRule="auto"/>
        <w:rPr>
          <w:rFonts w:cstheme="minorHAnsi"/>
        </w:rPr>
      </w:pPr>
    </w:p>
    <w:p w14:paraId="05B5C781" w14:textId="77777777" w:rsidR="00A80403" w:rsidRPr="00EC03C2" w:rsidRDefault="00092566" w:rsidP="00247E3C">
      <w:pPr>
        <w:autoSpaceDE w:val="0"/>
        <w:autoSpaceDN w:val="0"/>
        <w:adjustRightInd w:val="0"/>
        <w:spacing w:after="0" w:line="240" w:lineRule="auto"/>
        <w:rPr>
          <w:color w:val="0000FF"/>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29B34BFF" w14:textId="77777777" w:rsidR="00290A08" w:rsidRPr="00EC03C2" w:rsidRDefault="00F832ED" w:rsidP="00247E3C">
      <w:pPr>
        <w:autoSpaceDE w:val="0"/>
        <w:autoSpaceDN w:val="0"/>
        <w:adjustRightInd w:val="0"/>
        <w:spacing w:after="0" w:line="240" w:lineRule="auto"/>
        <w:rPr>
          <w:b/>
          <w:color w:val="0000FF"/>
          <w:u w:val="single"/>
        </w:rPr>
      </w:pPr>
      <w:r w:rsidRPr="00EC03C2">
        <w:rPr>
          <w:b/>
          <w:color w:val="0000FF"/>
          <w:u w:val="single"/>
        </w:rPr>
        <w:t>Data Element</w:t>
      </w:r>
      <w:r w:rsidR="00290A08" w:rsidRPr="00EC03C2">
        <w:rPr>
          <w:b/>
          <w:color w:val="0000FF"/>
          <w:u w:val="single"/>
        </w:rPr>
        <w:t xml:space="preserve"> Validity Testing </w:t>
      </w:r>
    </w:p>
    <w:p w14:paraId="5E774EF3" w14:textId="77777777" w:rsidR="00290A08" w:rsidRPr="00EC03C2" w:rsidRDefault="00113C7D" w:rsidP="00247E3C">
      <w:pPr>
        <w:autoSpaceDE w:val="0"/>
        <w:autoSpaceDN w:val="0"/>
        <w:adjustRightInd w:val="0"/>
        <w:spacing w:after="0" w:line="240" w:lineRule="auto"/>
        <w:rPr>
          <w:color w:val="0000FF"/>
        </w:rPr>
      </w:pPr>
      <w:r w:rsidRPr="00EC03C2">
        <w:rPr>
          <w:color w:val="0000FF"/>
        </w:rPr>
        <w:t xml:space="preserve">Participating plans provided </w:t>
      </w:r>
      <w:r w:rsidR="006F3357" w:rsidRPr="00EC03C2">
        <w:rPr>
          <w:color w:val="0000FF"/>
        </w:rPr>
        <w:t>patient information from administrative data systems and from medical records. Both administrative sources and medical records were used to verify the completeness and accu</w:t>
      </w:r>
      <w:r w:rsidR="005C37E1" w:rsidRPr="00EC03C2">
        <w:rPr>
          <w:color w:val="0000FF"/>
        </w:rPr>
        <w:t>racy of the administrative data</w:t>
      </w:r>
      <w:r w:rsidRPr="00EC03C2">
        <w:rPr>
          <w:color w:val="0000FF"/>
        </w:rPr>
        <w:t xml:space="preserve">. </w:t>
      </w:r>
      <w:r w:rsidR="00046807" w:rsidRPr="00EC03C2">
        <w:rPr>
          <w:color w:val="0000FF"/>
        </w:rPr>
        <w:t xml:space="preserve">We </w:t>
      </w:r>
      <w:r w:rsidR="00711644" w:rsidRPr="00EC03C2">
        <w:rPr>
          <w:color w:val="0000FF"/>
        </w:rPr>
        <w:t>assess</w:t>
      </w:r>
      <w:r w:rsidR="00556909" w:rsidRPr="00EC03C2">
        <w:rPr>
          <w:color w:val="0000FF"/>
        </w:rPr>
        <w:t xml:space="preserve">ed </w:t>
      </w:r>
      <w:r w:rsidR="00046807" w:rsidRPr="00EC03C2">
        <w:rPr>
          <w:color w:val="0000FF"/>
        </w:rPr>
        <w:t xml:space="preserve">validity by comparing the rate of agreement between the administrative codes </w:t>
      </w:r>
      <w:r w:rsidR="00556909" w:rsidRPr="00EC03C2">
        <w:rPr>
          <w:color w:val="0000FF"/>
        </w:rPr>
        <w:t>and</w:t>
      </w:r>
      <w:r w:rsidR="00046807" w:rsidRPr="00EC03C2">
        <w:rPr>
          <w:color w:val="0000FF"/>
        </w:rPr>
        <w:t xml:space="preserve"> the medical records.</w:t>
      </w:r>
    </w:p>
    <w:p w14:paraId="221CADE6" w14:textId="77777777" w:rsidR="005E037B" w:rsidRPr="00EC03C2" w:rsidRDefault="005E037B" w:rsidP="00247E3C">
      <w:pPr>
        <w:autoSpaceDE w:val="0"/>
        <w:autoSpaceDN w:val="0"/>
        <w:adjustRightInd w:val="0"/>
        <w:spacing w:after="0" w:line="240" w:lineRule="auto"/>
        <w:rPr>
          <w:color w:val="0000FF"/>
        </w:rPr>
      </w:pPr>
    </w:p>
    <w:p w14:paraId="4148206E" w14:textId="77777777" w:rsidR="00051DB9" w:rsidRPr="00EC03C2" w:rsidRDefault="00AA755B" w:rsidP="00247E3C">
      <w:pPr>
        <w:autoSpaceDE w:val="0"/>
        <w:autoSpaceDN w:val="0"/>
        <w:adjustRightInd w:val="0"/>
        <w:spacing w:after="0" w:line="240" w:lineRule="auto"/>
        <w:rPr>
          <w:b/>
          <w:color w:val="0000FF"/>
          <w:u w:val="single"/>
        </w:rPr>
      </w:pPr>
      <w:r w:rsidRPr="00EC03C2">
        <w:rPr>
          <w:b/>
          <w:color w:val="0000FF"/>
          <w:u w:val="single"/>
        </w:rPr>
        <w:t xml:space="preserve">Systematic Assessment of </w:t>
      </w:r>
      <w:r w:rsidR="00247E3C" w:rsidRPr="00EC03C2">
        <w:rPr>
          <w:b/>
          <w:color w:val="0000FF"/>
          <w:u w:val="single"/>
        </w:rPr>
        <w:t xml:space="preserve">Face Validity </w:t>
      </w:r>
    </w:p>
    <w:p w14:paraId="0710E791" w14:textId="77777777" w:rsidR="00247E3C" w:rsidRPr="00EC03C2" w:rsidRDefault="00247E3C" w:rsidP="00247E3C">
      <w:pPr>
        <w:autoSpaceDE w:val="0"/>
        <w:autoSpaceDN w:val="0"/>
        <w:adjustRightInd w:val="0"/>
        <w:spacing w:after="0" w:line="240" w:lineRule="auto"/>
        <w:rPr>
          <w:color w:val="0000FF"/>
        </w:rPr>
      </w:pPr>
      <w:r w:rsidRPr="00EC03C2">
        <w:rPr>
          <w:color w:val="0000FF"/>
        </w:rPr>
        <w:t xml:space="preserve">NCQA has identified and refined measure management into a standardized process called the HEDIS measure life cycle. </w:t>
      </w:r>
    </w:p>
    <w:p w14:paraId="2E9063B8" w14:textId="77777777" w:rsidR="00247E3C" w:rsidRPr="00EC03C2" w:rsidRDefault="00247E3C" w:rsidP="00247E3C">
      <w:pPr>
        <w:autoSpaceDE w:val="0"/>
        <w:autoSpaceDN w:val="0"/>
        <w:adjustRightInd w:val="0"/>
        <w:spacing w:before="120" w:after="0" w:line="240" w:lineRule="auto"/>
        <w:rPr>
          <w:color w:val="0000FF"/>
        </w:rPr>
      </w:pPr>
      <w:r w:rsidRPr="00EC03C2">
        <w:rPr>
          <w:b/>
          <w:color w:val="0000FF"/>
        </w:rPr>
        <w:lastRenderedPageBreak/>
        <w:t>STEP 1</w:t>
      </w:r>
      <w:r w:rsidRPr="00EC03C2">
        <w:rPr>
          <w:color w:val="0000FF"/>
        </w:rPr>
        <w:t xml:space="preserve">: NCQA staff identifies areas of interest or gaps in care. </w:t>
      </w:r>
      <w:r w:rsidR="009172AD" w:rsidRPr="00EC03C2">
        <w:rPr>
          <w:color w:val="0000FF"/>
        </w:rPr>
        <w:t xml:space="preserve">Measurement Advisory Panels </w:t>
      </w:r>
      <w:r w:rsidRPr="00EC03C2">
        <w:rPr>
          <w:color w:val="0000FF"/>
        </w:rPr>
        <w:t xml:space="preserve">(MAPs—whose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The work-up is vetted by NCQA’s MAPs, the Technical Measurement Advisory Panel (TMAP) and the Committee on Performance Measurement (CPM) as well as other panels as necessary. </w:t>
      </w:r>
    </w:p>
    <w:p w14:paraId="744E4C9A" w14:textId="77777777" w:rsidR="00247E3C" w:rsidRPr="00EC03C2" w:rsidRDefault="00247E3C" w:rsidP="00247E3C">
      <w:pPr>
        <w:autoSpaceDE w:val="0"/>
        <w:autoSpaceDN w:val="0"/>
        <w:adjustRightInd w:val="0"/>
        <w:spacing w:before="120" w:after="0" w:line="240" w:lineRule="auto"/>
        <w:rPr>
          <w:color w:val="0000FF"/>
        </w:rPr>
      </w:pPr>
      <w:r w:rsidRPr="00EC03C2">
        <w:rPr>
          <w:b/>
          <w:color w:val="0000FF"/>
        </w:rPr>
        <w:t>STEP 2</w:t>
      </w:r>
      <w:r w:rsidRPr="00EC03C2">
        <w:rPr>
          <w:color w:val="0000FF"/>
        </w:rPr>
        <w:t>: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w:t>
      </w:r>
      <w:r w:rsidR="00A91B33" w:rsidRPr="00EC03C2">
        <w:rPr>
          <w:color w:val="0000FF"/>
        </w:rPr>
        <w:t xml:space="preserve"> </w:t>
      </w:r>
      <w:r w:rsidRPr="00EC03C2">
        <w:rPr>
          <w:color w:val="0000FF"/>
        </w:rPr>
        <w:t>tests that assess the feasibility and validity of potential measures. The CPM uses testing results and proposed final specifications to determine if the measure will move forward to Public Comment.</w:t>
      </w:r>
    </w:p>
    <w:p w14:paraId="7ADDAA13" w14:textId="77777777" w:rsidR="00247E3C" w:rsidRPr="00EC03C2" w:rsidRDefault="00247E3C" w:rsidP="00247E3C">
      <w:pPr>
        <w:autoSpaceDE w:val="0"/>
        <w:autoSpaceDN w:val="0"/>
        <w:adjustRightInd w:val="0"/>
        <w:spacing w:before="120" w:after="0" w:line="240" w:lineRule="auto"/>
        <w:rPr>
          <w:color w:val="0000FF"/>
        </w:rPr>
      </w:pPr>
      <w:r w:rsidRPr="00EC03C2">
        <w:rPr>
          <w:b/>
          <w:color w:val="0000FF"/>
        </w:rPr>
        <w:t>STEP 3</w:t>
      </w:r>
      <w:r w:rsidRPr="00EC03C2">
        <w:rPr>
          <w:color w:val="0000FF"/>
        </w:rPr>
        <w:t>: Public Comment is a 30-day period of review that allows interested parties to offer feedback to NCQA and the CPM about new measures or about</w:t>
      </w:r>
      <w:r w:rsidR="00A91B33" w:rsidRPr="00EC03C2">
        <w:rPr>
          <w:color w:val="0000FF"/>
        </w:rPr>
        <w:t xml:space="preserve"> changes to existing measures. </w:t>
      </w:r>
      <w:r w:rsidRPr="00EC03C2">
        <w:rPr>
          <w:color w:val="0000FF"/>
        </w:rP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24D29E1B" w14:textId="77777777" w:rsidR="00247E3C" w:rsidRPr="00EC03C2" w:rsidRDefault="00247E3C" w:rsidP="00247E3C">
      <w:pPr>
        <w:autoSpaceDE w:val="0"/>
        <w:autoSpaceDN w:val="0"/>
        <w:adjustRightInd w:val="0"/>
        <w:spacing w:before="120" w:after="0" w:line="240" w:lineRule="auto"/>
        <w:rPr>
          <w:color w:val="0000FF"/>
        </w:rPr>
      </w:pPr>
      <w:r w:rsidRPr="00EC03C2">
        <w:rPr>
          <w:b/>
          <w:color w:val="0000FF"/>
        </w:rPr>
        <w:t>STEP 4:</w:t>
      </w:r>
      <w:r w:rsidRPr="00EC03C2">
        <w:rPr>
          <w:color w:val="0000FF"/>
        </w:rPr>
        <w:t xml:space="preserve"> First-year data collection requires organizations to collect, be audited on and report these measures, but results are not publicly reported in the first year and are not included in NCQA’s State of Health Care Quality, Quality Compass or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3F082762" w14:textId="77777777" w:rsidR="00247E3C" w:rsidRPr="00EC03C2" w:rsidRDefault="00247E3C" w:rsidP="00247E3C">
      <w:pPr>
        <w:autoSpaceDE w:val="0"/>
        <w:autoSpaceDN w:val="0"/>
        <w:adjustRightInd w:val="0"/>
        <w:spacing w:before="120" w:after="0" w:line="240" w:lineRule="auto"/>
        <w:rPr>
          <w:color w:val="0000FF"/>
        </w:rPr>
      </w:pPr>
      <w:r w:rsidRPr="00EC03C2">
        <w:rPr>
          <w:b/>
          <w:color w:val="0000FF"/>
        </w:rPr>
        <w:t>STEP 5</w:t>
      </w:r>
      <w:r w:rsidRPr="00EC03C2">
        <w:rPr>
          <w:color w:val="0000FF"/>
        </w:rPr>
        <w:t xml:space="preserve">: Public reporting is based on the first-year measure evaluation results. If the measure is approved, it will be publically reported and may be used for scoring in accreditation. </w:t>
      </w:r>
    </w:p>
    <w:p w14:paraId="36DBAF92" w14:textId="77777777" w:rsidR="00247E3C" w:rsidRPr="00EC03C2" w:rsidRDefault="00247E3C" w:rsidP="00247E3C">
      <w:pPr>
        <w:autoSpaceDE w:val="0"/>
        <w:autoSpaceDN w:val="0"/>
        <w:adjustRightInd w:val="0"/>
        <w:spacing w:after="0" w:line="240" w:lineRule="auto"/>
        <w:rPr>
          <w:color w:val="0000FF"/>
        </w:rPr>
      </w:pPr>
    </w:p>
    <w:p w14:paraId="24EB4D21" w14:textId="77777777" w:rsidR="00247E3C" w:rsidRPr="00EC03C2" w:rsidRDefault="00247E3C" w:rsidP="0049548B">
      <w:pPr>
        <w:pStyle w:val="Style5"/>
        <w:rPr>
          <w:rFonts w:asciiTheme="minorHAnsi" w:hAnsiTheme="minorHAnsi" w:cstheme="minorBidi"/>
          <w:i w:val="0"/>
          <w:color w:val="0000FF"/>
          <w:sz w:val="22"/>
          <w:szCs w:val="22"/>
        </w:rPr>
      </w:pPr>
      <w:r w:rsidRPr="00EC03C2">
        <w:rPr>
          <w:rFonts w:asciiTheme="minorHAnsi" w:hAnsiTheme="minorHAnsi" w:cstheme="minorBidi"/>
          <w:b/>
          <w:i w:val="0"/>
          <w:color w:val="0000FF"/>
          <w:sz w:val="22"/>
          <w:szCs w:val="22"/>
        </w:rPr>
        <w:t>Step 6:</w:t>
      </w:r>
      <w:r w:rsidRPr="00EC03C2">
        <w:rPr>
          <w:rFonts w:asciiTheme="minorHAnsi" w:hAnsiTheme="minorHAnsi" w:cstheme="minorBidi"/>
          <w:i w:val="0"/>
          <w:color w:val="0000FF"/>
          <w:sz w:val="22"/>
          <w:szCs w:val="22"/>
        </w:rPr>
        <w:t xml:space="preserve"> Evaluation is the ongoing review of a measure’s performance and recommendations for its modification or retirement. </w:t>
      </w:r>
      <w:r w:rsidR="00C13B5D" w:rsidRPr="00EC03C2">
        <w:rPr>
          <w:rFonts w:asciiTheme="minorHAnsi" w:hAnsiTheme="minorHAnsi" w:cstheme="minorBidi"/>
          <w:i w:val="0"/>
          <w:color w:val="0000FF"/>
          <w:sz w:val="22"/>
          <w:szCs w:val="22"/>
        </w:rPr>
        <w:t>M</w:t>
      </w:r>
      <w:r w:rsidRPr="00EC03C2">
        <w:rPr>
          <w:rFonts w:asciiTheme="minorHAnsi" w:hAnsiTheme="minorHAnsi" w:cstheme="minorBidi"/>
          <w:i w:val="0"/>
          <w:color w:val="0000FF"/>
          <w:sz w:val="22"/>
          <w:szCs w:val="22"/>
        </w:rPr>
        <w:t>easure</w:t>
      </w:r>
      <w:r w:rsidR="00C13B5D" w:rsidRPr="00EC03C2">
        <w:rPr>
          <w:rFonts w:asciiTheme="minorHAnsi" w:hAnsiTheme="minorHAnsi" w:cstheme="minorBidi"/>
          <w:i w:val="0"/>
          <w:color w:val="0000FF"/>
          <w:sz w:val="22"/>
          <w:szCs w:val="22"/>
        </w:rPr>
        <w:t>s</w:t>
      </w:r>
      <w:r w:rsidRPr="00EC03C2">
        <w:rPr>
          <w:rFonts w:asciiTheme="minorHAnsi" w:hAnsiTheme="minorHAnsi" w:cstheme="minorBidi"/>
          <w:i w:val="0"/>
          <w:color w:val="0000FF"/>
          <w:sz w:val="22"/>
          <w:szCs w:val="22"/>
        </w:rPr>
        <w:t xml:space="preserve"> </w:t>
      </w:r>
      <w:r w:rsidR="00C13B5D" w:rsidRPr="00EC03C2">
        <w:rPr>
          <w:rFonts w:asciiTheme="minorHAnsi" w:hAnsiTheme="minorHAnsi" w:cstheme="minorBidi"/>
          <w:i w:val="0"/>
          <w:color w:val="0000FF"/>
          <w:sz w:val="22"/>
          <w:szCs w:val="22"/>
        </w:rPr>
        <w:t>are</w:t>
      </w:r>
      <w:r w:rsidRPr="00EC03C2">
        <w:rPr>
          <w:rFonts w:asciiTheme="minorHAnsi" w:hAnsiTheme="minorHAnsi" w:cstheme="minorBidi"/>
          <w:i w:val="0"/>
          <w:color w:val="0000FF"/>
          <w:sz w:val="22"/>
          <w:szCs w:val="22"/>
        </w:rPr>
        <w:t xml:space="preserve">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41F35351" w14:textId="77777777" w:rsidR="0049548B" w:rsidRPr="00EC03C2" w:rsidRDefault="0049548B" w:rsidP="0049548B">
      <w:pPr>
        <w:spacing w:after="0" w:line="240" w:lineRule="auto"/>
        <w:rPr>
          <w:color w:val="0000FF"/>
        </w:rPr>
      </w:pPr>
    </w:p>
    <w:p w14:paraId="71FAC3B3" w14:textId="77777777" w:rsidR="00247E3C" w:rsidRPr="00EC03C2" w:rsidRDefault="00247E3C" w:rsidP="0049548B">
      <w:pPr>
        <w:spacing w:after="0" w:line="240" w:lineRule="auto"/>
        <w:rPr>
          <w:color w:val="0000FF"/>
        </w:rPr>
      </w:pPr>
      <w:r w:rsidRPr="00EC03C2">
        <w:rPr>
          <w:color w:val="0000FF"/>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3C32ACA1" w14:textId="77777777" w:rsidR="00833325" w:rsidRPr="00EC03C2" w:rsidRDefault="00833325" w:rsidP="00DB3627">
      <w:pPr>
        <w:autoSpaceDE w:val="0"/>
        <w:autoSpaceDN w:val="0"/>
        <w:adjustRightInd w:val="0"/>
        <w:spacing w:after="0" w:line="240" w:lineRule="auto"/>
        <w:rPr>
          <w:color w:val="0000FF"/>
        </w:rPr>
      </w:pPr>
    </w:p>
    <w:p w14:paraId="7F15670A" w14:textId="77777777" w:rsidR="00DC7DF2" w:rsidRPr="00EC03C2" w:rsidRDefault="00DC7DF2" w:rsidP="00DC7DF2">
      <w:pPr>
        <w:autoSpaceDE w:val="0"/>
        <w:autoSpaceDN w:val="0"/>
        <w:adjustRightInd w:val="0"/>
        <w:spacing w:after="0" w:line="240" w:lineRule="auto"/>
        <w:rPr>
          <w:b/>
          <w:color w:val="0000FF"/>
          <w:u w:val="single"/>
        </w:rPr>
      </w:pPr>
      <w:r w:rsidRPr="00EC03C2">
        <w:rPr>
          <w:b/>
          <w:color w:val="0000FF"/>
          <w:u w:val="single"/>
        </w:rPr>
        <w:t>ICD-10 Conversion</w:t>
      </w:r>
    </w:p>
    <w:p w14:paraId="731EE091" w14:textId="77777777" w:rsidR="00DC7DF2" w:rsidRPr="00EC03C2" w:rsidRDefault="00E15D81" w:rsidP="00DC7DF2">
      <w:pPr>
        <w:pStyle w:val="Default"/>
        <w:rPr>
          <w:rFonts w:asciiTheme="minorHAnsi" w:hAnsiTheme="minorHAnsi" w:cstheme="minorBidi"/>
          <w:color w:val="0000FF"/>
          <w:sz w:val="22"/>
          <w:szCs w:val="22"/>
        </w:rPr>
      </w:pPr>
      <w:r w:rsidRPr="00EC03C2">
        <w:rPr>
          <w:rFonts w:asciiTheme="minorHAnsi" w:hAnsiTheme="minorHAnsi" w:cstheme="minorBidi"/>
          <w:color w:val="0000FF"/>
          <w:sz w:val="22"/>
          <w:szCs w:val="22"/>
        </w:rPr>
        <w:t>The g</w:t>
      </w:r>
      <w:r w:rsidR="00DC7DF2" w:rsidRPr="00EC03C2">
        <w:rPr>
          <w:rFonts w:asciiTheme="minorHAnsi" w:hAnsiTheme="minorHAnsi" w:cstheme="minorBidi"/>
          <w:color w:val="0000FF"/>
          <w:sz w:val="22"/>
          <w:szCs w:val="22"/>
        </w:rPr>
        <w:t xml:space="preserve">oal was to convert this measure to a new code set, fully consistent with the intent of the original measure. </w:t>
      </w:r>
    </w:p>
    <w:p w14:paraId="029A1749" w14:textId="77777777" w:rsidR="00DC7DF2" w:rsidRPr="00EC03C2" w:rsidRDefault="00DC7DF2" w:rsidP="00DC7DF2">
      <w:pPr>
        <w:pStyle w:val="Default"/>
        <w:rPr>
          <w:rFonts w:asciiTheme="minorHAnsi" w:hAnsiTheme="minorHAnsi" w:cstheme="minorBidi"/>
          <w:color w:val="0000FF"/>
          <w:sz w:val="22"/>
          <w:szCs w:val="22"/>
        </w:rPr>
      </w:pPr>
    </w:p>
    <w:p w14:paraId="6C7C01B1" w14:textId="77777777" w:rsidR="00DC7DF2" w:rsidRPr="00EC03C2" w:rsidRDefault="00DC7DF2" w:rsidP="00DC7DF2">
      <w:pPr>
        <w:pStyle w:val="Default"/>
        <w:rPr>
          <w:rFonts w:asciiTheme="minorHAnsi" w:hAnsiTheme="minorHAnsi" w:cstheme="minorBidi"/>
          <w:color w:val="0000FF"/>
          <w:sz w:val="22"/>
          <w:szCs w:val="22"/>
        </w:rPr>
      </w:pPr>
      <w:r w:rsidRPr="00EC03C2">
        <w:rPr>
          <w:rFonts w:asciiTheme="minorHAnsi" w:hAnsiTheme="minorHAnsi" w:cstheme="minorBidi"/>
          <w:color w:val="0000FF"/>
          <w:sz w:val="22"/>
          <w:szCs w:val="22"/>
        </w:rPr>
        <w:t>Steps in ICD-9 to ICD-10 Conversion Process</w:t>
      </w:r>
    </w:p>
    <w:p w14:paraId="6C59C9A7"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NCQA staff identify ICD-10 codes to be considered based on ICD-9 codes currently in measure. Use GEM to identify ICD-10 codes that map to ICD-9 codes. Review GEM mapping in both directions (ICD-9 to ICD-10 and ICD-10 to ICD-9) to identify potential trending issues.</w:t>
      </w:r>
    </w:p>
    <w:p w14:paraId="4B9A013B"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NCQA staff identify additional codes (not identified by GEM mapping step) that should be considered. Using ICD-10 tabular list and ICD-10 Index, search by diagnosis or procedure name for appropriate codes.</w:t>
      </w:r>
    </w:p>
    <w:p w14:paraId="6E2E0E1F"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 xml:space="preserve">NCQA HEDIS Expert Coding Panel review NCQA staff recommendations and provide feedback. </w:t>
      </w:r>
    </w:p>
    <w:p w14:paraId="77E0A55B"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As needed, NCQA Measurement Advisory Panels perform clinical review. Due to increased specificity in ICD-10, new codes and definitions require review to confirm the diagnosis or procedure is intended to be included in the scope of the measure. Not all ICD-10 recommendations are reviewed by NCQA MAP</w:t>
      </w:r>
      <w:r w:rsidR="00B969AE" w:rsidRPr="00EC03C2">
        <w:rPr>
          <w:rFonts w:asciiTheme="minorHAnsi" w:hAnsiTheme="minorHAnsi" w:cstheme="minorBidi"/>
          <w:color w:val="0000FF"/>
          <w:sz w:val="22"/>
          <w:szCs w:val="22"/>
        </w:rPr>
        <w:t>s</w:t>
      </w:r>
      <w:r w:rsidRPr="00EC03C2">
        <w:rPr>
          <w:rFonts w:asciiTheme="minorHAnsi" w:hAnsiTheme="minorHAnsi" w:cstheme="minorBidi"/>
          <w:color w:val="0000FF"/>
          <w:sz w:val="22"/>
          <w:szCs w:val="22"/>
        </w:rPr>
        <w:t>; MAP review items are identified during staff conversion or by HEDIS Expert Coding Panel.</w:t>
      </w:r>
    </w:p>
    <w:p w14:paraId="00349C0F"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 xml:space="preserve">Post ICD-10 code recommendations for public review and comment. </w:t>
      </w:r>
    </w:p>
    <w:p w14:paraId="7D5392A2"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Reconcile public comments. Obtain additional feedback from HEDIS Expert Coding Panel and MAPs as needed.</w:t>
      </w:r>
    </w:p>
    <w:p w14:paraId="0A2D50FC" w14:textId="77777777" w:rsidR="00DC7DF2" w:rsidRPr="00EC03C2" w:rsidRDefault="00DC7DF2" w:rsidP="00DC7DF2">
      <w:pPr>
        <w:pStyle w:val="Default"/>
        <w:numPr>
          <w:ilvl w:val="0"/>
          <w:numId w:val="29"/>
        </w:numPr>
        <w:ind w:left="360" w:hanging="360"/>
        <w:rPr>
          <w:rFonts w:asciiTheme="minorHAnsi" w:hAnsiTheme="minorHAnsi" w:cstheme="minorBidi"/>
          <w:color w:val="0000FF"/>
          <w:sz w:val="22"/>
          <w:szCs w:val="22"/>
        </w:rPr>
      </w:pPr>
      <w:r w:rsidRPr="00EC03C2">
        <w:rPr>
          <w:rFonts w:asciiTheme="minorHAnsi" w:hAnsiTheme="minorHAnsi" w:cstheme="minorBidi"/>
          <w:color w:val="0000FF"/>
          <w:sz w:val="22"/>
          <w:szCs w:val="22"/>
        </w:rPr>
        <w:t>NCQA staff finalize ICD-10 code recommendations.</w:t>
      </w:r>
    </w:p>
    <w:p w14:paraId="07888647" w14:textId="77777777" w:rsidR="00DC7DF2" w:rsidRPr="00EC03C2" w:rsidRDefault="00DC7DF2" w:rsidP="00DC7DF2">
      <w:pPr>
        <w:pStyle w:val="Default"/>
        <w:rPr>
          <w:rFonts w:asciiTheme="minorHAnsi" w:hAnsiTheme="minorHAnsi" w:cstheme="minorBidi"/>
          <w:color w:val="0000FF"/>
          <w:sz w:val="22"/>
          <w:szCs w:val="22"/>
        </w:rPr>
      </w:pPr>
    </w:p>
    <w:p w14:paraId="1B940426" w14:textId="77777777" w:rsidR="00DC7DF2" w:rsidRPr="00EC03C2" w:rsidRDefault="00DC7DF2" w:rsidP="00DC7DF2">
      <w:pPr>
        <w:pStyle w:val="Default"/>
        <w:rPr>
          <w:rFonts w:asciiTheme="minorHAnsi" w:hAnsiTheme="minorHAnsi" w:cstheme="minorBidi"/>
          <w:b/>
          <w:color w:val="0000FF"/>
          <w:sz w:val="22"/>
          <w:szCs w:val="22"/>
        </w:rPr>
      </w:pPr>
      <w:r w:rsidRPr="00EC03C2">
        <w:rPr>
          <w:rFonts w:asciiTheme="minorHAnsi" w:hAnsiTheme="minorHAnsi" w:cstheme="minorBidi"/>
          <w:b/>
          <w:color w:val="0000FF"/>
          <w:sz w:val="22"/>
          <w:szCs w:val="22"/>
        </w:rPr>
        <w:t xml:space="preserve">Tools Used to Identify/Map to ICD-10 </w:t>
      </w:r>
    </w:p>
    <w:p w14:paraId="186FDBAE" w14:textId="77777777" w:rsidR="00DC7DF2" w:rsidRPr="00EC03C2" w:rsidRDefault="00DC7DF2" w:rsidP="00DC7DF2">
      <w:pPr>
        <w:pStyle w:val="Default"/>
        <w:rPr>
          <w:rFonts w:asciiTheme="minorHAnsi" w:hAnsiTheme="minorHAnsi" w:cstheme="minorBidi"/>
          <w:color w:val="0000FF"/>
          <w:sz w:val="22"/>
          <w:szCs w:val="22"/>
        </w:rPr>
      </w:pPr>
      <w:r w:rsidRPr="00EC03C2">
        <w:rPr>
          <w:rFonts w:asciiTheme="minorHAnsi" w:hAnsiTheme="minorHAnsi" w:cstheme="minorBidi"/>
          <w:color w:val="0000FF"/>
          <w:sz w:val="22"/>
          <w:szCs w:val="22"/>
        </w:rPr>
        <w:t>All tools used for mapping/code identification from CMS ICD-10 website (</w:t>
      </w:r>
      <w:hyperlink r:id="rId13" w:history="1">
        <w:r w:rsidRPr="00EC03C2">
          <w:rPr>
            <w:rFonts w:asciiTheme="minorHAnsi" w:hAnsiTheme="minorHAnsi" w:cstheme="minorBidi"/>
            <w:color w:val="0000FF"/>
          </w:rPr>
          <w:t>http://www.cms.gov/Medicare/Coding/ICD10/2012-ICD-10-CM-and-GEMs.html</w:t>
        </w:r>
      </w:hyperlink>
      <w:r w:rsidRPr="00EC03C2">
        <w:rPr>
          <w:rFonts w:asciiTheme="minorHAnsi" w:hAnsiTheme="minorHAnsi" w:cstheme="minorBidi"/>
          <w:color w:val="0000FF"/>
          <w:sz w:val="22"/>
          <w:szCs w:val="22"/>
        </w:rPr>
        <w:t xml:space="preserve">). </w:t>
      </w:r>
    </w:p>
    <w:p w14:paraId="164B6CB1" w14:textId="77777777" w:rsidR="00DC7DF2" w:rsidRPr="00EC03C2" w:rsidRDefault="00DC7DF2" w:rsidP="00DC7DF2">
      <w:pPr>
        <w:pStyle w:val="Default"/>
        <w:rPr>
          <w:rFonts w:asciiTheme="minorHAnsi" w:hAnsiTheme="minorHAnsi" w:cstheme="minorBidi"/>
          <w:color w:val="0000FF"/>
          <w:sz w:val="22"/>
          <w:szCs w:val="22"/>
        </w:rPr>
      </w:pPr>
      <w:r w:rsidRPr="00EC03C2">
        <w:rPr>
          <w:rFonts w:asciiTheme="minorHAnsi" w:hAnsiTheme="minorHAnsi" w:cstheme="minorBidi"/>
          <w:color w:val="0000FF"/>
          <w:sz w:val="22"/>
          <w:szCs w:val="22"/>
        </w:rPr>
        <w:t>GEM, ICD-10 Guidelines, ICD-10-CM Tabular List of Diseases and Injuries, ICD-10-PCS Tabular List.</w:t>
      </w:r>
    </w:p>
    <w:p w14:paraId="66958AE7" w14:textId="77777777" w:rsidR="00DC7DF2" w:rsidRPr="00EC03C2" w:rsidRDefault="00DC7DF2" w:rsidP="00DC7DF2">
      <w:pPr>
        <w:autoSpaceDE w:val="0"/>
        <w:autoSpaceDN w:val="0"/>
        <w:adjustRightInd w:val="0"/>
        <w:spacing w:after="0" w:line="240" w:lineRule="auto"/>
        <w:rPr>
          <w:color w:val="0000FF"/>
        </w:rPr>
      </w:pPr>
    </w:p>
    <w:p w14:paraId="11FEC080" w14:textId="77777777" w:rsidR="00DC7DF2" w:rsidRPr="00EC03C2" w:rsidRDefault="00DC7DF2" w:rsidP="00DC7DF2">
      <w:pPr>
        <w:autoSpaceDE w:val="0"/>
        <w:autoSpaceDN w:val="0"/>
        <w:adjustRightInd w:val="0"/>
        <w:spacing w:after="0" w:line="240" w:lineRule="auto"/>
        <w:rPr>
          <w:b/>
          <w:color w:val="0000FF"/>
        </w:rPr>
      </w:pPr>
      <w:r w:rsidRPr="00EC03C2">
        <w:rPr>
          <w:b/>
          <w:color w:val="0000FF"/>
        </w:rPr>
        <w:t>Expert Participation</w:t>
      </w:r>
    </w:p>
    <w:p w14:paraId="752B9649" w14:textId="77777777" w:rsidR="00DC7DF2" w:rsidRPr="00EC03C2" w:rsidRDefault="00DC7DF2" w:rsidP="00DC7DF2">
      <w:pPr>
        <w:autoSpaceDE w:val="0"/>
        <w:autoSpaceDN w:val="0"/>
        <w:adjustRightInd w:val="0"/>
        <w:spacing w:after="0" w:line="240" w:lineRule="auto"/>
        <w:rPr>
          <w:color w:val="0000FF"/>
        </w:rPr>
      </w:pPr>
      <w:r w:rsidRPr="00EC03C2">
        <w:rPr>
          <w:color w:val="0000FF"/>
        </w:rPr>
        <w:t xml:space="preserve">The NCQA HEDIS Expert Coding Panel </w:t>
      </w:r>
      <w:r w:rsidR="00A7430D" w:rsidRPr="00EC03C2">
        <w:rPr>
          <w:color w:val="0000FF"/>
        </w:rPr>
        <w:t xml:space="preserve">and </w:t>
      </w:r>
      <w:r w:rsidR="003B0A47" w:rsidRPr="00EC03C2">
        <w:rPr>
          <w:color w:val="0000FF"/>
        </w:rPr>
        <w:t>Bone Joint Measurement Advisory Panel</w:t>
      </w:r>
      <w:r w:rsidR="00A7430D" w:rsidRPr="00EC03C2">
        <w:rPr>
          <w:color w:val="0000FF"/>
        </w:rPr>
        <w:t xml:space="preserve"> </w:t>
      </w:r>
      <w:r w:rsidRPr="00EC03C2">
        <w:rPr>
          <w:color w:val="0000FF"/>
        </w:rPr>
        <w:t xml:space="preserve">reviewed and provided feedback on staff recommendations.  Names and credentials of the experts who served on </w:t>
      </w:r>
      <w:r w:rsidR="00A7430D" w:rsidRPr="00EC03C2">
        <w:rPr>
          <w:color w:val="0000FF"/>
        </w:rPr>
        <w:t>these</w:t>
      </w:r>
      <w:r w:rsidR="00F832ED" w:rsidRPr="00EC03C2">
        <w:rPr>
          <w:color w:val="0000FF"/>
        </w:rPr>
        <w:t xml:space="preserve"> panel</w:t>
      </w:r>
      <w:r w:rsidRPr="00EC03C2">
        <w:rPr>
          <w:color w:val="0000FF"/>
        </w:rPr>
        <w:t xml:space="preserve"> are listed under Additional Information, Ad. 1. Workgroup/Expert Panel Involved in Measure Development. </w:t>
      </w:r>
    </w:p>
    <w:p w14:paraId="243159AB" w14:textId="77777777" w:rsidR="00833325" w:rsidRDefault="00833325" w:rsidP="00DB3627">
      <w:pPr>
        <w:autoSpaceDE w:val="0"/>
        <w:autoSpaceDN w:val="0"/>
        <w:adjustRightInd w:val="0"/>
        <w:spacing w:after="0" w:line="240" w:lineRule="auto"/>
        <w:rPr>
          <w:rFonts w:cstheme="minorHAnsi"/>
          <w:bCs/>
        </w:rPr>
      </w:pPr>
    </w:p>
    <w:p w14:paraId="1449C55F" w14:textId="77777777" w:rsidR="00247E3C" w:rsidRDefault="00092566" w:rsidP="00247E3C">
      <w:pPr>
        <w:autoSpaceDE w:val="0"/>
        <w:autoSpaceDN w:val="0"/>
        <w:adjustRightInd w:val="0"/>
        <w:spacing w:after="0" w:line="240" w:lineRule="auto"/>
        <w:rPr>
          <w:rFonts w:cstheme="minorHAnsi"/>
          <w:color w:val="FF0000"/>
          <w:u w:val="single"/>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6D259597" w14:textId="7A4F7C74" w:rsidR="00AF2F7D" w:rsidRPr="00EC03C2" w:rsidRDefault="00B969AE" w:rsidP="00AF2F7D">
      <w:pPr>
        <w:autoSpaceDE w:val="0"/>
        <w:autoSpaceDN w:val="0"/>
        <w:adjustRightInd w:val="0"/>
        <w:spacing w:after="0" w:line="240" w:lineRule="auto"/>
        <w:rPr>
          <w:b/>
          <w:color w:val="0000FF"/>
          <w:u w:val="single"/>
        </w:rPr>
      </w:pPr>
      <w:r w:rsidRPr="00EC03C2">
        <w:rPr>
          <w:b/>
          <w:color w:val="0000FF"/>
          <w:u w:val="single"/>
        </w:rPr>
        <w:t xml:space="preserve">Results </w:t>
      </w:r>
      <w:r w:rsidR="00A85505" w:rsidRPr="00EC03C2">
        <w:rPr>
          <w:b/>
          <w:color w:val="0000FF"/>
          <w:u w:val="single"/>
        </w:rPr>
        <w:t>of</w:t>
      </w:r>
      <w:r w:rsidRPr="00EC03C2">
        <w:rPr>
          <w:b/>
          <w:color w:val="0000FF"/>
          <w:u w:val="single"/>
        </w:rPr>
        <w:t xml:space="preserve"> </w:t>
      </w:r>
      <w:r w:rsidR="00F832ED" w:rsidRPr="00EC03C2">
        <w:rPr>
          <w:b/>
          <w:color w:val="0000FF"/>
          <w:u w:val="single"/>
        </w:rPr>
        <w:t>Data Element</w:t>
      </w:r>
      <w:r w:rsidR="008125C5" w:rsidRPr="00EC03C2">
        <w:rPr>
          <w:b/>
          <w:color w:val="0000FF"/>
          <w:u w:val="single"/>
        </w:rPr>
        <w:t xml:space="preserve"> Validity Testing</w:t>
      </w:r>
      <w:r w:rsidR="00AF2F7D" w:rsidRPr="00EC03C2">
        <w:rPr>
          <w:b/>
          <w:color w:val="0000FF"/>
          <w:u w:val="single"/>
        </w:rPr>
        <w:t xml:space="preserve"> </w:t>
      </w:r>
    </w:p>
    <w:p w14:paraId="55E8B804" w14:textId="77777777" w:rsidR="00927601" w:rsidRPr="00EC03C2" w:rsidRDefault="00927601" w:rsidP="00AF2F7D">
      <w:pPr>
        <w:autoSpaceDE w:val="0"/>
        <w:autoSpaceDN w:val="0"/>
        <w:adjustRightInd w:val="0"/>
        <w:spacing w:after="0" w:line="240" w:lineRule="auto"/>
        <w:rPr>
          <w:color w:val="0000FF"/>
        </w:rPr>
      </w:pPr>
    </w:p>
    <w:p w14:paraId="5BE85C86" w14:textId="342DC5ED" w:rsidR="004E1BAA" w:rsidRPr="00EC03C2" w:rsidRDefault="004E1BAA" w:rsidP="004E1BAA">
      <w:pPr>
        <w:autoSpaceDE w:val="0"/>
        <w:autoSpaceDN w:val="0"/>
        <w:adjustRightInd w:val="0"/>
        <w:spacing w:after="0" w:line="240" w:lineRule="auto"/>
        <w:rPr>
          <w:b/>
          <w:color w:val="0000FF"/>
        </w:rPr>
      </w:pPr>
      <w:r w:rsidRPr="00EC03C2">
        <w:rPr>
          <w:b/>
          <w:color w:val="0000FF"/>
        </w:rPr>
        <w:t>T</w:t>
      </w:r>
      <w:r w:rsidR="008B49BB" w:rsidRPr="00EC03C2">
        <w:rPr>
          <w:b/>
          <w:color w:val="0000FF"/>
        </w:rPr>
        <w:t xml:space="preserve">able </w:t>
      </w:r>
      <w:r w:rsidR="00DB46CC" w:rsidRPr="00EC03C2">
        <w:rPr>
          <w:b/>
          <w:color w:val="0000FF"/>
        </w:rPr>
        <w:t>4</w:t>
      </w:r>
      <w:r w:rsidR="00A85505" w:rsidRPr="00EC03C2">
        <w:rPr>
          <w:b/>
          <w:color w:val="0000FF"/>
        </w:rPr>
        <w:t>.</w:t>
      </w:r>
      <w:r w:rsidRPr="00EC03C2">
        <w:rPr>
          <w:b/>
          <w:color w:val="0000FF"/>
        </w:rPr>
        <w:t xml:space="preserve"> Medical Record Confirmation of Low Back Pain (LBP) Episode</w:t>
      </w:r>
      <w:r w:rsidR="00AB46A4" w:rsidRPr="00EC03C2">
        <w:rPr>
          <w:b/>
          <w:color w:val="0000FF"/>
        </w:rPr>
        <w:t xml:space="preserve"> (N=448)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080"/>
        <w:gridCol w:w="1147"/>
        <w:gridCol w:w="1260"/>
      </w:tblGrid>
      <w:tr w:rsidR="009F7B22" w:rsidRPr="00EC03C2" w14:paraId="5C97464C" w14:textId="77777777" w:rsidTr="002D7BCF">
        <w:trPr>
          <w:cantSplit/>
          <w:trHeight w:val="531"/>
        </w:trPr>
        <w:tc>
          <w:tcPr>
            <w:tcW w:w="1458" w:type="dxa"/>
            <w:vMerge w:val="restart"/>
          </w:tcPr>
          <w:p w14:paraId="36062C9D" w14:textId="77777777" w:rsidR="000C5623" w:rsidRPr="00EC03C2" w:rsidRDefault="000C5623" w:rsidP="00E72840">
            <w:pPr>
              <w:tabs>
                <w:tab w:val="left" w:pos="1080"/>
                <w:tab w:val="left" w:pos="1260"/>
              </w:tabs>
              <w:spacing w:after="0" w:line="240" w:lineRule="auto"/>
              <w:rPr>
                <w:color w:val="0000FF"/>
              </w:rPr>
            </w:pPr>
          </w:p>
          <w:p w14:paraId="25EA5AC7"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Plan</w:t>
            </w:r>
          </w:p>
        </w:tc>
        <w:tc>
          <w:tcPr>
            <w:tcW w:w="1080" w:type="dxa"/>
            <w:vMerge w:val="restart"/>
          </w:tcPr>
          <w:p w14:paraId="2AA952AB"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LBP Patients w/ MR**</w:t>
            </w:r>
          </w:p>
        </w:tc>
        <w:tc>
          <w:tcPr>
            <w:tcW w:w="2407" w:type="dxa"/>
            <w:gridSpan w:val="2"/>
          </w:tcPr>
          <w:p w14:paraId="3CD543D0" w14:textId="638FDC4F" w:rsidR="000C5623" w:rsidRPr="00EC03C2" w:rsidRDefault="000C5623" w:rsidP="00E72840">
            <w:pPr>
              <w:tabs>
                <w:tab w:val="left" w:pos="1080"/>
                <w:tab w:val="left" w:pos="1260"/>
              </w:tabs>
              <w:spacing w:after="0" w:line="240" w:lineRule="auto"/>
              <w:jc w:val="center"/>
              <w:rPr>
                <w:color w:val="0000FF"/>
              </w:rPr>
            </w:pPr>
            <w:r w:rsidRPr="00EC03C2">
              <w:rPr>
                <w:color w:val="0000FF"/>
              </w:rPr>
              <w:t>Medical Record Confirmation</w:t>
            </w:r>
            <w:r w:rsidR="00441842" w:rsidRPr="00EC03C2">
              <w:rPr>
                <w:color w:val="0000FF"/>
              </w:rPr>
              <w:t xml:space="preserve"> Percent</w:t>
            </w:r>
          </w:p>
        </w:tc>
      </w:tr>
      <w:tr w:rsidR="009F7B22" w:rsidRPr="00EC03C2" w14:paraId="44830AF6" w14:textId="77777777" w:rsidTr="002D7BCF">
        <w:trPr>
          <w:cantSplit/>
          <w:trHeight w:val="277"/>
        </w:trPr>
        <w:tc>
          <w:tcPr>
            <w:tcW w:w="1458" w:type="dxa"/>
            <w:vMerge/>
          </w:tcPr>
          <w:p w14:paraId="3270B33E" w14:textId="77777777" w:rsidR="000C5623" w:rsidRPr="00EC03C2" w:rsidRDefault="000C5623" w:rsidP="00E72840">
            <w:pPr>
              <w:tabs>
                <w:tab w:val="left" w:pos="1080"/>
                <w:tab w:val="left" w:pos="1260"/>
              </w:tabs>
              <w:spacing w:after="0" w:line="240" w:lineRule="auto"/>
              <w:rPr>
                <w:color w:val="0000FF"/>
              </w:rPr>
            </w:pPr>
          </w:p>
        </w:tc>
        <w:tc>
          <w:tcPr>
            <w:tcW w:w="1080" w:type="dxa"/>
            <w:vMerge/>
          </w:tcPr>
          <w:p w14:paraId="28991F00" w14:textId="77777777" w:rsidR="000C5623" w:rsidRPr="00EC03C2" w:rsidRDefault="000C5623" w:rsidP="00E72840">
            <w:pPr>
              <w:tabs>
                <w:tab w:val="left" w:pos="1080"/>
                <w:tab w:val="left" w:pos="1260"/>
              </w:tabs>
              <w:spacing w:after="0" w:line="240" w:lineRule="auto"/>
              <w:jc w:val="center"/>
              <w:rPr>
                <w:color w:val="0000FF"/>
              </w:rPr>
            </w:pPr>
          </w:p>
        </w:tc>
        <w:tc>
          <w:tcPr>
            <w:tcW w:w="1147" w:type="dxa"/>
          </w:tcPr>
          <w:p w14:paraId="154715CC"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No</w:t>
            </w:r>
          </w:p>
        </w:tc>
        <w:tc>
          <w:tcPr>
            <w:tcW w:w="1260" w:type="dxa"/>
          </w:tcPr>
          <w:p w14:paraId="631C01EF"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Yes</w:t>
            </w:r>
          </w:p>
        </w:tc>
      </w:tr>
      <w:tr w:rsidR="009F7B22" w:rsidRPr="00EC03C2" w14:paraId="43B0CF29" w14:textId="77777777" w:rsidTr="002D7BCF">
        <w:tc>
          <w:tcPr>
            <w:tcW w:w="1458" w:type="dxa"/>
          </w:tcPr>
          <w:p w14:paraId="724850BD"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A</w:t>
            </w:r>
          </w:p>
        </w:tc>
        <w:tc>
          <w:tcPr>
            <w:tcW w:w="1080" w:type="dxa"/>
          </w:tcPr>
          <w:p w14:paraId="5B4E468A" w14:textId="77777777" w:rsidR="000C5623" w:rsidRPr="00EC03C2" w:rsidRDefault="000C5623" w:rsidP="00E72840">
            <w:pPr>
              <w:spacing w:after="0" w:line="240" w:lineRule="auto"/>
              <w:jc w:val="center"/>
              <w:rPr>
                <w:color w:val="0000FF"/>
              </w:rPr>
            </w:pPr>
            <w:r w:rsidRPr="00EC03C2">
              <w:rPr>
                <w:color w:val="0000FF"/>
              </w:rPr>
              <w:t>122</w:t>
            </w:r>
          </w:p>
        </w:tc>
        <w:tc>
          <w:tcPr>
            <w:tcW w:w="1147" w:type="dxa"/>
          </w:tcPr>
          <w:p w14:paraId="64F4FAEA" w14:textId="234E43A9" w:rsidR="000C5623" w:rsidRPr="00EC03C2" w:rsidRDefault="00441842" w:rsidP="00E72840">
            <w:pPr>
              <w:spacing w:after="0" w:line="240" w:lineRule="auto"/>
              <w:jc w:val="center"/>
              <w:rPr>
                <w:color w:val="0000FF"/>
              </w:rPr>
            </w:pPr>
            <w:r w:rsidRPr="00EC03C2">
              <w:rPr>
                <w:color w:val="0000FF"/>
              </w:rPr>
              <w:t>23.0</w:t>
            </w:r>
          </w:p>
        </w:tc>
        <w:tc>
          <w:tcPr>
            <w:tcW w:w="1260" w:type="dxa"/>
          </w:tcPr>
          <w:p w14:paraId="254ADA98" w14:textId="046908C2" w:rsidR="000C5623" w:rsidRPr="00EC03C2" w:rsidRDefault="00441842" w:rsidP="00E72840">
            <w:pPr>
              <w:spacing w:after="0" w:line="240" w:lineRule="auto"/>
              <w:jc w:val="center"/>
              <w:rPr>
                <w:color w:val="0000FF"/>
              </w:rPr>
            </w:pPr>
            <w:r w:rsidRPr="00EC03C2">
              <w:rPr>
                <w:color w:val="0000FF"/>
              </w:rPr>
              <w:t>77.0</w:t>
            </w:r>
          </w:p>
        </w:tc>
      </w:tr>
      <w:tr w:rsidR="009F7B22" w:rsidRPr="00EC03C2" w14:paraId="5FC130A5" w14:textId="77777777" w:rsidTr="002D7BCF">
        <w:tc>
          <w:tcPr>
            <w:tcW w:w="1458" w:type="dxa"/>
          </w:tcPr>
          <w:p w14:paraId="71083ED8"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B</w:t>
            </w:r>
          </w:p>
        </w:tc>
        <w:tc>
          <w:tcPr>
            <w:tcW w:w="1080" w:type="dxa"/>
          </w:tcPr>
          <w:p w14:paraId="645FD456" w14:textId="77777777" w:rsidR="000C5623" w:rsidRPr="00EC03C2" w:rsidRDefault="000C5623" w:rsidP="00E72840">
            <w:pPr>
              <w:spacing w:after="0" w:line="240" w:lineRule="auto"/>
              <w:jc w:val="center"/>
              <w:rPr>
                <w:color w:val="0000FF"/>
              </w:rPr>
            </w:pPr>
            <w:r w:rsidRPr="00EC03C2">
              <w:rPr>
                <w:color w:val="0000FF"/>
              </w:rPr>
              <w:t>150</w:t>
            </w:r>
          </w:p>
        </w:tc>
        <w:tc>
          <w:tcPr>
            <w:tcW w:w="1147" w:type="dxa"/>
            <w:vAlign w:val="bottom"/>
          </w:tcPr>
          <w:p w14:paraId="4B61C86C" w14:textId="1B10D713" w:rsidR="000C5623" w:rsidRPr="00EC03C2" w:rsidRDefault="00441842" w:rsidP="00E72840">
            <w:pPr>
              <w:spacing w:after="0" w:line="240" w:lineRule="auto"/>
              <w:jc w:val="center"/>
              <w:rPr>
                <w:color w:val="0000FF"/>
              </w:rPr>
            </w:pPr>
            <w:r w:rsidRPr="00EC03C2">
              <w:rPr>
                <w:color w:val="0000FF"/>
              </w:rPr>
              <w:t>5.3</w:t>
            </w:r>
          </w:p>
        </w:tc>
        <w:tc>
          <w:tcPr>
            <w:tcW w:w="1260" w:type="dxa"/>
            <w:vAlign w:val="bottom"/>
          </w:tcPr>
          <w:p w14:paraId="0152C7A2" w14:textId="23A55637" w:rsidR="000C5623" w:rsidRPr="00EC03C2" w:rsidRDefault="00441842" w:rsidP="00E72840">
            <w:pPr>
              <w:spacing w:after="0" w:line="240" w:lineRule="auto"/>
              <w:jc w:val="center"/>
              <w:rPr>
                <w:color w:val="0000FF"/>
              </w:rPr>
            </w:pPr>
            <w:r w:rsidRPr="00EC03C2">
              <w:rPr>
                <w:color w:val="0000FF"/>
              </w:rPr>
              <w:t>94.7</w:t>
            </w:r>
          </w:p>
        </w:tc>
      </w:tr>
      <w:tr w:rsidR="009F7B22" w:rsidRPr="00EC03C2" w14:paraId="4FA6A09E" w14:textId="77777777" w:rsidTr="002D7BCF">
        <w:tc>
          <w:tcPr>
            <w:tcW w:w="1458" w:type="dxa"/>
          </w:tcPr>
          <w:p w14:paraId="11741CE3" w14:textId="77777777" w:rsidR="000C5623" w:rsidRPr="00EC03C2" w:rsidRDefault="000C5623" w:rsidP="00E72840">
            <w:pPr>
              <w:tabs>
                <w:tab w:val="left" w:pos="1080"/>
                <w:tab w:val="left" w:pos="1260"/>
              </w:tabs>
              <w:spacing w:after="0" w:line="240" w:lineRule="auto"/>
              <w:jc w:val="center"/>
              <w:rPr>
                <w:color w:val="0000FF"/>
              </w:rPr>
            </w:pPr>
            <w:r w:rsidRPr="00EC03C2">
              <w:rPr>
                <w:color w:val="0000FF"/>
              </w:rPr>
              <w:t>C*</w:t>
            </w:r>
          </w:p>
        </w:tc>
        <w:tc>
          <w:tcPr>
            <w:tcW w:w="1080" w:type="dxa"/>
          </w:tcPr>
          <w:p w14:paraId="2E84E178" w14:textId="77777777" w:rsidR="000C5623" w:rsidRPr="00EC03C2" w:rsidRDefault="000C5623" w:rsidP="00E72840">
            <w:pPr>
              <w:spacing w:after="0" w:line="240" w:lineRule="auto"/>
              <w:jc w:val="center"/>
              <w:rPr>
                <w:color w:val="0000FF"/>
              </w:rPr>
            </w:pPr>
            <w:r w:rsidRPr="00EC03C2">
              <w:rPr>
                <w:color w:val="0000FF"/>
              </w:rPr>
              <w:t>150</w:t>
            </w:r>
          </w:p>
        </w:tc>
        <w:tc>
          <w:tcPr>
            <w:tcW w:w="1147" w:type="dxa"/>
            <w:vAlign w:val="bottom"/>
          </w:tcPr>
          <w:p w14:paraId="3ACA8A7E" w14:textId="559FAFDE" w:rsidR="000C5623" w:rsidRPr="00EC03C2" w:rsidRDefault="00441842" w:rsidP="00E72840">
            <w:pPr>
              <w:spacing w:after="0" w:line="240" w:lineRule="auto"/>
              <w:jc w:val="center"/>
              <w:rPr>
                <w:color w:val="0000FF"/>
              </w:rPr>
            </w:pPr>
            <w:r w:rsidRPr="00EC03C2">
              <w:rPr>
                <w:color w:val="0000FF"/>
              </w:rPr>
              <w:t>12.0</w:t>
            </w:r>
          </w:p>
        </w:tc>
        <w:tc>
          <w:tcPr>
            <w:tcW w:w="1260" w:type="dxa"/>
            <w:vAlign w:val="bottom"/>
          </w:tcPr>
          <w:p w14:paraId="072FCBB5" w14:textId="46B71731" w:rsidR="000C5623" w:rsidRPr="00EC03C2" w:rsidRDefault="00441842" w:rsidP="00E72840">
            <w:pPr>
              <w:spacing w:after="0" w:line="240" w:lineRule="auto"/>
              <w:jc w:val="center"/>
              <w:rPr>
                <w:color w:val="0000FF"/>
              </w:rPr>
            </w:pPr>
            <w:r w:rsidRPr="00EC03C2">
              <w:rPr>
                <w:color w:val="0000FF"/>
              </w:rPr>
              <w:t>88.0</w:t>
            </w:r>
          </w:p>
        </w:tc>
      </w:tr>
    </w:tbl>
    <w:p w14:paraId="161E5DAA" w14:textId="236D0E19" w:rsidR="004E1BAA" w:rsidRPr="00EC03C2" w:rsidRDefault="002D7BCF" w:rsidP="000C5623">
      <w:pPr>
        <w:spacing w:after="0" w:line="240" w:lineRule="auto"/>
        <w:rPr>
          <w:color w:val="0000FF"/>
        </w:rPr>
      </w:pPr>
      <w:r w:rsidRPr="00EC03C2">
        <w:rPr>
          <w:color w:val="0000FF"/>
        </w:rPr>
        <w:lastRenderedPageBreak/>
        <w:t>* Plan C includes both commercial and Medicaid product lines</w:t>
      </w:r>
      <w:r w:rsidR="00A85505" w:rsidRPr="00EC03C2">
        <w:rPr>
          <w:color w:val="0000FF"/>
        </w:rPr>
        <w:t>.</w:t>
      </w:r>
      <w:r w:rsidR="000C5623" w:rsidRPr="00EC03C2">
        <w:rPr>
          <w:color w:val="0000FF"/>
        </w:rPr>
        <w:t xml:space="preserve"> </w:t>
      </w:r>
      <w:r w:rsidR="004E1BAA" w:rsidRPr="00EC03C2">
        <w:rPr>
          <w:color w:val="0000FF"/>
        </w:rPr>
        <w:br/>
        <w:t xml:space="preserve">**The </w:t>
      </w:r>
      <w:r w:rsidR="000C5623" w:rsidRPr="00EC03C2">
        <w:rPr>
          <w:color w:val="0000FF"/>
        </w:rPr>
        <w:t xml:space="preserve">total </w:t>
      </w:r>
      <w:r w:rsidR="004E1BAA" w:rsidRPr="00EC03C2">
        <w:rPr>
          <w:color w:val="0000FF"/>
        </w:rPr>
        <w:t>number of patients</w:t>
      </w:r>
      <w:r w:rsidR="000C5623" w:rsidRPr="00EC03C2">
        <w:rPr>
          <w:color w:val="0000FF"/>
        </w:rPr>
        <w:t xml:space="preserve"> in the medical record sample</w:t>
      </w:r>
      <w:r w:rsidR="00264165" w:rsidRPr="00EC03C2">
        <w:rPr>
          <w:color w:val="0000FF"/>
        </w:rPr>
        <w:t xml:space="preserve"> with low back pain diagnosis identified in the administrative data</w:t>
      </w:r>
      <w:r w:rsidR="00A85505" w:rsidRPr="00EC03C2">
        <w:rPr>
          <w:color w:val="0000FF"/>
        </w:rPr>
        <w:t>.</w:t>
      </w:r>
      <w:r w:rsidR="00264165" w:rsidRPr="00EC03C2">
        <w:rPr>
          <w:color w:val="0000FF"/>
        </w:rPr>
        <w:t xml:space="preserve"> </w:t>
      </w:r>
    </w:p>
    <w:p w14:paraId="25FC127C" w14:textId="77777777" w:rsidR="000C5623" w:rsidRPr="00EC03C2" w:rsidRDefault="000C5623" w:rsidP="000C5623">
      <w:pPr>
        <w:spacing w:after="0" w:line="240" w:lineRule="auto"/>
        <w:rPr>
          <w:color w:val="0000FF"/>
        </w:rPr>
      </w:pPr>
    </w:p>
    <w:p w14:paraId="525DDCB6" w14:textId="4A51760D" w:rsidR="009437FC" w:rsidRPr="00EC03C2" w:rsidRDefault="00DB46CC" w:rsidP="00247E3C">
      <w:pPr>
        <w:autoSpaceDE w:val="0"/>
        <w:autoSpaceDN w:val="0"/>
        <w:adjustRightInd w:val="0"/>
        <w:spacing w:after="0" w:line="240" w:lineRule="auto"/>
        <w:rPr>
          <w:color w:val="0000FF"/>
        </w:rPr>
      </w:pPr>
      <w:r w:rsidRPr="00EC03C2">
        <w:rPr>
          <w:color w:val="0000FF"/>
        </w:rPr>
        <w:t>Table 4</w:t>
      </w:r>
      <w:r w:rsidR="008C3882" w:rsidRPr="00EC03C2">
        <w:rPr>
          <w:color w:val="0000FF"/>
        </w:rPr>
        <w:t xml:space="preserve"> shows the percentage of </w:t>
      </w:r>
      <w:r w:rsidR="00AD5051" w:rsidRPr="00EC03C2">
        <w:rPr>
          <w:color w:val="0000FF"/>
        </w:rPr>
        <w:t xml:space="preserve">patients with a claim for low back pain, </w:t>
      </w:r>
      <w:r w:rsidR="001E4A3C" w:rsidRPr="00EC03C2">
        <w:rPr>
          <w:color w:val="0000FF"/>
        </w:rPr>
        <w:t>and a medical record that confirms a low back pain diagnosis</w:t>
      </w:r>
      <w:r w:rsidR="008C3882" w:rsidRPr="00EC03C2">
        <w:rPr>
          <w:color w:val="0000FF"/>
        </w:rPr>
        <w:t xml:space="preserve">. </w:t>
      </w:r>
      <w:r w:rsidR="009437FC" w:rsidRPr="00EC03C2">
        <w:rPr>
          <w:color w:val="0000FF"/>
        </w:rPr>
        <w:t xml:space="preserve">During </w:t>
      </w:r>
      <w:r w:rsidR="00F84839" w:rsidRPr="00EC03C2">
        <w:rPr>
          <w:color w:val="0000FF"/>
        </w:rPr>
        <w:t>the</w:t>
      </w:r>
      <w:r w:rsidR="009437FC" w:rsidRPr="00EC03C2">
        <w:rPr>
          <w:color w:val="0000FF"/>
        </w:rPr>
        <w:t xml:space="preserve"> field test, a diagnosis of low back pain according to claims data was confirmed by the “gold standard” (i.e. medical record data) in </w:t>
      </w:r>
      <w:r w:rsidR="00927601" w:rsidRPr="00EC03C2">
        <w:rPr>
          <w:color w:val="0000FF"/>
        </w:rPr>
        <w:t>77</w:t>
      </w:r>
      <w:r w:rsidR="00564D3D" w:rsidRPr="00EC03C2">
        <w:rPr>
          <w:color w:val="0000FF"/>
        </w:rPr>
        <w:t>–</w:t>
      </w:r>
      <w:r w:rsidR="00B8721F" w:rsidRPr="00EC03C2">
        <w:rPr>
          <w:color w:val="0000FF"/>
        </w:rPr>
        <w:t>94.7 percent</w:t>
      </w:r>
      <w:r w:rsidR="009437FC" w:rsidRPr="00EC03C2">
        <w:rPr>
          <w:color w:val="0000FF"/>
        </w:rPr>
        <w:t xml:space="preserve"> of patients. </w:t>
      </w:r>
    </w:p>
    <w:p w14:paraId="75E91EC3" w14:textId="77777777" w:rsidR="008C3882" w:rsidRPr="00EC03C2" w:rsidRDefault="008C3882" w:rsidP="00247E3C">
      <w:pPr>
        <w:autoSpaceDE w:val="0"/>
        <w:autoSpaceDN w:val="0"/>
        <w:adjustRightInd w:val="0"/>
        <w:spacing w:after="0" w:line="240" w:lineRule="auto"/>
        <w:rPr>
          <w:color w:val="0000FF"/>
        </w:rPr>
      </w:pPr>
    </w:p>
    <w:p w14:paraId="0B4E0738" w14:textId="260B245A" w:rsidR="00117D8F" w:rsidRPr="00EC03C2" w:rsidRDefault="00117D8F" w:rsidP="00117D8F">
      <w:pPr>
        <w:pStyle w:val="Heading2"/>
        <w:rPr>
          <w:rFonts w:asciiTheme="minorHAnsi" w:eastAsiaTheme="minorEastAsia" w:hAnsiTheme="minorHAnsi" w:cstheme="minorBidi"/>
          <w:color w:val="0000FF"/>
          <w:sz w:val="22"/>
          <w:szCs w:val="22"/>
        </w:rPr>
      </w:pPr>
      <w:r w:rsidRPr="00EC03C2">
        <w:rPr>
          <w:rFonts w:asciiTheme="minorHAnsi" w:eastAsiaTheme="minorEastAsia" w:hAnsiTheme="minorHAnsi" w:cstheme="minorBidi"/>
          <w:color w:val="0000FF"/>
          <w:sz w:val="22"/>
          <w:szCs w:val="22"/>
        </w:rPr>
        <w:t xml:space="preserve">Table </w:t>
      </w:r>
      <w:r w:rsidR="00DB46CC" w:rsidRPr="00EC03C2">
        <w:rPr>
          <w:rFonts w:asciiTheme="minorHAnsi" w:eastAsiaTheme="minorEastAsia" w:hAnsiTheme="minorHAnsi" w:cstheme="minorBidi"/>
          <w:color w:val="0000FF"/>
          <w:sz w:val="22"/>
          <w:szCs w:val="22"/>
        </w:rPr>
        <w:t>5</w:t>
      </w:r>
      <w:r w:rsidR="00A85505" w:rsidRPr="00EC03C2">
        <w:rPr>
          <w:rFonts w:asciiTheme="minorHAnsi" w:eastAsiaTheme="minorEastAsia" w:hAnsiTheme="minorHAnsi" w:cstheme="minorBidi"/>
          <w:color w:val="0000FF"/>
          <w:sz w:val="22"/>
          <w:szCs w:val="22"/>
        </w:rPr>
        <w:t xml:space="preserve">. </w:t>
      </w:r>
      <w:r w:rsidRPr="00EC03C2">
        <w:rPr>
          <w:rFonts w:asciiTheme="minorHAnsi" w:eastAsiaTheme="minorEastAsia" w:hAnsiTheme="minorHAnsi" w:cstheme="minorBidi"/>
          <w:color w:val="0000FF"/>
          <w:sz w:val="22"/>
          <w:szCs w:val="22"/>
        </w:rPr>
        <w:t>Source of Inform</w:t>
      </w:r>
      <w:r w:rsidR="00E15D81" w:rsidRPr="00EC03C2">
        <w:rPr>
          <w:rFonts w:asciiTheme="minorHAnsi" w:eastAsiaTheme="minorEastAsia" w:hAnsiTheme="minorHAnsi" w:cstheme="minorBidi"/>
          <w:color w:val="0000FF"/>
          <w:sz w:val="22"/>
          <w:szCs w:val="22"/>
        </w:rPr>
        <w:t>ation on Inappropriate Imaging a</w:t>
      </w:r>
      <w:r w:rsidRPr="00EC03C2">
        <w:rPr>
          <w:rFonts w:asciiTheme="minorHAnsi" w:eastAsiaTheme="minorEastAsia" w:hAnsiTheme="minorHAnsi" w:cstheme="minorBidi"/>
          <w:color w:val="0000FF"/>
          <w:sz w:val="22"/>
          <w:szCs w:val="22"/>
        </w:rPr>
        <w:t xml:space="preserve">mong </w:t>
      </w:r>
      <w:r w:rsidR="00B969AE" w:rsidRPr="00EC03C2">
        <w:rPr>
          <w:rFonts w:asciiTheme="minorHAnsi" w:eastAsiaTheme="minorEastAsia" w:hAnsiTheme="minorHAnsi" w:cstheme="minorBidi"/>
          <w:color w:val="0000FF"/>
          <w:sz w:val="22"/>
          <w:szCs w:val="22"/>
        </w:rPr>
        <w:t>Low Back Pain (</w:t>
      </w:r>
      <w:r w:rsidRPr="00EC03C2">
        <w:rPr>
          <w:rFonts w:asciiTheme="minorHAnsi" w:eastAsiaTheme="minorEastAsia" w:hAnsiTheme="minorHAnsi" w:cstheme="minorBidi"/>
          <w:color w:val="0000FF"/>
          <w:sz w:val="22"/>
          <w:szCs w:val="22"/>
        </w:rPr>
        <w:t>LBP</w:t>
      </w:r>
      <w:r w:rsidR="00B969AE" w:rsidRPr="00EC03C2">
        <w:rPr>
          <w:rFonts w:asciiTheme="minorHAnsi" w:eastAsiaTheme="minorEastAsia" w:hAnsiTheme="minorHAnsi" w:cstheme="minorBidi"/>
          <w:color w:val="0000FF"/>
          <w:sz w:val="22"/>
          <w:szCs w:val="22"/>
        </w:rPr>
        <w:t>)</w:t>
      </w:r>
      <w:r w:rsidRPr="00EC03C2">
        <w:rPr>
          <w:rFonts w:asciiTheme="minorHAnsi" w:eastAsiaTheme="minorEastAsia" w:hAnsiTheme="minorHAnsi" w:cstheme="minorBidi"/>
          <w:color w:val="0000FF"/>
          <w:sz w:val="22"/>
          <w:szCs w:val="22"/>
        </w:rPr>
        <w:t xml:space="preserve"> Patients with Available Medical Records (N=431)</w:t>
      </w: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900"/>
        <w:gridCol w:w="900"/>
        <w:gridCol w:w="1080"/>
        <w:gridCol w:w="2250"/>
        <w:gridCol w:w="900"/>
        <w:gridCol w:w="1530"/>
      </w:tblGrid>
      <w:tr w:rsidR="009F7B22" w:rsidRPr="00EC03C2" w14:paraId="0A213573" w14:textId="77777777" w:rsidTr="002E7FAB">
        <w:trPr>
          <w:trHeight w:val="530"/>
        </w:trPr>
        <w:tc>
          <w:tcPr>
            <w:tcW w:w="1345" w:type="dxa"/>
            <w:vMerge w:val="restart"/>
            <w:tcBorders>
              <w:right w:val="single" w:sz="8" w:space="0" w:color="auto"/>
            </w:tcBorders>
          </w:tcPr>
          <w:p w14:paraId="4B77A3DE" w14:textId="77777777" w:rsidR="00264165" w:rsidRPr="00EC03C2" w:rsidRDefault="00264165" w:rsidP="00117D8F">
            <w:pPr>
              <w:tabs>
                <w:tab w:val="left" w:pos="1080"/>
                <w:tab w:val="left" w:pos="1260"/>
              </w:tabs>
              <w:spacing w:after="0" w:line="240" w:lineRule="auto"/>
              <w:rPr>
                <w:color w:val="0000FF"/>
              </w:rPr>
            </w:pPr>
          </w:p>
          <w:p w14:paraId="47D66226" w14:textId="77777777" w:rsidR="00264165" w:rsidRPr="00EC03C2" w:rsidRDefault="00264165" w:rsidP="00117D8F">
            <w:pPr>
              <w:tabs>
                <w:tab w:val="left" w:pos="1080"/>
                <w:tab w:val="left" w:pos="1260"/>
              </w:tabs>
              <w:spacing w:after="0" w:line="240" w:lineRule="auto"/>
              <w:rPr>
                <w:color w:val="0000FF"/>
              </w:rPr>
            </w:pPr>
            <w:r w:rsidRPr="00EC03C2">
              <w:rPr>
                <w:color w:val="0000FF"/>
              </w:rPr>
              <w:t xml:space="preserve">Plan </w:t>
            </w:r>
          </w:p>
        </w:tc>
        <w:tc>
          <w:tcPr>
            <w:tcW w:w="2880" w:type="dxa"/>
            <w:gridSpan w:val="3"/>
            <w:tcBorders>
              <w:top w:val="single" w:sz="8" w:space="0" w:color="auto"/>
              <w:left w:val="single" w:sz="8" w:space="0" w:color="auto"/>
              <w:bottom w:val="single" w:sz="8" w:space="0" w:color="auto"/>
              <w:right w:val="single" w:sz="8" w:space="0" w:color="auto"/>
            </w:tcBorders>
            <w:vAlign w:val="center"/>
          </w:tcPr>
          <w:p w14:paraId="0680383B" w14:textId="49EAD35B" w:rsidR="00264165" w:rsidRPr="00EC03C2" w:rsidRDefault="00441842" w:rsidP="00A37D09">
            <w:pPr>
              <w:tabs>
                <w:tab w:val="left" w:pos="1080"/>
                <w:tab w:val="left" w:pos="1260"/>
              </w:tabs>
              <w:spacing w:after="0" w:line="240" w:lineRule="auto"/>
              <w:jc w:val="center"/>
              <w:rPr>
                <w:color w:val="0000FF"/>
              </w:rPr>
            </w:pPr>
            <w:r w:rsidRPr="00EC03C2">
              <w:rPr>
                <w:color w:val="0000FF"/>
              </w:rPr>
              <w:t>Percent</w:t>
            </w:r>
            <w:r w:rsidR="00264165" w:rsidRPr="00EC03C2">
              <w:rPr>
                <w:color w:val="0000FF"/>
              </w:rPr>
              <w:t xml:space="preserve"> of Inappropriate Imaging</w:t>
            </w:r>
          </w:p>
        </w:tc>
        <w:tc>
          <w:tcPr>
            <w:tcW w:w="2250" w:type="dxa"/>
            <w:tcBorders>
              <w:top w:val="single" w:sz="8" w:space="0" w:color="auto"/>
              <w:left w:val="single" w:sz="8" w:space="0" w:color="auto"/>
              <w:bottom w:val="single" w:sz="8" w:space="0" w:color="auto"/>
              <w:right w:val="single" w:sz="8" w:space="0" w:color="auto"/>
            </w:tcBorders>
            <w:vAlign w:val="center"/>
          </w:tcPr>
          <w:p w14:paraId="50BB2519" w14:textId="3137A256" w:rsidR="00264165" w:rsidRPr="00EC03C2" w:rsidRDefault="00264165" w:rsidP="00A37D09">
            <w:pPr>
              <w:tabs>
                <w:tab w:val="left" w:pos="1080"/>
                <w:tab w:val="left" w:pos="1260"/>
              </w:tabs>
              <w:spacing w:after="0" w:line="240" w:lineRule="auto"/>
              <w:jc w:val="center"/>
              <w:rPr>
                <w:color w:val="0000FF"/>
              </w:rPr>
            </w:pPr>
            <w:r w:rsidRPr="00EC03C2">
              <w:rPr>
                <w:color w:val="0000FF"/>
              </w:rPr>
              <w:t xml:space="preserve">Absence of Inappropriate </w:t>
            </w:r>
            <w:r w:rsidR="00441842" w:rsidRPr="00EC03C2">
              <w:rPr>
                <w:color w:val="0000FF"/>
              </w:rPr>
              <w:t>I</w:t>
            </w:r>
            <w:r w:rsidRPr="00EC03C2">
              <w:rPr>
                <w:color w:val="0000FF"/>
              </w:rPr>
              <w:t>maging</w:t>
            </w:r>
          </w:p>
          <w:p w14:paraId="7FF9DC89" w14:textId="368AFE29" w:rsidR="00441842" w:rsidRPr="00EC03C2" w:rsidRDefault="00441842" w:rsidP="00A37D09">
            <w:pPr>
              <w:tabs>
                <w:tab w:val="left" w:pos="1080"/>
                <w:tab w:val="left" w:pos="1260"/>
              </w:tabs>
              <w:spacing w:after="0" w:line="240" w:lineRule="auto"/>
              <w:jc w:val="center"/>
              <w:rPr>
                <w:color w:val="0000FF"/>
              </w:rPr>
            </w:pPr>
            <w:r w:rsidRPr="00EC03C2">
              <w:rPr>
                <w:color w:val="0000FF"/>
              </w:rPr>
              <w:t>Percent</w:t>
            </w:r>
          </w:p>
        </w:tc>
        <w:tc>
          <w:tcPr>
            <w:tcW w:w="900" w:type="dxa"/>
            <w:vMerge w:val="restart"/>
            <w:tcBorders>
              <w:top w:val="single" w:sz="8" w:space="0" w:color="auto"/>
              <w:left w:val="single" w:sz="8" w:space="0" w:color="auto"/>
              <w:bottom w:val="single" w:sz="8" w:space="0" w:color="auto"/>
              <w:right w:val="single" w:sz="8" w:space="0" w:color="auto"/>
            </w:tcBorders>
            <w:vAlign w:val="center"/>
          </w:tcPr>
          <w:p w14:paraId="2F8E814F" w14:textId="77777777" w:rsidR="00264165" w:rsidRPr="00EC03C2" w:rsidRDefault="00264165" w:rsidP="00DC15E0">
            <w:pPr>
              <w:tabs>
                <w:tab w:val="left" w:pos="1080"/>
                <w:tab w:val="left" w:pos="1260"/>
              </w:tabs>
              <w:spacing w:after="0" w:line="240" w:lineRule="auto"/>
              <w:jc w:val="center"/>
              <w:rPr>
                <w:color w:val="0000FF"/>
              </w:rPr>
            </w:pPr>
            <w:r w:rsidRPr="00EC03C2">
              <w:rPr>
                <w:color w:val="0000FF"/>
              </w:rPr>
              <w:t>Total</w:t>
            </w:r>
          </w:p>
        </w:tc>
        <w:tc>
          <w:tcPr>
            <w:tcW w:w="1530" w:type="dxa"/>
            <w:vMerge w:val="restart"/>
            <w:tcBorders>
              <w:top w:val="single" w:sz="8" w:space="0" w:color="auto"/>
              <w:left w:val="single" w:sz="8" w:space="0" w:color="auto"/>
              <w:bottom w:val="single" w:sz="8" w:space="0" w:color="auto"/>
              <w:right w:val="single" w:sz="8" w:space="0" w:color="auto"/>
            </w:tcBorders>
          </w:tcPr>
          <w:p w14:paraId="09039230" w14:textId="3358E80B" w:rsidR="00264165" w:rsidRPr="00EC03C2" w:rsidRDefault="00441842" w:rsidP="00DC15E0">
            <w:pPr>
              <w:tabs>
                <w:tab w:val="left" w:pos="1080"/>
                <w:tab w:val="left" w:pos="1260"/>
              </w:tabs>
              <w:spacing w:after="0" w:line="240" w:lineRule="auto"/>
              <w:jc w:val="center"/>
              <w:rPr>
                <w:color w:val="0000FF"/>
              </w:rPr>
            </w:pPr>
            <w:r w:rsidRPr="00EC03C2">
              <w:rPr>
                <w:color w:val="0000FF"/>
              </w:rPr>
              <w:t xml:space="preserve">Percent </w:t>
            </w:r>
            <w:r w:rsidR="00F24900" w:rsidRPr="00EC03C2">
              <w:rPr>
                <w:color w:val="0000FF"/>
              </w:rPr>
              <w:t>A</w:t>
            </w:r>
            <w:r w:rsidR="00264165" w:rsidRPr="00EC03C2">
              <w:rPr>
                <w:color w:val="0000FF"/>
              </w:rPr>
              <w:t xml:space="preserve">greement </w:t>
            </w:r>
          </w:p>
          <w:p w14:paraId="690BF0C9" w14:textId="77777777" w:rsidR="00264165" w:rsidRPr="00EC03C2" w:rsidRDefault="00264165" w:rsidP="00DC15E0">
            <w:pPr>
              <w:tabs>
                <w:tab w:val="left" w:pos="1080"/>
                <w:tab w:val="left" w:pos="1260"/>
              </w:tabs>
              <w:spacing w:after="0" w:line="240" w:lineRule="auto"/>
              <w:jc w:val="center"/>
              <w:rPr>
                <w:color w:val="0000FF"/>
              </w:rPr>
            </w:pPr>
            <w:r w:rsidRPr="00EC03C2">
              <w:rPr>
                <w:color w:val="0000FF"/>
              </w:rPr>
              <w:t>(Admin &amp; MR) + (Neither)**</w:t>
            </w:r>
          </w:p>
        </w:tc>
      </w:tr>
      <w:tr w:rsidR="009F7B22" w:rsidRPr="00EC03C2" w14:paraId="1CD1E4D2" w14:textId="77777777" w:rsidTr="002E7FAB">
        <w:trPr>
          <w:trHeight w:val="530"/>
        </w:trPr>
        <w:tc>
          <w:tcPr>
            <w:tcW w:w="1345" w:type="dxa"/>
            <w:vMerge/>
            <w:tcBorders>
              <w:right w:val="single" w:sz="8" w:space="0" w:color="auto"/>
            </w:tcBorders>
          </w:tcPr>
          <w:p w14:paraId="370C3BDE" w14:textId="77777777" w:rsidR="00264165" w:rsidRPr="00EC03C2" w:rsidRDefault="00264165" w:rsidP="00117D8F">
            <w:pPr>
              <w:tabs>
                <w:tab w:val="left" w:pos="1080"/>
                <w:tab w:val="left" w:pos="1260"/>
              </w:tabs>
              <w:spacing w:after="0" w:line="240" w:lineRule="auto"/>
              <w:rPr>
                <w:color w:val="0000FF"/>
              </w:rPr>
            </w:pPr>
          </w:p>
        </w:tc>
        <w:tc>
          <w:tcPr>
            <w:tcW w:w="900" w:type="dxa"/>
            <w:tcBorders>
              <w:top w:val="single" w:sz="8" w:space="0" w:color="auto"/>
              <w:left w:val="single" w:sz="8" w:space="0" w:color="auto"/>
              <w:bottom w:val="single" w:sz="8" w:space="0" w:color="auto"/>
              <w:right w:val="single" w:sz="8" w:space="0" w:color="auto"/>
            </w:tcBorders>
            <w:vAlign w:val="center"/>
          </w:tcPr>
          <w:p w14:paraId="6B618B3D" w14:textId="77777777" w:rsidR="00264165" w:rsidRPr="00EC03C2" w:rsidRDefault="00264165" w:rsidP="00A37D09">
            <w:pPr>
              <w:tabs>
                <w:tab w:val="left" w:pos="1080"/>
                <w:tab w:val="left" w:pos="1260"/>
              </w:tabs>
              <w:spacing w:after="0" w:line="240" w:lineRule="auto"/>
              <w:jc w:val="center"/>
              <w:rPr>
                <w:color w:val="0000FF"/>
              </w:rPr>
            </w:pPr>
            <w:r w:rsidRPr="00EC03C2">
              <w:rPr>
                <w:color w:val="0000FF"/>
              </w:rPr>
              <w:t>Admin Only</w:t>
            </w:r>
          </w:p>
        </w:tc>
        <w:tc>
          <w:tcPr>
            <w:tcW w:w="900" w:type="dxa"/>
            <w:tcBorders>
              <w:top w:val="single" w:sz="8" w:space="0" w:color="auto"/>
              <w:left w:val="single" w:sz="8" w:space="0" w:color="auto"/>
              <w:bottom w:val="single" w:sz="8" w:space="0" w:color="auto"/>
              <w:right w:val="single" w:sz="8" w:space="0" w:color="auto"/>
            </w:tcBorders>
            <w:vAlign w:val="center"/>
          </w:tcPr>
          <w:p w14:paraId="182789F7" w14:textId="77777777" w:rsidR="00264165" w:rsidRPr="00EC03C2" w:rsidRDefault="00264165" w:rsidP="00A37D09">
            <w:pPr>
              <w:tabs>
                <w:tab w:val="left" w:pos="1080"/>
                <w:tab w:val="left" w:pos="1260"/>
              </w:tabs>
              <w:spacing w:after="0" w:line="240" w:lineRule="auto"/>
              <w:jc w:val="center"/>
              <w:rPr>
                <w:color w:val="0000FF"/>
              </w:rPr>
            </w:pPr>
            <w:r w:rsidRPr="00EC03C2">
              <w:rPr>
                <w:color w:val="0000FF"/>
              </w:rPr>
              <w:t>MR Only</w:t>
            </w:r>
          </w:p>
        </w:tc>
        <w:tc>
          <w:tcPr>
            <w:tcW w:w="1080" w:type="dxa"/>
            <w:tcBorders>
              <w:top w:val="single" w:sz="8" w:space="0" w:color="auto"/>
              <w:left w:val="single" w:sz="8" w:space="0" w:color="auto"/>
              <w:bottom w:val="single" w:sz="8" w:space="0" w:color="auto"/>
              <w:right w:val="single" w:sz="8" w:space="0" w:color="auto"/>
            </w:tcBorders>
            <w:vAlign w:val="center"/>
          </w:tcPr>
          <w:p w14:paraId="3FE4844C" w14:textId="77777777" w:rsidR="00264165" w:rsidRPr="00EC03C2" w:rsidRDefault="00264165" w:rsidP="00A37D09">
            <w:pPr>
              <w:tabs>
                <w:tab w:val="left" w:pos="1080"/>
                <w:tab w:val="left" w:pos="1260"/>
              </w:tabs>
              <w:spacing w:after="0" w:line="240" w:lineRule="auto"/>
              <w:jc w:val="center"/>
              <w:rPr>
                <w:color w:val="0000FF"/>
              </w:rPr>
            </w:pPr>
            <w:r w:rsidRPr="00EC03C2">
              <w:rPr>
                <w:color w:val="0000FF"/>
              </w:rPr>
              <w:t>Admin &amp; MR</w:t>
            </w:r>
          </w:p>
        </w:tc>
        <w:tc>
          <w:tcPr>
            <w:tcW w:w="2250" w:type="dxa"/>
            <w:tcBorders>
              <w:top w:val="single" w:sz="8" w:space="0" w:color="auto"/>
              <w:left w:val="single" w:sz="8" w:space="0" w:color="auto"/>
              <w:bottom w:val="single" w:sz="8" w:space="0" w:color="auto"/>
              <w:right w:val="single" w:sz="8" w:space="0" w:color="auto"/>
            </w:tcBorders>
            <w:vAlign w:val="center"/>
          </w:tcPr>
          <w:p w14:paraId="3CB440F6" w14:textId="77777777" w:rsidR="00264165" w:rsidRPr="00EC03C2" w:rsidRDefault="00264165" w:rsidP="00A04DFB">
            <w:pPr>
              <w:tabs>
                <w:tab w:val="left" w:pos="1080"/>
                <w:tab w:val="left" w:pos="1260"/>
              </w:tabs>
              <w:spacing w:after="0" w:line="240" w:lineRule="auto"/>
              <w:jc w:val="center"/>
              <w:rPr>
                <w:color w:val="0000FF"/>
              </w:rPr>
            </w:pPr>
            <w:r w:rsidRPr="00EC03C2">
              <w:rPr>
                <w:color w:val="0000FF"/>
              </w:rPr>
              <w:t>Neither (Admin Nor MR)</w:t>
            </w:r>
          </w:p>
        </w:tc>
        <w:tc>
          <w:tcPr>
            <w:tcW w:w="900" w:type="dxa"/>
            <w:vMerge/>
            <w:tcBorders>
              <w:top w:val="single" w:sz="8" w:space="0" w:color="auto"/>
              <w:left w:val="single" w:sz="8" w:space="0" w:color="auto"/>
              <w:bottom w:val="single" w:sz="8" w:space="0" w:color="auto"/>
              <w:right w:val="single" w:sz="8" w:space="0" w:color="auto"/>
            </w:tcBorders>
          </w:tcPr>
          <w:p w14:paraId="6A2CDFAD" w14:textId="77777777" w:rsidR="00264165" w:rsidRPr="00EC03C2" w:rsidRDefault="00264165" w:rsidP="00AA755B">
            <w:pPr>
              <w:tabs>
                <w:tab w:val="left" w:pos="1080"/>
                <w:tab w:val="left" w:pos="1260"/>
              </w:tabs>
              <w:spacing w:after="0" w:line="240" w:lineRule="auto"/>
              <w:jc w:val="center"/>
              <w:rPr>
                <w:color w:val="0000FF"/>
              </w:rPr>
            </w:pPr>
          </w:p>
        </w:tc>
        <w:tc>
          <w:tcPr>
            <w:tcW w:w="1530" w:type="dxa"/>
            <w:vMerge/>
            <w:tcBorders>
              <w:top w:val="single" w:sz="8" w:space="0" w:color="auto"/>
              <w:left w:val="single" w:sz="8" w:space="0" w:color="auto"/>
              <w:bottom w:val="single" w:sz="8" w:space="0" w:color="auto"/>
              <w:right w:val="single" w:sz="8" w:space="0" w:color="auto"/>
            </w:tcBorders>
          </w:tcPr>
          <w:p w14:paraId="568DE688" w14:textId="77777777" w:rsidR="00264165" w:rsidRPr="00EC03C2" w:rsidRDefault="00264165" w:rsidP="00AA755B">
            <w:pPr>
              <w:tabs>
                <w:tab w:val="left" w:pos="1080"/>
                <w:tab w:val="left" w:pos="1260"/>
              </w:tabs>
              <w:spacing w:after="0" w:line="240" w:lineRule="auto"/>
              <w:jc w:val="center"/>
              <w:rPr>
                <w:color w:val="0000FF"/>
              </w:rPr>
            </w:pPr>
          </w:p>
        </w:tc>
      </w:tr>
      <w:tr w:rsidR="009F7B22" w:rsidRPr="00EC03C2" w14:paraId="2D3BB285" w14:textId="77777777" w:rsidTr="002E7FAB">
        <w:tc>
          <w:tcPr>
            <w:tcW w:w="1345" w:type="dxa"/>
            <w:tcBorders>
              <w:right w:val="single" w:sz="8" w:space="0" w:color="auto"/>
            </w:tcBorders>
          </w:tcPr>
          <w:p w14:paraId="3B4417F8" w14:textId="77777777" w:rsidR="00264165" w:rsidRPr="00EC03C2" w:rsidRDefault="00264165" w:rsidP="00117D8F">
            <w:pPr>
              <w:tabs>
                <w:tab w:val="left" w:pos="1080"/>
                <w:tab w:val="left" w:pos="1260"/>
              </w:tabs>
              <w:spacing w:after="0" w:line="240" w:lineRule="auto"/>
              <w:rPr>
                <w:color w:val="0000FF"/>
              </w:rPr>
            </w:pPr>
            <w:r w:rsidRPr="00EC03C2">
              <w:rPr>
                <w:color w:val="0000FF"/>
              </w:rPr>
              <w:t>A</w:t>
            </w:r>
          </w:p>
        </w:tc>
        <w:tc>
          <w:tcPr>
            <w:tcW w:w="900" w:type="dxa"/>
            <w:tcBorders>
              <w:top w:val="single" w:sz="8" w:space="0" w:color="auto"/>
              <w:left w:val="single" w:sz="8" w:space="0" w:color="auto"/>
              <w:bottom w:val="single" w:sz="8" w:space="0" w:color="auto"/>
              <w:right w:val="single" w:sz="8" w:space="0" w:color="auto"/>
            </w:tcBorders>
            <w:vAlign w:val="bottom"/>
          </w:tcPr>
          <w:p w14:paraId="3E584A1A" w14:textId="21EE3397" w:rsidR="00264165" w:rsidRPr="00EC03C2" w:rsidRDefault="00441842" w:rsidP="00117D8F">
            <w:pPr>
              <w:spacing w:after="0" w:line="240" w:lineRule="auto"/>
              <w:jc w:val="center"/>
              <w:rPr>
                <w:color w:val="0000FF"/>
              </w:rPr>
            </w:pPr>
            <w:r w:rsidRPr="00EC03C2">
              <w:rPr>
                <w:color w:val="0000FF"/>
              </w:rPr>
              <w:t>12.5</w:t>
            </w:r>
          </w:p>
        </w:tc>
        <w:tc>
          <w:tcPr>
            <w:tcW w:w="900" w:type="dxa"/>
            <w:tcBorders>
              <w:top w:val="single" w:sz="8" w:space="0" w:color="auto"/>
              <w:left w:val="single" w:sz="8" w:space="0" w:color="auto"/>
              <w:bottom w:val="single" w:sz="8" w:space="0" w:color="auto"/>
              <w:right w:val="single" w:sz="8" w:space="0" w:color="auto"/>
            </w:tcBorders>
            <w:vAlign w:val="bottom"/>
          </w:tcPr>
          <w:p w14:paraId="5C1FAC72" w14:textId="09971CDA" w:rsidR="00264165" w:rsidRPr="00EC03C2" w:rsidRDefault="00441842" w:rsidP="00117D8F">
            <w:pPr>
              <w:spacing w:after="0" w:line="240" w:lineRule="auto"/>
              <w:jc w:val="center"/>
              <w:rPr>
                <w:color w:val="0000FF"/>
              </w:rPr>
            </w:pPr>
            <w:r w:rsidRPr="00EC03C2">
              <w:rPr>
                <w:color w:val="0000FF"/>
              </w:rPr>
              <w:t>4.9</w:t>
            </w:r>
          </w:p>
        </w:tc>
        <w:tc>
          <w:tcPr>
            <w:tcW w:w="1080" w:type="dxa"/>
            <w:tcBorders>
              <w:top w:val="single" w:sz="8" w:space="0" w:color="auto"/>
              <w:left w:val="single" w:sz="8" w:space="0" w:color="auto"/>
              <w:bottom w:val="single" w:sz="8" w:space="0" w:color="auto"/>
              <w:right w:val="single" w:sz="8" w:space="0" w:color="auto"/>
            </w:tcBorders>
            <w:vAlign w:val="bottom"/>
          </w:tcPr>
          <w:p w14:paraId="46278BEC" w14:textId="23068144" w:rsidR="00264165" w:rsidRPr="00EC03C2" w:rsidRDefault="00441842" w:rsidP="00117D8F">
            <w:pPr>
              <w:spacing w:after="0" w:line="240" w:lineRule="auto"/>
              <w:jc w:val="center"/>
              <w:rPr>
                <w:color w:val="0000FF"/>
              </w:rPr>
            </w:pPr>
            <w:r w:rsidRPr="00EC03C2">
              <w:rPr>
                <w:color w:val="0000FF"/>
              </w:rPr>
              <w:t>15.3</w:t>
            </w:r>
          </w:p>
        </w:tc>
        <w:tc>
          <w:tcPr>
            <w:tcW w:w="2250" w:type="dxa"/>
            <w:tcBorders>
              <w:top w:val="single" w:sz="8" w:space="0" w:color="auto"/>
              <w:left w:val="single" w:sz="8" w:space="0" w:color="auto"/>
              <w:bottom w:val="single" w:sz="8" w:space="0" w:color="auto"/>
              <w:right w:val="single" w:sz="8" w:space="0" w:color="auto"/>
            </w:tcBorders>
            <w:vAlign w:val="bottom"/>
          </w:tcPr>
          <w:p w14:paraId="762FB5E5" w14:textId="0DB7C57B" w:rsidR="00264165" w:rsidRPr="00EC03C2" w:rsidRDefault="00441842" w:rsidP="00117D8F">
            <w:pPr>
              <w:spacing w:after="0" w:line="240" w:lineRule="auto"/>
              <w:jc w:val="center"/>
              <w:rPr>
                <w:color w:val="0000FF"/>
              </w:rPr>
            </w:pPr>
            <w:r w:rsidRPr="00EC03C2">
              <w:rPr>
                <w:color w:val="0000FF"/>
              </w:rPr>
              <w:t>67.4</w:t>
            </w:r>
          </w:p>
        </w:tc>
        <w:tc>
          <w:tcPr>
            <w:tcW w:w="900" w:type="dxa"/>
            <w:tcBorders>
              <w:top w:val="single" w:sz="8" w:space="0" w:color="auto"/>
              <w:left w:val="single" w:sz="8" w:space="0" w:color="auto"/>
              <w:bottom w:val="single" w:sz="8" w:space="0" w:color="auto"/>
              <w:right w:val="single" w:sz="8" w:space="0" w:color="auto"/>
            </w:tcBorders>
          </w:tcPr>
          <w:p w14:paraId="1F62183E" w14:textId="6F45E54F" w:rsidR="00264165" w:rsidRPr="00EC03C2" w:rsidRDefault="00441842" w:rsidP="00117D8F">
            <w:pPr>
              <w:spacing w:after="0" w:line="240" w:lineRule="auto"/>
              <w:jc w:val="center"/>
              <w:rPr>
                <w:color w:val="0000FF"/>
              </w:rPr>
            </w:pPr>
            <w:r w:rsidRPr="00EC03C2">
              <w:rPr>
                <w:color w:val="0000FF"/>
              </w:rPr>
              <w:t>100.0</w:t>
            </w:r>
          </w:p>
        </w:tc>
        <w:tc>
          <w:tcPr>
            <w:tcW w:w="1530" w:type="dxa"/>
            <w:tcBorders>
              <w:top w:val="single" w:sz="8" w:space="0" w:color="auto"/>
              <w:left w:val="single" w:sz="8" w:space="0" w:color="auto"/>
              <w:bottom w:val="single" w:sz="8" w:space="0" w:color="auto"/>
              <w:right w:val="single" w:sz="8" w:space="0" w:color="auto"/>
            </w:tcBorders>
          </w:tcPr>
          <w:p w14:paraId="1148B45B" w14:textId="1803BB3C" w:rsidR="00264165" w:rsidRPr="00EC03C2" w:rsidRDefault="00441842" w:rsidP="00117D8F">
            <w:pPr>
              <w:spacing w:after="0" w:line="240" w:lineRule="auto"/>
              <w:jc w:val="center"/>
              <w:rPr>
                <w:color w:val="0000FF"/>
              </w:rPr>
            </w:pPr>
            <w:r w:rsidRPr="00EC03C2">
              <w:rPr>
                <w:color w:val="0000FF"/>
              </w:rPr>
              <w:t>82.7</w:t>
            </w:r>
          </w:p>
        </w:tc>
      </w:tr>
      <w:tr w:rsidR="009F7B22" w:rsidRPr="00EC03C2" w14:paraId="07CBA038" w14:textId="77777777" w:rsidTr="002E7FAB">
        <w:tc>
          <w:tcPr>
            <w:tcW w:w="1345" w:type="dxa"/>
            <w:tcBorders>
              <w:right w:val="single" w:sz="8" w:space="0" w:color="auto"/>
            </w:tcBorders>
          </w:tcPr>
          <w:p w14:paraId="663C5947" w14:textId="77777777" w:rsidR="00264165" w:rsidRPr="00EC03C2" w:rsidRDefault="00264165" w:rsidP="00AA755B">
            <w:pPr>
              <w:tabs>
                <w:tab w:val="left" w:pos="1080"/>
                <w:tab w:val="left" w:pos="1260"/>
              </w:tabs>
              <w:spacing w:after="0" w:line="240" w:lineRule="auto"/>
              <w:rPr>
                <w:color w:val="0000FF"/>
              </w:rPr>
            </w:pPr>
            <w:r w:rsidRPr="00EC03C2">
              <w:rPr>
                <w:color w:val="0000FF"/>
              </w:rPr>
              <w:t>B</w:t>
            </w:r>
          </w:p>
        </w:tc>
        <w:tc>
          <w:tcPr>
            <w:tcW w:w="900" w:type="dxa"/>
            <w:tcBorders>
              <w:top w:val="single" w:sz="8" w:space="0" w:color="auto"/>
              <w:left w:val="single" w:sz="8" w:space="0" w:color="auto"/>
              <w:bottom w:val="single" w:sz="8" w:space="0" w:color="auto"/>
              <w:right w:val="single" w:sz="8" w:space="0" w:color="auto"/>
            </w:tcBorders>
            <w:vAlign w:val="bottom"/>
          </w:tcPr>
          <w:p w14:paraId="3439E524" w14:textId="43BD8A69" w:rsidR="00264165" w:rsidRPr="00EC03C2" w:rsidRDefault="00441842" w:rsidP="00AA755B">
            <w:pPr>
              <w:spacing w:after="0" w:line="240" w:lineRule="auto"/>
              <w:jc w:val="center"/>
              <w:rPr>
                <w:color w:val="0000FF"/>
              </w:rPr>
            </w:pPr>
            <w:r w:rsidRPr="00EC03C2">
              <w:rPr>
                <w:color w:val="0000FF"/>
              </w:rPr>
              <w:t>18.4</w:t>
            </w:r>
          </w:p>
        </w:tc>
        <w:tc>
          <w:tcPr>
            <w:tcW w:w="900" w:type="dxa"/>
            <w:tcBorders>
              <w:top w:val="single" w:sz="8" w:space="0" w:color="auto"/>
              <w:left w:val="single" w:sz="8" w:space="0" w:color="auto"/>
              <w:bottom w:val="single" w:sz="8" w:space="0" w:color="auto"/>
              <w:right w:val="single" w:sz="8" w:space="0" w:color="auto"/>
            </w:tcBorders>
            <w:vAlign w:val="bottom"/>
          </w:tcPr>
          <w:p w14:paraId="2C186295" w14:textId="344275FE" w:rsidR="00264165" w:rsidRPr="00EC03C2" w:rsidRDefault="00441842" w:rsidP="00AA755B">
            <w:pPr>
              <w:spacing w:after="0" w:line="240" w:lineRule="auto"/>
              <w:jc w:val="center"/>
              <w:rPr>
                <w:color w:val="0000FF"/>
              </w:rPr>
            </w:pPr>
            <w:r w:rsidRPr="00EC03C2">
              <w:rPr>
                <w:color w:val="0000FF"/>
              </w:rPr>
              <w:t>0</w:t>
            </w:r>
          </w:p>
        </w:tc>
        <w:tc>
          <w:tcPr>
            <w:tcW w:w="1080" w:type="dxa"/>
            <w:tcBorders>
              <w:top w:val="single" w:sz="8" w:space="0" w:color="auto"/>
              <w:left w:val="single" w:sz="8" w:space="0" w:color="auto"/>
              <w:bottom w:val="single" w:sz="8" w:space="0" w:color="auto"/>
              <w:right w:val="single" w:sz="8" w:space="0" w:color="auto"/>
            </w:tcBorders>
            <w:vAlign w:val="bottom"/>
          </w:tcPr>
          <w:p w14:paraId="3E8AB310" w14:textId="66FED793" w:rsidR="00264165" w:rsidRPr="00EC03C2" w:rsidRDefault="00441842" w:rsidP="00AA755B">
            <w:pPr>
              <w:spacing w:after="0" w:line="240" w:lineRule="auto"/>
              <w:jc w:val="center"/>
              <w:rPr>
                <w:color w:val="0000FF"/>
              </w:rPr>
            </w:pPr>
            <w:r w:rsidRPr="00EC03C2">
              <w:rPr>
                <w:color w:val="0000FF"/>
              </w:rPr>
              <w:t>0</w:t>
            </w:r>
          </w:p>
        </w:tc>
        <w:tc>
          <w:tcPr>
            <w:tcW w:w="2250" w:type="dxa"/>
            <w:tcBorders>
              <w:top w:val="single" w:sz="8" w:space="0" w:color="auto"/>
              <w:left w:val="single" w:sz="8" w:space="0" w:color="auto"/>
              <w:bottom w:val="single" w:sz="8" w:space="0" w:color="auto"/>
              <w:right w:val="single" w:sz="8" w:space="0" w:color="auto"/>
            </w:tcBorders>
            <w:vAlign w:val="bottom"/>
          </w:tcPr>
          <w:p w14:paraId="6A044AD8" w14:textId="7F5472A5" w:rsidR="00264165" w:rsidRPr="00EC03C2" w:rsidRDefault="00441842" w:rsidP="00AA755B">
            <w:pPr>
              <w:spacing w:after="0" w:line="240" w:lineRule="auto"/>
              <w:jc w:val="center"/>
              <w:rPr>
                <w:color w:val="0000FF"/>
              </w:rPr>
            </w:pPr>
            <w:r w:rsidRPr="00EC03C2">
              <w:rPr>
                <w:color w:val="0000FF"/>
              </w:rPr>
              <w:t>81.6</w:t>
            </w:r>
          </w:p>
        </w:tc>
        <w:tc>
          <w:tcPr>
            <w:tcW w:w="900" w:type="dxa"/>
            <w:tcBorders>
              <w:top w:val="single" w:sz="8" w:space="0" w:color="auto"/>
              <w:left w:val="single" w:sz="8" w:space="0" w:color="auto"/>
              <w:bottom w:val="single" w:sz="8" w:space="0" w:color="auto"/>
              <w:right w:val="single" w:sz="8" w:space="0" w:color="auto"/>
            </w:tcBorders>
          </w:tcPr>
          <w:p w14:paraId="41B83F19" w14:textId="677AF877" w:rsidR="00264165" w:rsidRPr="00EC03C2" w:rsidRDefault="00441842" w:rsidP="00AA755B">
            <w:pPr>
              <w:spacing w:after="0" w:line="240" w:lineRule="auto"/>
              <w:jc w:val="center"/>
              <w:rPr>
                <w:color w:val="0000FF"/>
              </w:rPr>
            </w:pPr>
            <w:r w:rsidRPr="00EC03C2">
              <w:rPr>
                <w:color w:val="0000FF"/>
              </w:rPr>
              <w:t>100.0</w:t>
            </w:r>
          </w:p>
        </w:tc>
        <w:tc>
          <w:tcPr>
            <w:tcW w:w="1530" w:type="dxa"/>
            <w:tcBorders>
              <w:top w:val="single" w:sz="8" w:space="0" w:color="auto"/>
              <w:left w:val="single" w:sz="8" w:space="0" w:color="auto"/>
              <w:bottom w:val="single" w:sz="8" w:space="0" w:color="auto"/>
              <w:right w:val="single" w:sz="8" w:space="0" w:color="auto"/>
            </w:tcBorders>
          </w:tcPr>
          <w:p w14:paraId="54597ADF" w14:textId="4E68EA80" w:rsidR="00264165" w:rsidRPr="00EC03C2" w:rsidRDefault="00441842" w:rsidP="00AA755B">
            <w:pPr>
              <w:spacing w:after="0" w:line="240" w:lineRule="auto"/>
              <w:jc w:val="center"/>
              <w:rPr>
                <w:color w:val="0000FF"/>
              </w:rPr>
            </w:pPr>
            <w:r w:rsidRPr="00EC03C2">
              <w:rPr>
                <w:color w:val="0000FF"/>
              </w:rPr>
              <w:t>81.6</w:t>
            </w:r>
          </w:p>
        </w:tc>
      </w:tr>
      <w:tr w:rsidR="009F7B22" w:rsidRPr="00EC03C2" w14:paraId="5982C841" w14:textId="77777777" w:rsidTr="002E7FAB">
        <w:trPr>
          <w:trHeight w:val="165"/>
        </w:trPr>
        <w:tc>
          <w:tcPr>
            <w:tcW w:w="1345" w:type="dxa"/>
            <w:tcBorders>
              <w:right w:val="single" w:sz="8" w:space="0" w:color="auto"/>
            </w:tcBorders>
          </w:tcPr>
          <w:p w14:paraId="29CE4AB4" w14:textId="77777777" w:rsidR="00264165" w:rsidRPr="00EC03C2" w:rsidRDefault="00264165" w:rsidP="00AA755B">
            <w:pPr>
              <w:tabs>
                <w:tab w:val="left" w:pos="1080"/>
                <w:tab w:val="left" w:pos="1260"/>
              </w:tabs>
              <w:spacing w:after="0" w:line="240" w:lineRule="auto"/>
              <w:rPr>
                <w:color w:val="0000FF"/>
              </w:rPr>
            </w:pPr>
            <w:r w:rsidRPr="00EC03C2">
              <w:rPr>
                <w:color w:val="0000FF"/>
              </w:rPr>
              <w:t>C*</w:t>
            </w:r>
          </w:p>
        </w:tc>
        <w:tc>
          <w:tcPr>
            <w:tcW w:w="900" w:type="dxa"/>
            <w:tcBorders>
              <w:top w:val="single" w:sz="8" w:space="0" w:color="auto"/>
              <w:left w:val="single" w:sz="8" w:space="0" w:color="auto"/>
              <w:bottom w:val="single" w:sz="8" w:space="0" w:color="auto"/>
              <w:right w:val="single" w:sz="8" w:space="0" w:color="auto"/>
            </w:tcBorders>
            <w:vAlign w:val="bottom"/>
          </w:tcPr>
          <w:p w14:paraId="6A14A45E" w14:textId="47EA4A45" w:rsidR="00264165" w:rsidRPr="00EC03C2" w:rsidRDefault="00441842" w:rsidP="00AA755B">
            <w:pPr>
              <w:spacing w:after="0" w:line="240" w:lineRule="auto"/>
              <w:jc w:val="center"/>
              <w:rPr>
                <w:color w:val="0000FF"/>
              </w:rPr>
            </w:pPr>
            <w:r w:rsidRPr="00EC03C2">
              <w:rPr>
                <w:color w:val="0000FF"/>
              </w:rPr>
              <w:t>23.3</w:t>
            </w:r>
          </w:p>
        </w:tc>
        <w:tc>
          <w:tcPr>
            <w:tcW w:w="900" w:type="dxa"/>
            <w:tcBorders>
              <w:top w:val="single" w:sz="8" w:space="0" w:color="auto"/>
              <w:left w:val="single" w:sz="8" w:space="0" w:color="auto"/>
              <w:bottom w:val="single" w:sz="8" w:space="0" w:color="auto"/>
              <w:right w:val="single" w:sz="8" w:space="0" w:color="auto"/>
            </w:tcBorders>
            <w:vAlign w:val="bottom"/>
          </w:tcPr>
          <w:p w14:paraId="34F2A734" w14:textId="6DAE4ABF" w:rsidR="00264165" w:rsidRPr="00EC03C2" w:rsidRDefault="00441842" w:rsidP="00AA755B">
            <w:pPr>
              <w:spacing w:after="0" w:line="240" w:lineRule="auto"/>
              <w:jc w:val="center"/>
              <w:rPr>
                <w:color w:val="0000FF"/>
              </w:rPr>
            </w:pPr>
            <w:r w:rsidRPr="00EC03C2">
              <w:rPr>
                <w:color w:val="0000FF"/>
              </w:rPr>
              <w:t>0</w:t>
            </w:r>
          </w:p>
        </w:tc>
        <w:tc>
          <w:tcPr>
            <w:tcW w:w="1080" w:type="dxa"/>
            <w:tcBorders>
              <w:top w:val="single" w:sz="8" w:space="0" w:color="auto"/>
              <w:left w:val="single" w:sz="8" w:space="0" w:color="auto"/>
              <w:bottom w:val="single" w:sz="8" w:space="0" w:color="auto"/>
              <w:right w:val="single" w:sz="8" w:space="0" w:color="auto"/>
            </w:tcBorders>
            <w:vAlign w:val="bottom"/>
          </w:tcPr>
          <w:p w14:paraId="5C0555CC" w14:textId="151B4D19" w:rsidR="00264165" w:rsidRPr="00EC03C2" w:rsidRDefault="00441842" w:rsidP="00AA755B">
            <w:pPr>
              <w:spacing w:after="0" w:line="240" w:lineRule="auto"/>
              <w:jc w:val="center"/>
              <w:rPr>
                <w:color w:val="0000FF"/>
              </w:rPr>
            </w:pPr>
            <w:r w:rsidRPr="00EC03C2">
              <w:rPr>
                <w:color w:val="0000FF"/>
              </w:rPr>
              <w:t>0</w:t>
            </w:r>
          </w:p>
        </w:tc>
        <w:tc>
          <w:tcPr>
            <w:tcW w:w="2250" w:type="dxa"/>
            <w:tcBorders>
              <w:top w:val="single" w:sz="8" w:space="0" w:color="auto"/>
              <w:left w:val="single" w:sz="8" w:space="0" w:color="auto"/>
              <w:bottom w:val="single" w:sz="8" w:space="0" w:color="auto"/>
              <w:right w:val="single" w:sz="8" w:space="0" w:color="auto"/>
            </w:tcBorders>
            <w:vAlign w:val="bottom"/>
          </w:tcPr>
          <w:p w14:paraId="53B96021" w14:textId="6DF7B27F" w:rsidR="00264165" w:rsidRPr="00EC03C2" w:rsidRDefault="00441842" w:rsidP="00AA755B">
            <w:pPr>
              <w:spacing w:after="0" w:line="240" w:lineRule="auto"/>
              <w:jc w:val="center"/>
              <w:rPr>
                <w:color w:val="0000FF"/>
              </w:rPr>
            </w:pPr>
            <w:r w:rsidRPr="00EC03C2">
              <w:rPr>
                <w:color w:val="0000FF"/>
              </w:rPr>
              <w:t>76.7</w:t>
            </w:r>
          </w:p>
        </w:tc>
        <w:tc>
          <w:tcPr>
            <w:tcW w:w="900" w:type="dxa"/>
            <w:tcBorders>
              <w:top w:val="single" w:sz="8" w:space="0" w:color="auto"/>
              <w:left w:val="single" w:sz="8" w:space="0" w:color="auto"/>
              <w:bottom w:val="single" w:sz="8" w:space="0" w:color="auto"/>
              <w:right w:val="single" w:sz="8" w:space="0" w:color="auto"/>
            </w:tcBorders>
          </w:tcPr>
          <w:p w14:paraId="09A9B6D8" w14:textId="739AD54E" w:rsidR="00264165" w:rsidRPr="00EC03C2" w:rsidRDefault="00441842" w:rsidP="00AA755B">
            <w:pPr>
              <w:spacing w:after="0" w:line="240" w:lineRule="auto"/>
              <w:jc w:val="center"/>
              <w:rPr>
                <w:color w:val="0000FF"/>
              </w:rPr>
            </w:pPr>
            <w:r w:rsidRPr="00EC03C2">
              <w:rPr>
                <w:color w:val="0000FF"/>
              </w:rPr>
              <w:t>100.0</w:t>
            </w:r>
          </w:p>
        </w:tc>
        <w:tc>
          <w:tcPr>
            <w:tcW w:w="1530" w:type="dxa"/>
            <w:tcBorders>
              <w:top w:val="single" w:sz="8" w:space="0" w:color="auto"/>
              <w:left w:val="single" w:sz="8" w:space="0" w:color="auto"/>
              <w:bottom w:val="single" w:sz="8" w:space="0" w:color="auto"/>
              <w:right w:val="single" w:sz="8" w:space="0" w:color="auto"/>
            </w:tcBorders>
          </w:tcPr>
          <w:p w14:paraId="4ED842AD" w14:textId="556FB659" w:rsidR="00264165" w:rsidRPr="00EC03C2" w:rsidRDefault="00441842" w:rsidP="00AA755B">
            <w:pPr>
              <w:spacing w:after="0" w:line="240" w:lineRule="auto"/>
              <w:jc w:val="center"/>
              <w:rPr>
                <w:color w:val="0000FF"/>
              </w:rPr>
            </w:pPr>
            <w:r w:rsidRPr="00EC03C2">
              <w:rPr>
                <w:color w:val="0000FF"/>
              </w:rPr>
              <w:t>76.7</w:t>
            </w:r>
          </w:p>
        </w:tc>
      </w:tr>
    </w:tbl>
    <w:p w14:paraId="03336A6A" w14:textId="7EBB3055" w:rsidR="00AB46A4" w:rsidRPr="00EC03C2" w:rsidRDefault="004F0A86" w:rsidP="004F0A86">
      <w:pPr>
        <w:spacing w:after="0" w:line="240" w:lineRule="auto"/>
        <w:rPr>
          <w:color w:val="0000FF"/>
        </w:rPr>
      </w:pPr>
      <w:r w:rsidRPr="00EC03C2">
        <w:rPr>
          <w:color w:val="0000FF"/>
        </w:rPr>
        <w:t>*</w:t>
      </w:r>
      <w:r w:rsidR="00AB46A4" w:rsidRPr="00EC03C2">
        <w:rPr>
          <w:color w:val="0000FF"/>
        </w:rPr>
        <w:t>Plan C includes both commercial and Medicaid product lines</w:t>
      </w:r>
      <w:r w:rsidR="00A85505" w:rsidRPr="00EC03C2">
        <w:rPr>
          <w:color w:val="0000FF"/>
        </w:rPr>
        <w:t>.</w:t>
      </w:r>
      <w:r w:rsidR="00AB46A4" w:rsidRPr="00EC03C2">
        <w:rPr>
          <w:color w:val="0000FF"/>
        </w:rPr>
        <w:t xml:space="preserve"> </w:t>
      </w:r>
    </w:p>
    <w:p w14:paraId="6686211F" w14:textId="6E3A2091" w:rsidR="004F0A86" w:rsidRPr="00EC03C2" w:rsidRDefault="00AB46A4" w:rsidP="004F0A86">
      <w:pPr>
        <w:spacing w:after="0" w:line="240" w:lineRule="auto"/>
        <w:rPr>
          <w:color w:val="0000FF"/>
        </w:rPr>
      </w:pPr>
      <w:r w:rsidRPr="00EC03C2">
        <w:rPr>
          <w:color w:val="0000FF"/>
        </w:rPr>
        <w:t>**</w:t>
      </w:r>
      <w:r w:rsidR="004F0A86" w:rsidRPr="00EC03C2">
        <w:rPr>
          <w:color w:val="0000FF"/>
        </w:rPr>
        <w:t>Rate of agreement shows the proportion of patients whose medical record and administrative record agree on the presence or ab</w:t>
      </w:r>
      <w:r w:rsidR="00F24900" w:rsidRPr="00EC03C2">
        <w:rPr>
          <w:color w:val="0000FF"/>
        </w:rPr>
        <w:t>sence of inappropriate imaging</w:t>
      </w:r>
      <w:r w:rsidR="00A85505" w:rsidRPr="00EC03C2">
        <w:rPr>
          <w:color w:val="0000FF"/>
        </w:rPr>
        <w:t>.</w:t>
      </w:r>
    </w:p>
    <w:p w14:paraId="42B1A072" w14:textId="77777777" w:rsidR="004F0A86" w:rsidRPr="00EC03C2" w:rsidRDefault="004F0A86" w:rsidP="00247E3C">
      <w:pPr>
        <w:spacing w:after="0" w:line="240" w:lineRule="auto"/>
        <w:rPr>
          <w:color w:val="0000FF"/>
        </w:rPr>
      </w:pPr>
    </w:p>
    <w:p w14:paraId="3364FB66" w14:textId="7E72B717" w:rsidR="00F84839" w:rsidRPr="00EC03C2" w:rsidRDefault="00556909" w:rsidP="004F0A86">
      <w:pPr>
        <w:spacing w:after="0" w:line="240" w:lineRule="auto"/>
        <w:rPr>
          <w:color w:val="0000FF"/>
        </w:rPr>
      </w:pPr>
      <w:r w:rsidRPr="00EC03C2">
        <w:rPr>
          <w:color w:val="0000FF"/>
        </w:rPr>
        <w:t xml:space="preserve">Table </w:t>
      </w:r>
      <w:r w:rsidR="00DB46CC" w:rsidRPr="00EC03C2">
        <w:rPr>
          <w:color w:val="0000FF"/>
        </w:rPr>
        <w:t>5</w:t>
      </w:r>
      <w:r w:rsidR="000F665D" w:rsidRPr="00EC03C2">
        <w:rPr>
          <w:color w:val="0000FF"/>
        </w:rPr>
        <w:t xml:space="preserve"> shows the source of information for the inappropriate use of imaging for patients with available medical records and no red-flag diagnoses</w:t>
      </w:r>
      <w:r w:rsidRPr="00EC03C2">
        <w:rPr>
          <w:color w:val="0000FF"/>
        </w:rPr>
        <w:t xml:space="preserve"> (exclusions)</w:t>
      </w:r>
      <w:r w:rsidR="000F665D" w:rsidRPr="00EC03C2">
        <w:rPr>
          <w:color w:val="0000FF"/>
        </w:rPr>
        <w:t xml:space="preserve"> acc</w:t>
      </w:r>
      <w:r w:rsidR="004F0A86" w:rsidRPr="00EC03C2">
        <w:rPr>
          <w:color w:val="0000FF"/>
        </w:rPr>
        <w:t xml:space="preserve">ording to administrative data. </w:t>
      </w:r>
      <w:r w:rsidR="00F84839" w:rsidRPr="00EC03C2">
        <w:rPr>
          <w:color w:val="0000FF"/>
        </w:rPr>
        <w:t>During the fie</w:t>
      </w:r>
      <w:r w:rsidRPr="00EC03C2">
        <w:rPr>
          <w:color w:val="0000FF"/>
        </w:rPr>
        <w:t xml:space="preserve">ld test, the identification of </w:t>
      </w:r>
      <w:r w:rsidR="00F84839" w:rsidRPr="00EC03C2">
        <w:rPr>
          <w:color w:val="0000FF"/>
        </w:rPr>
        <w:t xml:space="preserve">imaging (i.e., </w:t>
      </w:r>
      <w:r w:rsidR="003711BC" w:rsidRPr="00EC03C2">
        <w:rPr>
          <w:color w:val="0000FF"/>
        </w:rPr>
        <w:t>confirmation of the claims-based presence or absence of inappropriate imaging</w:t>
      </w:r>
      <w:r w:rsidR="00F84839" w:rsidRPr="00EC03C2">
        <w:rPr>
          <w:color w:val="0000FF"/>
        </w:rPr>
        <w:t xml:space="preserve">) was confirmed by the “gold standard” (i.e., medical record data) in </w:t>
      </w:r>
      <w:r w:rsidR="003711BC" w:rsidRPr="00EC03C2">
        <w:rPr>
          <w:color w:val="0000FF"/>
        </w:rPr>
        <w:t>76.7-82.7</w:t>
      </w:r>
      <w:r w:rsidR="00441842" w:rsidRPr="00EC03C2">
        <w:rPr>
          <w:color w:val="0000FF"/>
        </w:rPr>
        <w:t xml:space="preserve"> percent</w:t>
      </w:r>
      <w:r w:rsidR="003711BC" w:rsidRPr="00EC03C2">
        <w:rPr>
          <w:color w:val="0000FF"/>
        </w:rPr>
        <w:t xml:space="preserve"> of patients. </w:t>
      </w:r>
      <w:r w:rsidRPr="00EC03C2">
        <w:rPr>
          <w:color w:val="0000FF"/>
        </w:rPr>
        <w:t>For Plan A, inappropriate imaging was identified in claims data but not confirmed by the medical record for 12.5</w:t>
      </w:r>
      <w:r w:rsidR="00441842" w:rsidRPr="00EC03C2">
        <w:rPr>
          <w:color w:val="0000FF"/>
        </w:rPr>
        <w:t xml:space="preserve"> percent of</w:t>
      </w:r>
      <w:r w:rsidRPr="00EC03C2">
        <w:rPr>
          <w:color w:val="0000FF"/>
        </w:rPr>
        <w:t xml:space="preserve"> patients. In addition, the medical record identified an additional 4.9</w:t>
      </w:r>
      <w:r w:rsidR="00441842" w:rsidRPr="00EC03C2">
        <w:rPr>
          <w:color w:val="0000FF"/>
        </w:rPr>
        <w:t xml:space="preserve"> percent</w:t>
      </w:r>
      <w:r w:rsidRPr="00EC03C2">
        <w:rPr>
          <w:color w:val="0000FF"/>
        </w:rPr>
        <w:t xml:space="preserve"> of patients with inappropriate imaging that was not detected by claims. </w:t>
      </w:r>
      <w:r w:rsidR="003711BC" w:rsidRPr="00EC03C2">
        <w:rPr>
          <w:color w:val="0000FF"/>
        </w:rPr>
        <w:t>For Plans B and C, inappropriate imaging was identified in claims data but not confirmed by the medical record for 18.4</w:t>
      </w:r>
      <w:r w:rsidR="00441842" w:rsidRPr="00EC03C2">
        <w:rPr>
          <w:color w:val="0000FF"/>
        </w:rPr>
        <w:t xml:space="preserve"> percent </w:t>
      </w:r>
      <w:r w:rsidR="003711BC" w:rsidRPr="00EC03C2">
        <w:rPr>
          <w:color w:val="0000FF"/>
        </w:rPr>
        <w:t>and 23.3</w:t>
      </w:r>
      <w:r w:rsidR="00441842" w:rsidRPr="00EC03C2">
        <w:rPr>
          <w:color w:val="0000FF"/>
        </w:rPr>
        <w:t xml:space="preserve"> percent </w:t>
      </w:r>
      <w:r w:rsidR="003711BC" w:rsidRPr="00EC03C2">
        <w:rPr>
          <w:color w:val="0000FF"/>
        </w:rPr>
        <w:t xml:space="preserve">of patients, respectively. For these plans, the medical record did not identify any additional inappropriate imaging. </w:t>
      </w:r>
    </w:p>
    <w:p w14:paraId="440D448E" w14:textId="77777777" w:rsidR="000F665D" w:rsidRPr="009F7B22" w:rsidRDefault="000F665D" w:rsidP="00247E3C">
      <w:pPr>
        <w:spacing w:after="0" w:line="240" w:lineRule="auto"/>
        <w:rPr>
          <w:rFonts w:cstheme="minorHAnsi"/>
          <w:color w:val="0070C0"/>
        </w:rPr>
      </w:pPr>
    </w:p>
    <w:p w14:paraId="4C0BE6E2" w14:textId="77777777" w:rsidR="00247E3C" w:rsidRPr="00EC03C2" w:rsidRDefault="00247E3C" w:rsidP="00247E3C">
      <w:pPr>
        <w:spacing w:after="0" w:line="240" w:lineRule="auto"/>
        <w:rPr>
          <w:b/>
          <w:color w:val="0000FF"/>
          <w:u w:val="single"/>
        </w:rPr>
      </w:pPr>
      <w:r w:rsidRPr="00EC03C2">
        <w:rPr>
          <w:b/>
          <w:color w:val="0000FF"/>
          <w:u w:val="single"/>
        </w:rPr>
        <w:t xml:space="preserve">Results of </w:t>
      </w:r>
      <w:r w:rsidR="00AD5051" w:rsidRPr="00EC03C2">
        <w:rPr>
          <w:b/>
          <w:color w:val="0000FF"/>
          <w:u w:val="single"/>
        </w:rPr>
        <w:t>F</w:t>
      </w:r>
      <w:r w:rsidRPr="00EC03C2">
        <w:rPr>
          <w:b/>
          <w:color w:val="0000FF"/>
          <w:u w:val="single"/>
        </w:rPr>
        <w:t xml:space="preserve">ace </w:t>
      </w:r>
      <w:r w:rsidR="00AD5051" w:rsidRPr="00EC03C2">
        <w:rPr>
          <w:b/>
          <w:color w:val="0000FF"/>
          <w:u w:val="single"/>
        </w:rPr>
        <w:t>V</w:t>
      </w:r>
      <w:r w:rsidRPr="00EC03C2">
        <w:rPr>
          <w:b/>
          <w:color w:val="0000FF"/>
          <w:u w:val="single"/>
        </w:rPr>
        <w:t xml:space="preserve">alidity </w:t>
      </w:r>
      <w:r w:rsidR="00AD5051" w:rsidRPr="00EC03C2">
        <w:rPr>
          <w:b/>
          <w:color w:val="0000FF"/>
          <w:u w:val="single"/>
        </w:rPr>
        <w:t>A</w:t>
      </w:r>
      <w:r w:rsidRPr="00EC03C2">
        <w:rPr>
          <w:b/>
          <w:color w:val="0000FF"/>
          <w:u w:val="single"/>
        </w:rPr>
        <w:t xml:space="preserve">ssessment </w:t>
      </w:r>
    </w:p>
    <w:p w14:paraId="7FA54A22" w14:textId="77777777" w:rsidR="00247E3C" w:rsidRPr="00EC03C2" w:rsidRDefault="00247E3C" w:rsidP="00247E3C">
      <w:pPr>
        <w:spacing w:after="0" w:line="240" w:lineRule="auto"/>
        <w:rPr>
          <w:color w:val="0000FF"/>
        </w:rPr>
      </w:pPr>
      <w:r w:rsidRPr="00EC03C2">
        <w:rPr>
          <w:b/>
          <w:color w:val="0000FF"/>
        </w:rPr>
        <w:t>Step 1:</w:t>
      </w:r>
      <w:r w:rsidRPr="00EC03C2">
        <w:rPr>
          <w:color w:val="0000FF"/>
        </w:rPr>
        <w:t xml:space="preserve"> This measure was </w:t>
      </w:r>
      <w:r w:rsidR="000F07A1" w:rsidRPr="00EC03C2">
        <w:rPr>
          <w:color w:val="0000FF"/>
        </w:rPr>
        <w:t>developed</w:t>
      </w:r>
      <w:r w:rsidR="00A22C0C" w:rsidRPr="00EC03C2">
        <w:rPr>
          <w:color w:val="0000FF"/>
        </w:rPr>
        <w:t xml:space="preserve"> in 2003</w:t>
      </w:r>
      <w:r w:rsidR="000F07A1" w:rsidRPr="00EC03C2">
        <w:rPr>
          <w:color w:val="0000FF"/>
        </w:rPr>
        <w:t xml:space="preserve"> </w:t>
      </w:r>
      <w:r w:rsidRPr="00EC03C2">
        <w:rPr>
          <w:color w:val="0000FF"/>
        </w:rPr>
        <w:t xml:space="preserve">to </w:t>
      </w:r>
      <w:r w:rsidR="00666D74" w:rsidRPr="00EC03C2">
        <w:rPr>
          <w:color w:val="0000FF"/>
        </w:rPr>
        <w:t>assess the inappropriate use of imaging for patients with a diagnosis of acute low back pain (LBP) in the absence of indicators of potentially serious spinal pathology or other non</w:t>
      </w:r>
      <w:r w:rsidR="00C44261" w:rsidRPr="00EC03C2">
        <w:rPr>
          <w:color w:val="0000FF"/>
        </w:rPr>
        <w:t>-</w:t>
      </w:r>
      <w:r w:rsidR="00666D74" w:rsidRPr="00EC03C2">
        <w:rPr>
          <w:color w:val="0000FF"/>
        </w:rPr>
        <w:t>spinal pathology</w:t>
      </w:r>
      <w:r w:rsidRPr="00EC03C2">
        <w:rPr>
          <w:color w:val="0000FF"/>
        </w:rPr>
        <w:t xml:space="preserve">. </w:t>
      </w:r>
      <w:r w:rsidR="00D96977" w:rsidRPr="00EC03C2">
        <w:rPr>
          <w:color w:val="0000FF"/>
        </w:rPr>
        <w:t>As a collaborating organization in the</w:t>
      </w:r>
      <w:r w:rsidR="002E7FAB" w:rsidRPr="00EC03C2">
        <w:rPr>
          <w:color w:val="0000FF"/>
        </w:rPr>
        <w:t xml:space="preserve"> American Medical Association (AMA), </w:t>
      </w:r>
      <w:r w:rsidR="00D96977" w:rsidRPr="00EC03C2">
        <w:rPr>
          <w:color w:val="0000FF"/>
        </w:rPr>
        <w:t xml:space="preserve"> </w:t>
      </w:r>
      <w:r w:rsidR="002E7FAB" w:rsidRPr="00EC03C2">
        <w:rPr>
          <w:color w:val="0000FF"/>
        </w:rPr>
        <w:t>Joint Commission on Accreditation of Healthcare Organizations (</w:t>
      </w:r>
      <w:r w:rsidR="00D96977" w:rsidRPr="00EC03C2">
        <w:rPr>
          <w:color w:val="0000FF"/>
        </w:rPr>
        <w:t>JCAHO</w:t>
      </w:r>
      <w:r w:rsidR="002E7FAB" w:rsidRPr="00EC03C2">
        <w:rPr>
          <w:color w:val="0000FF"/>
        </w:rPr>
        <w:t xml:space="preserve">), and </w:t>
      </w:r>
      <w:r w:rsidR="00D96977" w:rsidRPr="00EC03C2">
        <w:rPr>
          <w:color w:val="0000FF"/>
        </w:rPr>
        <w:t xml:space="preserve">NCQA Collaboration on Pain Management Performance Measures, </w:t>
      </w:r>
      <w:r w:rsidRPr="00EC03C2">
        <w:rPr>
          <w:color w:val="0000FF"/>
        </w:rPr>
        <w:t xml:space="preserve">NCQA and the </w:t>
      </w:r>
      <w:r w:rsidR="00D96977" w:rsidRPr="00EC03C2">
        <w:rPr>
          <w:color w:val="0000FF"/>
        </w:rPr>
        <w:t>Musculoskeletal work group</w:t>
      </w:r>
      <w:r w:rsidR="00666D74" w:rsidRPr="00EC03C2">
        <w:rPr>
          <w:color w:val="0000FF"/>
        </w:rPr>
        <w:t xml:space="preserve"> worked</w:t>
      </w:r>
      <w:r w:rsidR="00D755C3" w:rsidRPr="00EC03C2">
        <w:rPr>
          <w:color w:val="0000FF"/>
        </w:rPr>
        <w:t xml:space="preserve"> together to develop and field test this measure. </w:t>
      </w:r>
    </w:p>
    <w:p w14:paraId="0319F8FC" w14:textId="77777777" w:rsidR="00247E3C" w:rsidRPr="00EC03C2" w:rsidRDefault="00247E3C" w:rsidP="00247E3C">
      <w:pPr>
        <w:spacing w:before="120" w:after="0" w:line="240" w:lineRule="auto"/>
        <w:rPr>
          <w:color w:val="0000FF"/>
        </w:rPr>
      </w:pPr>
      <w:r w:rsidRPr="00EC03C2">
        <w:rPr>
          <w:b/>
          <w:color w:val="0000FF"/>
        </w:rPr>
        <w:t>Step 2:</w:t>
      </w:r>
      <w:r w:rsidRPr="00EC03C2">
        <w:rPr>
          <w:color w:val="0000FF"/>
        </w:rPr>
        <w:t xml:space="preserve"> The measure was written </w:t>
      </w:r>
      <w:r w:rsidR="00A22C0C" w:rsidRPr="00EC03C2">
        <w:rPr>
          <w:color w:val="0000FF"/>
        </w:rPr>
        <w:t xml:space="preserve">in 2003 </w:t>
      </w:r>
      <w:r w:rsidRPr="00EC03C2">
        <w:rPr>
          <w:color w:val="0000FF"/>
        </w:rPr>
        <w:t xml:space="preserve">and field-tested </w:t>
      </w:r>
      <w:r w:rsidR="00E8551E" w:rsidRPr="00EC03C2">
        <w:rPr>
          <w:color w:val="0000FF"/>
        </w:rPr>
        <w:t xml:space="preserve">in 2003 </w:t>
      </w:r>
      <w:r w:rsidR="00A22C0C" w:rsidRPr="00EC03C2">
        <w:rPr>
          <w:color w:val="0000FF"/>
        </w:rPr>
        <w:t>using data from 2002</w:t>
      </w:r>
      <w:r w:rsidRPr="00EC03C2">
        <w:rPr>
          <w:color w:val="0000FF"/>
        </w:rPr>
        <w:t>. After r</w:t>
      </w:r>
      <w:r w:rsidR="006B0F79" w:rsidRPr="00EC03C2">
        <w:rPr>
          <w:color w:val="0000FF"/>
        </w:rPr>
        <w:t xml:space="preserve">eviewing field test results, </w:t>
      </w:r>
      <w:r w:rsidRPr="00EC03C2">
        <w:rPr>
          <w:color w:val="0000FF"/>
        </w:rPr>
        <w:t xml:space="preserve">the CPM recommended to send the measure to </w:t>
      </w:r>
      <w:r w:rsidR="00AD5051" w:rsidRPr="00EC03C2">
        <w:rPr>
          <w:color w:val="0000FF"/>
        </w:rPr>
        <w:t>P</w:t>
      </w:r>
      <w:r w:rsidRPr="00EC03C2">
        <w:rPr>
          <w:color w:val="0000FF"/>
        </w:rPr>
        <w:t xml:space="preserve">ublic </w:t>
      </w:r>
      <w:r w:rsidR="00AD5051" w:rsidRPr="00EC03C2">
        <w:rPr>
          <w:color w:val="0000FF"/>
        </w:rPr>
        <w:t>C</w:t>
      </w:r>
      <w:r w:rsidRPr="00EC03C2">
        <w:rPr>
          <w:color w:val="0000FF"/>
        </w:rPr>
        <w:t xml:space="preserve">omment with a majority vote in </w:t>
      </w:r>
      <w:r w:rsidR="00D755C3" w:rsidRPr="00EC03C2">
        <w:rPr>
          <w:color w:val="0000FF"/>
        </w:rPr>
        <w:t xml:space="preserve">January </w:t>
      </w:r>
      <w:r w:rsidRPr="00EC03C2">
        <w:rPr>
          <w:color w:val="0000FF"/>
        </w:rPr>
        <w:t>2004.</w:t>
      </w:r>
    </w:p>
    <w:p w14:paraId="16718E20" w14:textId="77777777" w:rsidR="00247E3C" w:rsidRPr="00EC03C2" w:rsidRDefault="00247E3C" w:rsidP="00247E3C">
      <w:pPr>
        <w:spacing w:before="120" w:after="0" w:line="240" w:lineRule="auto"/>
        <w:rPr>
          <w:color w:val="0000FF"/>
        </w:rPr>
      </w:pPr>
      <w:r w:rsidRPr="00EC03C2">
        <w:rPr>
          <w:b/>
          <w:color w:val="0000FF"/>
        </w:rPr>
        <w:t>Step 3:</w:t>
      </w:r>
      <w:r w:rsidRPr="00EC03C2">
        <w:rPr>
          <w:color w:val="0000FF"/>
        </w:rPr>
        <w:t xml:space="preserve"> The measure was released for Public Comment in 2004 prior to publication in HEDIS. We received and responded to </w:t>
      </w:r>
      <w:r w:rsidR="003A554D" w:rsidRPr="00EC03C2">
        <w:rPr>
          <w:color w:val="0000FF"/>
        </w:rPr>
        <w:t>115</w:t>
      </w:r>
      <w:r w:rsidRPr="00EC03C2">
        <w:rPr>
          <w:color w:val="0000FF"/>
        </w:rPr>
        <w:t xml:space="preserve"> comments on this measure</w:t>
      </w:r>
      <w:r w:rsidR="005545D4" w:rsidRPr="00EC03C2">
        <w:rPr>
          <w:color w:val="0000FF"/>
        </w:rPr>
        <w:t xml:space="preserve">, including 10 organizations that supported </w:t>
      </w:r>
      <w:r w:rsidR="005545D4" w:rsidRPr="00EC03C2">
        <w:rPr>
          <w:color w:val="0000FF"/>
        </w:rPr>
        <w:lastRenderedPageBreak/>
        <w:t xml:space="preserve">the measure. </w:t>
      </w:r>
      <w:r w:rsidRPr="00EC03C2">
        <w:rPr>
          <w:color w:val="0000FF"/>
        </w:rPr>
        <w:t xml:space="preserve">The CPM recommended moving this measure to first year data collection by a majority vote. </w:t>
      </w:r>
    </w:p>
    <w:p w14:paraId="1D662C69" w14:textId="2447615B" w:rsidR="00247E3C" w:rsidRPr="00EC03C2" w:rsidRDefault="00247E3C" w:rsidP="00247E3C">
      <w:pPr>
        <w:spacing w:before="120" w:after="0" w:line="240" w:lineRule="auto"/>
        <w:rPr>
          <w:color w:val="0000FF"/>
        </w:rPr>
      </w:pPr>
      <w:r w:rsidRPr="00EC03C2">
        <w:rPr>
          <w:b/>
          <w:color w:val="0000FF"/>
        </w:rPr>
        <w:t>Step 4:</w:t>
      </w:r>
      <w:r w:rsidRPr="00EC03C2">
        <w:rPr>
          <w:color w:val="0000FF"/>
        </w:rPr>
        <w:t xml:space="preserve"> The measure was introduced in </w:t>
      </w:r>
      <w:r w:rsidR="00A6142A">
        <w:rPr>
          <w:color w:val="0000FF"/>
        </w:rPr>
        <w:t>2004</w:t>
      </w:r>
      <w:r w:rsidRPr="00EC03C2">
        <w:rPr>
          <w:color w:val="0000FF"/>
        </w:rPr>
        <w:t xml:space="preserve">. Organizations reported the measures in the first year and the results were analyzed for public reporting in the following year. The CPM recommended moving this measure </w:t>
      </w:r>
      <w:r w:rsidR="001904C6" w:rsidRPr="00EC03C2">
        <w:rPr>
          <w:color w:val="0000FF"/>
        </w:rPr>
        <w:t xml:space="preserve">to </w:t>
      </w:r>
      <w:r w:rsidRPr="00EC03C2">
        <w:rPr>
          <w:color w:val="0000FF"/>
        </w:rPr>
        <w:t>public reporting with a majority vote.</w:t>
      </w:r>
    </w:p>
    <w:p w14:paraId="73C266E6" w14:textId="4619C4E3" w:rsidR="00247E3C" w:rsidRPr="00EC03C2" w:rsidRDefault="00247E3C" w:rsidP="00247E3C">
      <w:pPr>
        <w:spacing w:before="120" w:after="0" w:line="240" w:lineRule="auto"/>
        <w:rPr>
          <w:color w:val="0000FF"/>
        </w:rPr>
      </w:pPr>
      <w:r w:rsidRPr="00EC03C2">
        <w:rPr>
          <w:b/>
          <w:color w:val="0000FF"/>
        </w:rPr>
        <w:t>Step 5</w:t>
      </w:r>
      <w:r w:rsidRPr="00EC03C2">
        <w:rPr>
          <w:color w:val="0000FF"/>
        </w:rPr>
        <w:t xml:space="preserve">: The measure </w:t>
      </w:r>
      <w:r w:rsidR="00D755C3" w:rsidRPr="00EC03C2">
        <w:rPr>
          <w:color w:val="0000FF"/>
        </w:rPr>
        <w:t>was re-evaluated in 2012</w:t>
      </w:r>
      <w:r w:rsidR="005545D4" w:rsidRPr="00EC03C2">
        <w:rPr>
          <w:color w:val="0000FF"/>
        </w:rPr>
        <w:t xml:space="preserve"> and reviewed by the Bone Joint Measurement Advisory Panel</w:t>
      </w:r>
      <w:r w:rsidR="00D755C3" w:rsidRPr="00EC03C2">
        <w:rPr>
          <w:color w:val="0000FF"/>
        </w:rPr>
        <w:t xml:space="preserve">. </w:t>
      </w:r>
      <w:r w:rsidR="005545D4" w:rsidRPr="00EC03C2">
        <w:rPr>
          <w:color w:val="0000FF"/>
        </w:rPr>
        <w:t xml:space="preserve">The measure was presented to the CPM in September 2012 and the </w:t>
      </w:r>
      <w:r w:rsidR="00D755C3" w:rsidRPr="00EC03C2">
        <w:rPr>
          <w:color w:val="0000FF"/>
        </w:rPr>
        <w:t xml:space="preserve">CPM recommended retaining the measure with no changes </w:t>
      </w:r>
      <w:r w:rsidR="005545D4" w:rsidRPr="00EC03C2">
        <w:rPr>
          <w:color w:val="0000FF"/>
        </w:rPr>
        <w:t xml:space="preserve">by majority vote </w:t>
      </w:r>
      <w:r w:rsidR="00A6142A">
        <w:rPr>
          <w:color w:val="0000FF"/>
        </w:rPr>
        <w:t>in 2012</w:t>
      </w:r>
      <w:r w:rsidR="00D755C3" w:rsidRPr="00EC03C2">
        <w:rPr>
          <w:color w:val="0000FF"/>
        </w:rPr>
        <w:t xml:space="preserve">.  </w:t>
      </w:r>
    </w:p>
    <w:p w14:paraId="03F26C96" w14:textId="3CEDC167" w:rsidR="00247E3C" w:rsidRPr="00EC03C2" w:rsidRDefault="00247E3C" w:rsidP="00247E3C">
      <w:pPr>
        <w:spacing w:before="120" w:after="0" w:line="240" w:lineRule="auto"/>
        <w:rPr>
          <w:color w:val="0000FF"/>
        </w:rPr>
      </w:pPr>
      <w:r w:rsidRPr="00EC03C2">
        <w:rPr>
          <w:b/>
          <w:color w:val="0000FF"/>
        </w:rPr>
        <w:t>Conclusion:</w:t>
      </w:r>
      <w:r w:rsidRPr="00EC03C2">
        <w:rPr>
          <w:color w:val="0000FF"/>
        </w:rPr>
        <w:t xml:space="preserve"> The measure was deemed to have the desirable attri</w:t>
      </w:r>
      <w:r w:rsidR="00A6142A">
        <w:rPr>
          <w:color w:val="0000FF"/>
        </w:rPr>
        <w:t>butes of a HEDIS measure in 2004</w:t>
      </w:r>
      <w:r w:rsidR="002E7FAB" w:rsidRPr="00EC03C2">
        <w:rPr>
          <w:color w:val="0000FF"/>
        </w:rPr>
        <w:t xml:space="preserve"> and 2012</w:t>
      </w:r>
      <w:r w:rsidRPr="00EC03C2">
        <w:rPr>
          <w:color w:val="0000FF"/>
        </w:rPr>
        <w:t xml:space="preserve"> (relevance, scientific soundness, and feasibility).  </w:t>
      </w:r>
    </w:p>
    <w:p w14:paraId="063C60AE" w14:textId="77777777" w:rsidR="00247E3C" w:rsidRPr="00EC03C2" w:rsidRDefault="00247E3C" w:rsidP="00247E3C">
      <w:pPr>
        <w:autoSpaceDE w:val="0"/>
        <w:autoSpaceDN w:val="0"/>
        <w:adjustRightInd w:val="0"/>
        <w:spacing w:after="0" w:line="240" w:lineRule="auto"/>
        <w:rPr>
          <w:color w:val="0000FF"/>
        </w:rPr>
      </w:pPr>
    </w:p>
    <w:p w14:paraId="5555B0CD" w14:textId="0045841A" w:rsidR="00CF6ED2" w:rsidRPr="00EC03C2" w:rsidRDefault="00CF6ED2" w:rsidP="00CF6ED2">
      <w:pPr>
        <w:autoSpaceDE w:val="0"/>
        <w:autoSpaceDN w:val="0"/>
        <w:adjustRightInd w:val="0"/>
        <w:spacing w:after="0" w:line="240" w:lineRule="auto"/>
        <w:rPr>
          <w:b/>
          <w:color w:val="0000FF"/>
        </w:rPr>
      </w:pPr>
      <w:r w:rsidRPr="00EC03C2">
        <w:rPr>
          <w:b/>
          <w:color w:val="0000FF"/>
        </w:rPr>
        <w:t xml:space="preserve">ICD-10 </w:t>
      </w:r>
      <w:r w:rsidR="002A3500" w:rsidRPr="00EC03C2">
        <w:rPr>
          <w:b/>
          <w:color w:val="0000FF"/>
        </w:rPr>
        <w:t>Conversion</w:t>
      </w:r>
    </w:p>
    <w:p w14:paraId="536C8E26" w14:textId="77777777" w:rsidR="00CF6ED2" w:rsidRPr="00EC03C2" w:rsidRDefault="00CF6ED2" w:rsidP="00CF6ED2">
      <w:pPr>
        <w:autoSpaceDE w:val="0"/>
        <w:autoSpaceDN w:val="0"/>
        <w:adjustRightInd w:val="0"/>
        <w:spacing w:after="0" w:line="240" w:lineRule="auto"/>
        <w:rPr>
          <w:color w:val="0000FF"/>
        </w:rPr>
      </w:pPr>
      <w:r w:rsidRPr="00EC03C2">
        <w:rPr>
          <w:color w:val="0000FF"/>
        </w:rPr>
        <w:t>Summary of Stakeholder Comments Received</w:t>
      </w:r>
    </w:p>
    <w:p w14:paraId="0696344E" w14:textId="77777777" w:rsidR="00CF6ED2" w:rsidRPr="00EC03C2" w:rsidRDefault="00CF6ED2" w:rsidP="00CF6ED2">
      <w:pPr>
        <w:autoSpaceDE w:val="0"/>
        <w:autoSpaceDN w:val="0"/>
        <w:adjustRightInd w:val="0"/>
        <w:spacing w:after="0" w:line="240" w:lineRule="auto"/>
        <w:rPr>
          <w:color w:val="0000FF"/>
        </w:rPr>
      </w:pPr>
      <w:r w:rsidRPr="00EC03C2">
        <w:rPr>
          <w:color w:val="0000FF"/>
        </w:rPr>
        <w:t>NCQA posted ICD-10 codes for public review and comment in March 2011 and March 2012. NCQA received comments from four organizations:</w:t>
      </w:r>
    </w:p>
    <w:p w14:paraId="4B614869" w14:textId="77777777" w:rsidR="00CF6ED2" w:rsidRPr="00EC03C2" w:rsidRDefault="00CF6ED2" w:rsidP="00CF6ED2">
      <w:pPr>
        <w:numPr>
          <w:ilvl w:val="0"/>
          <w:numId w:val="33"/>
        </w:numPr>
        <w:autoSpaceDE w:val="0"/>
        <w:autoSpaceDN w:val="0"/>
        <w:adjustRightInd w:val="0"/>
        <w:spacing w:after="0" w:line="240" w:lineRule="auto"/>
        <w:ind w:left="360" w:hanging="360"/>
        <w:rPr>
          <w:color w:val="0000FF"/>
        </w:rPr>
      </w:pPr>
      <w:r w:rsidRPr="00EC03C2">
        <w:rPr>
          <w:color w:val="0000FF"/>
        </w:rPr>
        <w:t>Support recommendations.</w:t>
      </w:r>
    </w:p>
    <w:p w14:paraId="6E23C732" w14:textId="77777777" w:rsidR="00CF6ED2" w:rsidRPr="00EC03C2" w:rsidRDefault="00CF6ED2" w:rsidP="00CF6ED2">
      <w:pPr>
        <w:numPr>
          <w:ilvl w:val="0"/>
          <w:numId w:val="33"/>
        </w:numPr>
        <w:autoSpaceDE w:val="0"/>
        <w:autoSpaceDN w:val="0"/>
        <w:adjustRightInd w:val="0"/>
        <w:spacing w:after="0" w:line="240" w:lineRule="auto"/>
        <w:ind w:left="360" w:hanging="360"/>
        <w:rPr>
          <w:color w:val="0000FF"/>
        </w:rPr>
      </w:pPr>
      <w:r w:rsidRPr="00EC03C2">
        <w:rPr>
          <w:color w:val="0000FF"/>
        </w:rPr>
        <w:t>Questions about select codes.</w:t>
      </w:r>
    </w:p>
    <w:p w14:paraId="6D9DCE4F" w14:textId="77777777" w:rsidR="00CF6ED2" w:rsidRPr="00EC03C2" w:rsidRDefault="00CF6ED2" w:rsidP="00CF6ED2">
      <w:pPr>
        <w:numPr>
          <w:ilvl w:val="0"/>
          <w:numId w:val="33"/>
        </w:numPr>
        <w:autoSpaceDE w:val="0"/>
        <w:autoSpaceDN w:val="0"/>
        <w:adjustRightInd w:val="0"/>
        <w:spacing w:after="0" w:line="240" w:lineRule="auto"/>
        <w:ind w:left="360" w:hanging="360"/>
        <w:rPr>
          <w:color w:val="0000FF"/>
        </w:rPr>
      </w:pPr>
      <w:r w:rsidRPr="00EC03C2">
        <w:rPr>
          <w:color w:val="0000FF"/>
        </w:rPr>
        <w:t>Recommended additional codes for consideration.</w:t>
      </w:r>
    </w:p>
    <w:p w14:paraId="5A00A45C" w14:textId="77777777" w:rsidR="007422FD" w:rsidRPr="00092566" w:rsidRDefault="007422FD" w:rsidP="00092566">
      <w:pPr>
        <w:autoSpaceDE w:val="0"/>
        <w:autoSpaceDN w:val="0"/>
        <w:adjustRightInd w:val="0"/>
        <w:spacing w:after="0" w:line="240" w:lineRule="auto"/>
        <w:rPr>
          <w:rFonts w:cstheme="minorHAnsi"/>
          <w:bCs/>
        </w:rPr>
      </w:pPr>
    </w:p>
    <w:p w14:paraId="65AE3A68" w14:textId="77777777" w:rsidR="007422FD" w:rsidRPr="00EC03C2" w:rsidRDefault="00092566" w:rsidP="00DB3627">
      <w:pPr>
        <w:autoSpaceDE w:val="0"/>
        <w:autoSpaceDN w:val="0"/>
        <w:adjustRightInd w:val="0"/>
        <w:spacing w:after="0" w:line="240" w:lineRule="auto"/>
        <w:rPr>
          <w:rFonts w:cstheme="minorHAnsi"/>
          <w:bCs/>
          <w:u w:val="single"/>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8039194" w14:textId="77777777" w:rsidR="00C47A4B" w:rsidRPr="00EC03C2" w:rsidRDefault="00E8551E" w:rsidP="00C47A4B">
      <w:pPr>
        <w:autoSpaceDE w:val="0"/>
        <w:autoSpaceDN w:val="0"/>
        <w:adjustRightInd w:val="0"/>
        <w:spacing w:after="0" w:line="240" w:lineRule="auto"/>
        <w:rPr>
          <w:b/>
          <w:color w:val="0000FF"/>
          <w:u w:val="single"/>
        </w:rPr>
      </w:pPr>
      <w:r w:rsidRPr="00EC03C2">
        <w:rPr>
          <w:b/>
          <w:color w:val="0000FF"/>
          <w:u w:val="single"/>
        </w:rPr>
        <w:t xml:space="preserve">Interpretation of </w:t>
      </w:r>
      <w:r w:rsidR="00F832ED" w:rsidRPr="00EC03C2">
        <w:rPr>
          <w:b/>
          <w:color w:val="0000FF"/>
          <w:u w:val="single"/>
        </w:rPr>
        <w:t>Data Element</w:t>
      </w:r>
      <w:r w:rsidR="00C47A4B" w:rsidRPr="00EC03C2">
        <w:rPr>
          <w:b/>
          <w:color w:val="0000FF"/>
          <w:u w:val="single"/>
        </w:rPr>
        <w:t xml:space="preserve"> Validity Testing </w:t>
      </w:r>
    </w:p>
    <w:p w14:paraId="6BF4C6E3" w14:textId="2FB8F3A3" w:rsidR="00264165" w:rsidRPr="00EC03C2" w:rsidRDefault="002A3500" w:rsidP="00EC03C2">
      <w:pPr>
        <w:autoSpaceDE w:val="0"/>
        <w:autoSpaceDN w:val="0"/>
        <w:adjustRightInd w:val="0"/>
        <w:spacing w:after="0" w:line="240" w:lineRule="auto"/>
        <w:rPr>
          <w:color w:val="0000FF"/>
        </w:rPr>
      </w:pPr>
      <w:r w:rsidRPr="00EC03C2">
        <w:rPr>
          <w:color w:val="0000FF"/>
        </w:rPr>
        <w:t xml:space="preserve">Table 4 </w:t>
      </w:r>
      <w:r w:rsidR="00C241B4" w:rsidRPr="00EC03C2">
        <w:rPr>
          <w:color w:val="0000FF"/>
        </w:rPr>
        <w:t xml:space="preserve">shows that </w:t>
      </w:r>
      <w:r w:rsidR="00264165" w:rsidRPr="00EC03C2">
        <w:rPr>
          <w:color w:val="0000FF"/>
        </w:rPr>
        <w:t>there is good agreement between claims data and medical record data to identify the diagnosis</w:t>
      </w:r>
      <w:r w:rsidR="00C241B4" w:rsidRPr="00EC03C2">
        <w:rPr>
          <w:color w:val="0000FF"/>
        </w:rPr>
        <w:t xml:space="preserve"> of low back pain (denominator) with an average confirmati</w:t>
      </w:r>
      <w:r w:rsidRPr="00EC03C2">
        <w:rPr>
          <w:color w:val="0000FF"/>
        </w:rPr>
        <w:t>on rate of 86.6 percent. Table 5</w:t>
      </w:r>
      <w:r w:rsidR="00C241B4" w:rsidRPr="00EC03C2">
        <w:rPr>
          <w:color w:val="0000FF"/>
        </w:rPr>
        <w:t xml:space="preserve"> shows good agreement between claims data and medical record for </w:t>
      </w:r>
      <w:r w:rsidR="00264165" w:rsidRPr="00EC03C2">
        <w:rPr>
          <w:color w:val="0000FF"/>
        </w:rPr>
        <w:t>inappropriate imaging (numerator)</w:t>
      </w:r>
      <w:r w:rsidR="00C241B4" w:rsidRPr="00EC03C2">
        <w:rPr>
          <w:color w:val="0000FF"/>
        </w:rPr>
        <w:t xml:space="preserve"> with an average agreement rate of 80.3 percent</w:t>
      </w:r>
      <w:r w:rsidR="00264165" w:rsidRPr="00EC03C2">
        <w:rPr>
          <w:color w:val="0000FF"/>
        </w:rPr>
        <w:t xml:space="preserve">. </w:t>
      </w:r>
      <w:r w:rsidR="00C241B4" w:rsidRPr="00EC03C2">
        <w:rPr>
          <w:color w:val="0000FF"/>
        </w:rPr>
        <w:t xml:space="preserve">In addition, Table </w:t>
      </w:r>
      <w:r w:rsidRPr="00EC03C2">
        <w:rPr>
          <w:color w:val="0000FF"/>
        </w:rPr>
        <w:t>5</w:t>
      </w:r>
      <w:r w:rsidR="00C241B4" w:rsidRPr="00EC03C2">
        <w:rPr>
          <w:color w:val="0000FF"/>
        </w:rPr>
        <w:t xml:space="preserve"> shows that w</w:t>
      </w:r>
      <w:r w:rsidR="00264165" w:rsidRPr="00EC03C2">
        <w:rPr>
          <w:color w:val="0000FF"/>
        </w:rPr>
        <w:t xml:space="preserve">e found more cases </w:t>
      </w:r>
      <w:r w:rsidR="002E05CB" w:rsidRPr="00EC03C2">
        <w:rPr>
          <w:color w:val="0000FF"/>
        </w:rPr>
        <w:t xml:space="preserve">of inappropriate imaging in </w:t>
      </w:r>
      <w:r w:rsidR="00E735D2" w:rsidRPr="00EC03C2">
        <w:rPr>
          <w:color w:val="0000FF"/>
        </w:rPr>
        <w:t xml:space="preserve">administrative claims data only than were found in the medical record only. This might be due to the fact that providers </w:t>
      </w:r>
      <w:r w:rsidR="002E05CB" w:rsidRPr="00EC03C2">
        <w:rPr>
          <w:color w:val="0000FF"/>
        </w:rPr>
        <w:t>may</w:t>
      </w:r>
      <w:r w:rsidR="00E735D2" w:rsidRPr="00EC03C2">
        <w:rPr>
          <w:color w:val="0000FF"/>
        </w:rPr>
        <w:t xml:space="preserve"> not </w:t>
      </w:r>
      <w:r w:rsidR="002E05CB" w:rsidRPr="00EC03C2">
        <w:rPr>
          <w:color w:val="0000FF"/>
        </w:rPr>
        <w:t xml:space="preserve">regularly </w:t>
      </w:r>
      <w:r w:rsidR="00E735D2" w:rsidRPr="00EC03C2">
        <w:rPr>
          <w:color w:val="0000FF"/>
        </w:rPr>
        <w:t xml:space="preserve">document the findings of imaging tests in the medical record. </w:t>
      </w:r>
    </w:p>
    <w:p w14:paraId="287ED06D" w14:textId="77777777" w:rsidR="005C37E1" w:rsidRPr="00EC03C2" w:rsidRDefault="005C37E1" w:rsidP="00EC03C2">
      <w:pPr>
        <w:autoSpaceDE w:val="0"/>
        <w:autoSpaceDN w:val="0"/>
        <w:adjustRightInd w:val="0"/>
        <w:spacing w:after="0" w:line="240" w:lineRule="auto"/>
        <w:rPr>
          <w:color w:val="0000FF"/>
        </w:rPr>
      </w:pPr>
    </w:p>
    <w:p w14:paraId="3D0D7954" w14:textId="77777777" w:rsidR="002A3500" w:rsidRPr="00EC03C2" w:rsidRDefault="004622B2" w:rsidP="00EC03C2">
      <w:pPr>
        <w:autoSpaceDE w:val="0"/>
        <w:autoSpaceDN w:val="0"/>
        <w:adjustRightInd w:val="0"/>
        <w:spacing w:after="0" w:line="240" w:lineRule="auto"/>
        <w:rPr>
          <w:b/>
          <w:color w:val="0000FF"/>
          <w:u w:val="single"/>
        </w:rPr>
      </w:pPr>
      <w:r w:rsidRPr="00EC03C2">
        <w:rPr>
          <w:b/>
          <w:color w:val="0000FF"/>
          <w:u w:val="single"/>
        </w:rPr>
        <w:t xml:space="preserve">Interpretation of </w:t>
      </w:r>
      <w:r w:rsidR="00D629DE" w:rsidRPr="00EC03C2">
        <w:rPr>
          <w:b/>
          <w:color w:val="0000FF"/>
          <w:u w:val="single"/>
        </w:rPr>
        <w:t>S</w:t>
      </w:r>
      <w:r w:rsidRPr="00EC03C2">
        <w:rPr>
          <w:b/>
          <w:color w:val="0000FF"/>
          <w:u w:val="single"/>
        </w:rPr>
        <w:t xml:space="preserve">ystematic </w:t>
      </w:r>
      <w:r w:rsidR="00D629DE" w:rsidRPr="00EC03C2">
        <w:rPr>
          <w:b/>
          <w:color w:val="0000FF"/>
          <w:u w:val="single"/>
        </w:rPr>
        <w:t>A</w:t>
      </w:r>
      <w:r w:rsidRPr="00EC03C2">
        <w:rPr>
          <w:b/>
          <w:color w:val="0000FF"/>
          <w:u w:val="single"/>
        </w:rPr>
        <w:t xml:space="preserve">ssessment of </w:t>
      </w:r>
      <w:r w:rsidR="00D629DE" w:rsidRPr="00EC03C2">
        <w:rPr>
          <w:b/>
          <w:color w:val="0000FF"/>
          <w:u w:val="single"/>
        </w:rPr>
        <w:t>F</w:t>
      </w:r>
      <w:r w:rsidRPr="00EC03C2">
        <w:rPr>
          <w:b/>
          <w:color w:val="0000FF"/>
          <w:u w:val="single"/>
        </w:rPr>
        <w:t xml:space="preserve">ace </w:t>
      </w:r>
      <w:r w:rsidR="00D629DE" w:rsidRPr="00EC03C2">
        <w:rPr>
          <w:b/>
          <w:color w:val="0000FF"/>
          <w:u w:val="single"/>
        </w:rPr>
        <w:t>V</w:t>
      </w:r>
      <w:r w:rsidRPr="00EC03C2">
        <w:rPr>
          <w:b/>
          <w:color w:val="0000FF"/>
          <w:u w:val="single"/>
        </w:rPr>
        <w:t>alidity</w:t>
      </w:r>
    </w:p>
    <w:p w14:paraId="240EB70C" w14:textId="48F4565E" w:rsidR="004622B2" w:rsidRPr="00EC03C2" w:rsidRDefault="004622B2" w:rsidP="00EC03C2">
      <w:pPr>
        <w:autoSpaceDE w:val="0"/>
        <w:autoSpaceDN w:val="0"/>
        <w:adjustRightInd w:val="0"/>
        <w:spacing w:after="0" w:line="240" w:lineRule="auto"/>
        <w:rPr>
          <w:color w:val="0000FF"/>
        </w:rPr>
      </w:pPr>
      <w:r w:rsidRPr="00EC03C2">
        <w:rPr>
          <w:color w:val="0000FF"/>
        </w:rPr>
        <w:t xml:space="preserve">These results indicate </w:t>
      </w:r>
      <w:r w:rsidR="00D629DE" w:rsidRPr="00EC03C2">
        <w:rPr>
          <w:color w:val="0000FF"/>
        </w:rPr>
        <w:t xml:space="preserve">that </w:t>
      </w:r>
      <w:r w:rsidRPr="00EC03C2">
        <w:rPr>
          <w:color w:val="0000FF"/>
        </w:rPr>
        <w:t xml:space="preserve">the </w:t>
      </w:r>
      <w:r w:rsidR="000F70F7" w:rsidRPr="00EC03C2">
        <w:rPr>
          <w:color w:val="0000FF"/>
        </w:rPr>
        <w:t xml:space="preserve">expert panels </w:t>
      </w:r>
      <w:r w:rsidR="00D629DE" w:rsidRPr="00EC03C2">
        <w:rPr>
          <w:color w:val="0000FF"/>
        </w:rPr>
        <w:t xml:space="preserve">were in agreement </w:t>
      </w:r>
      <w:r w:rsidRPr="00EC03C2">
        <w:rPr>
          <w:color w:val="0000FF"/>
        </w:rPr>
        <w:t xml:space="preserve">that the measure as specified will accurately differentiate quality across </w:t>
      </w:r>
      <w:r w:rsidR="0036020F" w:rsidRPr="00EC03C2">
        <w:rPr>
          <w:color w:val="0000FF"/>
        </w:rPr>
        <w:t>health plans</w:t>
      </w:r>
      <w:r w:rsidRPr="00EC03C2">
        <w:rPr>
          <w:color w:val="0000FF"/>
        </w:rPr>
        <w:t>. Our interpretation of these results is that this measure has sufficient face validity.</w:t>
      </w:r>
    </w:p>
    <w:p w14:paraId="4E80380E"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27F36214" w14:textId="77777777"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14:paraId="3F066FCF"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74FC2A2B" w14:textId="77777777" w:rsidR="00001D73" w:rsidRDefault="00001D73" w:rsidP="00DB3627">
      <w:pPr>
        <w:autoSpaceDE w:val="0"/>
        <w:autoSpaceDN w:val="0"/>
        <w:adjustRightInd w:val="0"/>
        <w:spacing w:after="0" w:line="240" w:lineRule="auto"/>
        <w:rPr>
          <w:rFonts w:cstheme="minorHAnsi"/>
          <w:b/>
          <w:bCs/>
        </w:rPr>
      </w:pPr>
    </w:p>
    <w:p w14:paraId="603E5B18" w14:textId="04DF03AB" w:rsidR="002A3500" w:rsidRPr="00EC03C2" w:rsidRDefault="002A3500" w:rsidP="00DB3627">
      <w:pPr>
        <w:autoSpaceDE w:val="0"/>
        <w:autoSpaceDN w:val="0"/>
        <w:adjustRightInd w:val="0"/>
        <w:spacing w:after="0" w:line="240" w:lineRule="auto"/>
        <w:rPr>
          <w:color w:val="0000FF"/>
        </w:rPr>
      </w:pPr>
      <w:r w:rsidRPr="00EC03C2">
        <w:rPr>
          <w:color w:val="0000FF"/>
        </w:rPr>
        <w:t xml:space="preserve">While the measure does not contain exclusions, </w:t>
      </w:r>
      <w:r w:rsidR="00441842" w:rsidRPr="00EC03C2">
        <w:rPr>
          <w:color w:val="0000FF"/>
        </w:rPr>
        <w:t xml:space="preserve">the identification of eligible individuals for the denominator includes a </w:t>
      </w:r>
      <w:r w:rsidRPr="00EC03C2">
        <w:rPr>
          <w:color w:val="0000FF"/>
        </w:rPr>
        <w:t>negative diagnos</w:t>
      </w:r>
      <w:r w:rsidR="00441842" w:rsidRPr="00EC03C2">
        <w:rPr>
          <w:color w:val="0000FF"/>
        </w:rPr>
        <w:t xml:space="preserve">is history. Individuals with a history of cancer, recent trauma, intravenous drug abuse, and neurologic impairment are not included in the denominator. We analyzed these “red flags” and others during field testing. </w:t>
      </w:r>
    </w:p>
    <w:p w14:paraId="533991F7" w14:textId="77777777" w:rsidR="002A3500" w:rsidRDefault="002A3500" w:rsidP="00DB3627">
      <w:pPr>
        <w:autoSpaceDE w:val="0"/>
        <w:autoSpaceDN w:val="0"/>
        <w:adjustRightInd w:val="0"/>
        <w:spacing w:after="0" w:line="240" w:lineRule="auto"/>
        <w:rPr>
          <w:rFonts w:cstheme="minorHAnsi"/>
          <w:b/>
          <w:bCs/>
        </w:rPr>
      </w:pPr>
    </w:p>
    <w:p w14:paraId="24E1A2EF" w14:textId="277B6C0C" w:rsidR="009F7B22" w:rsidRDefault="00092566" w:rsidP="00325335">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r>
    </w:p>
    <w:p w14:paraId="2D5DCA48" w14:textId="77777777" w:rsidR="00325335" w:rsidRPr="00EC03C2" w:rsidRDefault="00D629DE" w:rsidP="00325335">
      <w:pPr>
        <w:autoSpaceDE w:val="0"/>
        <w:autoSpaceDN w:val="0"/>
        <w:adjustRightInd w:val="0"/>
        <w:spacing w:after="0" w:line="240" w:lineRule="auto"/>
        <w:rPr>
          <w:b/>
          <w:color w:val="0000FF"/>
          <w:u w:val="single"/>
        </w:rPr>
      </w:pPr>
      <w:r w:rsidRPr="00EC03C2">
        <w:rPr>
          <w:b/>
          <w:color w:val="0000FF"/>
          <w:u w:val="single"/>
        </w:rPr>
        <w:t>Exclusion Analysis Using Field Test Data</w:t>
      </w:r>
      <w:r w:rsidR="00325335" w:rsidRPr="00EC03C2">
        <w:rPr>
          <w:b/>
          <w:color w:val="0000FF"/>
          <w:u w:val="single"/>
        </w:rPr>
        <w:t xml:space="preserve"> </w:t>
      </w:r>
    </w:p>
    <w:p w14:paraId="02260061" w14:textId="77777777" w:rsidR="00374B2F" w:rsidRPr="00EC03C2" w:rsidRDefault="00374B2F" w:rsidP="00374B2F">
      <w:pPr>
        <w:spacing w:after="0" w:line="240" w:lineRule="auto"/>
        <w:rPr>
          <w:color w:val="0000FF"/>
        </w:rPr>
      </w:pPr>
      <w:r w:rsidRPr="00EC03C2">
        <w:rPr>
          <w:color w:val="0000FF"/>
        </w:rPr>
        <w:t xml:space="preserve">The aim of testing exclusions in the field test data was to determine how common exclusionary diagnoses (i.e. red flags) </w:t>
      </w:r>
      <w:r w:rsidR="00556909" w:rsidRPr="00EC03C2">
        <w:rPr>
          <w:color w:val="0000FF"/>
        </w:rPr>
        <w:t>would be</w:t>
      </w:r>
      <w:r w:rsidRPr="00EC03C2">
        <w:rPr>
          <w:color w:val="0000FF"/>
        </w:rPr>
        <w:t xml:space="preserve"> in the eligible patient population and the</w:t>
      </w:r>
      <w:r w:rsidR="00711644" w:rsidRPr="00EC03C2">
        <w:rPr>
          <w:color w:val="0000FF"/>
        </w:rPr>
        <w:t xml:space="preserve"> impact of these exclusions</w:t>
      </w:r>
      <w:r w:rsidRPr="00EC03C2">
        <w:rPr>
          <w:color w:val="0000FF"/>
        </w:rPr>
        <w:t xml:space="preserve"> on denominator sizes and performance rates.</w:t>
      </w:r>
      <w:r w:rsidR="00556909" w:rsidRPr="00EC03C2">
        <w:rPr>
          <w:color w:val="0000FF"/>
        </w:rPr>
        <w:t xml:space="preserve"> Our</w:t>
      </w:r>
      <w:r w:rsidR="00711644" w:rsidRPr="00EC03C2">
        <w:rPr>
          <w:color w:val="0000FF"/>
        </w:rPr>
        <w:t xml:space="preserve"> results </w:t>
      </w:r>
      <w:r w:rsidR="00556909" w:rsidRPr="00EC03C2">
        <w:rPr>
          <w:color w:val="0000FF"/>
        </w:rPr>
        <w:t xml:space="preserve">(detailed below) </w:t>
      </w:r>
      <w:r w:rsidR="00711644" w:rsidRPr="00EC03C2">
        <w:rPr>
          <w:color w:val="0000FF"/>
        </w:rPr>
        <w:t xml:space="preserve">show </w:t>
      </w:r>
      <w:r w:rsidR="00027371" w:rsidRPr="00EC03C2">
        <w:rPr>
          <w:color w:val="0000FF"/>
        </w:rPr>
        <w:t xml:space="preserve">slight </w:t>
      </w:r>
      <w:r w:rsidR="00711644" w:rsidRPr="00EC03C2">
        <w:rPr>
          <w:color w:val="0000FF"/>
        </w:rPr>
        <w:t xml:space="preserve">differences in performance rates with and without exclusions and across data sources (administrative vs. medical record).  </w:t>
      </w:r>
    </w:p>
    <w:p w14:paraId="06E94303" w14:textId="77777777" w:rsidR="0091669E" w:rsidRPr="008F0FAF" w:rsidRDefault="0091669E" w:rsidP="00DB3627">
      <w:pPr>
        <w:autoSpaceDE w:val="0"/>
        <w:autoSpaceDN w:val="0"/>
        <w:adjustRightInd w:val="0"/>
        <w:spacing w:after="0" w:line="240" w:lineRule="auto"/>
        <w:rPr>
          <w:rFonts w:cstheme="minorHAnsi"/>
          <w:bCs/>
        </w:rPr>
      </w:pPr>
    </w:p>
    <w:p w14:paraId="036C295F" w14:textId="57BF108D" w:rsidR="008B49BB" w:rsidRPr="00EC03C2" w:rsidRDefault="00092566" w:rsidP="008E585A">
      <w:pPr>
        <w:autoSpaceDE w:val="0"/>
        <w:autoSpaceDN w:val="0"/>
        <w:adjustRightInd w:val="0"/>
        <w:spacing w:after="0" w:line="240" w:lineRule="auto"/>
        <w:rPr>
          <w:rFonts w:cstheme="minorHAnsi"/>
          <w:b/>
          <w:bCs/>
          <w:color w:val="0070C0"/>
          <w:u w:val="single"/>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77BD07D" w14:textId="77777777" w:rsidR="008E585A" w:rsidRPr="00EC03C2" w:rsidRDefault="00D629DE" w:rsidP="008E585A">
      <w:pPr>
        <w:autoSpaceDE w:val="0"/>
        <w:autoSpaceDN w:val="0"/>
        <w:adjustRightInd w:val="0"/>
        <w:spacing w:after="0" w:line="240" w:lineRule="auto"/>
        <w:rPr>
          <w:b/>
          <w:color w:val="0000FF"/>
          <w:u w:val="single"/>
        </w:rPr>
      </w:pPr>
      <w:r w:rsidRPr="00EC03C2">
        <w:rPr>
          <w:b/>
          <w:color w:val="0000FF"/>
          <w:u w:val="single"/>
        </w:rPr>
        <w:t>Field Test Data</w:t>
      </w:r>
    </w:p>
    <w:p w14:paraId="13FA4758" w14:textId="77777777" w:rsidR="00DA21C7" w:rsidRPr="00EC03C2" w:rsidRDefault="00DA21C7" w:rsidP="00C61753">
      <w:pPr>
        <w:spacing w:after="0" w:line="240" w:lineRule="auto"/>
        <w:rPr>
          <w:color w:val="0000FF"/>
        </w:rPr>
      </w:pPr>
    </w:p>
    <w:p w14:paraId="038FBF15" w14:textId="7D0D9AD2" w:rsidR="00DA21C7" w:rsidRPr="00EC03C2" w:rsidRDefault="008B49BB" w:rsidP="00DA21C7">
      <w:pPr>
        <w:pStyle w:val="Heading2"/>
        <w:rPr>
          <w:rFonts w:asciiTheme="minorHAnsi" w:eastAsiaTheme="minorEastAsia" w:hAnsiTheme="minorHAnsi" w:cstheme="minorBidi"/>
          <w:color w:val="0000FF"/>
          <w:sz w:val="22"/>
          <w:szCs w:val="22"/>
        </w:rPr>
      </w:pPr>
      <w:r w:rsidRPr="00EC03C2">
        <w:rPr>
          <w:rFonts w:asciiTheme="minorHAnsi" w:eastAsiaTheme="minorEastAsia" w:hAnsiTheme="minorHAnsi" w:cstheme="minorBidi"/>
          <w:color w:val="0000FF"/>
          <w:sz w:val="22"/>
          <w:szCs w:val="22"/>
        </w:rPr>
        <w:t xml:space="preserve">Table </w:t>
      </w:r>
      <w:r w:rsidR="00DB46CC" w:rsidRPr="00EC03C2">
        <w:rPr>
          <w:rFonts w:asciiTheme="minorHAnsi" w:eastAsiaTheme="minorEastAsia" w:hAnsiTheme="minorHAnsi" w:cstheme="minorBidi"/>
          <w:color w:val="0000FF"/>
          <w:sz w:val="22"/>
          <w:szCs w:val="22"/>
        </w:rPr>
        <w:t>6</w:t>
      </w:r>
      <w:r w:rsidR="00441842" w:rsidRPr="00EC03C2">
        <w:rPr>
          <w:rFonts w:asciiTheme="minorHAnsi" w:eastAsiaTheme="minorEastAsia" w:hAnsiTheme="minorHAnsi" w:cstheme="minorBidi"/>
          <w:color w:val="0000FF"/>
          <w:sz w:val="22"/>
          <w:szCs w:val="22"/>
        </w:rPr>
        <w:t xml:space="preserve">. </w:t>
      </w:r>
      <w:r w:rsidR="00DA21C7" w:rsidRPr="00EC03C2">
        <w:rPr>
          <w:rFonts w:asciiTheme="minorHAnsi" w:eastAsiaTheme="minorEastAsia" w:hAnsiTheme="minorHAnsi" w:cstheme="minorBidi"/>
          <w:color w:val="0000FF"/>
          <w:sz w:val="22"/>
          <w:szCs w:val="22"/>
        </w:rPr>
        <w:t>Frequency of Exclusionary (Red Flag) Conditions*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1350"/>
        <w:gridCol w:w="1440"/>
      </w:tblGrid>
      <w:tr w:rsidR="009F7B22" w:rsidRPr="00EC03C2" w14:paraId="77D053AA" w14:textId="77777777" w:rsidTr="00624927">
        <w:tc>
          <w:tcPr>
            <w:tcW w:w="2628" w:type="dxa"/>
          </w:tcPr>
          <w:p w14:paraId="3CA24060" w14:textId="77777777" w:rsidR="00DA21C7" w:rsidRPr="00EC03C2" w:rsidRDefault="00DA21C7" w:rsidP="00DA21C7">
            <w:pPr>
              <w:spacing w:after="0" w:line="240" w:lineRule="auto"/>
              <w:rPr>
                <w:color w:val="0000FF"/>
              </w:rPr>
            </w:pPr>
          </w:p>
          <w:p w14:paraId="378C821C" w14:textId="77777777" w:rsidR="00DA21C7" w:rsidRPr="00EC03C2" w:rsidRDefault="00DA21C7" w:rsidP="00DD3D17">
            <w:pPr>
              <w:spacing w:after="0" w:line="240" w:lineRule="auto"/>
              <w:jc w:val="center"/>
              <w:rPr>
                <w:color w:val="0000FF"/>
              </w:rPr>
            </w:pPr>
            <w:r w:rsidRPr="00EC03C2">
              <w:rPr>
                <w:color w:val="0000FF"/>
              </w:rPr>
              <w:t>Condition</w:t>
            </w:r>
          </w:p>
        </w:tc>
        <w:tc>
          <w:tcPr>
            <w:tcW w:w="1350" w:type="dxa"/>
          </w:tcPr>
          <w:p w14:paraId="246840D8" w14:textId="77777777" w:rsidR="00DA21C7" w:rsidRPr="00EC03C2" w:rsidRDefault="00DA21C7" w:rsidP="00DA21C7">
            <w:pPr>
              <w:spacing w:after="0" w:line="240" w:lineRule="auto"/>
              <w:jc w:val="center"/>
              <w:rPr>
                <w:color w:val="0000FF"/>
              </w:rPr>
            </w:pPr>
          </w:p>
          <w:p w14:paraId="4E8C5BAF" w14:textId="77777777" w:rsidR="00DA21C7" w:rsidRPr="00EC03C2" w:rsidRDefault="00DA21C7" w:rsidP="00DA21C7">
            <w:pPr>
              <w:spacing w:after="0" w:line="240" w:lineRule="auto"/>
              <w:jc w:val="center"/>
              <w:rPr>
                <w:color w:val="0000FF"/>
              </w:rPr>
            </w:pPr>
            <w:r w:rsidRPr="00EC03C2">
              <w:rPr>
                <w:color w:val="0000FF"/>
              </w:rPr>
              <w:t>Frequency</w:t>
            </w:r>
          </w:p>
        </w:tc>
        <w:tc>
          <w:tcPr>
            <w:tcW w:w="1440" w:type="dxa"/>
          </w:tcPr>
          <w:p w14:paraId="1F128912" w14:textId="77777777" w:rsidR="00DA21C7" w:rsidRPr="00EC03C2" w:rsidRDefault="00DA21C7" w:rsidP="00DA21C7">
            <w:pPr>
              <w:spacing w:after="0" w:line="240" w:lineRule="auto"/>
              <w:jc w:val="center"/>
              <w:rPr>
                <w:color w:val="0000FF"/>
              </w:rPr>
            </w:pPr>
            <w:r w:rsidRPr="00EC03C2">
              <w:rPr>
                <w:color w:val="0000FF"/>
              </w:rPr>
              <w:t>Percent of LBP Episodes</w:t>
            </w:r>
          </w:p>
          <w:p w14:paraId="79A631C5" w14:textId="252146D1" w:rsidR="00435D6F" w:rsidRPr="00EC03C2" w:rsidRDefault="00435D6F" w:rsidP="00DA21C7">
            <w:pPr>
              <w:spacing w:after="0" w:line="240" w:lineRule="auto"/>
              <w:jc w:val="center"/>
              <w:rPr>
                <w:color w:val="0000FF"/>
              </w:rPr>
            </w:pPr>
            <w:r w:rsidRPr="00EC03C2">
              <w:rPr>
                <w:color w:val="0000FF"/>
              </w:rPr>
              <w:t>(N=22,281)</w:t>
            </w:r>
          </w:p>
        </w:tc>
      </w:tr>
      <w:tr w:rsidR="00502682" w:rsidRPr="00EC03C2" w14:paraId="1A277AF4" w14:textId="77777777" w:rsidTr="00502682">
        <w:tc>
          <w:tcPr>
            <w:tcW w:w="2628" w:type="dxa"/>
          </w:tcPr>
          <w:p w14:paraId="49329208" w14:textId="77777777" w:rsidR="00502682" w:rsidRPr="00EC03C2" w:rsidRDefault="00502682" w:rsidP="00502682">
            <w:pPr>
              <w:spacing w:after="0" w:line="240" w:lineRule="auto"/>
              <w:rPr>
                <w:color w:val="0000FF"/>
              </w:rPr>
            </w:pPr>
            <w:r w:rsidRPr="00EC03C2">
              <w:rPr>
                <w:color w:val="0000FF"/>
              </w:rPr>
              <w:t>Prior Cancer</w:t>
            </w:r>
          </w:p>
        </w:tc>
        <w:tc>
          <w:tcPr>
            <w:tcW w:w="1350" w:type="dxa"/>
            <w:vAlign w:val="bottom"/>
          </w:tcPr>
          <w:p w14:paraId="34191B78" w14:textId="77777777" w:rsidR="00502682" w:rsidRPr="00EC03C2" w:rsidRDefault="00502682" w:rsidP="00502682">
            <w:pPr>
              <w:spacing w:after="0" w:line="240" w:lineRule="auto"/>
              <w:jc w:val="center"/>
              <w:rPr>
                <w:color w:val="0000FF"/>
              </w:rPr>
            </w:pPr>
            <w:r w:rsidRPr="00EC03C2">
              <w:rPr>
                <w:color w:val="0000FF"/>
              </w:rPr>
              <w:t>431</w:t>
            </w:r>
          </w:p>
        </w:tc>
        <w:tc>
          <w:tcPr>
            <w:tcW w:w="1440" w:type="dxa"/>
            <w:vAlign w:val="bottom"/>
          </w:tcPr>
          <w:p w14:paraId="423F86E9" w14:textId="77777777" w:rsidR="00502682" w:rsidRPr="00EC03C2" w:rsidRDefault="00502682" w:rsidP="00502682">
            <w:pPr>
              <w:spacing w:after="0" w:line="240" w:lineRule="auto"/>
              <w:jc w:val="center"/>
              <w:rPr>
                <w:color w:val="0000FF"/>
              </w:rPr>
            </w:pPr>
            <w:r w:rsidRPr="00EC03C2">
              <w:rPr>
                <w:color w:val="0000FF"/>
              </w:rPr>
              <w:t>1.9</w:t>
            </w:r>
          </w:p>
        </w:tc>
      </w:tr>
      <w:tr w:rsidR="009F7B22" w:rsidRPr="00EC03C2" w14:paraId="36F1F734" w14:textId="77777777" w:rsidTr="00624927">
        <w:tc>
          <w:tcPr>
            <w:tcW w:w="2628" w:type="dxa"/>
          </w:tcPr>
          <w:p w14:paraId="0E269FC4" w14:textId="77777777" w:rsidR="00DA21C7" w:rsidRPr="00EC03C2" w:rsidRDefault="00DA21C7" w:rsidP="00DA21C7">
            <w:pPr>
              <w:spacing w:after="0" w:line="240" w:lineRule="auto"/>
              <w:rPr>
                <w:color w:val="0000FF"/>
              </w:rPr>
            </w:pPr>
            <w:r w:rsidRPr="00EC03C2">
              <w:rPr>
                <w:color w:val="0000FF"/>
              </w:rPr>
              <w:t>Recent Trauma</w:t>
            </w:r>
          </w:p>
        </w:tc>
        <w:tc>
          <w:tcPr>
            <w:tcW w:w="1350" w:type="dxa"/>
            <w:vAlign w:val="bottom"/>
          </w:tcPr>
          <w:p w14:paraId="7ACBD12E" w14:textId="77777777" w:rsidR="00DA21C7" w:rsidRPr="00EC03C2" w:rsidRDefault="00DA21C7" w:rsidP="00DA21C7">
            <w:pPr>
              <w:spacing w:after="0" w:line="240" w:lineRule="auto"/>
              <w:jc w:val="center"/>
              <w:rPr>
                <w:color w:val="0000FF"/>
              </w:rPr>
            </w:pPr>
            <w:r w:rsidRPr="00EC03C2">
              <w:rPr>
                <w:color w:val="0000FF"/>
              </w:rPr>
              <w:t>198</w:t>
            </w:r>
          </w:p>
        </w:tc>
        <w:tc>
          <w:tcPr>
            <w:tcW w:w="1440" w:type="dxa"/>
            <w:vAlign w:val="bottom"/>
          </w:tcPr>
          <w:p w14:paraId="7824CDA4" w14:textId="77777777" w:rsidR="00DA21C7" w:rsidRPr="00EC03C2" w:rsidRDefault="00DA21C7" w:rsidP="00DA21C7">
            <w:pPr>
              <w:spacing w:after="0" w:line="240" w:lineRule="auto"/>
              <w:jc w:val="center"/>
              <w:rPr>
                <w:color w:val="0000FF"/>
              </w:rPr>
            </w:pPr>
            <w:r w:rsidRPr="00EC03C2">
              <w:rPr>
                <w:color w:val="0000FF"/>
              </w:rPr>
              <w:t>0.9</w:t>
            </w:r>
          </w:p>
        </w:tc>
      </w:tr>
      <w:tr w:rsidR="00502682" w:rsidRPr="00EC03C2" w14:paraId="702364FE" w14:textId="77777777" w:rsidTr="00502682">
        <w:tc>
          <w:tcPr>
            <w:tcW w:w="2628" w:type="dxa"/>
          </w:tcPr>
          <w:p w14:paraId="00C5A348" w14:textId="77777777" w:rsidR="00502682" w:rsidRPr="00EC03C2" w:rsidRDefault="00502682" w:rsidP="00502682">
            <w:pPr>
              <w:spacing w:after="0" w:line="240" w:lineRule="auto"/>
              <w:rPr>
                <w:color w:val="0000FF"/>
              </w:rPr>
            </w:pPr>
            <w:r w:rsidRPr="00EC03C2">
              <w:rPr>
                <w:color w:val="0000FF"/>
              </w:rPr>
              <w:t>IV Drug Use</w:t>
            </w:r>
          </w:p>
        </w:tc>
        <w:tc>
          <w:tcPr>
            <w:tcW w:w="1350" w:type="dxa"/>
            <w:vAlign w:val="bottom"/>
          </w:tcPr>
          <w:p w14:paraId="3915A74C" w14:textId="77777777" w:rsidR="00502682" w:rsidRPr="00EC03C2" w:rsidRDefault="00502682" w:rsidP="00502682">
            <w:pPr>
              <w:spacing w:after="0" w:line="240" w:lineRule="auto"/>
              <w:jc w:val="center"/>
              <w:rPr>
                <w:color w:val="0000FF"/>
              </w:rPr>
            </w:pPr>
            <w:r w:rsidRPr="00EC03C2">
              <w:rPr>
                <w:color w:val="0000FF"/>
              </w:rPr>
              <w:t>153</w:t>
            </w:r>
          </w:p>
        </w:tc>
        <w:tc>
          <w:tcPr>
            <w:tcW w:w="1440" w:type="dxa"/>
            <w:vAlign w:val="bottom"/>
          </w:tcPr>
          <w:p w14:paraId="0EBFD38C" w14:textId="77777777" w:rsidR="00502682" w:rsidRPr="00EC03C2" w:rsidRDefault="00502682" w:rsidP="00502682">
            <w:pPr>
              <w:spacing w:after="0" w:line="240" w:lineRule="auto"/>
              <w:jc w:val="center"/>
              <w:rPr>
                <w:color w:val="0000FF"/>
              </w:rPr>
            </w:pPr>
            <w:r w:rsidRPr="00EC03C2">
              <w:rPr>
                <w:color w:val="0000FF"/>
              </w:rPr>
              <w:t>0.7</w:t>
            </w:r>
          </w:p>
        </w:tc>
      </w:tr>
      <w:tr w:rsidR="00502682" w:rsidRPr="00502682" w14:paraId="38165B69" w14:textId="77777777" w:rsidTr="00502682">
        <w:tc>
          <w:tcPr>
            <w:tcW w:w="2628" w:type="dxa"/>
          </w:tcPr>
          <w:p w14:paraId="15FA0D46" w14:textId="77777777" w:rsidR="00502682" w:rsidRPr="00502682" w:rsidRDefault="00502682" w:rsidP="00502682">
            <w:pPr>
              <w:spacing w:after="0" w:line="240" w:lineRule="auto"/>
              <w:rPr>
                <w:color w:val="0000FF"/>
              </w:rPr>
            </w:pPr>
            <w:r w:rsidRPr="00502682">
              <w:rPr>
                <w:color w:val="0000FF"/>
              </w:rPr>
              <w:t>Neurologic Impairment</w:t>
            </w:r>
          </w:p>
        </w:tc>
        <w:tc>
          <w:tcPr>
            <w:tcW w:w="1350" w:type="dxa"/>
            <w:vAlign w:val="bottom"/>
          </w:tcPr>
          <w:p w14:paraId="34DBF54C" w14:textId="77777777" w:rsidR="00502682" w:rsidRPr="00502682" w:rsidRDefault="00502682" w:rsidP="00502682">
            <w:pPr>
              <w:spacing w:after="0" w:line="240" w:lineRule="auto"/>
              <w:jc w:val="center"/>
              <w:rPr>
                <w:color w:val="0000FF"/>
              </w:rPr>
            </w:pPr>
            <w:r w:rsidRPr="00502682">
              <w:rPr>
                <w:color w:val="0000FF"/>
              </w:rPr>
              <w:t>156</w:t>
            </w:r>
          </w:p>
        </w:tc>
        <w:tc>
          <w:tcPr>
            <w:tcW w:w="1440" w:type="dxa"/>
            <w:vAlign w:val="bottom"/>
          </w:tcPr>
          <w:p w14:paraId="755E274B" w14:textId="77777777" w:rsidR="00502682" w:rsidRPr="00502682" w:rsidRDefault="00502682" w:rsidP="00502682">
            <w:pPr>
              <w:spacing w:after="0" w:line="240" w:lineRule="auto"/>
              <w:jc w:val="center"/>
              <w:rPr>
                <w:color w:val="0000FF"/>
              </w:rPr>
            </w:pPr>
            <w:r w:rsidRPr="00502682">
              <w:rPr>
                <w:color w:val="0000FF"/>
              </w:rPr>
              <w:t>0.7</w:t>
            </w:r>
          </w:p>
        </w:tc>
      </w:tr>
      <w:tr w:rsidR="00EE16E1" w:rsidRPr="00EC03C2" w14:paraId="096739E3" w14:textId="77777777" w:rsidTr="00743279">
        <w:tc>
          <w:tcPr>
            <w:tcW w:w="2628" w:type="dxa"/>
          </w:tcPr>
          <w:p w14:paraId="5B179AFB" w14:textId="77777777" w:rsidR="00EE16E1" w:rsidRPr="00EC03C2" w:rsidRDefault="00EE16E1" w:rsidP="00EE16E1">
            <w:pPr>
              <w:spacing w:after="0" w:line="240" w:lineRule="auto"/>
              <w:rPr>
                <w:color w:val="0000FF"/>
              </w:rPr>
            </w:pPr>
            <w:r w:rsidRPr="00EC03C2">
              <w:rPr>
                <w:color w:val="0000FF"/>
              </w:rPr>
              <w:t>Recent Infection</w:t>
            </w:r>
          </w:p>
        </w:tc>
        <w:tc>
          <w:tcPr>
            <w:tcW w:w="1350" w:type="dxa"/>
            <w:vAlign w:val="bottom"/>
          </w:tcPr>
          <w:p w14:paraId="33A16C3F" w14:textId="77777777" w:rsidR="00EE16E1" w:rsidRPr="00EC03C2" w:rsidRDefault="00EE16E1" w:rsidP="00EE16E1">
            <w:pPr>
              <w:spacing w:after="0" w:line="240" w:lineRule="auto"/>
              <w:jc w:val="center"/>
              <w:rPr>
                <w:color w:val="0000FF"/>
              </w:rPr>
            </w:pPr>
            <w:r w:rsidRPr="00EC03C2">
              <w:rPr>
                <w:color w:val="0000FF"/>
              </w:rPr>
              <w:t>46</w:t>
            </w:r>
          </w:p>
        </w:tc>
        <w:tc>
          <w:tcPr>
            <w:tcW w:w="1440" w:type="dxa"/>
            <w:vAlign w:val="bottom"/>
          </w:tcPr>
          <w:p w14:paraId="52C2774A" w14:textId="77777777" w:rsidR="00EE16E1" w:rsidRPr="00EC03C2" w:rsidRDefault="00EE16E1" w:rsidP="00EE16E1">
            <w:pPr>
              <w:spacing w:after="0" w:line="240" w:lineRule="auto"/>
              <w:jc w:val="center"/>
              <w:rPr>
                <w:color w:val="0000FF"/>
              </w:rPr>
            </w:pPr>
            <w:r w:rsidRPr="00EC03C2">
              <w:rPr>
                <w:color w:val="0000FF"/>
              </w:rPr>
              <w:t>0.2</w:t>
            </w:r>
          </w:p>
        </w:tc>
      </w:tr>
      <w:tr w:rsidR="00EE16E1" w:rsidRPr="00EC03C2" w14:paraId="60857079" w14:textId="77777777" w:rsidTr="00743279">
        <w:tc>
          <w:tcPr>
            <w:tcW w:w="2628" w:type="dxa"/>
          </w:tcPr>
          <w:p w14:paraId="5824716F" w14:textId="77777777" w:rsidR="00EE16E1" w:rsidRPr="00EC03C2" w:rsidRDefault="00EE16E1" w:rsidP="00EE16E1">
            <w:pPr>
              <w:spacing w:after="0" w:line="240" w:lineRule="auto"/>
              <w:rPr>
                <w:color w:val="0000FF"/>
              </w:rPr>
            </w:pPr>
            <w:r w:rsidRPr="00EC03C2">
              <w:rPr>
                <w:color w:val="0000FF"/>
              </w:rPr>
              <w:t>Fever</w:t>
            </w:r>
          </w:p>
        </w:tc>
        <w:tc>
          <w:tcPr>
            <w:tcW w:w="1350" w:type="dxa"/>
            <w:vAlign w:val="bottom"/>
          </w:tcPr>
          <w:p w14:paraId="0920A377" w14:textId="77777777" w:rsidR="00EE16E1" w:rsidRPr="00EC03C2" w:rsidRDefault="00EE16E1" w:rsidP="00EE16E1">
            <w:pPr>
              <w:spacing w:after="0" w:line="240" w:lineRule="auto"/>
              <w:jc w:val="center"/>
              <w:rPr>
                <w:color w:val="0000FF"/>
              </w:rPr>
            </w:pPr>
            <w:r w:rsidRPr="00EC03C2">
              <w:rPr>
                <w:color w:val="0000FF"/>
              </w:rPr>
              <w:t>51</w:t>
            </w:r>
          </w:p>
        </w:tc>
        <w:tc>
          <w:tcPr>
            <w:tcW w:w="1440" w:type="dxa"/>
            <w:vAlign w:val="bottom"/>
          </w:tcPr>
          <w:p w14:paraId="442BD489" w14:textId="77777777" w:rsidR="00EE16E1" w:rsidRPr="00EC03C2" w:rsidRDefault="00EE16E1" w:rsidP="00EE16E1">
            <w:pPr>
              <w:spacing w:after="0" w:line="240" w:lineRule="auto"/>
              <w:jc w:val="center"/>
              <w:rPr>
                <w:color w:val="0000FF"/>
              </w:rPr>
            </w:pPr>
            <w:r w:rsidRPr="00EC03C2">
              <w:rPr>
                <w:color w:val="0000FF"/>
              </w:rPr>
              <w:t>0.2</w:t>
            </w:r>
          </w:p>
        </w:tc>
      </w:tr>
      <w:tr w:rsidR="009F7B22" w:rsidRPr="00EC03C2" w14:paraId="2A74FBA7" w14:textId="77777777" w:rsidTr="00624927">
        <w:tc>
          <w:tcPr>
            <w:tcW w:w="2628" w:type="dxa"/>
          </w:tcPr>
          <w:p w14:paraId="7BA54BA5" w14:textId="77777777" w:rsidR="00DA21C7" w:rsidRPr="00EC03C2" w:rsidRDefault="00DA21C7" w:rsidP="00DA21C7">
            <w:pPr>
              <w:spacing w:after="0" w:line="240" w:lineRule="auto"/>
              <w:rPr>
                <w:color w:val="0000FF"/>
              </w:rPr>
            </w:pPr>
            <w:r w:rsidRPr="00EC03C2">
              <w:rPr>
                <w:color w:val="0000FF"/>
              </w:rPr>
              <w:t>Prolonged Steroid Use</w:t>
            </w:r>
          </w:p>
        </w:tc>
        <w:tc>
          <w:tcPr>
            <w:tcW w:w="1350" w:type="dxa"/>
            <w:vAlign w:val="bottom"/>
          </w:tcPr>
          <w:p w14:paraId="0F53FD45" w14:textId="77777777" w:rsidR="00DA21C7" w:rsidRPr="00EC03C2" w:rsidRDefault="00DA21C7" w:rsidP="00DA21C7">
            <w:pPr>
              <w:spacing w:after="0" w:line="240" w:lineRule="auto"/>
              <w:jc w:val="center"/>
              <w:rPr>
                <w:color w:val="0000FF"/>
              </w:rPr>
            </w:pPr>
            <w:r w:rsidRPr="00EC03C2">
              <w:rPr>
                <w:color w:val="0000FF"/>
              </w:rPr>
              <w:t>24</w:t>
            </w:r>
          </w:p>
        </w:tc>
        <w:tc>
          <w:tcPr>
            <w:tcW w:w="1440" w:type="dxa"/>
            <w:vAlign w:val="bottom"/>
          </w:tcPr>
          <w:p w14:paraId="2427EB27" w14:textId="77777777" w:rsidR="00DA21C7" w:rsidRPr="00EC03C2" w:rsidRDefault="00DA21C7" w:rsidP="00DA21C7">
            <w:pPr>
              <w:spacing w:after="0" w:line="240" w:lineRule="auto"/>
              <w:jc w:val="center"/>
              <w:rPr>
                <w:color w:val="0000FF"/>
              </w:rPr>
            </w:pPr>
            <w:r w:rsidRPr="00EC03C2">
              <w:rPr>
                <w:color w:val="0000FF"/>
              </w:rPr>
              <w:t>0.1</w:t>
            </w:r>
          </w:p>
        </w:tc>
      </w:tr>
      <w:tr w:rsidR="009F7B22" w:rsidRPr="00EC03C2" w14:paraId="4439DFA1" w14:textId="77777777" w:rsidTr="00624927">
        <w:tc>
          <w:tcPr>
            <w:tcW w:w="2628" w:type="dxa"/>
          </w:tcPr>
          <w:p w14:paraId="6ADBF9E0" w14:textId="77777777" w:rsidR="00DA21C7" w:rsidRPr="00EC03C2" w:rsidRDefault="00DA21C7" w:rsidP="00DA21C7">
            <w:pPr>
              <w:spacing w:after="0" w:line="240" w:lineRule="auto"/>
              <w:rPr>
                <w:color w:val="0000FF"/>
              </w:rPr>
            </w:pPr>
            <w:r w:rsidRPr="00EC03C2">
              <w:rPr>
                <w:color w:val="0000FF"/>
              </w:rPr>
              <w:t>Unexplained Weight Loss</w:t>
            </w:r>
          </w:p>
        </w:tc>
        <w:tc>
          <w:tcPr>
            <w:tcW w:w="1350" w:type="dxa"/>
            <w:vAlign w:val="bottom"/>
          </w:tcPr>
          <w:p w14:paraId="140DFDE3" w14:textId="77777777" w:rsidR="00DA21C7" w:rsidRPr="00EC03C2" w:rsidRDefault="00DA21C7" w:rsidP="00DA21C7">
            <w:pPr>
              <w:spacing w:after="0" w:line="240" w:lineRule="auto"/>
              <w:jc w:val="center"/>
              <w:rPr>
                <w:color w:val="0000FF"/>
              </w:rPr>
            </w:pPr>
            <w:r w:rsidRPr="00EC03C2">
              <w:rPr>
                <w:color w:val="0000FF"/>
              </w:rPr>
              <w:t>28</w:t>
            </w:r>
          </w:p>
        </w:tc>
        <w:tc>
          <w:tcPr>
            <w:tcW w:w="1440" w:type="dxa"/>
            <w:vAlign w:val="bottom"/>
          </w:tcPr>
          <w:p w14:paraId="77D1BC83" w14:textId="77777777" w:rsidR="00DA21C7" w:rsidRPr="00EC03C2" w:rsidRDefault="00DA21C7" w:rsidP="00DA21C7">
            <w:pPr>
              <w:spacing w:after="0" w:line="240" w:lineRule="auto"/>
              <w:jc w:val="center"/>
              <w:rPr>
                <w:color w:val="0000FF"/>
              </w:rPr>
            </w:pPr>
            <w:r w:rsidRPr="00EC03C2">
              <w:rPr>
                <w:color w:val="0000FF"/>
              </w:rPr>
              <w:t>0.1</w:t>
            </w:r>
          </w:p>
        </w:tc>
      </w:tr>
      <w:tr w:rsidR="009F7B22" w:rsidRPr="00EC03C2" w14:paraId="104C3ADB" w14:textId="77777777" w:rsidTr="00624927">
        <w:tc>
          <w:tcPr>
            <w:tcW w:w="2628" w:type="dxa"/>
          </w:tcPr>
          <w:p w14:paraId="32E74B24" w14:textId="77777777" w:rsidR="00DA21C7" w:rsidRPr="00EC03C2" w:rsidRDefault="006F75E6" w:rsidP="00DA21C7">
            <w:pPr>
              <w:spacing w:after="0" w:line="240" w:lineRule="auto"/>
              <w:rPr>
                <w:color w:val="0000FF"/>
              </w:rPr>
            </w:pPr>
            <w:r w:rsidRPr="00EC03C2">
              <w:rPr>
                <w:color w:val="0000FF"/>
              </w:rPr>
              <w:t>Immunosuppression</w:t>
            </w:r>
          </w:p>
        </w:tc>
        <w:tc>
          <w:tcPr>
            <w:tcW w:w="1350" w:type="dxa"/>
            <w:vAlign w:val="bottom"/>
          </w:tcPr>
          <w:p w14:paraId="6E3A7A2B" w14:textId="77777777" w:rsidR="00DA21C7" w:rsidRPr="00EC03C2" w:rsidRDefault="00DA21C7" w:rsidP="00DA21C7">
            <w:pPr>
              <w:spacing w:after="0" w:line="240" w:lineRule="auto"/>
              <w:jc w:val="center"/>
              <w:rPr>
                <w:color w:val="0000FF"/>
              </w:rPr>
            </w:pPr>
            <w:r w:rsidRPr="00EC03C2">
              <w:rPr>
                <w:color w:val="0000FF"/>
              </w:rPr>
              <w:t>9</w:t>
            </w:r>
          </w:p>
        </w:tc>
        <w:tc>
          <w:tcPr>
            <w:tcW w:w="1440" w:type="dxa"/>
            <w:vAlign w:val="bottom"/>
          </w:tcPr>
          <w:p w14:paraId="546DB882" w14:textId="77777777" w:rsidR="00DA21C7" w:rsidRPr="00EC03C2" w:rsidRDefault="00DA21C7" w:rsidP="00DA21C7">
            <w:pPr>
              <w:spacing w:after="0" w:line="240" w:lineRule="auto"/>
              <w:jc w:val="center"/>
              <w:rPr>
                <w:color w:val="0000FF"/>
              </w:rPr>
            </w:pPr>
            <w:r w:rsidRPr="00EC03C2">
              <w:rPr>
                <w:color w:val="0000FF"/>
              </w:rPr>
              <w:t>0.0</w:t>
            </w:r>
          </w:p>
        </w:tc>
      </w:tr>
      <w:tr w:rsidR="009F7B22" w:rsidRPr="00EC03C2" w14:paraId="1AE1BC79" w14:textId="77777777" w:rsidTr="00624927">
        <w:tc>
          <w:tcPr>
            <w:tcW w:w="2628" w:type="dxa"/>
          </w:tcPr>
          <w:p w14:paraId="577A9F0D" w14:textId="77777777" w:rsidR="00DA21C7" w:rsidRPr="00EC03C2" w:rsidRDefault="00DA21C7" w:rsidP="00DA21C7">
            <w:pPr>
              <w:spacing w:after="0" w:line="240" w:lineRule="auto"/>
              <w:rPr>
                <w:color w:val="0000FF"/>
              </w:rPr>
            </w:pPr>
            <w:r w:rsidRPr="00EC03C2">
              <w:rPr>
                <w:color w:val="0000FF"/>
              </w:rPr>
              <w:t>Total</w:t>
            </w:r>
          </w:p>
        </w:tc>
        <w:tc>
          <w:tcPr>
            <w:tcW w:w="1350" w:type="dxa"/>
            <w:vAlign w:val="bottom"/>
          </w:tcPr>
          <w:p w14:paraId="1634981B" w14:textId="77777777" w:rsidR="00DA21C7" w:rsidRPr="00EC03C2" w:rsidRDefault="00DA21C7" w:rsidP="00DA21C7">
            <w:pPr>
              <w:spacing w:after="0" w:line="240" w:lineRule="auto"/>
              <w:jc w:val="center"/>
              <w:rPr>
                <w:color w:val="0000FF"/>
              </w:rPr>
            </w:pPr>
            <w:r w:rsidRPr="00EC03C2">
              <w:rPr>
                <w:color w:val="0000FF"/>
              </w:rPr>
              <w:t>1096</w:t>
            </w:r>
          </w:p>
        </w:tc>
        <w:tc>
          <w:tcPr>
            <w:tcW w:w="1440" w:type="dxa"/>
            <w:vAlign w:val="bottom"/>
          </w:tcPr>
          <w:p w14:paraId="7ABC0A3D" w14:textId="77777777" w:rsidR="00DA21C7" w:rsidRPr="00EC03C2" w:rsidRDefault="00DA21C7" w:rsidP="00DA21C7">
            <w:pPr>
              <w:spacing w:after="0" w:line="240" w:lineRule="auto"/>
              <w:jc w:val="center"/>
              <w:rPr>
                <w:color w:val="0000FF"/>
              </w:rPr>
            </w:pPr>
            <w:r w:rsidRPr="00EC03C2">
              <w:rPr>
                <w:color w:val="0000FF"/>
              </w:rPr>
              <w:t>4.9</w:t>
            </w:r>
          </w:p>
        </w:tc>
      </w:tr>
    </w:tbl>
    <w:p w14:paraId="6108409A" w14:textId="77777777" w:rsidR="00DA21C7" w:rsidRPr="00EC03C2" w:rsidRDefault="00DA21C7" w:rsidP="00F866D2">
      <w:pPr>
        <w:spacing w:after="0" w:line="240" w:lineRule="auto"/>
        <w:rPr>
          <w:color w:val="0000FF"/>
        </w:rPr>
      </w:pPr>
      <w:r w:rsidRPr="00EC03C2">
        <w:rPr>
          <w:color w:val="0000FF"/>
        </w:rPr>
        <w:br w:type="textWrapping" w:clear="all"/>
        <w:t>* In administrative data</w:t>
      </w:r>
    </w:p>
    <w:p w14:paraId="44ECDDB4" w14:textId="77777777" w:rsidR="00502682" w:rsidRDefault="00502682" w:rsidP="00F866D2">
      <w:pPr>
        <w:spacing w:after="0" w:line="240" w:lineRule="auto"/>
        <w:rPr>
          <w:color w:val="0000FF"/>
        </w:rPr>
      </w:pPr>
    </w:p>
    <w:p w14:paraId="14A33B33" w14:textId="107C23E2" w:rsidR="00F866D2" w:rsidRPr="00EC03C2" w:rsidRDefault="008B49BB" w:rsidP="00F866D2">
      <w:pPr>
        <w:spacing w:after="0" w:line="240" w:lineRule="auto"/>
        <w:rPr>
          <w:color w:val="0000FF"/>
        </w:rPr>
      </w:pPr>
      <w:r w:rsidRPr="00EC03C2">
        <w:rPr>
          <w:color w:val="0000FF"/>
        </w:rPr>
        <w:t>T</w:t>
      </w:r>
      <w:r w:rsidR="00DB46CC" w:rsidRPr="00EC03C2">
        <w:rPr>
          <w:color w:val="0000FF"/>
        </w:rPr>
        <w:t xml:space="preserve">able 6 </w:t>
      </w:r>
      <w:r w:rsidR="00F866D2" w:rsidRPr="00EC03C2">
        <w:rPr>
          <w:color w:val="0000FF"/>
        </w:rPr>
        <w:t>shows the frequency of red-flag conditions (i.e. exclusions) for</w:t>
      </w:r>
      <w:r w:rsidR="00556909" w:rsidRPr="00EC03C2">
        <w:rPr>
          <w:color w:val="0000FF"/>
        </w:rPr>
        <w:t xml:space="preserve"> the imaging of </w:t>
      </w:r>
      <w:r w:rsidR="00F866D2" w:rsidRPr="00EC03C2">
        <w:rPr>
          <w:color w:val="0000FF"/>
        </w:rPr>
        <w:t>low back pain</w:t>
      </w:r>
      <w:r w:rsidR="00556909" w:rsidRPr="00EC03C2">
        <w:rPr>
          <w:color w:val="0000FF"/>
        </w:rPr>
        <w:t xml:space="preserve"> measure</w:t>
      </w:r>
      <w:r w:rsidR="00F866D2" w:rsidRPr="00EC03C2">
        <w:rPr>
          <w:color w:val="0000FF"/>
        </w:rPr>
        <w:t xml:space="preserve">. </w:t>
      </w:r>
    </w:p>
    <w:p w14:paraId="5522D28B" w14:textId="77777777" w:rsidR="00F866D2" w:rsidRPr="00EC03C2" w:rsidRDefault="00F866D2" w:rsidP="00F866D2">
      <w:pPr>
        <w:spacing w:after="0" w:line="240" w:lineRule="auto"/>
        <w:rPr>
          <w:color w:val="0000FF"/>
        </w:rPr>
      </w:pPr>
    </w:p>
    <w:p w14:paraId="67E1C1F1" w14:textId="4428DE71" w:rsidR="00CD3B10" w:rsidRPr="00EC03C2" w:rsidRDefault="008B49BB" w:rsidP="00CD3B10">
      <w:pPr>
        <w:pStyle w:val="Heading2"/>
        <w:rPr>
          <w:rFonts w:asciiTheme="minorHAnsi" w:eastAsiaTheme="minorEastAsia" w:hAnsiTheme="minorHAnsi" w:cstheme="minorBidi"/>
          <w:b w:val="0"/>
          <w:color w:val="0000FF"/>
          <w:sz w:val="22"/>
          <w:szCs w:val="22"/>
        </w:rPr>
      </w:pPr>
      <w:r w:rsidRPr="00EC03C2">
        <w:rPr>
          <w:rFonts w:asciiTheme="minorHAnsi" w:eastAsiaTheme="minorEastAsia" w:hAnsiTheme="minorHAnsi" w:cstheme="minorBidi"/>
          <w:color w:val="0000FF"/>
          <w:sz w:val="22"/>
          <w:szCs w:val="22"/>
        </w:rPr>
        <w:t xml:space="preserve">Table </w:t>
      </w:r>
      <w:r w:rsidR="00AE1B29">
        <w:rPr>
          <w:rFonts w:asciiTheme="minorHAnsi" w:eastAsiaTheme="minorEastAsia" w:hAnsiTheme="minorHAnsi" w:cstheme="minorBidi"/>
          <w:color w:val="0000FF"/>
          <w:sz w:val="22"/>
          <w:szCs w:val="22"/>
        </w:rPr>
        <w:t>7</w:t>
      </w:r>
      <w:r w:rsidR="00441842" w:rsidRPr="00EC03C2">
        <w:rPr>
          <w:rFonts w:asciiTheme="minorHAnsi" w:eastAsiaTheme="minorEastAsia" w:hAnsiTheme="minorHAnsi" w:cstheme="minorBidi"/>
          <w:color w:val="0000FF"/>
          <w:sz w:val="22"/>
          <w:szCs w:val="22"/>
        </w:rPr>
        <w:t>.</w:t>
      </w:r>
      <w:r w:rsidR="00441842" w:rsidRPr="00EC03C2">
        <w:rPr>
          <w:rFonts w:asciiTheme="minorHAnsi" w:eastAsiaTheme="minorEastAsia" w:hAnsiTheme="minorHAnsi" w:cstheme="minorBidi"/>
          <w:b w:val="0"/>
          <w:color w:val="0000FF"/>
          <w:sz w:val="22"/>
          <w:szCs w:val="22"/>
        </w:rPr>
        <w:t xml:space="preserve"> </w:t>
      </w:r>
      <w:r w:rsidR="00CD3B10" w:rsidRPr="00EC03C2">
        <w:rPr>
          <w:rFonts w:asciiTheme="minorHAnsi" w:eastAsiaTheme="minorEastAsia" w:hAnsiTheme="minorHAnsi" w:cstheme="minorBidi"/>
          <w:color w:val="0000FF"/>
          <w:sz w:val="22"/>
          <w:szCs w:val="22"/>
        </w:rPr>
        <w:t>Source of Red-Flag</w:t>
      </w:r>
      <w:r w:rsidR="00F971A6" w:rsidRPr="00EC03C2">
        <w:rPr>
          <w:rFonts w:asciiTheme="minorHAnsi" w:eastAsiaTheme="minorEastAsia" w:hAnsiTheme="minorHAnsi" w:cstheme="minorBidi"/>
          <w:color w:val="0000FF"/>
          <w:sz w:val="22"/>
          <w:szCs w:val="22"/>
        </w:rPr>
        <w:t>/Exclusion</w:t>
      </w:r>
      <w:r w:rsidR="00CD3B10" w:rsidRPr="00EC03C2">
        <w:rPr>
          <w:rFonts w:asciiTheme="minorHAnsi" w:eastAsiaTheme="minorEastAsia" w:hAnsiTheme="minorHAnsi" w:cstheme="minorBidi"/>
          <w:color w:val="0000FF"/>
          <w:sz w:val="22"/>
          <w:szCs w:val="22"/>
        </w:rPr>
        <w:t xml:space="preserve"> Diagnoses</w:t>
      </w:r>
      <w:r w:rsidR="00F971A6" w:rsidRPr="00EC03C2">
        <w:rPr>
          <w:rFonts w:asciiTheme="minorHAnsi" w:eastAsiaTheme="minorEastAsia" w:hAnsiTheme="minorHAnsi" w:cstheme="minorBidi"/>
          <w:color w:val="0000FF"/>
          <w:sz w:val="22"/>
          <w:szCs w:val="22"/>
        </w:rPr>
        <w:t xml:space="preserve"> (i.e. </w:t>
      </w:r>
      <w:r w:rsidR="00D629DE" w:rsidRPr="00EC03C2">
        <w:rPr>
          <w:rFonts w:asciiTheme="minorHAnsi" w:eastAsiaTheme="minorEastAsia" w:hAnsiTheme="minorHAnsi" w:cstheme="minorBidi"/>
          <w:color w:val="0000FF"/>
          <w:sz w:val="22"/>
          <w:szCs w:val="22"/>
        </w:rPr>
        <w:t>J</w:t>
      </w:r>
      <w:r w:rsidR="00F971A6" w:rsidRPr="00EC03C2">
        <w:rPr>
          <w:rFonts w:asciiTheme="minorHAnsi" w:eastAsiaTheme="minorEastAsia" w:hAnsiTheme="minorHAnsi" w:cstheme="minorBidi"/>
          <w:color w:val="0000FF"/>
          <w:sz w:val="22"/>
          <w:szCs w:val="22"/>
        </w:rPr>
        <w:t xml:space="preserve">ustifications for </w:t>
      </w:r>
      <w:r w:rsidR="00D629DE" w:rsidRPr="00EC03C2">
        <w:rPr>
          <w:rFonts w:asciiTheme="minorHAnsi" w:eastAsiaTheme="minorEastAsia" w:hAnsiTheme="minorHAnsi" w:cstheme="minorBidi"/>
          <w:color w:val="0000FF"/>
          <w:sz w:val="22"/>
          <w:szCs w:val="22"/>
        </w:rPr>
        <w:t>I</w:t>
      </w:r>
      <w:r w:rsidR="00F971A6" w:rsidRPr="00EC03C2">
        <w:rPr>
          <w:rFonts w:asciiTheme="minorHAnsi" w:eastAsiaTheme="minorEastAsia" w:hAnsiTheme="minorHAnsi" w:cstheme="minorBidi"/>
          <w:color w:val="0000FF"/>
          <w:sz w:val="22"/>
          <w:szCs w:val="22"/>
        </w:rPr>
        <w:t>maging)</w:t>
      </w:r>
      <w:r w:rsidR="00CD3B10" w:rsidRPr="00EC03C2">
        <w:rPr>
          <w:rFonts w:asciiTheme="minorHAnsi" w:eastAsiaTheme="minorEastAsia" w:hAnsiTheme="minorHAnsi" w:cstheme="minorBidi"/>
          <w:color w:val="0000FF"/>
          <w:sz w:val="22"/>
          <w:szCs w:val="22"/>
        </w:rPr>
        <w:t xml:space="preserve"> Among LBP Patients </w:t>
      </w:r>
      <w:r w:rsidR="00F971A6" w:rsidRPr="00EC03C2">
        <w:rPr>
          <w:rFonts w:asciiTheme="minorHAnsi" w:eastAsiaTheme="minorEastAsia" w:hAnsiTheme="minorHAnsi" w:cstheme="minorBidi"/>
          <w:color w:val="0000FF"/>
          <w:sz w:val="22"/>
          <w:szCs w:val="22"/>
        </w:rPr>
        <w:t>(N=431)</w:t>
      </w:r>
    </w:p>
    <w:tbl>
      <w:tblPr>
        <w:tblW w:w="8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5"/>
        <w:gridCol w:w="1440"/>
        <w:gridCol w:w="1440"/>
        <w:gridCol w:w="1260"/>
        <w:gridCol w:w="1710"/>
      </w:tblGrid>
      <w:tr w:rsidR="009F7B22" w:rsidRPr="00EC03C2" w14:paraId="6CFE7DBA" w14:textId="77777777" w:rsidTr="00624927">
        <w:trPr>
          <w:trHeight w:val="521"/>
        </w:trPr>
        <w:tc>
          <w:tcPr>
            <w:tcW w:w="2335" w:type="dxa"/>
          </w:tcPr>
          <w:p w14:paraId="5ADA3A87" w14:textId="77777777" w:rsidR="00624927" w:rsidRPr="00EC03C2" w:rsidRDefault="00624927" w:rsidP="00624927">
            <w:pPr>
              <w:tabs>
                <w:tab w:val="left" w:pos="1080"/>
                <w:tab w:val="left" w:pos="1260"/>
              </w:tabs>
              <w:spacing w:after="0" w:line="240" w:lineRule="auto"/>
              <w:rPr>
                <w:color w:val="0000FF"/>
              </w:rPr>
            </w:pPr>
          </w:p>
          <w:p w14:paraId="0104302D" w14:textId="77777777" w:rsidR="00624927" w:rsidRPr="00EC03C2" w:rsidRDefault="00624927" w:rsidP="00624927">
            <w:pPr>
              <w:tabs>
                <w:tab w:val="left" w:pos="1080"/>
                <w:tab w:val="left" w:pos="1260"/>
              </w:tabs>
              <w:spacing w:after="0" w:line="240" w:lineRule="auto"/>
              <w:rPr>
                <w:color w:val="0000FF"/>
              </w:rPr>
            </w:pPr>
            <w:r w:rsidRPr="00EC03C2">
              <w:rPr>
                <w:color w:val="0000FF"/>
              </w:rPr>
              <w:t>Diagnosis</w:t>
            </w:r>
          </w:p>
        </w:tc>
        <w:tc>
          <w:tcPr>
            <w:tcW w:w="1440" w:type="dxa"/>
          </w:tcPr>
          <w:p w14:paraId="18B8EDBD" w14:textId="77777777" w:rsidR="00624927" w:rsidRPr="00EC03C2" w:rsidRDefault="00624927" w:rsidP="00624927">
            <w:pPr>
              <w:tabs>
                <w:tab w:val="left" w:pos="1080"/>
                <w:tab w:val="left" w:pos="1260"/>
              </w:tabs>
              <w:spacing w:after="0" w:line="240" w:lineRule="auto"/>
              <w:jc w:val="center"/>
              <w:rPr>
                <w:color w:val="0000FF"/>
              </w:rPr>
            </w:pPr>
          </w:p>
          <w:p w14:paraId="098538C4" w14:textId="720E1E84" w:rsidR="00624927" w:rsidRPr="00EC03C2" w:rsidRDefault="00193E91" w:rsidP="00624927">
            <w:pPr>
              <w:tabs>
                <w:tab w:val="left" w:pos="1080"/>
                <w:tab w:val="left" w:pos="1260"/>
              </w:tabs>
              <w:spacing w:after="0" w:line="240" w:lineRule="auto"/>
              <w:jc w:val="center"/>
              <w:rPr>
                <w:color w:val="0000FF"/>
              </w:rPr>
            </w:pPr>
            <w:r w:rsidRPr="00EC03C2">
              <w:rPr>
                <w:color w:val="0000FF"/>
              </w:rPr>
              <w:t>Rate (</w:t>
            </w:r>
            <w:r w:rsidR="00624927" w:rsidRPr="00EC03C2">
              <w:rPr>
                <w:color w:val="0000FF"/>
              </w:rPr>
              <w:t>Admin Only</w:t>
            </w:r>
            <w:r w:rsidRPr="00EC03C2">
              <w:rPr>
                <w:color w:val="0000FF"/>
              </w:rPr>
              <w:t>)</w:t>
            </w:r>
          </w:p>
        </w:tc>
        <w:tc>
          <w:tcPr>
            <w:tcW w:w="1440" w:type="dxa"/>
          </w:tcPr>
          <w:p w14:paraId="56DF72A8" w14:textId="77777777" w:rsidR="00624927" w:rsidRPr="00EC03C2" w:rsidRDefault="00624927" w:rsidP="00624927">
            <w:pPr>
              <w:tabs>
                <w:tab w:val="left" w:pos="1080"/>
                <w:tab w:val="left" w:pos="1260"/>
              </w:tabs>
              <w:spacing w:after="0" w:line="240" w:lineRule="auto"/>
              <w:jc w:val="center"/>
              <w:rPr>
                <w:color w:val="0000FF"/>
              </w:rPr>
            </w:pPr>
          </w:p>
          <w:p w14:paraId="553E891C" w14:textId="2A9A2347" w:rsidR="00624927" w:rsidRPr="00EC03C2" w:rsidRDefault="00193E91" w:rsidP="00624927">
            <w:pPr>
              <w:tabs>
                <w:tab w:val="left" w:pos="1080"/>
                <w:tab w:val="left" w:pos="1260"/>
              </w:tabs>
              <w:spacing w:after="0" w:line="240" w:lineRule="auto"/>
              <w:jc w:val="center"/>
              <w:rPr>
                <w:color w:val="0000FF"/>
              </w:rPr>
            </w:pPr>
            <w:r w:rsidRPr="00EC03C2">
              <w:rPr>
                <w:color w:val="0000FF"/>
              </w:rPr>
              <w:t>Rate (</w:t>
            </w:r>
            <w:r w:rsidR="00624927" w:rsidRPr="00EC03C2">
              <w:rPr>
                <w:color w:val="0000FF"/>
              </w:rPr>
              <w:t>MR Only</w:t>
            </w:r>
            <w:r w:rsidRPr="00EC03C2">
              <w:rPr>
                <w:color w:val="0000FF"/>
              </w:rPr>
              <w:t>)</w:t>
            </w:r>
          </w:p>
        </w:tc>
        <w:tc>
          <w:tcPr>
            <w:tcW w:w="1260" w:type="dxa"/>
          </w:tcPr>
          <w:p w14:paraId="488D0E87" w14:textId="45F097E2" w:rsidR="00624927" w:rsidRPr="00EC03C2" w:rsidRDefault="00193E91" w:rsidP="00624927">
            <w:pPr>
              <w:tabs>
                <w:tab w:val="left" w:pos="1080"/>
                <w:tab w:val="left" w:pos="1260"/>
              </w:tabs>
              <w:spacing w:after="0" w:line="240" w:lineRule="auto"/>
              <w:jc w:val="center"/>
              <w:rPr>
                <w:color w:val="0000FF"/>
              </w:rPr>
            </w:pPr>
            <w:r w:rsidRPr="00EC03C2">
              <w:rPr>
                <w:color w:val="0000FF"/>
              </w:rPr>
              <w:t>Rate (</w:t>
            </w:r>
            <w:r w:rsidR="00624927" w:rsidRPr="00EC03C2">
              <w:rPr>
                <w:color w:val="0000FF"/>
              </w:rPr>
              <w:t>Admin &amp; MR</w:t>
            </w:r>
            <w:r w:rsidRPr="00EC03C2">
              <w:rPr>
                <w:color w:val="0000FF"/>
              </w:rPr>
              <w:t>)</w:t>
            </w:r>
          </w:p>
        </w:tc>
        <w:tc>
          <w:tcPr>
            <w:tcW w:w="1710" w:type="dxa"/>
            <w:vAlign w:val="center"/>
          </w:tcPr>
          <w:p w14:paraId="6673367E" w14:textId="1E69E591" w:rsidR="00624927" w:rsidRPr="00EC03C2" w:rsidRDefault="00193E91" w:rsidP="00624927">
            <w:pPr>
              <w:tabs>
                <w:tab w:val="left" w:pos="1080"/>
                <w:tab w:val="left" w:pos="1260"/>
              </w:tabs>
              <w:spacing w:after="0" w:line="240" w:lineRule="auto"/>
              <w:jc w:val="center"/>
              <w:rPr>
                <w:color w:val="0000FF"/>
              </w:rPr>
            </w:pPr>
            <w:r w:rsidRPr="00EC03C2">
              <w:rPr>
                <w:color w:val="0000FF"/>
              </w:rPr>
              <w:t>Rate (</w:t>
            </w:r>
            <w:r w:rsidR="00624927" w:rsidRPr="00EC03C2">
              <w:rPr>
                <w:color w:val="0000FF"/>
              </w:rPr>
              <w:t>Neither Admin nor MR</w:t>
            </w:r>
            <w:r w:rsidRPr="00EC03C2">
              <w:rPr>
                <w:color w:val="0000FF"/>
              </w:rPr>
              <w:t>)</w:t>
            </w:r>
          </w:p>
        </w:tc>
      </w:tr>
      <w:tr w:rsidR="009F7B22" w:rsidRPr="00EC03C2" w14:paraId="6468733A" w14:textId="77777777" w:rsidTr="00624927">
        <w:tc>
          <w:tcPr>
            <w:tcW w:w="2335" w:type="dxa"/>
          </w:tcPr>
          <w:p w14:paraId="7A2A2F5E" w14:textId="77777777" w:rsidR="00624927" w:rsidRPr="00EC03C2" w:rsidRDefault="00624927" w:rsidP="00624927">
            <w:pPr>
              <w:spacing w:after="0" w:line="240" w:lineRule="auto"/>
              <w:rPr>
                <w:color w:val="0000FF"/>
              </w:rPr>
            </w:pPr>
            <w:r w:rsidRPr="00EC03C2">
              <w:rPr>
                <w:color w:val="0000FF"/>
              </w:rPr>
              <w:t>Recent Trauma</w:t>
            </w:r>
          </w:p>
        </w:tc>
        <w:tc>
          <w:tcPr>
            <w:tcW w:w="1440" w:type="dxa"/>
            <w:vAlign w:val="bottom"/>
          </w:tcPr>
          <w:p w14:paraId="3F683172" w14:textId="381ADC44" w:rsidR="00624927" w:rsidRPr="00EC03C2" w:rsidRDefault="00193E91" w:rsidP="00624927">
            <w:pPr>
              <w:spacing w:after="0" w:line="240" w:lineRule="auto"/>
              <w:jc w:val="center"/>
              <w:rPr>
                <w:color w:val="0000FF"/>
              </w:rPr>
            </w:pPr>
            <w:r w:rsidRPr="00EC03C2">
              <w:rPr>
                <w:color w:val="0000FF"/>
              </w:rPr>
              <w:t>0.0</w:t>
            </w:r>
          </w:p>
        </w:tc>
        <w:tc>
          <w:tcPr>
            <w:tcW w:w="1440" w:type="dxa"/>
            <w:vAlign w:val="bottom"/>
          </w:tcPr>
          <w:p w14:paraId="1B3DA57A" w14:textId="6311C915" w:rsidR="00624927" w:rsidRPr="00EC03C2" w:rsidRDefault="00193E91" w:rsidP="00624927">
            <w:pPr>
              <w:spacing w:after="0" w:line="240" w:lineRule="auto"/>
              <w:jc w:val="center"/>
              <w:rPr>
                <w:color w:val="0000FF"/>
              </w:rPr>
            </w:pPr>
            <w:r w:rsidRPr="00EC03C2">
              <w:rPr>
                <w:color w:val="0000FF"/>
              </w:rPr>
              <w:t>19.3</w:t>
            </w:r>
          </w:p>
        </w:tc>
        <w:tc>
          <w:tcPr>
            <w:tcW w:w="1260" w:type="dxa"/>
            <w:vAlign w:val="bottom"/>
          </w:tcPr>
          <w:p w14:paraId="2702029A" w14:textId="7D5E7958" w:rsidR="00624927" w:rsidRPr="00EC03C2" w:rsidRDefault="00193E91" w:rsidP="00624927">
            <w:pPr>
              <w:spacing w:after="0" w:line="240" w:lineRule="auto"/>
              <w:jc w:val="center"/>
              <w:rPr>
                <w:color w:val="0000FF"/>
              </w:rPr>
            </w:pPr>
            <w:r w:rsidRPr="00EC03C2">
              <w:rPr>
                <w:color w:val="0000FF"/>
              </w:rPr>
              <w:t>0.2</w:t>
            </w:r>
          </w:p>
        </w:tc>
        <w:tc>
          <w:tcPr>
            <w:tcW w:w="1710" w:type="dxa"/>
            <w:vAlign w:val="bottom"/>
          </w:tcPr>
          <w:p w14:paraId="132A9A27" w14:textId="28CB3348" w:rsidR="00624927" w:rsidRPr="00EC03C2" w:rsidRDefault="00193E91" w:rsidP="00624927">
            <w:pPr>
              <w:spacing w:after="0" w:line="240" w:lineRule="auto"/>
              <w:jc w:val="center"/>
              <w:rPr>
                <w:color w:val="0000FF"/>
              </w:rPr>
            </w:pPr>
            <w:r w:rsidRPr="00EC03C2">
              <w:rPr>
                <w:color w:val="0000FF"/>
              </w:rPr>
              <w:t>80.4</w:t>
            </w:r>
          </w:p>
        </w:tc>
      </w:tr>
      <w:tr w:rsidR="009F7B22" w:rsidRPr="00EC03C2" w14:paraId="65FC10AA" w14:textId="77777777" w:rsidTr="00624927">
        <w:tc>
          <w:tcPr>
            <w:tcW w:w="2335" w:type="dxa"/>
          </w:tcPr>
          <w:p w14:paraId="534582A1" w14:textId="77777777" w:rsidR="00624927" w:rsidRPr="00EC03C2" w:rsidRDefault="00624927" w:rsidP="00624927">
            <w:pPr>
              <w:spacing w:after="0" w:line="240" w:lineRule="auto"/>
              <w:rPr>
                <w:color w:val="0000FF"/>
              </w:rPr>
            </w:pPr>
            <w:r w:rsidRPr="00EC03C2">
              <w:rPr>
                <w:color w:val="0000FF"/>
              </w:rPr>
              <w:t>Prior Cancer</w:t>
            </w:r>
          </w:p>
        </w:tc>
        <w:tc>
          <w:tcPr>
            <w:tcW w:w="1440" w:type="dxa"/>
            <w:vAlign w:val="bottom"/>
          </w:tcPr>
          <w:p w14:paraId="2CB13B4C" w14:textId="74B354C2" w:rsidR="00624927" w:rsidRPr="00EC03C2" w:rsidRDefault="00624927" w:rsidP="00193E91">
            <w:pPr>
              <w:spacing w:after="0" w:line="240" w:lineRule="auto"/>
              <w:jc w:val="center"/>
              <w:rPr>
                <w:color w:val="0000FF"/>
              </w:rPr>
            </w:pPr>
            <w:r w:rsidRPr="00EC03C2">
              <w:rPr>
                <w:color w:val="0000FF"/>
              </w:rPr>
              <w:t>0.9</w:t>
            </w:r>
          </w:p>
        </w:tc>
        <w:tc>
          <w:tcPr>
            <w:tcW w:w="1440" w:type="dxa"/>
            <w:vAlign w:val="bottom"/>
          </w:tcPr>
          <w:p w14:paraId="263CA029" w14:textId="2D1A593F" w:rsidR="00624927" w:rsidRPr="00EC03C2" w:rsidRDefault="00624927" w:rsidP="00624927">
            <w:pPr>
              <w:spacing w:after="0" w:line="240" w:lineRule="auto"/>
              <w:jc w:val="center"/>
              <w:rPr>
                <w:color w:val="0000FF"/>
              </w:rPr>
            </w:pPr>
            <w:r w:rsidRPr="00EC03C2">
              <w:rPr>
                <w:color w:val="0000FF"/>
              </w:rPr>
              <w:t>0</w:t>
            </w:r>
            <w:r w:rsidR="00193E91" w:rsidRPr="00EC03C2">
              <w:rPr>
                <w:color w:val="0000FF"/>
              </w:rPr>
              <w:t>.2</w:t>
            </w:r>
          </w:p>
        </w:tc>
        <w:tc>
          <w:tcPr>
            <w:tcW w:w="1260" w:type="dxa"/>
            <w:vAlign w:val="bottom"/>
          </w:tcPr>
          <w:p w14:paraId="7ED91EA8" w14:textId="23D31A0B" w:rsidR="00624927" w:rsidRPr="00EC03C2" w:rsidRDefault="00193E91" w:rsidP="00624927">
            <w:pPr>
              <w:spacing w:after="0" w:line="240" w:lineRule="auto"/>
              <w:jc w:val="center"/>
              <w:rPr>
                <w:color w:val="0000FF"/>
              </w:rPr>
            </w:pPr>
            <w:r w:rsidRPr="00EC03C2">
              <w:rPr>
                <w:color w:val="0000FF"/>
              </w:rPr>
              <w:t>0.4</w:t>
            </w:r>
          </w:p>
        </w:tc>
        <w:tc>
          <w:tcPr>
            <w:tcW w:w="1710" w:type="dxa"/>
            <w:vAlign w:val="bottom"/>
          </w:tcPr>
          <w:p w14:paraId="6A7A0419" w14:textId="10A505B3" w:rsidR="00624927" w:rsidRPr="00EC03C2" w:rsidRDefault="00193E91" w:rsidP="00624927">
            <w:pPr>
              <w:spacing w:after="0" w:line="240" w:lineRule="auto"/>
              <w:jc w:val="center"/>
              <w:rPr>
                <w:color w:val="0000FF"/>
              </w:rPr>
            </w:pPr>
            <w:r w:rsidRPr="00EC03C2">
              <w:rPr>
                <w:color w:val="0000FF"/>
              </w:rPr>
              <w:t>98.4</w:t>
            </w:r>
          </w:p>
        </w:tc>
      </w:tr>
      <w:tr w:rsidR="009F7B22" w:rsidRPr="00EC03C2" w14:paraId="04EE22FF" w14:textId="77777777" w:rsidTr="00624927">
        <w:tc>
          <w:tcPr>
            <w:tcW w:w="2335" w:type="dxa"/>
          </w:tcPr>
          <w:p w14:paraId="1060CC62" w14:textId="77777777" w:rsidR="00624927" w:rsidRPr="00EC03C2" w:rsidRDefault="00624927" w:rsidP="00624927">
            <w:pPr>
              <w:spacing w:after="0" w:line="240" w:lineRule="auto"/>
              <w:rPr>
                <w:color w:val="0000FF"/>
              </w:rPr>
            </w:pPr>
            <w:r w:rsidRPr="00EC03C2">
              <w:rPr>
                <w:color w:val="0000FF"/>
              </w:rPr>
              <w:t>IV Drug Use</w:t>
            </w:r>
          </w:p>
        </w:tc>
        <w:tc>
          <w:tcPr>
            <w:tcW w:w="1440" w:type="dxa"/>
            <w:vAlign w:val="bottom"/>
          </w:tcPr>
          <w:p w14:paraId="6C8D8F1C" w14:textId="04667413" w:rsidR="00624927" w:rsidRPr="00EC03C2" w:rsidRDefault="00193E91" w:rsidP="00624927">
            <w:pPr>
              <w:spacing w:after="0" w:line="240" w:lineRule="auto"/>
              <w:jc w:val="center"/>
              <w:rPr>
                <w:color w:val="0000FF"/>
              </w:rPr>
            </w:pPr>
            <w:r w:rsidRPr="00EC03C2">
              <w:rPr>
                <w:color w:val="0000FF"/>
              </w:rPr>
              <w:t>1.1</w:t>
            </w:r>
          </w:p>
        </w:tc>
        <w:tc>
          <w:tcPr>
            <w:tcW w:w="1440" w:type="dxa"/>
            <w:vAlign w:val="bottom"/>
          </w:tcPr>
          <w:p w14:paraId="0DB81844" w14:textId="1B36FCAF" w:rsidR="00624927" w:rsidRPr="00EC03C2" w:rsidRDefault="00193E91" w:rsidP="00624927">
            <w:pPr>
              <w:spacing w:after="0" w:line="240" w:lineRule="auto"/>
              <w:jc w:val="center"/>
              <w:rPr>
                <w:color w:val="0000FF"/>
              </w:rPr>
            </w:pPr>
            <w:r w:rsidRPr="00EC03C2">
              <w:rPr>
                <w:color w:val="0000FF"/>
              </w:rPr>
              <w:t>0.0</w:t>
            </w:r>
          </w:p>
        </w:tc>
        <w:tc>
          <w:tcPr>
            <w:tcW w:w="1260" w:type="dxa"/>
            <w:vAlign w:val="bottom"/>
          </w:tcPr>
          <w:p w14:paraId="6A879C2D" w14:textId="6F0F366D" w:rsidR="00624927" w:rsidRPr="00EC03C2" w:rsidRDefault="00193E91" w:rsidP="00624927">
            <w:pPr>
              <w:spacing w:after="0" w:line="240" w:lineRule="auto"/>
              <w:jc w:val="center"/>
              <w:rPr>
                <w:color w:val="0000FF"/>
              </w:rPr>
            </w:pPr>
            <w:r w:rsidRPr="00EC03C2">
              <w:rPr>
                <w:color w:val="0000FF"/>
              </w:rPr>
              <w:t>0.0</w:t>
            </w:r>
          </w:p>
        </w:tc>
        <w:tc>
          <w:tcPr>
            <w:tcW w:w="1710" w:type="dxa"/>
            <w:vAlign w:val="bottom"/>
          </w:tcPr>
          <w:p w14:paraId="6F7F6261" w14:textId="181F29E0" w:rsidR="00624927" w:rsidRPr="00EC03C2" w:rsidRDefault="00193E91" w:rsidP="00624927">
            <w:pPr>
              <w:spacing w:after="0" w:line="240" w:lineRule="auto"/>
              <w:jc w:val="center"/>
              <w:rPr>
                <w:color w:val="0000FF"/>
              </w:rPr>
            </w:pPr>
            <w:r w:rsidRPr="00EC03C2">
              <w:rPr>
                <w:color w:val="0000FF"/>
              </w:rPr>
              <w:t>98.9</w:t>
            </w:r>
          </w:p>
        </w:tc>
      </w:tr>
      <w:tr w:rsidR="009F7B22" w:rsidRPr="00EC03C2" w14:paraId="68B77D70" w14:textId="77777777" w:rsidTr="00624927">
        <w:tc>
          <w:tcPr>
            <w:tcW w:w="2335" w:type="dxa"/>
          </w:tcPr>
          <w:p w14:paraId="489FA74A" w14:textId="77777777" w:rsidR="00624927" w:rsidRPr="00EC03C2" w:rsidRDefault="00624927" w:rsidP="00624927">
            <w:pPr>
              <w:spacing w:after="0" w:line="240" w:lineRule="auto"/>
              <w:rPr>
                <w:color w:val="0000FF"/>
              </w:rPr>
            </w:pPr>
            <w:r w:rsidRPr="00EC03C2">
              <w:rPr>
                <w:color w:val="0000FF"/>
              </w:rPr>
              <w:t>Neurologic Impairment</w:t>
            </w:r>
          </w:p>
        </w:tc>
        <w:tc>
          <w:tcPr>
            <w:tcW w:w="1440" w:type="dxa"/>
            <w:vAlign w:val="bottom"/>
          </w:tcPr>
          <w:p w14:paraId="2FE1B0B4" w14:textId="0AC5F4B5" w:rsidR="00624927" w:rsidRPr="00EC03C2" w:rsidRDefault="00193E91" w:rsidP="00624927">
            <w:pPr>
              <w:spacing w:after="0" w:line="240" w:lineRule="auto"/>
              <w:jc w:val="center"/>
              <w:rPr>
                <w:color w:val="0000FF"/>
              </w:rPr>
            </w:pPr>
            <w:r w:rsidRPr="00EC03C2">
              <w:rPr>
                <w:color w:val="0000FF"/>
              </w:rPr>
              <w:t>0.9</w:t>
            </w:r>
          </w:p>
        </w:tc>
        <w:tc>
          <w:tcPr>
            <w:tcW w:w="1440" w:type="dxa"/>
            <w:vAlign w:val="bottom"/>
          </w:tcPr>
          <w:p w14:paraId="0044B5AC" w14:textId="4D6E3B3B" w:rsidR="00624927" w:rsidRPr="00EC03C2" w:rsidRDefault="00193E91" w:rsidP="00624927">
            <w:pPr>
              <w:spacing w:after="0" w:line="240" w:lineRule="auto"/>
              <w:jc w:val="center"/>
              <w:rPr>
                <w:color w:val="0000FF"/>
              </w:rPr>
            </w:pPr>
            <w:r w:rsidRPr="00EC03C2">
              <w:rPr>
                <w:color w:val="0000FF"/>
              </w:rPr>
              <w:t>4.0</w:t>
            </w:r>
          </w:p>
        </w:tc>
        <w:tc>
          <w:tcPr>
            <w:tcW w:w="1260" w:type="dxa"/>
            <w:vAlign w:val="bottom"/>
          </w:tcPr>
          <w:p w14:paraId="66FA3783" w14:textId="169AA3B2" w:rsidR="00624927" w:rsidRPr="00EC03C2" w:rsidRDefault="00193E91" w:rsidP="00624927">
            <w:pPr>
              <w:spacing w:after="0" w:line="240" w:lineRule="auto"/>
              <w:jc w:val="center"/>
              <w:rPr>
                <w:color w:val="0000FF"/>
              </w:rPr>
            </w:pPr>
            <w:r w:rsidRPr="00EC03C2">
              <w:rPr>
                <w:color w:val="0000FF"/>
              </w:rPr>
              <w:t>0.0</w:t>
            </w:r>
          </w:p>
        </w:tc>
        <w:tc>
          <w:tcPr>
            <w:tcW w:w="1710" w:type="dxa"/>
            <w:vAlign w:val="bottom"/>
          </w:tcPr>
          <w:p w14:paraId="283086FE" w14:textId="45335B46" w:rsidR="00624927" w:rsidRPr="00EC03C2" w:rsidRDefault="00193E91" w:rsidP="00624927">
            <w:pPr>
              <w:spacing w:after="0" w:line="240" w:lineRule="auto"/>
              <w:jc w:val="center"/>
              <w:rPr>
                <w:color w:val="0000FF"/>
              </w:rPr>
            </w:pPr>
            <w:r w:rsidRPr="00EC03C2">
              <w:rPr>
                <w:color w:val="0000FF"/>
              </w:rPr>
              <w:t>95.1</w:t>
            </w:r>
          </w:p>
        </w:tc>
      </w:tr>
      <w:tr w:rsidR="0052765A" w:rsidRPr="00EC03C2" w14:paraId="57CB42F4" w14:textId="77777777" w:rsidTr="0098174C">
        <w:tc>
          <w:tcPr>
            <w:tcW w:w="2335" w:type="dxa"/>
          </w:tcPr>
          <w:p w14:paraId="7FB3D354" w14:textId="35539258" w:rsidR="0052765A" w:rsidRPr="00EC03C2" w:rsidRDefault="0052765A" w:rsidP="0052765A">
            <w:pPr>
              <w:spacing w:after="0" w:line="240" w:lineRule="auto"/>
              <w:rPr>
                <w:color w:val="0000FF"/>
              </w:rPr>
            </w:pPr>
            <w:r>
              <w:rPr>
                <w:color w:val="FF0000"/>
              </w:rPr>
              <w:t>Recent Infection</w:t>
            </w:r>
          </w:p>
        </w:tc>
        <w:tc>
          <w:tcPr>
            <w:tcW w:w="1440" w:type="dxa"/>
          </w:tcPr>
          <w:p w14:paraId="30BF3CAC" w14:textId="62220A37" w:rsidR="0052765A" w:rsidRPr="00EC03C2" w:rsidRDefault="0052765A" w:rsidP="0052765A">
            <w:pPr>
              <w:spacing w:after="0" w:line="240" w:lineRule="auto"/>
              <w:jc w:val="center"/>
              <w:rPr>
                <w:color w:val="0000FF"/>
              </w:rPr>
            </w:pPr>
            <w:r>
              <w:rPr>
                <w:color w:val="FF0000"/>
              </w:rPr>
              <w:t>0.2</w:t>
            </w:r>
          </w:p>
        </w:tc>
        <w:tc>
          <w:tcPr>
            <w:tcW w:w="1440" w:type="dxa"/>
          </w:tcPr>
          <w:p w14:paraId="33874F67" w14:textId="4EEECE6D" w:rsidR="0052765A" w:rsidRPr="00EC03C2" w:rsidRDefault="0052765A" w:rsidP="0052765A">
            <w:pPr>
              <w:spacing w:after="0" w:line="240" w:lineRule="auto"/>
              <w:jc w:val="center"/>
              <w:rPr>
                <w:color w:val="0000FF"/>
              </w:rPr>
            </w:pPr>
            <w:r>
              <w:rPr>
                <w:color w:val="FF0000"/>
              </w:rPr>
              <w:t>1.8</w:t>
            </w:r>
          </w:p>
        </w:tc>
        <w:tc>
          <w:tcPr>
            <w:tcW w:w="1260" w:type="dxa"/>
          </w:tcPr>
          <w:p w14:paraId="68FDEFBE" w14:textId="3A71FB66" w:rsidR="0052765A" w:rsidRPr="00EC03C2" w:rsidRDefault="0052765A" w:rsidP="0052765A">
            <w:pPr>
              <w:spacing w:after="0" w:line="240" w:lineRule="auto"/>
              <w:jc w:val="center"/>
              <w:rPr>
                <w:color w:val="0000FF"/>
              </w:rPr>
            </w:pPr>
            <w:r>
              <w:rPr>
                <w:color w:val="FF0000"/>
              </w:rPr>
              <w:t>0.0</w:t>
            </w:r>
          </w:p>
        </w:tc>
        <w:tc>
          <w:tcPr>
            <w:tcW w:w="1710" w:type="dxa"/>
            <w:vAlign w:val="center"/>
          </w:tcPr>
          <w:p w14:paraId="70E3373E" w14:textId="41C63CB0" w:rsidR="0052765A" w:rsidRPr="00EC03C2" w:rsidRDefault="0052765A" w:rsidP="0052765A">
            <w:pPr>
              <w:spacing w:after="0" w:line="240" w:lineRule="auto"/>
              <w:jc w:val="center"/>
              <w:rPr>
                <w:color w:val="0000FF"/>
              </w:rPr>
            </w:pPr>
            <w:r>
              <w:rPr>
                <w:color w:val="FF0000"/>
              </w:rPr>
              <w:t>98.0</w:t>
            </w:r>
          </w:p>
        </w:tc>
      </w:tr>
      <w:tr w:rsidR="0052765A" w:rsidRPr="00EC03C2" w14:paraId="43C03062" w14:textId="77777777" w:rsidTr="0052765A">
        <w:tc>
          <w:tcPr>
            <w:tcW w:w="2335" w:type="dxa"/>
          </w:tcPr>
          <w:p w14:paraId="3716F442" w14:textId="20BFF016" w:rsidR="0052765A" w:rsidRDefault="0052765A" w:rsidP="0052765A">
            <w:pPr>
              <w:spacing w:after="0" w:line="240" w:lineRule="auto"/>
              <w:rPr>
                <w:color w:val="FF0000"/>
              </w:rPr>
            </w:pPr>
            <w:r>
              <w:rPr>
                <w:color w:val="FF0000"/>
              </w:rPr>
              <w:t>Fever</w:t>
            </w:r>
          </w:p>
        </w:tc>
        <w:tc>
          <w:tcPr>
            <w:tcW w:w="1440" w:type="dxa"/>
          </w:tcPr>
          <w:p w14:paraId="06A554A2" w14:textId="7E6A5095" w:rsidR="0052765A" w:rsidRDefault="0052765A" w:rsidP="0052765A">
            <w:pPr>
              <w:spacing w:after="0" w:line="240" w:lineRule="auto"/>
              <w:jc w:val="center"/>
              <w:rPr>
                <w:color w:val="FF0000"/>
              </w:rPr>
            </w:pPr>
            <w:r>
              <w:rPr>
                <w:color w:val="FF0000"/>
              </w:rPr>
              <w:t>0.2</w:t>
            </w:r>
          </w:p>
        </w:tc>
        <w:tc>
          <w:tcPr>
            <w:tcW w:w="1440" w:type="dxa"/>
          </w:tcPr>
          <w:p w14:paraId="0FAC775D" w14:textId="4FA2671A" w:rsidR="0052765A" w:rsidRDefault="0052765A" w:rsidP="0052765A">
            <w:pPr>
              <w:spacing w:after="0" w:line="240" w:lineRule="auto"/>
              <w:jc w:val="center"/>
              <w:rPr>
                <w:color w:val="FF0000"/>
              </w:rPr>
            </w:pPr>
            <w:r>
              <w:rPr>
                <w:color w:val="FF0000"/>
              </w:rPr>
              <w:t>0.4</w:t>
            </w:r>
          </w:p>
        </w:tc>
        <w:tc>
          <w:tcPr>
            <w:tcW w:w="1260" w:type="dxa"/>
          </w:tcPr>
          <w:p w14:paraId="666BDA36" w14:textId="245A3DC5" w:rsidR="0052765A" w:rsidRDefault="0052765A" w:rsidP="0052765A">
            <w:pPr>
              <w:spacing w:after="0" w:line="240" w:lineRule="auto"/>
              <w:jc w:val="center"/>
              <w:rPr>
                <w:color w:val="FF0000"/>
              </w:rPr>
            </w:pPr>
            <w:r>
              <w:rPr>
                <w:color w:val="FF0000"/>
              </w:rPr>
              <w:t>0.0</w:t>
            </w:r>
          </w:p>
        </w:tc>
        <w:tc>
          <w:tcPr>
            <w:tcW w:w="1710" w:type="dxa"/>
            <w:vAlign w:val="center"/>
          </w:tcPr>
          <w:p w14:paraId="529F48FF" w14:textId="35006291" w:rsidR="0052765A" w:rsidRDefault="0052765A" w:rsidP="0052765A">
            <w:pPr>
              <w:spacing w:after="0" w:line="240" w:lineRule="auto"/>
              <w:jc w:val="center"/>
              <w:rPr>
                <w:color w:val="FF0000"/>
              </w:rPr>
            </w:pPr>
            <w:r>
              <w:rPr>
                <w:color w:val="FF0000"/>
              </w:rPr>
              <w:t>99.3</w:t>
            </w:r>
          </w:p>
        </w:tc>
      </w:tr>
      <w:tr w:rsidR="0052765A" w:rsidRPr="00EC03C2" w14:paraId="2BB42452" w14:textId="77777777" w:rsidTr="0052765A">
        <w:tc>
          <w:tcPr>
            <w:tcW w:w="2335" w:type="dxa"/>
          </w:tcPr>
          <w:p w14:paraId="7F38AAC1" w14:textId="5CFFF01F" w:rsidR="0052765A" w:rsidRDefault="0052765A" w:rsidP="0052765A">
            <w:pPr>
              <w:spacing w:after="0" w:line="240" w:lineRule="auto"/>
              <w:rPr>
                <w:color w:val="FF0000"/>
              </w:rPr>
            </w:pPr>
            <w:r>
              <w:rPr>
                <w:color w:val="FF0000"/>
              </w:rPr>
              <w:t>Unexplained Weight Loss</w:t>
            </w:r>
          </w:p>
        </w:tc>
        <w:tc>
          <w:tcPr>
            <w:tcW w:w="1440" w:type="dxa"/>
          </w:tcPr>
          <w:p w14:paraId="3BFBAAB8" w14:textId="61ABB0D3" w:rsidR="0052765A" w:rsidRDefault="0052765A" w:rsidP="0052765A">
            <w:pPr>
              <w:spacing w:after="0" w:line="240" w:lineRule="auto"/>
              <w:jc w:val="center"/>
              <w:rPr>
                <w:color w:val="FF0000"/>
              </w:rPr>
            </w:pPr>
            <w:r>
              <w:rPr>
                <w:color w:val="FF0000"/>
              </w:rPr>
              <w:t>0.0</w:t>
            </w:r>
          </w:p>
        </w:tc>
        <w:tc>
          <w:tcPr>
            <w:tcW w:w="1440" w:type="dxa"/>
          </w:tcPr>
          <w:p w14:paraId="40D13161" w14:textId="12AB6725" w:rsidR="0052765A" w:rsidRDefault="0052765A" w:rsidP="0052765A">
            <w:pPr>
              <w:spacing w:after="0" w:line="240" w:lineRule="auto"/>
              <w:jc w:val="center"/>
              <w:rPr>
                <w:color w:val="FF0000"/>
              </w:rPr>
            </w:pPr>
            <w:r>
              <w:rPr>
                <w:color w:val="FF0000"/>
              </w:rPr>
              <w:t>0.9</w:t>
            </w:r>
          </w:p>
        </w:tc>
        <w:tc>
          <w:tcPr>
            <w:tcW w:w="1260" w:type="dxa"/>
          </w:tcPr>
          <w:p w14:paraId="34603C97" w14:textId="54A0BDC6" w:rsidR="0052765A" w:rsidRDefault="0052765A" w:rsidP="0052765A">
            <w:pPr>
              <w:spacing w:after="0" w:line="240" w:lineRule="auto"/>
              <w:jc w:val="center"/>
              <w:rPr>
                <w:color w:val="FF0000"/>
              </w:rPr>
            </w:pPr>
            <w:r>
              <w:rPr>
                <w:color w:val="FF0000"/>
              </w:rPr>
              <w:t>0.0</w:t>
            </w:r>
          </w:p>
        </w:tc>
        <w:tc>
          <w:tcPr>
            <w:tcW w:w="1710" w:type="dxa"/>
            <w:vAlign w:val="center"/>
          </w:tcPr>
          <w:p w14:paraId="6B014B56" w14:textId="359D2BC6" w:rsidR="0052765A" w:rsidRDefault="0052765A" w:rsidP="0052765A">
            <w:pPr>
              <w:spacing w:after="0" w:line="240" w:lineRule="auto"/>
              <w:jc w:val="center"/>
              <w:rPr>
                <w:color w:val="FF0000"/>
              </w:rPr>
            </w:pPr>
            <w:r>
              <w:rPr>
                <w:color w:val="FF0000"/>
              </w:rPr>
              <w:t>99.1</w:t>
            </w:r>
          </w:p>
        </w:tc>
      </w:tr>
      <w:tr w:rsidR="0052765A" w:rsidRPr="00EC03C2" w14:paraId="1F709F07" w14:textId="77777777" w:rsidTr="0098174C">
        <w:tc>
          <w:tcPr>
            <w:tcW w:w="2335" w:type="dxa"/>
          </w:tcPr>
          <w:p w14:paraId="2B4A832E" w14:textId="3E9192D4" w:rsidR="0052765A" w:rsidRDefault="0052765A" w:rsidP="0052765A">
            <w:pPr>
              <w:spacing w:after="0" w:line="240" w:lineRule="auto"/>
              <w:rPr>
                <w:color w:val="FF0000"/>
              </w:rPr>
            </w:pPr>
            <w:r>
              <w:rPr>
                <w:color w:val="FF0000"/>
              </w:rPr>
              <w:lastRenderedPageBreak/>
              <w:t>Prolonged Steroid Use</w:t>
            </w:r>
          </w:p>
        </w:tc>
        <w:tc>
          <w:tcPr>
            <w:tcW w:w="1440" w:type="dxa"/>
            <w:vAlign w:val="bottom"/>
          </w:tcPr>
          <w:p w14:paraId="649733AE" w14:textId="71BAAD33" w:rsidR="0052765A" w:rsidRDefault="0052765A" w:rsidP="0052765A">
            <w:pPr>
              <w:spacing w:after="0" w:line="240" w:lineRule="auto"/>
              <w:jc w:val="center"/>
              <w:rPr>
                <w:color w:val="FF0000"/>
              </w:rPr>
            </w:pPr>
            <w:r>
              <w:rPr>
                <w:color w:val="FF0000"/>
              </w:rPr>
              <w:t>0.0</w:t>
            </w:r>
          </w:p>
        </w:tc>
        <w:tc>
          <w:tcPr>
            <w:tcW w:w="1440" w:type="dxa"/>
            <w:vAlign w:val="bottom"/>
          </w:tcPr>
          <w:p w14:paraId="17A68E5A" w14:textId="219363BB" w:rsidR="0052765A" w:rsidRDefault="0052765A" w:rsidP="0052765A">
            <w:pPr>
              <w:spacing w:after="0" w:line="240" w:lineRule="auto"/>
              <w:jc w:val="center"/>
              <w:rPr>
                <w:color w:val="FF0000"/>
              </w:rPr>
            </w:pPr>
            <w:r>
              <w:rPr>
                <w:color w:val="FF0000"/>
              </w:rPr>
              <w:t>0.0</w:t>
            </w:r>
          </w:p>
        </w:tc>
        <w:tc>
          <w:tcPr>
            <w:tcW w:w="1260" w:type="dxa"/>
            <w:vAlign w:val="bottom"/>
          </w:tcPr>
          <w:p w14:paraId="6BAFDB00" w14:textId="2E65CD7C" w:rsidR="0052765A" w:rsidRDefault="0052765A" w:rsidP="0052765A">
            <w:pPr>
              <w:spacing w:after="0" w:line="240" w:lineRule="auto"/>
              <w:jc w:val="center"/>
              <w:rPr>
                <w:color w:val="FF0000"/>
              </w:rPr>
            </w:pPr>
            <w:r>
              <w:rPr>
                <w:color w:val="FF0000"/>
              </w:rPr>
              <w:t>0.0</w:t>
            </w:r>
          </w:p>
        </w:tc>
        <w:tc>
          <w:tcPr>
            <w:tcW w:w="1710" w:type="dxa"/>
            <w:vAlign w:val="bottom"/>
          </w:tcPr>
          <w:p w14:paraId="547173B4" w14:textId="1288CBA4" w:rsidR="0052765A" w:rsidRDefault="0052765A" w:rsidP="0052765A">
            <w:pPr>
              <w:spacing w:after="0" w:line="240" w:lineRule="auto"/>
              <w:jc w:val="center"/>
              <w:rPr>
                <w:color w:val="FF0000"/>
              </w:rPr>
            </w:pPr>
            <w:r>
              <w:rPr>
                <w:color w:val="FF0000"/>
              </w:rPr>
              <w:t>100.0</w:t>
            </w:r>
          </w:p>
        </w:tc>
      </w:tr>
      <w:tr w:rsidR="0052765A" w:rsidRPr="00EC03C2" w14:paraId="4D696EF8" w14:textId="77777777" w:rsidTr="0052765A">
        <w:tc>
          <w:tcPr>
            <w:tcW w:w="2335" w:type="dxa"/>
          </w:tcPr>
          <w:p w14:paraId="566C9B7B" w14:textId="60D2ED0B" w:rsidR="0052765A" w:rsidRDefault="0052765A" w:rsidP="0052765A">
            <w:pPr>
              <w:spacing w:after="0" w:line="240" w:lineRule="auto"/>
              <w:rPr>
                <w:color w:val="FF0000"/>
              </w:rPr>
            </w:pPr>
            <w:r>
              <w:rPr>
                <w:color w:val="FF0000"/>
              </w:rPr>
              <w:t>Immunosuppression</w:t>
            </w:r>
          </w:p>
        </w:tc>
        <w:tc>
          <w:tcPr>
            <w:tcW w:w="1440" w:type="dxa"/>
            <w:vAlign w:val="bottom"/>
          </w:tcPr>
          <w:p w14:paraId="1F959474" w14:textId="16DCADBE" w:rsidR="0052765A" w:rsidRDefault="0052765A" w:rsidP="0052765A">
            <w:pPr>
              <w:spacing w:after="0" w:line="240" w:lineRule="auto"/>
              <w:jc w:val="center"/>
              <w:rPr>
                <w:color w:val="FF0000"/>
              </w:rPr>
            </w:pPr>
            <w:r>
              <w:rPr>
                <w:color w:val="FF0000"/>
              </w:rPr>
              <w:t>0.0</w:t>
            </w:r>
          </w:p>
        </w:tc>
        <w:tc>
          <w:tcPr>
            <w:tcW w:w="1440" w:type="dxa"/>
            <w:vAlign w:val="bottom"/>
          </w:tcPr>
          <w:p w14:paraId="486CE6A7" w14:textId="2B021755" w:rsidR="0052765A" w:rsidRDefault="0052765A" w:rsidP="0052765A">
            <w:pPr>
              <w:spacing w:after="0" w:line="240" w:lineRule="auto"/>
              <w:jc w:val="center"/>
              <w:rPr>
                <w:color w:val="FF0000"/>
              </w:rPr>
            </w:pPr>
            <w:r>
              <w:rPr>
                <w:color w:val="FF0000"/>
              </w:rPr>
              <w:t>0.0</w:t>
            </w:r>
          </w:p>
        </w:tc>
        <w:tc>
          <w:tcPr>
            <w:tcW w:w="1260" w:type="dxa"/>
            <w:vAlign w:val="bottom"/>
          </w:tcPr>
          <w:p w14:paraId="14D97D92" w14:textId="0A45F265" w:rsidR="0052765A" w:rsidRDefault="0052765A" w:rsidP="0052765A">
            <w:pPr>
              <w:spacing w:after="0" w:line="240" w:lineRule="auto"/>
              <w:jc w:val="center"/>
              <w:rPr>
                <w:color w:val="FF0000"/>
              </w:rPr>
            </w:pPr>
            <w:r>
              <w:rPr>
                <w:color w:val="FF0000"/>
              </w:rPr>
              <w:t>0.0</w:t>
            </w:r>
          </w:p>
        </w:tc>
        <w:tc>
          <w:tcPr>
            <w:tcW w:w="1710" w:type="dxa"/>
            <w:vAlign w:val="bottom"/>
          </w:tcPr>
          <w:p w14:paraId="76B308E7" w14:textId="3870D05A" w:rsidR="0052765A" w:rsidRDefault="0052765A" w:rsidP="0052765A">
            <w:pPr>
              <w:spacing w:after="0" w:line="240" w:lineRule="auto"/>
              <w:jc w:val="center"/>
              <w:rPr>
                <w:color w:val="FF0000"/>
              </w:rPr>
            </w:pPr>
            <w:r>
              <w:rPr>
                <w:color w:val="FF0000"/>
              </w:rPr>
              <w:t>100.0</w:t>
            </w:r>
          </w:p>
        </w:tc>
      </w:tr>
      <w:tr w:rsidR="0052765A" w:rsidRPr="00EC03C2" w14:paraId="14DFB719" w14:textId="77777777" w:rsidTr="0052765A">
        <w:tc>
          <w:tcPr>
            <w:tcW w:w="2335" w:type="dxa"/>
          </w:tcPr>
          <w:p w14:paraId="3ED1DDCF" w14:textId="657FFEA4" w:rsidR="0052765A" w:rsidRDefault="0052765A" w:rsidP="0052765A">
            <w:pPr>
              <w:spacing w:after="0" w:line="240" w:lineRule="auto"/>
              <w:rPr>
                <w:color w:val="FF0000"/>
              </w:rPr>
            </w:pPr>
            <w:r>
              <w:rPr>
                <w:color w:val="FF0000"/>
              </w:rPr>
              <w:t>Total</w:t>
            </w:r>
          </w:p>
        </w:tc>
        <w:tc>
          <w:tcPr>
            <w:tcW w:w="1440" w:type="dxa"/>
            <w:vAlign w:val="bottom"/>
          </w:tcPr>
          <w:p w14:paraId="14371D54" w14:textId="7A58BB22" w:rsidR="0052765A" w:rsidRDefault="0052765A" w:rsidP="0052765A">
            <w:pPr>
              <w:spacing w:after="0" w:line="240" w:lineRule="auto"/>
              <w:jc w:val="center"/>
              <w:rPr>
                <w:color w:val="FF0000"/>
              </w:rPr>
            </w:pPr>
            <w:r>
              <w:rPr>
                <w:color w:val="FF0000"/>
              </w:rPr>
              <w:t>1.3</w:t>
            </w:r>
          </w:p>
        </w:tc>
        <w:tc>
          <w:tcPr>
            <w:tcW w:w="1440" w:type="dxa"/>
            <w:vAlign w:val="bottom"/>
          </w:tcPr>
          <w:p w14:paraId="216CCBCD" w14:textId="390FF439" w:rsidR="0052765A" w:rsidRDefault="0052765A" w:rsidP="0052765A">
            <w:pPr>
              <w:spacing w:after="0" w:line="240" w:lineRule="auto"/>
              <w:jc w:val="center"/>
              <w:rPr>
                <w:color w:val="FF0000"/>
              </w:rPr>
            </w:pPr>
            <w:r>
              <w:rPr>
                <w:color w:val="FF0000"/>
              </w:rPr>
              <w:t>25.1</w:t>
            </w:r>
          </w:p>
        </w:tc>
        <w:tc>
          <w:tcPr>
            <w:tcW w:w="1260" w:type="dxa"/>
            <w:vAlign w:val="bottom"/>
          </w:tcPr>
          <w:p w14:paraId="65D3385C" w14:textId="341905B3" w:rsidR="0052765A" w:rsidRDefault="0052765A" w:rsidP="0052765A">
            <w:pPr>
              <w:spacing w:after="0" w:line="240" w:lineRule="auto"/>
              <w:jc w:val="center"/>
              <w:rPr>
                <w:color w:val="FF0000"/>
              </w:rPr>
            </w:pPr>
            <w:r>
              <w:rPr>
                <w:color w:val="FF0000"/>
              </w:rPr>
              <w:t>0.2</w:t>
            </w:r>
          </w:p>
        </w:tc>
        <w:tc>
          <w:tcPr>
            <w:tcW w:w="1710" w:type="dxa"/>
            <w:vAlign w:val="bottom"/>
          </w:tcPr>
          <w:p w14:paraId="732606CC" w14:textId="3EFC7972" w:rsidR="0052765A" w:rsidRDefault="0052765A" w:rsidP="0052765A">
            <w:pPr>
              <w:spacing w:after="0" w:line="240" w:lineRule="auto"/>
              <w:jc w:val="center"/>
              <w:rPr>
                <w:color w:val="FF0000"/>
              </w:rPr>
            </w:pPr>
            <w:r>
              <w:rPr>
                <w:color w:val="FF0000"/>
              </w:rPr>
              <w:t>73.7</w:t>
            </w:r>
          </w:p>
        </w:tc>
      </w:tr>
    </w:tbl>
    <w:p w14:paraId="5DA0BF78" w14:textId="77777777" w:rsidR="00CD3B10" w:rsidRPr="00EC03C2" w:rsidRDefault="00CD3B10" w:rsidP="00092566">
      <w:pPr>
        <w:autoSpaceDE w:val="0"/>
        <w:autoSpaceDN w:val="0"/>
        <w:adjustRightInd w:val="0"/>
        <w:spacing w:after="0" w:line="240" w:lineRule="auto"/>
        <w:rPr>
          <w:color w:val="0000FF"/>
        </w:rPr>
      </w:pPr>
    </w:p>
    <w:p w14:paraId="7ADE3AC1" w14:textId="78647F84" w:rsidR="00F866D2" w:rsidRDefault="00AE1B29" w:rsidP="00092566">
      <w:pPr>
        <w:autoSpaceDE w:val="0"/>
        <w:autoSpaceDN w:val="0"/>
        <w:adjustRightInd w:val="0"/>
        <w:spacing w:after="0" w:line="240" w:lineRule="auto"/>
        <w:rPr>
          <w:color w:val="0000FF"/>
        </w:rPr>
      </w:pPr>
      <w:r>
        <w:rPr>
          <w:color w:val="0000FF"/>
        </w:rPr>
        <w:t>Table 7</w:t>
      </w:r>
      <w:r w:rsidR="00F866D2" w:rsidRPr="00EC03C2">
        <w:rPr>
          <w:color w:val="0000FF"/>
        </w:rPr>
        <w:t xml:space="preserve"> shows the type of </w:t>
      </w:r>
      <w:r w:rsidR="00F971A6" w:rsidRPr="00EC03C2">
        <w:rPr>
          <w:color w:val="0000FF"/>
        </w:rPr>
        <w:t xml:space="preserve">exclusion </w:t>
      </w:r>
      <w:r w:rsidR="00F866D2" w:rsidRPr="00EC03C2">
        <w:rPr>
          <w:color w:val="0000FF"/>
        </w:rPr>
        <w:t>diagnoses</w:t>
      </w:r>
      <w:r w:rsidR="00F971A6" w:rsidRPr="00EC03C2">
        <w:rPr>
          <w:color w:val="0000FF"/>
        </w:rPr>
        <w:t xml:space="preserve"> (i.e. justifications for </w:t>
      </w:r>
      <w:r w:rsidR="00556909" w:rsidRPr="00EC03C2">
        <w:rPr>
          <w:color w:val="0000FF"/>
        </w:rPr>
        <w:t>imaging</w:t>
      </w:r>
      <w:r w:rsidR="00F971A6" w:rsidRPr="00EC03C2">
        <w:rPr>
          <w:color w:val="0000FF"/>
        </w:rPr>
        <w:t>) captured for</w:t>
      </w:r>
      <w:r w:rsidR="00F866D2" w:rsidRPr="00EC03C2">
        <w:rPr>
          <w:color w:val="0000FF"/>
        </w:rPr>
        <w:t xml:space="preserve"> LBP patients with medical records across the different sources of data (administrative, medical records, both, and neither)</w:t>
      </w:r>
      <w:r w:rsidR="00FC4114">
        <w:rPr>
          <w:color w:val="0000FF"/>
        </w:rPr>
        <w:t xml:space="preserve"> for the four most common exclusions identified by administrative data</w:t>
      </w:r>
      <w:r w:rsidR="00D629DE" w:rsidRPr="00EC03C2">
        <w:rPr>
          <w:color w:val="0000FF"/>
        </w:rPr>
        <w:t>.</w:t>
      </w:r>
      <w:r w:rsidR="00F866D2" w:rsidRPr="00EC03C2">
        <w:rPr>
          <w:color w:val="0000FF"/>
        </w:rPr>
        <w:t xml:space="preserve"> </w:t>
      </w:r>
    </w:p>
    <w:p w14:paraId="427CF5A5" w14:textId="581C01E0" w:rsidR="0052765A" w:rsidRDefault="0052765A" w:rsidP="00092566">
      <w:pPr>
        <w:autoSpaceDE w:val="0"/>
        <w:autoSpaceDN w:val="0"/>
        <w:adjustRightInd w:val="0"/>
        <w:spacing w:after="0" w:line="240" w:lineRule="auto"/>
        <w:rPr>
          <w:color w:val="0000FF"/>
        </w:rPr>
      </w:pPr>
    </w:p>
    <w:p w14:paraId="4580D241" w14:textId="3CA0511F" w:rsidR="0052765A" w:rsidRPr="0098174C" w:rsidRDefault="0052765A" w:rsidP="0098174C">
      <w:pPr>
        <w:spacing w:after="0" w:line="240" w:lineRule="auto"/>
        <w:rPr>
          <w:color w:val="FF0000"/>
        </w:rPr>
      </w:pPr>
      <w:r>
        <w:rPr>
          <w:color w:val="FF0000"/>
        </w:rPr>
        <w:t xml:space="preserve">We have updated Table 7 to reflect all of the exclusions we tested in 2002, since we have added prolonged steroid use, spinal infection, and immunosuppression to the exclusions that are already part of the measure (i.e. recent trauma, prior cancer, IV drug use and neurologic impairment). </w:t>
      </w:r>
    </w:p>
    <w:p w14:paraId="69A33C92" w14:textId="77777777" w:rsidR="00806AD2" w:rsidRPr="00EC03C2" w:rsidRDefault="00806AD2" w:rsidP="00D94666">
      <w:pPr>
        <w:spacing w:after="0" w:line="240" w:lineRule="auto"/>
        <w:rPr>
          <w:color w:val="0000FF"/>
        </w:rPr>
      </w:pPr>
    </w:p>
    <w:p w14:paraId="419588A6" w14:textId="7912D6D3" w:rsidR="00D94666" w:rsidRPr="00EC03C2" w:rsidRDefault="00AE1B29" w:rsidP="00D94666">
      <w:pPr>
        <w:spacing w:after="0" w:line="240" w:lineRule="auto"/>
        <w:rPr>
          <w:b/>
          <w:color w:val="0000FF"/>
        </w:rPr>
      </w:pPr>
      <w:r>
        <w:rPr>
          <w:b/>
          <w:color w:val="0000FF"/>
        </w:rPr>
        <w:t>Table 8</w:t>
      </w:r>
      <w:r w:rsidR="00441842" w:rsidRPr="00EC03C2">
        <w:rPr>
          <w:b/>
          <w:color w:val="0000FF"/>
        </w:rPr>
        <w:t>.</w:t>
      </w:r>
      <w:r w:rsidR="00441842" w:rsidRPr="00EC03C2">
        <w:rPr>
          <w:color w:val="0000FF"/>
        </w:rPr>
        <w:t xml:space="preserve"> </w:t>
      </w:r>
      <w:r w:rsidR="00D94666" w:rsidRPr="00EC03C2">
        <w:rPr>
          <w:b/>
          <w:color w:val="0000FF"/>
        </w:rPr>
        <w:t xml:space="preserve">Measure Rate as Specified </w:t>
      </w:r>
      <w:r w:rsidR="00FC4114">
        <w:rPr>
          <w:b/>
          <w:color w:val="0000FF"/>
        </w:rPr>
        <w:t>for</w:t>
      </w:r>
      <w:r w:rsidR="00D94666" w:rsidRPr="00EC03C2">
        <w:rPr>
          <w:b/>
          <w:color w:val="0000FF"/>
        </w:rPr>
        <w:t xml:space="preserve"> Patients with Available Medical Records </w:t>
      </w:r>
      <w:r w:rsidR="003E04DB" w:rsidRPr="00EC03C2">
        <w:rPr>
          <w:b/>
          <w:color w:val="0000FF"/>
        </w:rPr>
        <w:t>(N=431)</w:t>
      </w:r>
      <w:r w:rsidR="008D66B2">
        <w:rPr>
          <w:b/>
          <w:color w:val="0000FF"/>
        </w:rPr>
        <w:t xml:space="preserve"> (lower rate indicates better quality)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5"/>
        <w:gridCol w:w="1937"/>
        <w:gridCol w:w="1530"/>
        <w:gridCol w:w="1620"/>
        <w:gridCol w:w="2250"/>
      </w:tblGrid>
      <w:tr w:rsidR="009F7B22" w:rsidRPr="00EC03C2" w14:paraId="34A1CE66" w14:textId="77777777" w:rsidTr="00855A35">
        <w:trPr>
          <w:cantSplit/>
        </w:trPr>
        <w:tc>
          <w:tcPr>
            <w:tcW w:w="1255" w:type="dxa"/>
          </w:tcPr>
          <w:p w14:paraId="20A82225" w14:textId="77777777" w:rsidR="00D94666" w:rsidRPr="00EC03C2" w:rsidRDefault="00D94666" w:rsidP="00D94666">
            <w:pPr>
              <w:spacing w:after="0" w:line="240" w:lineRule="auto"/>
              <w:rPr>
                <w:color w:val="0000FF"/>
              </w:rPr>
            </w:pPr>
          </w:p>
        </w:tc>
        <w:tc>
          <w:tcPr>
            <w:tcW w:w="3467" w:type="dxa"/>
            <w:gridSpan w:val="2"/>
          </w:tcPr>
          <w:p w14:paraId="6D32B71C" w14:textId="77777777" w:rsidR="00D94666" w:rsidRPr="00EC03C2" w:rsidRDefault="00D94666" w:rsidP="00D94666">
            <w:pPr>
              <w:spacing w:after="0" w:line="240" w:lineRule="auto"/>
              <w:jc w:val="center"/>
              <w:rPr>
                <w:color w:val="0000FF"/>
              </w:rPr>
            </w:pPr>
            <w:r w:rsidRPr="00EC03C2">
              <w:rPr>
                <w:color w:val="0000FF"/>
              </w:rPr>
              <w:t>Exclusions in Admin Data Only</w:t>
            </w:r>
          </w:p>
        </w:tc>
        <w:tc>
          <w:tcPr>
            <w:tcW w:w="3870" w:type="dxa"/>
            <w:gridSpan w:val="2"/>
          </w:tcPr>
          <w:p w14:paraId="4DA7ACED" w14:textId="6EE3B973" w:rsidR="00D94666" w:rsidRPr="00EC03C2" w:rsidRDefault="00FC4114" w:rsidP="00FC4114">
            <w:pPr>
              <w:spacing w:after="0" w:line="240" w:lineRule="auto"/>
              <w:jc w:val="center"/>
              <w:rPr>
                <w:color w:val="0000FF"/>
              </w:rPr>
            </w:pPr>
            <w:r>
              <w:rPr>
                <w:color w:val="0000FF"/>
              </w:rPr>
              <w:t>Exclusions in Admin or M</w:t>
            </w:r>
            <w:r w:rsidR="00D94666" w:rsidRPr="00EC03C2">
              <w:rPr>
                <w:color w:val="0000FF"/>
              </w:rPr>
              <w:t>R</w:t>
            </w:r>
            <w:r>
              <w:rPr>
                <w:color w:val="0000FF"/>
              </w:rPr>
              <w:t xml:space="preserve"> </w:t>
            </w:r>
            <w:r w:rsidR="00D94666" w:rsidRPr="00EC03C2">
              <w:rPr>
                <w:color w:val="0000FF"/>
              </w:rPr>
              <w:t>Data</w:t>
            </w:r>
          </w:p>
        </w:tc>
      </w:tr>
      <w:tr w:rsidR="009F7B22" w:rsidRPr="00EC03C2" w14:paraId="3FE8B8E6" w14:textId="77777777" w:rsidTr="00855A35">
        <w:tc>
          <w:tcPr>
            <w:tcW w:w="1255" w:type="dxa"/>
          </w:tcPr>
          <w:p w14:paraId="3E77F1C7" w14:textId="77777777" w:rsidR="00D94666" w:rsidRPr="00EC03C2" w:rsidRDefault="00D94666" w:rsidP="00502682">
            <w:pPr>
              <w:spacing w:after="0" w:line="240" w:lineRule="auto"/>
              <w:jc w:val="center"/>
              <w:rPr>
                <w:color w:val="0000FF"/>
              </w:rPr>
            </w:pPr>
            <w:r w:rsidRPr="00EC03C2">
              <w:rPr>
                <w:color w:val="0000FF"/>
              </w:rPr>
              <w:t>Plan</w:t>
            </w:r>
          </w:p>
        </w:tc>
        <w:tc>
          <w:tcPr>
            <w:tcW w:w="1937" w:type="dxa"/>
          </w:tcPr>
          <w:p w14:paraId="1A832727" w14:textId="77777777" w:rsidR="00D94666" w:rsidRPr="00EC03C2" w:rsidRDefault="00D94666" w:rsidP="00D94666">
            <w:pPr>
              <w:spacing w:after="0" w:line="240" w:lineRule="auto"/>
              <w:jc w:val="center"/>
              <w:rPr>
                <w:color w:val="0000FF"/>
              </w:rPr>
            </w:pPr>
            <w:r w:rsidRPr="00EC03C2">
              <w:rPr>
                <w:color w:val="0000FF"/>
              </w:rPr>
              <w:t>Denominator</w:t>
            </w:r>
          </w:p>
        </w:tc>
        <w:tc>
          <w:tcPr>
            <w:tcW w:w="1530" w:type="dxa"/>
          </w:tcPr>
          <w:p w14:paraId="3481BE10" w14:textId="77777777" w:rsidR="00D94666" w:rsidRPr="00EC03C2" w:rsidRDefault="00D94666" w:rsidP="00D94666">
            <w:pPr>
              <w:spacing w:after="0" w:line="240" w:lineRule="auto"/>
              <w:jc w:val="center"/>
              <w:rPr>
                <w:color w:val="0000FF"/>
              </w:rPr>
            </w:pPr>
            <w:r w:rsidRPr="00EC03C2">
              <w:rPr>
                <w:color w:val="0000FF"/>
              </w:rPr>
              <w:t>Rate</w:t>
            </w:r>
          </w:p>
        </w:tc>
        <w:tc>
          <w:tcPr>
            <w:tcW w:w="1620" w:type="dxa"/>
          </w:tcPr>
          <w:p w14:paraId="70653CCF" w14:textId="77777777" w:rsidR="00D94666" w:rsidRPr="00EC03C2" w:rsidRDefault="00D94666" w:rsidP="00D94666">
            <w:pPr>
              <w:spacing w:after="0" w:line="240" w:lineRule="auto"/>
              <w:jc w:val="center"/>
              <w:rPr>
                <w:color w:val="0000FF"/>
              </w:rPr>
            </w:pPr>
            <w:r w:rsidRPr="00EC03C2">
              <w:rPr>
                <w:color w:val="0000FF"/>
              </w:rPr>
              <w:t>Denominator</w:t>
            </w:r>
          </w:p>
        </w:tc>
        <w:tc>
          <w:tcPr>
            <w:tcW w:w="2250" w:type="dxa"/>
          </w:tcPr>
          <w:p w14:paraId="76DAB899" w14:textId="77777777" w:rsidR="00D94666" w:rsidRPr="00EC03C2" w:rsidRDefault="00D94666" w:rsidP="00D94666">
            <w:pPr>
              <w:spacing w:after="0" w:line="240" w:lineRule="auto"/>
              <w:jc w:val="center"/>
              <w:rPr>
                <w:color w:val="0000FF"/>
              </w:rPr>
            </w:pPr>
            <w:r w:rsidRPr="00EC03C2">
              <w:rPr>
                <w:color w:val="0000FF"/>
              </w:rPr>
              <w:t>Rate</w:t>
            </w:r>
          </w:p>
        </w:tc>
      </w:tr>
      <w:tr w:rsidR="009F7B22" w:rsidRPr="00EC03C2" w14:paraId="0E23D14B" w14:textId="77777777" w:rsidTr="00855A35">
        <w:tc>
          <w:tcPr>
            <w:tcW w:w="1255" w:type="dxa"/>
          </w:tcPr>
          <w:p w14:paraId="5E0A1802" w14:textId="77777777" w:rsidR="00D94666" w:rsidRPr="00EC03C2" w:rsidRDefault="00D94666" w:rsidP="00502682">
            <w:pPr>
              <w:spacing w:after="0" w:line="240" w:lineRule="auto"/>
              <w:jc w:val="center"/>
              <w:rPr>
                <w:color w:val="0000FF"/>
              </w:rPr>
            </w:pPr>
            <w:r w:rsidRPr="00EC03C2">
              <w:rPr>
                <w:color w:val="0000FF"/>
              </w:rPr>
              <w:t>A</w:t>
            </w:r>
          </w:p>
        </w:tc>
        <w:tc>
          <w:tcPr>
            <w:tcW w:w="1937" w:type="dxa"/>
          </w:tcPr>
          <w:p w14:paraId="4447F75E" w14:textId="77777777" w:rsidR="00D94666" w:rsidRPr="00EC03C2" w:rsidRDefault="00D94666" w:rsidP="00D94666">
            <w:pPr>
              <w:spacing w:after="0" w:line="240" w:lineRule="auto"/>
              <w:jc w:val="center"/>
              <w:rPr>
                <w:color w:val="0000FF"/>
              </w:rPr>
            </w:pPr>
            <w:r w:rsidRPr="00EC03C2">
              <w:rPr>
                <w:color w:val="0000FF"/>
              </w:rPr>
              <w:t>144</w:t>
            </w:r>
          </w:p>
        </w:tc>
        <w:tc>
          <w:tcPr>
            <w:tcW w:w="1530" w:type="dxa"/>
          </w:tcPr>
          <w:p w14:paraId="17E9A78B" w14:textId="26B14482" w:rsidR="00D94666" w:rsidRPr="00EC03C2" w:rsidRDefault="00D94666" w:rsidP="00D94666">
            <w:pPr>
              <w:spacing w:after="0" w:line="240" w:lineRule="auto"/>
              <w:jc w:val="center"/>
              <w:rPr>
                <w:color w:val="0000FF"/>
              </w:rPr>
            </w:pPr>
            <w:r w:rsidRPr="00EC03C2">
              <w:rPr>
                <w:color w:val="0000FF"/>
              </w:rPr>
              <w:t>27.8</w:t>
            </w:r>
          </w:p>
        </w:tc>
        <w:tc>
          <w:tcPr>
            <w:tcW w:w="1620" w:type="dxa"/>
            <w:vAlign w:val="bottom"/>
          </w:tcPr>
          <w:p w14:paraId="79CD4387" w14:textId="77777777" w:rsidR="00D94666" w:rsidRPr="00EC03C2" w:rsidRDefault="00D94666" w:rsidP="00D94666">
            <w:pPr>
              <w:spacing w:after="0" w:line="240" w:lineRule="auto"/>
              <w:jc w:val="center"/>
              <w:rPr>
                <w:color w:val="0000FF"/>
              </w:rPr>
            </w:pPr>
            <w:r w:rsidRPr="00EC03C2">
              <w:rPr>
                <w:color w:val="0000FF"/>
              </w:rPr>
              <w:t>128</w:t>
            </w:r>
          </w:p>
        </w:tc>
        <w:tc>
          <w:tcPr>
            <w:tcW w:w="2250" w:type="dxa"/>
            <w:vAlign w:val="bottom"/>
          </w:tcPr>
          <w:p w14:paraId="52A48F8C" w14:textId="3F0815E9" w:rsidR="00D94666" w:rsidRPr="00EC03C2" w:rsidRDefault="00D94666" w:rsidP="00D94666">
            <w:pPr>
              <w:spacing w:after="0" w:line="240" w:lineRule="auto"/>
              <w:jc w:val="center"/>
              <w:rPr>
                <w:color w:val="0000FF"/>
              </w:rPr>
            </w:pPr>
            <w:r w:rsidRPr="00EC03C2">
              <w:rPr>
                <w:color w:val="0000FF"/>
              </w:rPr>
              <w:t>25.0</w:t>
            </w:r>
          </w:p>
        </w:tc>
      </w:tr>
      <w:tr w:rsidR="009F7B22" w:rsidRPr="00EC03C2" w14:paraId="0DF20CA6" w14:textId="77777777" w:rsidTr="00855A35">
        <w:tc>
          <w:tcPr>
            <w:tcW w:w="1255" w:type="dxa"/>
          </w:tcPr>
          <w:p w14:paraId="0F20DF26" w14:textId="77777777" w:rsidR="00D94666" w:rsidRPr="00EC03C2" w:rsidRDefault="00D94666" w:rsidP="00502682">
            <w:pPr>
              <w:spacing w:after="0" w:line="240" w:lineRule="auto"/>
              <w:jc w:val="center"/>
              <w:rPr>
                <w:color w:val="0000FF"/>
              </w:rPr>
            </w:pPr>
            <w:r w:rsidRPr="00EC03C2">
              <w:rPr>
                <w:color w:val="0000FF"/>
              </w:rPr>
              <w:t>B</w:t>
            </w:r>
          </w:p>
        </w:tc>
        <w:tc>
          <w:tcPr>
            <w:tcW w:w="1937" w:type="dxa"/>
          </w:tcPr>
          <w:p w14:paraId="7B1D716B" w14:textId="77777777" w:rsidR="00D94666" w:rsidRPr="00EC03C2" w:rsidRDefault="00D94666" w:rsidP="00D94666">
            <w:pPr>
              <w:spacing w:after="0" w:line="240" w:lineRule="auto"/>
              <w:jc w:val="center"/>
              <w:rPr>
                <w:color w:val="0000FF"/>
              </w:rPr>
            </w:pPr>
            <w:r w:rsidRPr="00EC03C2">
              <w:rPr>
                <w:color w:val="0000FF"/>
              </w:rPr>
              <w:t>141</w:t>
            </w:r>
          </w:p>
        </w:tc>
        <w:tc>
          <w:tcPr>
            <w:tcW w:w="1530" w:type="dxa"/>
          </w:tcPr>
          <w:p w14:paraId="3395140D" w14:textId="799DFF2C" w:rsidR="00D94666" w:rsidRPr="00EC03C2" w:rsidRDefault="00D94666" w:rsidP="00D94666">
            <w:pPr>
              <w:spacing w:after="0" w:line="240" w:lineRule="auto"/>
              <w:jc w:val="center"/>
              <w:rPr>
                <w:color w:val="0000FF"/>
              </w:rPr>
            </w:pPr>
            <w:r w:rsidRPr="00EC03C2">
              <w:rPr>
                <w:color w:val="0000FF"/>
              </w:rPr>
              <w:t>18.4</w:t>
            </w:r>
          </w:p>
        </w:tc>
        <w:tc>
          <w:tcPr>
            <w:tcW w:w="1620" w:type="dxa"/>
            <w:vAlign w:val="bottom"/>
          </w:tcPr>
          <w:p w14:paraId="792F0C10" w14:textId="77777777" w:rsidR="00D94666" w:rsidRPr="00EC03C2" w:rsidRDefault="00D94666" w:rsidP="00D94666">
            <w:pPr>
              <w:spacing w:after="0" w:line="240" w:lineRule="auto"/>
              <w:jc w:val="center"/>
              <w:rPr>
                <w:color w:val="0000FF"/>
              </w:rPr>
            </w:pPr>
            <w:r w:rsidRPr="00EC03C2">
              <w:rPr>
                <w:color w:val="0000FF"/>
              </w:rPr>
              <w:t>91</w:t>
            </w:r>
          </w:p>
        </w:tc>
        <w:tc>
          <w:tcPr>
            <w:tcW w:w="2250" w:type="dxa"/>
            <w:vAlign w:val="bottom"/>
          </w:tcPr>
          <w:p w14:paraId="1CEEBDBF" w14:textId="343D53A7" w:rsidR="00D94666" w:rsidRPr="00EC03C2" w:rsidRDefault="00D94666" w:rsidP="00D94666">
            <w:pPr>
              <w:spacing w:after="0" w:line="240" w:lineRule="auto"/>
              <w:jc w:val="center"/>
              <w:rPr>
                <w:color w:val="0000FF"/>
              </w:rPr>
            </w:pPr>
            <w:r w:rsidRPr="00EC03C2">
              <w:rPr>
                <w:color w:val="0000FF"/>
              </w:rPr>
              <w:t>15.4</w:t>
            </w:r>
          </w:p>
        </w:tc>
      </w:tr>
      <w:tr w:rsidR="009F7B22" w:rsidRPr="00EC03C2" w14:paraId="4D14334C" w14:textId="77777777" w:rsidTr="00855A35">
        <w:tc>
          <w:tcPr>
            <w:tcW w:w="1255" w:type="dxa"/>
          </w:tcPr>
          <w:p w14:paraId="19DC01FE" w14:textId="77777777" w:rsidR="00D94666" w:rsidRPr="00EC03C2" w:rsidRDefault="00D94666" w:rsidP="00502682">
            <w:pPr>
              <w:spacing w:after="0" w:line="240" w:lineRule="auto"/>
              <w:jc w:val="center"/>
              <w:rPr>
                <w:color w:val="0000FF"/>
              </w:rPr>
            </w:pPr>
            <w:r w:rsidRPr="00EC03C2">
              <w:rPr>
                <w:color w:val="0000FF"/>
              </w:rPr>
              <w:t>C</w:t>
            </w:r>
            <w:r w:rsidR="003E04DB" w:rsidRPr="00EC03C2">
              <w:rPr>
                <w:color w:val="0000FF"/>
              </w:rPr>
              <w:t>*</w:t>
            </w:r>
          </w:p>
        </w:tc>
        <w:tc>
          <w:tcPr>
            <w:tcW w:w="1937" w:type="dxa"/>
          </w:tcPr>
          <w:p w14:paraId="28451DE7" w14:textId="77777777" w:rsidR="00D94666" w:rsidRPr="00EC03C2" w:rsidRDefault="00D94666" w:rsidP="00D94666">
            <w:pPr>
              <w:spacing w:after="0" w:line="240" w:lineRule="auto"/>
              <w:jc w:val="center"/>
              <w:rPr>
                <w:color w:val="0000FF"/>
              </w:rPr>
            </w:pPr>
            <w:r w:rsidRPr="00EC03C2">
              <w:rPr>
                <w:color w:val="0000FF"/>
              </w:rPr>
              <w:t>146</w:t>
            </w:r>
          </w:p>
        </w:tc>
        <w:tc>
          <w:tcPr>
            <w:tcW w:w="1530" w:type="dxa"/>
          </w:tcPr>
          <w:p w14:paraId="7E98FC55" w14:textId="3D5333EB" w:rsidR="00D94666" w:rsidRPr="00EC03C2" w:rsidRDefault="00D94666" w:rsidP="00D94666">
            <w:pPr>
              <w:spacing w:after="0" w:line="240" w:lineRule="auto"/>
              <w:jc w:val="center"/>
              <w:rPr>
                <w:color w:val="0000FF"/>
              </w:rPr>
            </w:pPr>
            <w:r w:rsidRPr="00EC03C2">
              <w:rPr>
                <w:color w:val="0000FF"/>
              </w:rPr>
              <w:t>23.3</w:t>
            </w:r>
          </w:p>
        </w:tc>
        <w:tc>
          <w:tcPr>
            <w:tcW w:w="1620" w:type="dxa"/>
            <w:vAlign w:val="bottom"/>
          </w:tcPr>
          <w:p w14:paraId="4E154BC7" w14:textId="77777777" w:rsidR="00D94666" w:rsidRPr="00EC03C2" w:rsidRDefault="00D94666" w:rsidP="00D94666">
            <w:pPr>
              <w:spacing w:after="0" w:line="240" w:lineRule="auto"/>
              <w:jc w:val="center"/>
              <w:rPr>
                <w:color w:val="0000FF"/>
              </w:rPr>
            </w:pPr>
            <w:r w:rsidRPr="00EC03C2">
              <w:rPr>
                <w:color w:val="0000FF"/>
              </w:rPr>
              <w:t>102</w:t>
            </w:r>
          </w:p>
        </w:tc>
        <w:tc>
          <w:tcPr>
            <w:tcW w:w="2250" w:type="dxa"/>
            <w:vAlign w:val="bottom"/>
          </w:tcPr>
          <w:p w14:paraId="2208F7B9" w14:textId="2FBEF680" w:rsidR="00D94666" w:rsidRPr="00EC03C2" w:rsidRDefault="00D94666" w:rsidP="00D94666">
            <w:pPr>
              <w:spacing w:after="0" w:line="240" w:lineRule="auto"/>
              <w:jc w:val="center"/>
              <w:rPr>
                <w:color w:val="0000FF"/>
              </w:rPr>
            </w:pPr>
            <w:r w:rsidRPr="00EC03C2">
              <w:rPr>
                <w:color w:val="0000FF"/>
              </w:rPr>
              <w:t>23.5</w:t>
            </w:r>
          </w:p>
        </w:tc>
      </w:tr>
    </w:tbl>
    <w:p w14:paraId="1260F6A0" w14:textId="41F7EDB2" w:rsidR="003E04DB" w:rsidRPr="00EC03C2" w:rsidRDefault="003E04DB" w:rsidP="00DA4B65">
      <w:pPr>
        <w:spacing w:after="0" w:line="240" w:lineRule="auto"/>
        <w:rPr>
          <w:color w:val="0000FF"/>
        </w:rPr>
      </w:pPr>
      <w:r w:rsidRPr="00EC03C2">
        <w:rPr>
          <w:color w:val="0000FF"/>
        </w:rPr>
        <w:t>*Plan C includes both commercial and Medicaid product lines</w:t>
      </w:r>
      <w:r w:rsidR="00FC4114">
        <w:rPr>
          <w:color w:val="0000FF"/>
        </w:rPr>
        <w:t>.</w:t>
      </w:r>
    </w:p>
    <w:p w14:paraId="2CE2248E" w14:textId="77777777" w:rsidR="00A5140E" w:rsidRPr="00EC03C2" w:rsidRDefault="00A5140E" w:rsidP="00DA4B65">
      <w:pPr>
        <w:spacing w:after="0" w:line="240" w:lineRule="auto"/>
        <w:rPr>
          <w:color w:val="0000FF"/>
        </w:rPr>
      </w:pPr>
    </w:p>
    <w:p w14:paraId="7AA1198C" w14:textId="7400338E" w:rsidR="00DA4B65" w:rsidRDefault="002E05CB" w:rsidP="00DA4B65">
      <w:pPr>
        <w:spacing w:after="0" w:line="240" w:lineRule="auto"/>
        <w:rPr>
          <w:color w:val="0000FF"/>
        </w:rPr>
      </w:pPr>
      <w:r w:rsidRPr="00EC03C2">
        <w:rPr>
          <w:color w:val="0000FF"/>
        </w:rPr>
        <w:t xml:space="preserve">Table </w:t>
      </w:r>
      <w:r w:rsidR="00AE1B29">
        <w:rPr>
          <w:color w:val="0000FF"/>
        </w:rPr>
        <w:t>8</w:t>
      </w:r>
      <w:r w:rsidR="00DA4B65" w:rsidRPr="00EC03C2">
        <w:rPr>
          <w:color w:val="0000FF"/>
        </w:rPr>
        <w:t xml:space="preserve"> shows the performance rate (i.e. percentage of inappropriate scans) across plans for patients with</w:t>
      </w:r>
      <w:r w:rsidR="00F971A6" w:rsidRPr="00EC03C2">
        <w:rPr>
          <w:color w:val="0000FF"/>
        </w:rPr>
        <w:t xml:space="preserve"> exclusions captured through administrative data only and with exclusions captured through either </w:t>
      </w:r>
      <w:r w:rsidR="00DA4B65" w:rsidRPr="00EC03C2">
        <w:rPr>
          <w:color w:val="0000FF"/>
        </w:rPr>
        <w:t xml:space="preserve">the administrative data or medical record data.  </w:t>
      </w:r>
    </w:p>
    <w:p w14:paraId="115E1862" w14:textId="77777777" w:rsidR="00092566" w:rsidRPr="00092566" w:rsidRDefault="00092566" w:rsidP="00092566">
      <w:pPr>
        <w:autoSpaceDE w:val="0"/>
        <w:autoSpaceDN w:val="0"/>
        <w:adjustRightInd w:val="0"/>
        <w:spacing w:after="0" w:line="240" w:lineRule="auto"/>
        <w:rPr>
          <w:rFonts w:cstheme="minorHAnsi"/>
          <w:bCs/>
        </w:rPr>
      </w:pPr>
    </w:p>
    <w:p w14:paraId="61DA1947" w14:textId="77777777" w:rsidR="00161F20" w:rsidRDefault="00092566" w:rsidP="00DB3627">
      <w:pPr>
        <w:autoSpaceDE w:val="0"/>
        <w:autoSpaceDN w:val="0"/>
        <w:adjustRightInd w:val="0"/>
        <w:spacing w:after="0" w:line="240" w:lineRule="auto"/>
        <w:rPr>
          <w:b/>
          <w:color w:val="FF0000"/>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57935878" w14:textId="32BED674" w:rsidR="00A16A2E" w:rsidRPr="0098174C" w:rsidRDefault="00A16A2E" w:rsidP="00383B59">
      <w:pPr>
        <w:autoSpaceDE w:val="0"/>
        <w:autoSpaceDN w:val="0"/>
        <w:adjustRightInd w:val="0"/>
        <w:spacing w:after="0" w:line="240" w:lineRule="auto"/>
        <w:rPr>
          <w:strike/>
          <w:color w:val="0000FF"/>
        </w:rPr>
      </w:pPr>
      <w:r w:rsidRPr="0098174C">
        <w:rPr>
          <w:strike/>
          <w:color w:val="0000FF"/>
        </w:rPr>
        <w:t xml:space="preserve">According to </w:t>
      </w:r>
      <w:r w:rsidR="00FC4114" w:rsidRPr="0098174C">
        <w:rPr>
          <w:strike/>
          <w:color w:val="0000FF"/>
        </w:rPr>
        <w:t>administrative data</w:t>
      </w:r>
      <w:r w:rsidRPr="0098174C">
        <w:rPr>
          <w:strike/>
          <w:color w:val="0000FF"/>
        </w:rPr>
        <w:t xml:space="preserve"> (Table 6)</w:t>
      </w:r>
      <w:r w:rsidR="00FC4114" w:rsidRPr="0098174C">
        <w:rPr>
          <w:strike/>
          <w:color w:val="0000FF"/>
        </w:rPr>
        <w:t xml:space="preserve">, </w:t>
      </w:r>
      <w:r w:rsidR="00DD3D17" w:rsidRPr="0098174C">
        <w:rPr>
          <w:strike/>
          <w:color w:val="0000FF"/>
        </w:rPr>
        <w:t>r</w:t>
      </w:r>
      <w:r w:rsidR="00383B59" w:rsidRPr="0098174C">
        <w:rPr>
          <w:strike/>
          <w:color w:val="0000FF"/>
        </w:rPr>
        <w:t>ed-</w:t>
      </w:r>
      <w:r w:rsidR="00DD3D17" w:rsidRPr="0098174C">
        <w:rPr>
          <w:strike/>
          <w:color w:val="0000FF"/>
        </w:rPr>
        <w:t>f</w:t>
      </w:r>
      <w:r w:rsidR="00383B59" w:rsidRPr="0098174C">
        <w:rPr>
          <w:strike/>
          <w:color w:val="0000FF"/>
        </w:rPr>
        <w:t xml:space="preserve">lag conditions </w:t>
      </w:r>
      <w:r w:rsidR="00AE1B29" w:rsidRPr="0098174C">
        <w:rPr>
          <w:strike/>
          <w:color w:val="0000FF"/>
        </w:rPr>
        <w:t xml:space="preserve">(i.e. exclusions) </w:t>
      </w:r>
      <w:r w:rsidRPr="0098174C">
        <w:rPr>
          <w:strike/>
          <w:color w:val="0000FF"/>
        </w:rPr>
        <w:t>occur in 0.0-1.9 percent of low back pain episodes</w:t>
      </w:r>
      <w:r w:rsidR="00383B59" w:rsidRPr="0098174C">
        <w:rPr>
          <w:strike/>
          <w:color w:val="0000FF"/>
        </w:rPr>
        <w:t xml:space="preserve">. </w:t>
      </w:r>
      <w:r w:rsidR="00D3691D" w:rsidRPr="0098174C">
        <w:rPr>
          <w:strike/>
          <w:color w:val="0000FF"/>
        </w:rPr>
        <w:t xml:space="preserve">Exclusion rates for recent trauma and intravenous drug use increase </w:t>
      </w:r>
      <w:r w:rsidRPr="0098174C">
        <w:rPr>
          <w:strike/>
          <w:color w:val="0000FF"/>
        </w:rPr>
        <w:t xml:space="preserve">when </w:t>
      </w:r>
      <w:r w:rsidR="00340E8F" w:rsidRPr="0098174C">
        <w:rPr>
          <w:strike/>
          <w:color w:val="0000FF"/>
        </w:rPr>
        <w:t xml:space="preserve">plans are able to use both administrative and </w:t>
      </w:r>
      <w:r w:rsidRPr="0098174C">
        <w:rPr>
          <w:strike/>
          <w:color w:val="0000FF"/>
        </w:rPr>
        <w:t>medical record data</w:t>
      </w:r>
      <w:r w:rsidR="00AE1B29" w:rsidRPr="0098174C">
        <w:rPr>
          <w:strike/>
          <w:color w:val="0000FF"/>
        </w:rPr>
        <w:t xml:space="preserve"> (Table 7</w:t>
      </w:r>
      <w:r w:rsidRPr="0098174C">
        <w:rPr>
          <w:strike/>
          <w:color w:val="0000FF"/>
        </w:rPr>
        <w:t>)</w:t>
      </w:r>
      <w:r w:rsidR="00D3691D" w:rsidRPr="0098174C">
        <w:rPr>
          <w:strike/>
          <w:color w:val="0000FF"/>
        </w:rPr>
        <w:t xml:space="preserve">; </w:t>
      </w:r>
      <w:r w:rsidR="00340E8F" w:rsidRPr="0098174C">
        <w:rPr>
          <w:strike/>
          <w:color w:val="0000FF"/>
        </w:rPr>
        <w:t xml:space="preserve">however, </w:t>
      </w:r>
      <w:r w:rsidR="00D3691D" w:rsidRPr="0098174C">
        <w:rPr>
          <w:strike/>
          <w:color w:val="0000FF"/>
        </w:rPr>
        <w:t>a</w:t>
      </w:r>
      <w:r w:rsidR="00AE1B29" w:rsidRPr="0098174C">
        <w:rPr>
          <w:strike/>
          <w:color w:val="0000FF"/>
        </w:rPr>
        <w:t xml:space="preserve">dministrative data is a more valid data source for prior cancer and intravenous drug use. </w:t>
      </w:r>
      <w:r w:rsidR="005A2B60" w:rsidRPr="0098174C">
        <w:rPr>
          <w:strike/>
          <w:color w:val="0000FF"/>
        </w:rPr>
        <w:t xml:space="preserve">We decided to include the four most common exclusions in the measure, using administrative data only, as this reduces the burden on reporting plans. For plans that are not able to </w:t>
      </w:r>
      <w:r w:rsidR="008D66B2" w:rsidRPr="0098174C">
        <w:rPr>
          <w:strike/>
          <w:color w:val="0000FF"/>
        </w:rPr>
        <w:t xml:space="preserve">capture </w:t>
      </w:r>
      <w:r w:rsidR="005A2B60" w:rsidRPr="0098174C">
        <w:rPr>
          <w:strike/>
          <w:color w:val="0000FF"/>
        </w:rPr>
        <w:t xml:space="preserve">recent trauma and intravenous drug use using administrative data, we think the impact on the overall performance rate will be relatively low, </w:t>
      </w:r>
      <w:r w:rsidR="008D66B2" w:rsidRPr="0098174C">
        <w:rPr>
          <w:strike/>
          <w:color w:val="0000FF"/>
        </w:rPr>
        <w:t>demonstrated by Table 8. As part of the field test, we compared measure rates using exclusions identified in administrative data and exclusions identified in either administrative data or medical records</w:t>
      </w:r>
      <w:r w:rsidR="00340E8F" w:rsidRPr="0098174C">
        <w:rPr>
          <w:strike/>
          <w:color w:val="0000FF"/>
        </w:rPr>
        <w:t xml:space="preserve"> (Table 8)</w:t>
      </w:r>
      <w:r w:rsidR="008D66B2" w:rsidRPr="0098174C">
        <w:rPr>
          <w:strike/>
          <w:color w:val="0000FF"/>
        </w:rPr>
        <w:t>. The performance rate improved by 2.8-3.0 percent</w:t>
      </w:r>
      <w:r w:rsidR="009C7E19" w:rsidRPr="0098174C">
        <w:rPr>
          <w:strike/>
          <w:color w:val="0000FF"/>
        </w:rPr>
        <w:t>age points</w:t>
      </w:r>
      <w:r w:rsidR="008D66B2" w:rsidRPr="0098174C">
        <w:rPr>
          <w:strike/>
          <w:color w:val="0000FF"/>
        </w:rPr>
        <w:t xml:space="preserve"> for two plans when using both data sources for exclusions; however, Plan C performed worse</w:t>
      </w:r>
      <w:r w:rsidR="00340E8F" w:rsidRPr="0098174C">
        <w:rPr>
          <w:strike/>
          <w:color w:val="0000FF"/>
        </w:rPr>
        <w:t xml:space="preserve"> by 0.2 percent. </w:t>
      </w:r>
    </w:p>
    <w:p w14:paraId="5E35EF43" w14:textId="028CDC46" w:rsidR="008235C2" w:rsidRDefault="008235C2" w:rsidP="00383B59">
      <w:pPr>
        <w:autoSpaceDE w:val="0"/>
        <w:autoSpaceDN w:val="0"/>
        <w:adjustRightInd w:val="0"/>
        <w:spacing w:after="0" w:line="240" w:lineRule="auto"/>
        <w:rPr>
          <w:color w:val="0000FF"/>
        </w:rPr>
      </w:pPr>
    </w:p>
    <w:p w14:paraId="1AE68AE4" w14:textId="4A704A9A" w:rsidR="006E5BFF" w:rsidRPr="006E5BFF" w:rsidRDefault="0098174C" w:rsidP="00E6511C">
      <w:pPr>
        <w:autoSpaceDE w:val="0"/>
        <w:autoSpaceDN w:val="0"/>
        <w:adjustRightInd w:val="0"/>
        <w:spacing w:after="0" w:line="240" w:lineRule="auto"/>
        <w:rPr>
          <w:b/>
          <w:color w:val="FF0000"/>
        </w:rPr>
      </w:pPr>
      <w:r>
        <w:rPr>
          <w:b/>
          <w:color w:val="FF0000"/>
        </w:rPr>
        <w:t>Updated a</w:t>
      </w:r>
      <w:r w:rsidR="006E5BFF" w:rsidRPr="006E5BFF">
        <w:rPr>
          <w:b/>
          <w:color w:val="FF0000"/>
        </w:rPr>
        <w:t>nalysis including the addition of t</w:t>
      </w:r>
      <w:r w:rsidR="00261583">
        <w:rPr>
          <w:b/>
          <w:color w:val="FF0000"/>
        </w:rPr>
        <w:t>hree exclusions to Table</w:t>
      </w:r>
      <w:r>
        <w:rPr>
          <w:b/>
          <w:color w:val="FF0000"/>
        </w:rPr>
        <w:t>s</w:t>
      </w:r>
      <w:r w:rsidR="00261583">
        <w:rPr>
          <w:b/>
          <w:color w:val="FF0000"/>
        </w:rPr>
        <w:t xml:space="preserve"> 6 &amp; 7</w:t>
      </w:r>
    </w:p>
    <w:p w14:paraId="70EB1D6D" w14:textId="0D8F4749" w:rsidR="008235C2" w:rsidRPr="00E6511C" w:rsidRDefault="008235C2" w:rsidP="00383B59">
      <w:pPr>
        <w:autoSpaceDE w:val="0"/>
        <w:autoSpaceDN w:val="0"/>
        <w:adjustRightInd w:val="0"/>
        <w:spacing w:after="0" w:line="240" w:lineRule="auto"/>
        <w:rPr>
          <w:color w:val="FF0000"/>
        </w:rPr>
      </w:pPr>
      <w:r w:rsidRPr="00E6511C">
        <w:rPr>
          <w:color w:val="FF0000"/>
        </w:rPr>
        <w:t xml:space="preserve">According to the administrative data (Table 6) from 2002, red-flag conditions (i.e. exclusions) occur in 0.0-1.9 percent of low back pain episodes. Using data from both administrative data and medical records (Table 7), we see neurologic impairment, recent infection, recent trauma and unexplained weight loss are more often present in the medical record than administrative data, while IV drug use </w:t>
      </w:r>
      <w:r w:rsidRPr="00E6511C">
        <w:rPr>
          <w:color w:val="FF0000"/>
        </w:rPr>
        <w:lastRenderedPageBreak/>
        <w:t>and prior cancer are more often present in administrative data compared to the medical record. We include eight of these exclusions in our measure, based on the evidence and feedback from stakeholders. The measure is specified using administrative data as the data source</w:t>
      </w:r>
      <w:r w:rsidR="00E6511C" w:rsidRPr="00E6511C">
        <w:rPr>
          <w:color w:val="FF0000"/>
        </w:rPr>
        <w:t xml:space="preserve">, as this reduces the reporting burden on plans. For plans that are not able to capture exclusions using administrative data, we think the impact on the overall performance rate will be relatively low, demonstrated by Table 8. As part of the field test, we compared measure rates using exclusions identified in administrative data and exclusions identified in either administrative data or medical records (Table 8). The performance rate improved by 2.8-3.0 percentage points for two plans when using both data sources for exclusions; however, Plan C performed worse by 0.2 percent. </w:t>
      </w:r>
    </w:p>
    <w:p w14:paraId="471DB8A1"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5A40DF70" w14:textId="77777777"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5C8BB8F" w14:textId="77777777" w:rsidR="008871A9" w:rsidRPr="007B57D8" w:rsidRDefault="007B57D8" w:rsidP="00092566">
      <w:pPr>
        <w:autoSpaceDE w:val="0"/>
        <w:autoSpaceDN w:val="0"/>
        <w:adjustRightInd w:val="0"/>
        <w:spacing w:after="0" w:line="240" w:lineRule="auto"/>
        <w:rPr>
          <w:rFonts w:cstheme="minorHAnsi"/>
          <w:b/>
          <w:bCs/>
          <w:color w:val="FF0000"/>
        </w:rPr>
      </w:pPr>
      <w:r w:rsidRPr="007B57D8">
        <w:rPr>
          <w:rFonts w:cstheme="minorHAnsi"/>
          <w:b/>
          <w:bCs/>
          <w:color w:val="FF0000"/>
        </w:rPr>
        <w:t>N/A</w:t>
      </w:r>
    </w:p>
    <w:p w14:paraId="00D017B2"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4A29CAB9" w14:textId="77777777" w:rsidR="00033038" w:rsidRPr="005232D6" w:rsidRDefault="00216958"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7B57D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40530ADA" w14:textId="77777777" w:rsidR="00743E46" w:rsidRPr="005232D6" w:rsidRDefault="00216958"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4CD424DC" w14:textId="77777777" w:rsidR="00743E46" w:rsidRPr="005232D6" w:rsidRDefault="00216958"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196F9B2" w14:textId="77777777" w:rsidR="00743E46" w:rsidRPr="005232D6" w:rsidRDefault="00216958"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17F5D91D" w14:textId="77777777" w:rsidR="00743E46" w:rsidRDefault="00743E46" w:rsidP="00092566">
      <w:pPr>
        <w:autoSpaceDE w:val="0"/>
        <w:autoSpaceDN w:val="0"/>
        <w:adjustRightInd w:val="0"/>
        <w:spacing w:after="0" w:line="240" w:lineRule="auto"/>
        <w:rPr>
          <w:rFonts w:cstheme="minorHAnsi"/>
          <w:b/>
          <w:bCs/>
        </w:rPr>
      </w:pPr>
    </w:p>
    <w:p w14:paraId="4D96F0E5" w14:textId="77777777" w:rsidR="00092566" w:rsidRPr="00E21158" w:rsidRDefault="00743E46" w:rsidP="00E21158">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14:paraId="32A471D9" w14:textId="77777777"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00E21158">
        <w:rPr>
          <w:rFonts w:cstheme="minorHAnsi"/>
          <w:bCs/>
        </w:rPr>
        <w:t>)</w:t>
      </w:r>
    </w:p>
    <w:p w14:paraId="69B05C29" w14:textId="77777777" w:rsidR="00001D73" w:rsidRPr="00001D73" w:rsidRDefault="00001D73" w:rsidP="00001D73">
      <w:pPr>
        <w:autoSpaceDE w:val="0"/>
        <w:autoSpaceDN w:val="0"/>
        <w:adjustRightInd w:val="0"/>
        <w:spacing w:after="0" w:line="240" w:lineRule="auto"/>
        <w:rPr>
          <w:rFonts w:cstheme="minorHAnsi"/>
          <w:bCs/>
        </w:rPr>
      </w:pPr>
    </w:p>
    <w:p w14:paraId="2DCC71EE" w14:textId="77777777" w:rsidR="00001D73" w:rsidRPr="00001D73"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14:paraId="173B738E" w14:textId="77777777"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E21158">
        <w:rPr>
          <w:rFonts w:cstheme="minorHAnsi"/>
          <w:bCs/>
        </w:rPr>
        <w:t>)</w:t>
      </w:r>
    </w:p>
    <w:p w14:paraId="5ECCDBFC" w14:textId="77777777" w:rsidR="00092566" w:rsidRPr="00A25024" w:rsidRDefault="00092566" w:rsidP="00092566">
      <w:pPr>
        <w:autoSpaceDE w:val="0"/>
        <w:autoSpaceDN w:val="0"/>
        <w:adjustRightInd w:val="0"/>
        <w:spacing w:after="0" w:line="240" w:lineRule="auto"/>
        <w:rPr>
          <w:rFonts w:cstheme="minorHAnsi"/>
          <w:bCs/>
        </w:rPr>
      </w:pPr>
    </w:p>
    <w:p w14:paraId="742044BC"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14:paraId="14F9D99C" w14:textId="77777777" w:rsidR="00743E46" w:rsidRDefault="00743E46" w:rsidP="00092566">
      <w:pPr>
        <w:autoSpaceDE w:val="0"/>
        <w:autoSpaceDN w:val="0"/>
        <w:adjustRightInd w:val="0"/>
        <w:spacing w:after="0" w:line="240" w:lineRule="auto"/>
        <w:rPr>
          <w:rFonts w:cstheme="minorHAnsi"/>
          <w:b/>
          <w:bCs/>
        </w:rPr>
      </w:pPr>
    </w:p>
    <w:p w14:paraId="501DEC25" w14:textId="77777777"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26F9234E" w14:textId="77777777"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3ECC3556" w14:textId="77777777"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E21158">
        <w:rPr>
          <w:rFonts w:cstheme="minorHAnsi"/>
          <w:bCs/>
        </w:rPr>
        <w:t>:</w:t>
      </w:r>
      <w:r w:rsidR="00092566" w:rsidRPr="00A25024">
        <w:rPr>
          <w:rFonts w:cstheme="minorHAnsi"/>
        </w:rPr>
        <w:br/>
      </w:r>
    </w:p>
    <w:p w14:paraId="3B270174" w14:textId="77777777" w:rsidR="00092566" w:rsidRDefault="00743E46" w:rsidP="00E21158">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626F977B" w14:textId="77777777" w:rsidR="00E21158" w:rsidRPr="00E21158" w:rsidRDefault="00E21158" w:rsidP="00E21158">
      <w:pPr>
        <w:autoSpaceDE w:val="0"/>
        <w:autoSpaceDN w:val="0"/>
        <w:adjustRightInd w:val="0"/>
        <w:spacing w:after="0" w:line="240" w:lineRule="auto"/>
        <w:rPr>
          <w:rFonts w:cstheme="minorHAnsi"/>
          <w:bCs/>
        </w:rPr>
      </w:pPr>
    </w:p>
    <w:p w14:paraId="6E132971" w14:textId="77777777"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norms for the test conducted</w:t>
      </w:r>
      <w:r w:rsidR="00092566" w:rsidRPr="00A25024">
        <w:rPr>
          <w:rFonts w:cstheme="minorHAnsi"/>
          <w:bCs/>
        </w:rPr>
        <w:t>)</w:t>
      </w:r>
      <w:r w:rsidR="00092566" w:rsidRPr="00A25024">
        <w:rPr>
          <w:rFonts w:cstheme="minorHAnsi"/>
          <w:bCs/>
        </w:rPr>
        <w:br/>
      </w:r>
    </w:p>
    <w:p w14:paraId="7029B322" w14:textId="77777777" w:rsidR="00BF4E22" w:rsidRPr="00E21158" w:rsidRDefault="009B1A15" w:rsidP="00E21158">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0ACA0C87"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44F3D2F" w14:textId="77777777"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14:paraId="6EEAF901" w14:textId="77777777" w:rsidR="007B57D8" w:rsidRPr="009F7B22" w:rsidRDefault="00D61410" w:rsidP="00D61410">
      <w:pPr>
        <w:autoSpaceDE w:val="0"/>
        <w:autoSpaceDN w:val="0"/>
        <w:adjustRightInd w:val="0"/>
        <w:spacing w:after="0" w:line="240" w:lineRule="auto"/>
        <w:rPr>
          <w:rFonts w:cstheme="minorHAnsi"/>
          <w:bCs/>
          <w:color w:val="0070C0"/>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7B57D8">
        <w:rPr>
          <w:rFonts w:cstheme="minorHAnsi"/>
          <w:bCs/>
        </w:rPr>
        <w:br/>
      </w:r>
    </w:p>
    <w:p w14:paraId="475F9FC3" w14:textId="77777777" w:rsidR="00D61410" w:rsidRPr="00EC03C2" w:rsidRDefault="007B57D8" w:rsidP="00D61410">
      <w:pPr>
        <w:autoSpaceDE w:val="0"/>
        <w:autoSpaceDN w:val="0"/>
        <w:adjustRightInd w:val="0"/>
        <w:spacing w:after="0" w:line="240" w:lineRule="auto"/>
        <w:rPr>
          <w:color w:val="0000FF"/>
        </w:rPr>
      </w:pPr>
      <w:r w:rsidRPr="00EC03C2">
        <w:rPr>
          <w:color w:val="0000FF"/>
        </w:rPr>
        <w:t>To demonstrate meaningful differences in performance, NCQA calculates an inter-quartile range (IQR) for each indicator. The IQR provides a measure of the dispersion of performance. The IQR can be interpreted as the difference between the 25th and 75th percentile on a measure.  NCQA calculate</w:t>
      </w:r>
      <w:r w:rsidR="005F6512" w:rsidRPr="00EC03C2">
        <w:rPr>
          <w:color w:val="0000FF"/>
        </w:rPr>
        <w:t>d</w:t>
      </w:r>
      <w:r w:rsidRPr="00EC03C2">
        <w:rPr>
          <w:color w:val="0000FF"/>
        </w:rPr>
        <w:t xml:space="preserve"> an independent sample t-test of the performance difference between randomly selected plan</w:t>
      </w:r>
      <w:r w:rsidR="002D5C37" w:rsidRPr="00EC03C2">
        <w:rPr>
          <w:color w:val="0000FF"/>
        </w:rPr>
        <w:t>s</w:t>
      </w:r>
      <w:r w:rsidRPr="00EC03C2">
        <w:rPr>
          <w:color w:val="0000FF"/>
        </w:rPr>
        <w:t xml:space="preserve"> </w:t>
      </w:r>
      <w:r w:rsidR="005F6512" w:rsidRPr="00EC03C2">
        <w:rPr>
          <w:color w:val="0000FF"/>
        </w:rPr>
        <w:t>from the top and bottom quartiles of performance.</w:t>
      </w:r>
      <w:r w:rsidRPr="00EC03C2">
        <w:rPr>
          <w:color w:val="0000FF"/>
        </w:rPr>
        <w:t xml:space="preserve"> </w:t>
      </w:r>
    </w:p>
    <w:p w14:paraId="3A80D42E" w14:textId="77777777" w:rsidR="00D61410" w:rsidRPr="00A25024" w:rsidRDefault="00D61410" w:rsidP="00D61410">
      <w:pPr>
        <w:autoSpaceDE w:val="0"/>
        <w:autoSpaceDN w:val="0"/>
        <w:adjustRightInd w:val="0"/>
        <w:spacing w:after="0" w:line="240" w:lineRule="auto"/>
        <w:rPr>
          <w:rFonts w:cstheme="minorHAnsi"/>
          <w:bCs/>
        </w:rPr>
      </w:pPr>
    </w:p>
    <w:p w14:paraId="7B58C877" w14:textId="77777777" w:rsidR="007B57D8"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p>
    <w:p w14:paraId="5AF22DC4" w14:textId="77777777" w:rsidR="00F97A8E" w:rsidRPr="009F7B22" w:rsidRDefault="00F97A8E" w:rsidP="00D61410">
      <w:pPr>
        <w:autoSpaceDE w:val="0"/>
        <w:autoSpaceDN w:val="0"/>
        <w:adjustRightInd w:val="0"/>
        <w:spacing w:after="0" w:line="240" w:lineRule="auto"/>
        <w:rPr>
          <w:rFonts w:cstheme="minorHAnsi"/>
          <w:bCs/>
          <w:color w:val="0070C0"/>
        </w:rPr>
      </w:pPr>
    </w:p>
    <w:p w14:paraId="26151405" w14:textId="35DCBBB4" w:rsidR="008A7CC0" w:rsidRPr="00EC03C2" w:rsidRDefault="00F97A8E" w:rsidP="00EC03C2">
      <w:pPr>
        <w:autoSpaceDE w:val="0"/>
        <w:autoSpaceDN w:val="0"/>
        <w:adjustRightInd w:val="0"/>
        <w:spacing w:after="0" w:line="240" w:lineRule="auto"/>
        <w:rPr>
          <w:b/>
          <w:color w:val="0000FF"/>
        </w:rPr>
      </w:pPr>
      <w:r>
        <w:rPr>
          <w:b/>
          <w:color w:val="0000FF"/>
        </w:rPr>
        <w:t>Table 9</w:t>
      </w:r>
      <w:r w:rsidR="00441842" w:rsidRPr="00EC03C2">
        <w:rPr>
          <w:b/>
          <w:color w:val="0000FF"/>
        </w:rPr>
        <w:t xml:space="preserve">. </w:t>
      </w:r>
      <w:r w:rsidR="008A7CC0" w:rsidRPr="00EC03C2">
        <w:rPr>
          <w:b/>
          <w:color w:val="0000FF"/>
        </w:rPr>
        <w:t>V</w:t>
      </w:r>
      <w:r w:rsidR="00E21158" w:rsidRPr="00EC03C2">
        <w:rPr>
          <w:b/>
          <w:color w:val="0000FF"/>
        </w:rPr>
        <w:t xml:space="preserve">ariation in </w:t>
      </w:r>
      <w:r w:rsidR="00441842" w:rsidRPr="00EC03C2">
        <w:rPr>
          <w:b/>
          <w:color w:val="0000FF"/>
        </w:rPr>
        <w:t>P</w:t>
      </w:r>
      <w:r w:rsidR="004E7DC9" w:rsidRPr="00EC03C2">
        <w:rPr>
          <w:b/>
          <w:color w:val="0000FF"/>
        </w:rPr>
        <w:t xml:space="preserve">erformance </w:t>
      </w:r>
      <w:r w:rsidR="00441842" w:rsidRPr="00EC03C2">
        <w:rPr>
          <w:b/>
          <w:color w:val="0000FF"/>
        </w:rPr>
        <w:t>A</w:t>
      </w:r>
      <w:r w:rsidR="004E7DC9" w:rsidRPr="00EC03C2">
        <w:rPr>
          <w:b/>
          <w:color w:val="0000FF"/>
        </w:rPr>
        <w:t xml:space="preserve">cross </w:t>
      </w:r>
      <w:r w:rsidR="00441842" w:rsidRPr="00EC03C2">
        <w:rPr>
          <w:b/>
          <w:color w:val="0000FF"/>
        </w:rPr>
        <w:t>H</w:t>
      </w:r>
      <w:r w:rsidR="004E7DC9" w:rsidRPr="00EC03C2">
        <w:rPr>
          <w:b/>
          <w:color w:val="0000FF"/>
        </w:rPr>
        <w:t xml:space="preserve">ealth </w:t>
      </w:r>
      <w:r w:rsidR="00441842" w:rsidRPr="00EC03C2">
        <w:rPr>
          <w:b/>
          <w:color w:val="0000FF"/>
        </w:rPr>
        <w:t>P</w:t>
      </w:r>
      <w:r w:rsidR="008A7CC0" w:rsidRPr="00EC03C2">
        <w:rPr>
          <w:b/>
          <w:color w:val="0000FF"/>
        </w:rPr>
        <w:t>lans</w:t>
      </w:r>
      <w:r w:rsidR="00743279">
        <w:rPr>
          <w:b/>
          <w:color w:val="0000FF"/>
        </w:rPr>
        <w:t xml:space="preserve"> (2012)</w:t>
      </w:r>
      <w:r w:rsidR="008A7CC0" w:rsidRPr="00EC03C2">
        <w:rPr>
          <w:b/>
          <w:color w:val="0000FF"/>
        </w:rPr>
        <w:t xml:space="preserve"> </w:t>
      </w:r>
    </w:p>
    <w:tbl>
      <w:tblPr>
        <w:tblW w:w="4523" w:type="pct"/>
        <w:tblInd w:w="-5" w:type="dxa"/>
        <w:tblCellMar>
          <w:left w:w="0" w:type="dxa"/>
          <w:right w:w="0" w:type="dxa"/>
        </w:tblCellMar>
        <w:tblLook w:val="04A0" w:firstRow="1" w:lastRow="0" w:firstColumn="1" w:lastColumn="0" w:noHBand="0" w:noVBand="1"/>
      </w:tblPr>
      <w:tblGrid>
        <w:gridCol w:w="1946"/>
        <w:gridCol w:w="1020"/>
        <w:gridCol w:w="808"/>
        <w:gridCol w:w="580"/>
        <w:gridCol w:w="683"/>
        <w:gridCol w:w="684"/>
        <w:gridCol w:w="684"/>
        <w:gridCol w:w="683"/>
        <w:gridCol w:w="683"/>
        <w:gridCol w:w="678"/>
      </w:tblGrid>
      <w:tr w:rsidR="009F7B22" w:rsidRPr="00EC03C2" w14:paraId="713270A4" w14:textId="77777777" w:rsidTr="00A37D09">
        <w:tc>
          <w:tcPr>
            <w:tcW w:w="1152"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11ADD03F" w14:textId="77777777" w:rsidR="008A7CC0" w:rsidRPr="00EC03C2" w:rsidRDefault="008A7CC0" w:rsidP="00EC03C2">
            <w:pPr>
              <w:autoSpaceDE w:val="0"/>
              <w:autoSpaceDN w:val="0"/>
              <w:adjustRightInd w:val="0"/>
              <w:spacing w:after="0" w:line="240" w:lineRule="auto"/>
              <w:rPr>
                <w:color w:val="0000FF"/>
              </w:rPr>
            </w:pPr>
          </w:p>
        </w:tc>
        <w:tc>
          <w:tcPr>
            <w:tcW w:w="604"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541ABEDA" w14:textId="77777777" w:rsidR="008A7CC0" w:rsidRPr="00EC03C2" w:rsidRDefault="008A7CC0" w:rsidP="00EC03C2">
            <w:pPr>
              <w:autoSpaceDE w:val="0"/>
              <w:autoSpaceDN w:val="0"/>
              <w:adjustRightInd w:val="0"/>
              <w:spacing w:after="0" w:line="240" w:lineRule="auto"/>
              <w:rPr>
                <w:color w:val="0000FF"/>
              </w:rPr>
            </w:pPr>
            <w:r w:rsidRPr="00EC03C2">
              <w:rPr>
                <w:color w:val="0000FF"/>
              </w:rPr>
              <w:t xml:space="preserve">Avg. </w:t>
            </w:r>
            <w:r w:rsidR="0081115E" w:rsidRPr="00EC03C2">
              <w:rPr>
                <w:color w:val="0000FF"/>
              </w:rPr>
              <w:t># of Patients</w:t>
            </w:r>
          </w:p>
        </w:tc>
        <w:tc>
          <w:tcPr>
            <w:tcW w:w="478"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118935B" w14:textId="77777777" w:rsidR="008A7CC0" w:rsidRPr="00EC03C2" w:rsidRDefault="008A7CC0" w:rsidP="00EC03C2">
            <w:pPr>
              <w:autoSpaceDE w:val="0"/>
              <w:autoSpaceDN w:val="0"/>
              <w:adjustRightInd w:val="0"/>
              <w:spacing w:after="0" w:line="240" w:lineRule="auto"/>
              <w:rPr>
                <w:color w:val="0000FF"/>
              </w:rPr>
            </w:pPr>
            <w:r w:rsidRPr="00EC03C2">
              <w:rPr>
                <w:color w:val="0000FF"/>
              </w:rPr>
              <w:t>Avg.</w:t>
            </w:r>
            <w:r w:rsidR="0081115E" w:rsidRPr="00EC03C2">
              <w:rPr>
                <w:color w:val="0000FF"/>
              </w:rPr>
              <w:t xml:space="preserve"> Perf</w:t>
            </w:r>
          </w:p>
        </w:tc>
        <w:tc>
          <w:tcPr>
            <w:tcW w:w="343"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46D9BB96" w14:textId="77777777" w:rsidR="008A7CC0" w:rsidRPr="00EC03C2" w:rsidRDefault="008A7CC0" w:rsidP="00EC03C2">
            <w:pPr>
              <w:autoSpaceDE w:val="0"/>
              <w:autoSpaceDN w:val="0"/>
              <w:adjustRightInd w:val="0"/>
              <w:spacing w:after="0" w:line="240" w:lineRule="auto"/>
              <w:rPr>
                <w:color w:val="0000FF"/>
              </w:rPr>
            </w:pPr>
            <w:r w:rsidRPr="00EC03C2">
              <w:rPr>
                <w:color w:val="0000FF"/>
              </w:rPr>
              <w:t>SD</w:t>
            </w:r>
          </w:p>
        </w:tc>
        <w:tc>
          <w:tcPr>
            <w:tcW w:w="404"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9FE45CE" w14:textId="77777777" w:rsidR="008A7CC0" w:rsidRPr="00EC03C2" w:rsidRDefault="008A7CC0" w:rsidP="00EC03C2">
            <w:pPr>
              <w:autoSpaceDE w:val="0"/>
              <w:autoSpaceDN w:val="0"/>
              <w:adjustRightInd w:val="0"/>
              <w:spacing w:after="0" w:line="240" w:lineRule="auto"/>
              <w:rPr>
                <w:color w:val="0000FF"/>
              </w:rPr>
            </w:pPr>
            <w:r w:rsidRPr="00EC03C2">
              <w:rPr>
                <w:color w:val="0000FF"/>
              </w:rPr>
              <w:t>10th</w:t>
            </w:r>
          </w:p>
        </w:tc>
        <w:tc>
          <w:tcPr>
            <w:tcW w:w="405"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1AC8C149" w14:textId="77777777" w:rsidR="008A7CC0" w:rsidRPr="00EC03C2" w:rsidRDefault="008A7CC0" w:rsidP="00EC03C2">
            <w:pPr>
              <w:autoSpaceDE w:val="0"/>
              <w:autoSpaceDN w:val="0"/>
              <w:adjustRightInd w:val="0"/>
              <w:spacing w:after="0" w:line="240" w:lineRule="auto"/>
              <w:rPr>
                <w:color w:val="0000FF"/>
              </w:rPr>
            </w:pPr>
            <w:r w:rsidRPr="00EC03C2">
              <w:rPr>
                <w:color w:val="0000FF"/>
              </w:rPr>
              <w:t xml:space="preserve">25th </w:t>
            </w:r>
          </w:p>
        </w:tc>
        <w:tc>
          <w:tcPr>
            <w:tcW w:w="405"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2ABD202" w14:textId="77777777" w:rsidR="008A7CC0" w:rsidRPr="00EC03C2" w:rsidRDefault="008A7CC0" w:rsidP="00EC03C2">
            <w:pPr>
              <w:autoSpaceDE w:val="0"/>
              <w:autoSpaceDN w:val="0"/>
              <w:adjustRightInd w:val="0"/>
              <w:spacing w:after="0" w:line="240" w:lineRule="auto"/>
              <w:rPr>
                <w:color w:val="0000FF"/>
              </w:rPr>
            </w:pPr>
            <w:r w:rsidRPr="00EC03C2">
              <w:rPr>
                <w:color w:val="0000FF"/>
              </w:rPr>
              <w:t xml:space="preserve">50th </w:t>
            </w:r>
          </w:p>
        </w:tc>
        <w:tc>
          <w:tcPr>
            <w:tcW w:w="404"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34A44AF4" w14:textId="77777777" w:rsidR="008A7CC0" w:rsidRPr="00EC03C2" w:rsidRDefault="008A7CC0" w:rsidP="00EC03C2">
            <w:pPr>
              <w:autoSpaceDE w:val="0"/>
              <w:autoSpaceDN w:val="0"/>
              <w:adjustRightInd w:val="0"/>
              <w:spacing w:after="0" w:line="240" w:lineRule="auto"/>
              <w:rPr>
                <w:color w:val="0000FF"/>
              </w:rPr>
            </w:pPr>
            <w:r w:rsidRPr="00EC03C2">
              <w:rPr>
                <w:color w:val="0000FF"/>
              </w:rPr>
              <w:t xml:space="preserve">75th </w:t>
            </w:r>
          </w:p>
        </w:tc>
        <w:tc>
          <w:tcPr>
            <w:tcW w:w="404"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1DDC3D46" w14:textId="77777777" w:rsidR="008A7CC0" w:rsidRPr="00EC03C2" w:rsidRDefault="008A7CC0" w:rsidP="00EC03C2">
            <w:pPr>
              <w:autoSpaceDE w:val="0"/>
              <w:autoSpaceDN w:val="0"/>
              <w:adjustRightInd w:val="0"/>
              <w:spacing w:after="0" w:line="240" w:lineRule="auto"/>
              <w:rPr>
                <w:color w:val="0000FF"/>
              </w:rPr>
            </w:pPr>
            <w:r w:rsidRPr="00EC03C2">
              <w:rPr>
                <w:color w:val="0000FF"/>
              </w:rPr>
              <w:t xml:space="preserve">90th </w:t>
            </w:r>
          </w:p>
        </w:tc>
        <w:tc>
          <w:tcPr>
            <w:tcW w:w="401" w:type="pct"/>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2527569C" w14:textId="77777777" w:rsidR="008A7CC0" w:rsidRPr="00EC03C2" w:rsidRDefault="008A7CC0" w:rsidP="00EC03C2">
            <w:pPr>
              <w:autoSpaceDE w:val="0"/>
              <w:autoSpaceDN w:val="0"/>
              <w:adjustRightInd w:val="0"/>
              <w:spacing w:after="0" w:line="240" w:lineRule="auto"/>
              <w:rPr>
                <w:color w:val="0000FF"/>
              </w:rPr>
            </w:pPr>
            <w:r w:rsidRPr="00EC03C2">
              <w:rPr>
                <w:color w:val="0000FF"/>
              </w:rPr>
              <w:t>IQR</w:t>
            </w:r>
          </w:p>
        </w:tc>
      </w:tr>
      <w:tr w:rsidR="009F7B22" w:rsidRPr="00EC03C2" w14:paraId="6B8A4335" w14:textId="77777777" w:rsidTr="00A37D09">
        <w:trPr>
          <w:trHeight w:val="277"/>
        </w:trPr>
        <w:tc>
          <w:tcPr>
            <w:tcW w:w="11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71838D7" w14:textId="77777777" w:rsidR="008A7CC0" w:rsidRPr="00EC03C2" w:rsidRDefault="008A7CC0" w:rsidP="00EC03C2">
            <w:pPr>
              <w:autoSpaceDE w:val="0"/>
              <w:autoSpaceDN w:val="0"/>
              <w:adjustRightInd w:val="0"/>
              <w:spacing w:after="0" w:line="240" w:lineRule="auto"/>
              <w:rPr>
                <w:color w:val="0000FF"/>
              </w:rPr>
            </w:pPr>
            <w:r w:rsidRPr="00EC03C2">
              <w:rPr>
                <w:color w:val="0000FF"/>
              </w:rPr>
              <w:t>Commercial HMO</w:t>
            </w:r>
          </w:p>
        </w:tc>
        <w:tc>
          <w:tcPr>
            <w:tcW w:w="6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497449" w14:textId="77777777" w:rsidR="008A7CC0" w:rsidRPr="00EC03C2" w:rsidRDefault="008A7CC0" w:rsidP="00EC03C2">
            <w:pPr>
              <w:autoSpaceDE w:val="0"/>
              <w:autoSpaceDN w:val="0"/>
              <w:adjustRightInd w:val="0"/>
              <w:spacing w:after="0" w:line="240" w:lineRule="auto"/>
              <w:rPr>
                <w:color w:val="0000FF"/>
              </w:rPr>
            </w:pPr>
            <w:r w:rsidRPr="00EC03C2">
              <w:rPr>
                <w:color w:val="0000FF"/>
              </w:rPr>
              <w:t>2272</w:t>
            </w:r>
          </w:p>
        </w:tc>
        <w:tc>
          <w:tcPr>
            <w:tcW w:w="4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FEE8BE" w14:textId="77777777" w:rsidR="008A7CC0" w:rsidRPr="00EC03C2" w:rsidRDefault="008A7CC0" w:rsidP="00EC03C2">
            <w:pPr>
              <w:autoSpaceDE w:val="0"/>
              <w:autoSpaceDN w:val="0"/>
              <w:adjustRightInd w:val="0"/>
              <w:spacing w:after="0" w:line="240" w:lineRule="auto"/>
              <w:rPr>
                <w:color w:val="0000FF"/>
              </w:rPr>
            </w:pPr>
            <w:r w:rsidRPr="00EC03C2">
              <w:rPr>
                <w:color w:val="0000FF"/>
              </w:rPr>
              <w:t>75.3</w:t>
            </w:r>
          </w:p>
        </w:tc>
        <w:tc>
          <w:tcPr>
            <w:tcW w:w="3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337ACB" w14:textId="77777777" w:rsidR="008A7CC0" w:rsidRPr="00EC03C2" w:rsidRDefault="008A7CC0" w:rsidP="00EC03C2">
            <w:pPr>
              <w:autoSpaceDE w:val="0"/>
              <w:autoSpaceDN w:val="0"/>
              <w:adjustRightInd w:val="0"/>
              <w:spacing w:after="0" w:line="240" w:lineRule="auto"/>
              <w:rPr>
                <w:color w:val="0000FF"/>
              </w:rPr>
            </w:pPr>
            <w:r w:rsidRPr="00EC03C2">
              <w:rPr>
                <w:color w:val="0000FF"/>
              </w:rPr>
              <w:t>6.0</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FA994F" w14:textId="77777777" w:rsidR="008A7CC0" w:rsidRPr="00EC03C2" w:rsidRDefault="008A7CC0" w:rsidP="00EC03C2">
            <w:pPr>
              <w:autoSpaceDE w:val="0"/>
              <w:autoSpaceDN w:val="0"/>
              <w:adjustRightInd w:val="0"/>
              <w:spacing w:after="0" w:line="240" w:lineRule="auto"/>
              <w:rPr>
                <w:color w:val="0000FF"/>
              </w:rPr>
            </w:pPr>
            <w:r w:rsidRPr="00EC03C2">
              <w:rPr>
                <w:color w:val="0000FF"/>
              </w:rPr>
              <w:t>66.7</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D84430" w14:textId="77777777" w:rsidR="008A7CC0" w:rsidRPr="00EC03C2" w:rsidRDefault="008A7CC0" w:rsidP="00EC03C2">
            <w:pPr>
              <w:autoSpaceDE w:val="0"/>
              <w:autoSpaceDN w:val="0"/>
              <w:adjustRightInd w:val="0"/>
              <w:spacing w:after="0" w:line="240" w:lineRule="auto"/>
              <w:rPr>
                <w:color w:val="0000FF"/>
              </w:rPr>
            </w:pPr>
            <w:r w:rsidRPr="00EC03C2">
              <w:rPr>
                <w:color w:val="0000FF"/>
              </w:rPr>
              <w:t>70.6</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BCD321" w14:textId="77777777" w:rsidR="008A7CC0" w:rsidRPr="00EC03C2" w:rsidRDefault="008A7CC0" w:rsidP="00EC03C2">
            <w:pPr>
              <w:autoSpaceDE w:val="0"/>
              <w:autoSpaceDN w:val="0"/>
              <w:adjustRightInd w:val="0"/>
              <w:spacing w:after="0" w:line="240" w:lineRule="auto"/>
              <w:rPr>
                <w:color w:val="0000FF"/>
              </w:rPr>
            </w:pPr>
            <w:r w:rsidRPr="00EC03C2">
              <w:rPr>
                <w:color w:val="0000FF"/>
              </w:rPr>
              <w:t>75.6</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FC9631" w14:textId="77777777" w:rsidR="008A7CC0" w:rsidRPr="00EC03C2" w:rsidRDefault="008A7CC0" w:rsidP="00EC03C2">
            <w:pPr>
              <w:autoSpaceDE w:val="0"/>
              <w:autoSpaceDN w:val="0"/>
              <w:adjustRightInd w:val="0"/>
              <w:spacing w:after="0" w:line="240" w:lineRule="auto"/>
              <w:rPr>
                <w:color w:val="0000FF"/>
              </w:rPr>
            </w:pPr>
            <w:r w:rsidRPr="00EC03C2">
              <w:rPr>
                <w:color w:val="0000FF"/>
              </w:rPr>
              <w:t>79.7</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C1AC3B9" w14:textId="77777777" w:rsidR="008A7CC0" w:rsidRPr="00EC03C2" w:rsidRDefault="008A7CC0" w:rsidP="00EC03C2">
            <w:pPr>
              <w:autoSpaceDE w:val="0"/>
              <w:autoSpaceDN w:val="0"/>
              <w:adjustRightInd w:val="0"/>
              <w:spacing w:after="0" w:line="240" w:lineRule="auto"/>
              <w:rPr>
                <w:color w:val="0000FF"/>
              </w:rPr>
            </w:pPr>
            <w:r w:rsidRPr="00EC03C2">
              <w:rPr>
                <w:color w:val="0000FF"/>
              </w:rPr>
              <w:t>82.7</w:t>
            </w:r>
          </w:p>
        </w:tc>
        <w:tc>
          <w:tcPr>
            <w:tcW w:w="4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D355AA" w14:textId="77777777" w:rsidR="008A7CC0" w:rsidRPr="00EC03C2" w:rsidRDefault="008A7CC0" w:rsidP="00EC03C2">
            <w:pPr>
              <w:autoSpaceDE w:val="0"/>
              <w:autoSpaceDN w:val="0"/>
              <w:adjustRightInd w:val="0"/>
              <w:spacing w:after="0" w:line="240" w:lineRule="auto"/>
              <w:rPr>
                <w:color w:val="0000FF"/>
              </w:rPr>
            </w:pPr>
            <w:r w:rsidRPr="00EC03C2">
              <w:rPr>
                <w:color w:val="0000FF"/>
              </w:rPr>
              <w:t>9.0</w:t>
            </w:r>
          </w:p>
        </w:tc>
      </w:tr>
      <w:tr w:rsidR="009F7B22" w:rsidRPr="00EC03C2" w14:paraId="1076C62B" w14:textId="77777777" w:rsidTr="00A37D09">
        <w:trPr>
          <w:trHeight w:val="277"/>
        </w:trPr>
        <w:tc>
          <w:tcPr>
            <w:tcW w:w="11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2412A09" w14:textId="77777777" w:rsidR="008A7CC0" w:rsidRPr="00EC03C2" w:rsidRDefault="008A7CC0" w:rsidP="00EC03C2">
            <w:pPr>
              <w:autoSpaceDE w:val="0"/>
              <w:autoSpaceDN w:val="0"/>
              <w:adjustRightInd w:val="0"/>
              <w:spacing w:after="0" w:line="240" w:lineRule="auto"/>
              <w:rPr>
                <w:color w:val="0000FF"/>
              </w:rPr>
            </w:pPr>
            <w:r w:rsidRPr="00EC03C2">
              <w:rPr>
                <w:color w:val="0000FF"/>
              </w:rPr>
              <w:t>Commercial PPO</w:t>
            </w:r>
          </w:p>
        </w:tc>
        <w:tc>
          <w:tcPr>
            <w:tcW w:w="6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8F676C3" w14:textId="77777777" w:rsidR="008A7CC0" w:rsidRPr="00EC03C2" w:rsidRDefault="008A7CC0" w:rsidP="00EC03C2">
            <w:pPr>
              <w:autoSpaceDE w:val="0"/>
              <w:autoSpaceDN w:val="0"/>
              <w:adjustRightInd w:val="0"/>
              <w:spacing w:after="0" w:line="240" w:lineRule="auto"/>
              <w:rPr>
                <w:color w:val="0000FF"/>
              </w:rPr>
            </w:pPr>
            <w:r w:rsidRPr="00EC03C2">
              <w:rPr>
                <w:color w:val="0000FF"/>
              </w:rPr>
              <w:t>5195</w:t>
            </w:r>
          </w:p>
        </w:tc>
        <w:tc>
          <w:tcPr>
            <w:tcW w:w="4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236C1FF" w14:textId="77777777" w:rsidR="008A7CC0" w:rsidRPr="00EC03C2" w:rsidRDefault="008A7CC0" w:rsidP="00EC03C2">
            <w:pPr>
              <w:autoSpaceDE w:val="0"/>
              <w:autoSpaceDN w:val="0"/>
              <w:adjustRightInd w:val="0"/>
              <w:spacing w:after="0" w:line="240" w:lineRule="auto"/>
              <w:rPr>
                <w:color w:val="0000FF"/>
              </w:rPr>
            </w:pPr>
            <w:r w:rsidRPr="00EC03C2">
              <w:rPr>
                <w:color w:val="0000FF"/>
              </w:rPr>
              <w:t>74.2</w:t>
            </w:r>
          </w:p>
        </w:tc>
        <w:tc>
          <w:tcPr>
            <w:tcW w:w="3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9BD4574" w14:textId="77777777" w:rsidR="008A7CC0" w:rsidRPr="00EC03C2" w:rsidRDefault="008A7CC0" w:rsidP="00EC03C2">
            <w:pPr>
              <w:autoSpaceDE w:val="0"/>
              <w:autoSpaceDN w:val="0"/>
              <w:adjustRightInd w:val="0"/>
              <w:spacing w:after="0" w:line="240" w:lineRule="auto"/>
              <w:rPr>
                <w:color w:val="0000FF"/>
              </w:rPr>
            </w:pPr>
            <w:r w:rsidRPr="00EC03C2">
              <w:rPr>
                <w:color w:val="0000FF"/>
              </w:rPr>
              <w:t>5.9</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D1E49AF" w14:textId="77777777" w:rsidR="008A7CC0" w:rsidRPr="00EC03C2" w:rsidRDefault="008A7CC0" w:rsidP="00EC03C2">
            <w:pPr>
              <w:autoSpaceDE w:val="0"/>
              <w:autoSpaceDN w:val="0"/>
              <w:adjustRightInd w:val="0"/>
              <w:spacing w:after="0" w:line="240" w:lineRule="auto"/>
              <w:rPr>
                <w:color w:val="0000FF"/>
              </w:rPr>
            </w:pPr>
            <w:r w:rsidRPr="00EC03C2">
              <w:rPr>
                <w:color w:val="0000FF"/>
              </w:rPr>
              <w:t>67.0</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DFD908B" w14:textId="77777777" w:rsidR="008A7CC0" w:rsidRPr="00EC03C2" w:rsidRDefault="008A7CC0" w:rsidP="00EC03C2">
            <w:pPr>
              <w:autoSpaceDE w:val="0"/>
              <w:autoSpaceDN w:val="0"/>
              <w:adjustRightInd w:val="0"/>
              <w:spacing w:after="0" w:line="240" w:lineRule="auto"/>
              <w:rPr>
                <w:color w:val="0000FF"/>
              </w:rPr>
            </w:pPr>
            <w:r w:rsidRPr="00EC03C2">
              <w:rPr>
                <w:color w:val="0000FF"/>
              </w:rPr>
              <w:t>69.8</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39F19C3" w14:textId="77777777" w:rsidR="008A7CC0" w:rsidRPr="00EC03C2" w:rsidRDefault="008A7CC0" w:rsidP="00EC03C2">
            <w:pPr>
              <w:autoSpaceDE w:val="0"/>
              <w:autoSpaceDN w:val="0"/>
              <w:adjustRightInd w:val="0"/>
              <w:spacing w:after="0" w:line="240" w:lineRule="auto"/>
              <w:rPr>
                <w:color w:val="0000FF"/>
              </w:rPr>
            </w:pPr>
            <w:r w:rsidRPr="00EC03C2">
              <w:rPr>
                <w:color w:val="0000FF"/>
              </w:rPr>
              <w:t>74.4</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9AC0BA9" w14:textId="77777777" w:rsidR="008A7CC0" w:rsidRPr="00EC03C2" w:rsidRDefault="008A7CC0" w:rsidP="00EC03C2">
            <w:pPr>
              <w:autoSpaceDE w:val="0"/>
              <w:autoSpaceDN w:val="0"/>
              <w:adjustRightInd w:val="0"/>
              <w:spacing w:after="0" w:line="240" w:lineRule="auto"/>
              <w:rPr>
                <w:color w:val="0000FF"/>
              </w:rPr>
            </w:pPr>
            <w:r w:rsidRPr="00EC03C2">
              <w:rPr>
                <w:color w:val="0000FF"/>
              </w:rPr>
              <w:t>78.8</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8480041" w14:textId="77777777" w:rsidR="008A7CC0" w:rsidRPr="00EC03C2" w:rsidRDefault="008A7CC0" w:rsidP="00EC03C2">
            <w:pPr>
              <w:autoSpaceDE w:val="0"/>
              <w:autoSpaceDN w:val="0"/>
              <w:adjustRightInd w:val="0"/>
              <w:spacing w:after="0" w:line="240" w:lineRule="auto"/>
              <w:rPr>
                <w:color w:val="0000FF"/>
              </w:rPr>
            </w:pPr>
            <w:r w:rsidRPr="00EC03C2">
              <w:rPr>
                <w:color w:val="0000FF"/>
              </w:rPr>
              <w:t>81.6</w:t>
            </w:r>
          </w:p>
        </w:tc>
        <w:tc>
          <w:tcPr>
            <w:tcW w:w="4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D3E7761" w14:textId="77777777" w:rsidR="008A7CC0" w:rsidRPr="00EC03C2" w:rsidRDefault="008A7CC0" w:rsidP="00EC03C2">
            <w:pPr>
              <w:autoSpaceDE w:val="0"/>
              <w:autoSpaceDN w:val="0"/>
              <w:adjustRightInd w:val="0"/>
              <w:spacing w:after="0" w:line="240" w:lineRule="auto"/>
              <w:rPr>
                <w:color w:val="0000FF"/>
              </w:rPr>
            </w:pPr>
            <w:r w:rsidRPr="00EC03C2">
              <w:rPr>
                <w:color w:val="0000FF"/>
              </w:rPr>
              <w:t>9.0</w:t>
            </w:r>
          </w:p>
        </w:tc>
      </w:tr>
      <w:tr w:rsidR="009F7B22" w:rsidRPr="00EC03C2" w14:paraId="6FE89443" w14:textId="77777777" w:rsidTr="00A37D09">
        <w:tc>
          <w:tcPr>
            <w:tcW w:w="1152"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79D11E6" w14:textId="77777777" w:rsidR="008A7CC0" w:rsidRPr="00EC03C2" w:rsidRDefault="008A7CC0" w:rsidP="00EC03C2">
            <w:pPr>
              <w:autoSpaceDE w:val="0"/>
              <w:autoSpaceDN w:val="0"/>
              <w:adjustRightInd w:val="0"/>
              <w:spacing w:after="0" w:line="240" w:lineRule="auto"/>
              <w:rPr>
                <w:color w:val="0000FF"/>
              </w:rPr>
            </w:pPr>
            <w:r w:rsidRPr="00EC03C2">
              <w:rPr>
                <w:color w:val="0000FF"/>
              </w:rPr>
              <w:t>Medicaid HMO</w:t>
            </w:r>
          </w:p>
        </w:tc>
        <w:tc>
          <w:tcPr>
            <w:tcW w:w="6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C479D3" w14:textId="77777777" w:rsidR="008A7CC0" w:rsidRPr="00EC03C2" w:rsidRDefault="008A7CC0" w:rsidP="00EC03C2">
            <w:pPr>
              <w:autoSpaceDE w:val="0"/>
              <w:autoSpaceDN w:val="0"/>
              <w:adjustRightInd w:val="0"/>
              <w:spacing w:after="0" w:line="240" w:lineRule="auto"/>
              <w:rPr>
                <w:color w:val="0000FF"/>
              </w:rPr>
            </w:pPr>
            <w:r w:rsidRPr="00EC03C2">
              <w:rPr>
                <w:color w:val="0000FF"/>
              </w:rPr>
              <w:t>1119</w:t>
            </w:r>
          </w:p>
        </w:tc>
        <w:tc>
          <w:tcPr>
            <w:tcW w:w="47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826240" w14:textId="77777777" w:rsidR="008A7CC0" w:rsidRPr="00EC03C2" w:rsidRDefault="008A7CC0" w:rsidP="00EC03C2">
            <w:pPr>
              <w:autoSpaceDE w:val="0"/>
              <w:autoSpaceDN w:val="0"/>
              <w:adjustRightInd w:val="0"/>
              <w:spacing w:after="0" w:line="240" w:lineRule="auto"/>
              <w:rPr>
                <w:color w:val="0000FF"/>
              </w:rPr>
            </w:pPr>
            <w:r w:rsidRPr="00EC03C2">
              <w:rPr>
                <w:color w:val="0000FF"/>
              </w:rPr>
              <w:t>75.6</w:t>
            </w:r>
          </w:p>
        </w:tc>
        <w:tc>
          <w:tcPr>
            <w:tcW w:w="34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001FD8" w14:textId="77777777" w:rsidR="008A7CC0" w:rsidRPr="00EC03C2" w:rsidRDefault="008A7CC0" w:rsidP="00EC03C2">
            <w:pPr>
              <w:autoSpaceDE w:val="0"/>
              <w:autoSpaceDN w:val="0"/>
              <w:adjustRightInd w:val="0"/>
              <w:spacing w:after="0" w:line="240" w:lineRule="auto"/>
              <w:rPr>
                <w:color w:val="0000FF"/>
              </w:rPr>
            </w:pPr>
            <w:r w:rsidRPr="00EC03C2">
              <w:rPr>
                <w:color w:val="0000FF"/>
              </w:rPr>
              <w:t>5.7</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D27F35" w14:textId="77777777" w:rsidR="008A7CC0" w:rsidRPr="00EC03C2" w:rsidRDefault="008A7CC0" w:rsidP="00EC03C2">
            <w:pPr>
              <w:autoSpaceDE w:val="0"/>
              <w:autoSpaceDN w:val="0"/>
              <w:adjustRightInd w:val="0"/>
              <w:spacing w:after="0" w:line="240" w:lineRule="auto"/>
              <w:rPr>
                <w:color w:val="0000FF"/>
              </w:rPr>
            </w:pPr>
            <w:r w:rsidRPr="00EC03C2">
              <w:rPr>
                <w:color w:val="0000FF"/>
              </w:rPr>
              <w:t>68.3</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66D0A6" w14:textId="77777777" w:rsidR="008A7CC0" w:rsidRPr="00EC03C2" w:rsidRDefault="008A7CC0" w:rsidP="00EC03C2">
            <w:pPr>
              <w:autoSpaceDE w:val="0"/>
              <w:autoSpaceDN w:val="0"/>
              <w:adjustRightInd w:val="0"/>
              <w:spacing w:after="0" w:line="240" w:lineRule="auto"/>
              <w:rPr>
                <w:color w:val="0000FF"/>
              </w:rPr>
            </w:pPr>
            <w:r w:rsidRPr="00EC03C2">
              <w:rPr>
                <w:color w:val="0000FF"/>
              </w:rPr>
              <w:t>71.5</w:t>
            </w:r>
          </w:p>
        </w:tc>
        <w:tc>
          <w:tcPr>
            <w:tcW w:w="4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5F3337" w14:textId="77777777" w:rsidR="008A7CC0" w:rsidRPr="00EC03C2" w:rsidRDefault="008A7CC0" w:rsidP="00EC03C2">
            <w:pPr>
              <w:autoSpaceDE w:val="0"/>
              <w:autoSpaceDN w:val="0"/>
              <w:adjustRightInd w:val="0"/>
              <w:spacing w:after="0" w:line="240" w:lineRule="auto"/>
              <w:rPr>
                <w:color w:val="0000FF"/>
              </w:rPr>
            </w:pPr>
            <w:r w:rsidRPr="00EC03C2">
              <w:rPr>
                <w:color w:val="0000FF"/>
              </w:rPr>
              <w:t>75.2</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3CA6B0" w14:textId="77777777" w:rsidR="008A7CC0" w:rsidRPr="00EC03C2" w:rsidRDefault="008A7CC0" w:rsidP="00EC03C2">
            <w:pPr>
              <w:autoSpaceDE w:val="0"/>
              <w:autoSpaceDN w:val="0"/>
              <w:adjustRightInd w:val="0"/>
              <w:spacing w:after="0" w:line="240" w:lineRule="auto"/>
              <w:rPr>
                <w:color w:val="0000FF"/>
              </w:rPr>
            </w:pPr>
            <w:r w:rsidRPr="00EC03C2">
              <w:rPr>
                <w:color w:val="0000FF"/>
              </w:rPr>
              <w:t>79.3</w:t>
            </w:r>
          </w:p>
        </w:tc>
        <w:tc>
          <w:tcPr>
            <w:tcW w:w="40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D38DD9" w14:textId="77777777" w:rsidR="008A7CC0" w:rsidRPr="00EC03C2" w:rsidRDefault="008A7CC0" w:rsidP="00EC03C2">
            <w:pPr>
              <w:autoSpaceDE w:val="0"/>
              <w:autoSpaceDN w:val="0"/>
              <w:adjustRightInd w:val="0"/>
              <w:spacing w:after="0" w:line="240" w:lineRule="auto"/>
              <w:rPr>
                <w:color w:val="0000FF"/>
              </w:rPr>
            </w:pPr>
            <w:r w:rsidRPr="00EC03C2">
              <w:rPr>
                <w:color w:val="0000FF"/>
              </w:rPr>
              <w:t>82.3</w:t>
            </w:r>
          </w:p>
        </w:tc>
        <w:tc>
          <w:tcPr>
            <w:tcW w:w="40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F5847E" w14:textId="77777777" w:rsidR="008A7CC0" w:rsidRPr="00EC03C2" w:rsidRDefault="008A7CC0" w:rsidP="00EC03C2">
            <w:pPr>
              <w:autoSpaceDE w:val="0"/>
              <w:autoSpaceDN w:val="0"/>
              <w:adjustRightInd w:val="0"/>
              <w:spacing w:after="0" w:line="240" w:lineRule="auto"/>
              <w:rPr>
                <w:color w:val="0000FF"/>
              </w:rPr>
            </w:pPr>
            <w:r w:rsidRPr="00EC03C2">
              <w:rPr>
                <w:color w:val="0000FF"/>
              </w:rPr>
              <w:t>7.8</w:t>
            </w:r>
          </w:p>
        </w:tc>
      </w:tr>
    </w:tbl>
    <w:p w14:paraId="488CBAE9" w14:textId="77777777" w:rsidR="008A7CC0" w:rsidRPr="00EC03C2" w:rsidRDefault="00A37D09" w:rsidP="00EC03C2">
      <w:pPr>
        <w:autoSpaceDE w:val="0"/>
        <w:autoSpaceDN w:val="0"/>
        <w:adjustRightInd w:val="0"/>
        <w:spacing w:after="0" w:line="240" w:lineRule="auto"/>
        <w:rPr>
          <w:color w:val="0000FF"/>
        </w:rPr>
      </w:pPr>
      <w:r w:rsidRPr="00EC03C2">
        <w:rPr>
          <w:color w:val="0000FF"/>
        </w:rPr>
        <w:t>Avg # of patients:</w:t>
      </w:r>
      <w:r w:rsidR="008A7CC0" w:rsidRPr="00EC03C2">
        <w:rPr>
          <w:color w:val="0000FF"/>
        </w:rPr>
        <w:t xml:space="preserve"> the average denominator size across plans </w:t>
      </w:r>
    </w:p>
    <w:p w14:paraId="59EB5E20" w14:textId="77777777" w:rsidR="00A37D09" w:rsidRPr="00EC03C2" w:rsidRDefault="00A37D09" w:rsidP="00EC03C2">
      <w:pPr>
        <w:autoSpaceDE w:val="0"/>
        <w:autoSpaceDN w:val="0"/>
        <w:adjustRightInd w:val="0"/>
        <w:spacing w:after="0" w:line="240" w:lineRule="auto"/>
        <w:rPr>
          <w:color w:val="0000FF"/>
        </w:rPr>
      </w:pPr>
      <w:r w:rsidRPr="00EC03C2">
        <w:rPr>
          <w:color w:val="0000FF"/>
        </w:rPr>
        <w:t xml:space="preserve">Avg Perf: the average performance rate across plans </w:t>
      </w:r>
    </w:p>
    <w:p w14:paraId="3586D787" w14:textId="77777777" w:rsidR="00D724B3" w:rsidRPr="00EC03C2" w:rsidRDefault="008A7CC0" w:rsidP="00EC03C2">
      <w:pPr>
        <w:autoSpaceDE w:val="0"/>
        <w:autoSpaceDN w:val="0"/>
        <w:adjustRightInd w:val="0"/>
        <w:spacing w:after="0" w:line="240" w:lineRule="auto"/>
        <w:rPr>
          <w:color w:val="0000FF"/>
        </w:rPr>
      </w:pPr>
      <w:bookmarkStart w:id="14" w:name="_GoBack"/>
      <w:bookmarkEnd w:id="14"/>
      <w:r w:rsidRPr="00EC03C2">
        <w:rPr>
          <w:color w:val="0000FF"/>
        </w:rPr>
        <w:t>IQR: Interquartile range</w:t>
      </w:r>
    </w:p>
    <w:p w14:paraId="11073116" w14:textId="77777777" w:rsidR="00E21158" w:rsidRPr="009F7B22" w:rsidRDefault="00E21158" w:rsidP="00E21158">
      <w:pPr>
        <w:pStyle w:val="Style5"/>
        <w:rPr>
          <w:rFonts w:asciiTheme="minorHAnsi" w:hAnsiTheme="minorHAnsi"/>
          <w:i w:val="0"/>
          <w:color w:val="0070C0"/>
          <w:sz w:val="22"/>
          <w:szCs w:val="22"/>
        </w:rPr>
      </w:pPr>
    </w:p>
    <w:p w14:paraId="5BF2C0B4" w14:textId="220840C8" w:rsidR="008A7CC0" w:rsidRPr="00EC03C2" w:rsidRDefault="00F97A8E" w:rsidP="00441842">
      <w:pPr>
        <w:spacing w:after="0" w:line="240" w:lineRule="auto"/>
        <w:rPr>
          <w:b/>
          <w:color w:val="0000FF"/>
        </w:rPr>
      </w:pPr>
      <w:r>
        <w:rPr>
          <w:b/>
          <w:color w:val="0000FF"/>
        </w:rPr>
        <w:t>Table 10</w:t>
      </w:r>
      <w:r w:rsidR="00441842" w:rsidRPr="00EC03C2">
        <w:rPr>
          <w:b/>
          <w:color w:val="0000FF"/>
        </w:rPr>
        <w:t xml:space="preserve">. </w:t>
      </w:r>
      <w:r w:rsidR="008A7CC0" w:rsidRPr="00EC03C2">
        <w:rPr>
          <w:b/>
          <w:color w:val="0000FF"/>
        </w:rPr>
        <w:t xml:space="preserve">T-test </w:t>
      </w:r>
      <w:r w:rsidR="00441842" w:rsidRPr="00EC03C2">
        <w:rPr>
          <w:b/>
          <w:color w:val="0000FF"/>
        </w:rPr>
        <w:t>B</w:t>
      </w:r>
      <w:r w:rsidR="008A7CC0" w:rsidRPr="00EC03C2">
        <w:rPr>
          <w:b/>
          <w:color w:val="0000FF"/>
        </w:rPr>
        <w:t xml:space="preserve">etween </w:t>
      </w:r>
      <w:r w:rsidR="00441842" w:rsidRPr="00EC03C2">
        <w:rPr>
          <w:b/>
          <w:color w:val="0000FF"/>
        </w:rPr>
        <w:t>T</w:t>
      </w:r>
      <w:r w:rsidR="008A7CC0" w:rsidRPr="00EC03C2">
        <w:rPr>
          <w:b/>
          <w:color w:val="0000FF"/>
        </w:rPr>
        <w:t xml:space="preserve">wo </w:t>
      </w:r>
      <w:r w:rsidR="00441842" w:rsidRPr="00EC03C2">
        <w:rPr>
          <w:b/>
          <w:color w:val="0000FF"/>
        </w:rPr>
        <w:t>R</w:t>
      </w:r>
      <w:r w:rsidR="008A7CC0" w:rsidRPr="00EC03C2">
        <w:rPr>
          <w:b/>
          <w:color w:val="0000FF"/>
        </w:rPr>
        <w:t xml:space="preserve">andomly </w:t>
      </w:r>
      <w:r w:rsidR="00441842" w:rsidRPr="00EC03C2">
        <w:rPr>
          <w:b/>
          <w:color w:val="0000FF"/>
        </w:rPr>
        <w:t>S</w:t>
      </w:r>
      <w:r w:rsidR="008A7CC0" w:rsidRPr="00EC03C2">
        <w:rPr>
          <w:b/>
          <w:color w:val="0000FF"/>
        </w:rPr>
        <w:t xml:space="preserve">elected </w:t>
      </w:r>
      <w:r w:rsidR="00441842" w:rsidRPr="00EC03C2">
        <w:rPr>
          <w:b/>
          <w:color w:val="0000FF"/>
        </w:rPr>
        <w:t>H</w:t>
      </w:r>
      <w:r w:rsidR="008A7CC0" w:rsidRPr="00EC03C2">
        <w:rPr>
          <w:b/>
          <w:color w:val="0000FF"/>
        </w:rPr>
        <w:t xml:space="preserve">ealth </w:t>
      </w:r>
      <w:r w:rsidR="00441842" w:rsidRPr="00EC03C2">
        <w:rPr>
          <w:b/>
          <w:color w:val="0000FF"/>
        </w:rPr>
        <w:t>P</w:t>
      </w:r>
      <w:r w:rsidR="008A7CC0" w:rsidRPr="00EC03C2">
        <w:rPr>
          <w:b/>
          <w:color w:val="0000FF"/>
        </w:rPr>
        <w:t>lans</w:t>
      </w:r>
      <w:r w:rsidR="00743279">
        <w:rPr>
          <w:b/>
          <w:color w:val="0000FF"/>
        </w:rPr>
        <w:t xml:space="preserve"> (2012)</w:t>
      </w:r>
      <w:r w:rsidR="008A7CC0" w:rsidRPr="00EC03C2">
        <w:rPr>
          <w:b/>
          <w:color w:val="0000FF"/>
        </w:rPr>
        <w:t xml:space="preserve"> </w:t>
      </w:r>
    </w:p>
    <w:tbl>
      <w:tblPr>
        <w:tblW w:w="4285" w:type="pct"/>
        <w:tblInd w:w="-5" w:type="dxa"/>
        <w:tblCellMar>
          <w:left w:w="0" w:type="dxa"/>
          <w:right w:w="0" w:type="dxa"/>
        </w:tblCellMar>
        <w:tblLook w:val="04A0" w:firstRow="1" w:lastRow="0" w:firstColumn="1" w:lastColumn="0" w:noHBand="0" w:noVBand="1"/>
      </w:tblPr>
      <w:tblGrid>
        <w:gridCol w:w="1541"/>
        <w:gridCol w:w="2414"/>
        <w:gridCol w:w="2880"/>
        <w:gridCol w:w="1169"/>
      </w:tblGrid>
      <w:tr w:rsidR="009F7B22" w:rsidRPr="00EC03C2" w14:paraId="562457F0" w14:textId="77777777" w:rsidTr="004E7DC9">
        <w:tc>
          <w:tcPr>
            <w:tcW w:w="963"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0AD79D93" w14:textId="77777777" w:rsidR="008A7CC0" w:rsidRPr="00EC03C2" w:rsidRDefault="008A7CC0">
            <w:pPr>
              <w:pStyle w:val="Style5"/>
              <w:rPr>
                <w:rFonts w:asciiTheme="minorHAnsi" w:hAnsiTheme="minorHAnsi" w:cstheme="minorBidi"/>
                <w:i w:val="0"/>
                <w:color w:val="0000FF"/>
                <w:sz w:val="22"/>
                <w:szCs w:val="22"/>
              </w:rPr>
            </w:pPr>
          </w:p>
        </w:tc>
        <w:tc>
          <w:tcPr>
            <w:tcW w:w="1508" w:type="pct"/>
            <w:tcBorders>
              <w:top w:val="single" w:sz="8" w:space="0" w:color="auto"/>
              <w:left w:val="nil"/>
              <w:bottom w:val="single" w:sz="8" w:space="0" w:color="auto"/>
              <w:right w:val="single" w:sz="8" w:space="0" w:color="auto"/>
            </w:tcBorders>
            <w:shd w:val="clear" w:color="auto" w:fill="F2F2F2"/>
            <w:hideMark/>
          </w:tcPr>
          <w:p w14:paraId="0CC4BE43" w14:textId="77777777" w:rsidR="008A7CC0" w:rsidRPr="00EC03C2" w:rsidRDefault="008A7CC0" w:rsidP="004E7DC9">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Plan Rate (25th Percentile)</w:t>
            </w:r>
          </w:p>
        </w:tc>
        <w:tc>
          <w:tcPr>
            <w:tcW w:w="1799" w:type="pct"/>
            <w:tcBorders>
              <w:top w:val="single" w:sz="8" w:space="0" w:color="auto"/>
              <w:left w:val="nil"/>
              <w:bottom w:val="single" w:sz="8" w:space="0" w:color="auto"/>
              <w:right w:val="single" w:sz="8" w:space="0" w:color="auto"/>
            </w:tcBorders>
            <w:shd w:val="clear" w:color="auto" w:fill="F2F2F2"/>
            <w:hideMark/>
          </w:tcPr>
          <w:p w14:paraId="72C3CA1B" w14:textId="77777777" w:rsidR="008A7CC0" w:rsidRPr="00EC03C2" w:rsidRDefault="008A7CC0" w:rsidP="004E7DC9">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Plan Rate (75th Percentile)</w:t>
            </w:r>
          </w:p>
        </w:tc>
        <w:tc>
          <w:tcPr>
            <w:tcW w:w="730" w:type="pct"/>
            <w:tcBorders>
              <w:top w:val="single" w:sz="8" w:space="0" w:color="auto"/>
              <w:left w:val="nil"/>
              <w:bottom w:val="single" w:sz="8" w:space="0" w:color="auto"/>
              <w:right w:val="single" w:sz="8" w:space="0" w:color="auto"/>
            </w:tcBorders>
            <w:shd w:val="clear" w:color="auto" w:fill="F2F2F2"/>
            <w:hideMark/>
          </w:tcPr>
          <w:p w14:paraId="5C2D6FBC" w14:textId="77777777" w:rsidR="008A7CC0" w:rsidRPr="00EC03C2" w:rsidRDefault="008A7CC0" w:rsidP="004E7DC9">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P-Value</w:t>
            </w:r>
          </w:p>
        </w:tc>
      </w:tr>
      <w:tr w:rsidR="009F7B22" w:rsidRPr="00EC03C2" w14:paraId="40DDFFE7" w14:textId="77777777" w:rsidTr="004E7DC9">
        <w:tc>
          <w:tcPr>
            <w:tcW w:w="96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B4E6775" w14:textId="77777777" w:rsidR="008A7CC0" w:rsidRPr="00EC03C2" w:rsidRDefault="008A7CC0">
            <w:pPr>
              <w:pStyle w:val="Style5"/>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 xml:space="preserve">Commercial </w:t>
            </w:r>
          </w:p>
        </w:tc>
        <w:tc>
          <w:tcPr>
            <w:tcW w:w="1508" w:type="pct"/>
            <w:tcBorders>
              <w:top w:val="nil"/>
              <w:left w:val="nil"/>
              <w:bottom w:val="single" w:sz="8" w:space="0" w:color="auto"/>
              <w:right w:val="single" w:sz="8" w:space="0" w:color="auto"/>
            </w:tcBorders>
            <w:shd w:val="clear" w:color="auto" w:fill="FFFFFF"/>
            <w:hideMark/>
          </w:tcPr>
          <w:p w14:paraId="19E3C21B" w14:textId="419DF820" w:rsidR="008A7CC0" w:rsidRPr="00EC03C2" w:rsidRDefault="00B8721F">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68.2</w:t>
            </w:r>
          </w:p>
        </w:tc>
        <w:tc>
          <w:tcPr>
            <w:tcW w:w="1799" w:type="pct"/>
            <w:tcBorders>
              <w:top w:val="nil"/>
              <w:left w:val="nil"/>
              <w:bottom w:val="single" w:sz="8" w:space="0" w:color="auto"/>
              <w:right w:val="single" w:sz="8" w:space="0" w:color="auto"/>
            </w:tcBorders>
            <w:shd w:val="clear" w:color="auto" w:fill="FFFFFF"/>
            <w:hideMark/>
          </w:tcPr>
          <w:p w14:paraId="519A4E0A" w14:textId="4E5CE7C1" w:rsidR="008A7CC0" w:rsidRPr="00EC03C2" w:rsidRDefault="00B8721F">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81</w:t>
            </w:r>
          </w:p>
        </w:tc>
        <w:tc>
          <w:tcPr>
            <w:tcW w:w="730" w:type="pct"/>
            <w:tcBorders>
              <w:top w:val="nil"/>
              <w:left w:val="nil"/>
              <w:bottom w:val="single" w:sz="8" w:space="0" w:color="auto"/>
              <w:right w:val="single" w:sz="8" w:space="0" w:color="auto"/>
            </w:tcBorders>
            <w:shd w:val="clear" w:color="auto" w:fill="FFFFFF"/>
            <w:hideMark/>
          </w:tcPr>
          <w:p w14:paraId="27B0B35F" w14:textId="77777777" w:rsidR="008A7CC0" w:rsidRPr="00EC03C2" w:rsidRDefault="008A7CC0">
            <w:pPr>
              <w:pStyle w:val="Style5"/>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&lt;0.001</w:t>
            </w:r>
          </w:p>
        </w:tc>
      </w:tr>
      <w:tr w:rsidR="009F7B22" w:rsidRPr="00EC03C2" w14:paraId="30BA833F" w14:textId="77777777" w:rsidTr="004E7DC9">
        <w:tc>
          <w:tcPr>
            <w:tcW w:w="96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FAF2A32" w14:textId="77777777" w:rsidR="008A7CC0" w:rsidRPr="00EC03C2" w:rsidRDefault="008A7CC0">
            <w:pPr>
              <w:pStyle w:val="Style5"/>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 xml:space="preserve">Medicaid </w:t>
            </w:r>
          </w:p>
        </w:tc>
        <w:tc>
          <w:tcPr>
            <w:tcW w:w="1508" w:type="pct"/>
            <w:tcBorders>
              <w:top w:val="nil"/>
              <w:left w:val="nil"/>
              <w:bottom w:val="single" w:sz="8" w:space="0" w:color="auto"/>
              <w:right w:val="single" w:sz="8" w:space="0" w:color="auto"/>
            </w:tcBorders>
            <w:shd w:val="clear" w:color="auto" w:fill="FFFFFF"/>
            <w:hideMark/>
          </w:tcPr>
          <w:p w14:paraId="1DF27B82" w14:textId="3D13E52B" w:rsidR="008A7CC0" w:rsidRPr="00EC03C2" w:rsidRDefault="00B8721F">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70</w:t>
            </w:r>
          </w:p>
        </w:tc>
        <w:tc>
          <w:tcPr>
            <w:tcW w:w="1799" w:type="pct"/>
            <w:tcBorders>
              <w:top w:val="nil"/>
              <w:left w:val="nil"/>
              <w:bottom w:val="single" w:sz="8" w:space="0" w:color="auto"/>
              <w:right w:val="single" w:sz="8" w:space="0" w:color="auto"/>
            </w:tcBorders>
            <w:shd w:val="clear" w:color="auto" w:fill="FFFFFF"/>
            <w:hideMark/>
          </w:tcPr>
          <w:p w14:paraId="7A78FEAB" w14:textId="232C7169" w:rsidR="008A7CC0" w:rsidRPr="00EC03C2" w:rsidRDefault="00B8721F">
            <w:pPr>
              <w:pStyle w:val="Style5"/>
              <w:jc w:val="center"/>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83</w:t>
            </w:r>
          </w:p>
        </w:tc>
        <w:tc>
          <w:tcPr>
            <w:tcW w:w="730" w:type="pct"/>
            <w:tcBorders>
              <w:top w:val="nil"/>
              <w:left w:val="nil"/>
              <w:bottom w:val="single" w:sz="8" w:space="0" w:color="auto"/>
              <w:right w:val="single" w:sz="8" w:space="0" w:color="auto"/>
            </w:tcBorders>
            <w:shd w:val="clear" w:color="auto" w:fill="FFFFFF"/>
            <w:hideMark/>
          </w:tcPr>
          <w:p w14:paraId="0ECEDB2A" w14:textId="77777777" w:rsidR="008A7CC0" w:rsidRPr="00EC03C2" w:rsidRDefault="008A7CC0">
            <w:pPr>
              <w:pStyle w:val="Style5"/>
              <w:rPr>
                <w:rFonts w:asciiTheme="minorHAnsi" w:hAnsiTheme="minorHAnsi" w:cstheme="minorBidi"/>
                <w:i w:val="0"/>
                <w:color w:val="0000FF"/>
                <w:sz w:val="22"/>
                <w:szCs w:val="22"/>
              </w:rPr>
            </w:pPr>
            <w:r w:rsidRPr="00EC03C2">
              <w:rPr>
                <w:rFonts w:asciiTheme="minorHAnsi" w:hAnsiTheme="minorHAnsi" w:cstheme="minorBidi"/>
                <w:i w:val="0"/>
                <w:color w:val="0000FF"/>
                <w:sz w:val="22"/>
                <w:szCs w:val="22"/>
              </w:rPr>
              <w:t>&lt;0.01</w:t>
            </w:r>
          </w:p>
        </w:tc>
      </w:tr>
    </w:tbl>
    <w:p w14:paraId="7E49C912" w14:textId="77777777" w:rsidR="007B57D8" w:rsidRPr="009F7B22" w:rsidRDefault="007B57D8" w:rsidP="007B57D8">
      <w:pPr>
        <w:pStyle w:val="Style5"/>
        <w:rPr>
          <w:rFonts w:asciiTheme="minorHAnsi" w:hAnsiTheme="minorHAnsi"/>
          <w:i w:val="0"/>
          <w:color w:val="0070C0"/>
          <w:sz w:val="22"/>
          <w:szCs w:val="22"/>
        </w:rPr>
      </w:pPr>
      <w:r w:rsidRPr="00EC03C2">
        <w:rPr>
          <w:rFonts w:asciiTheme="minorHAnsi" w:hAnsiTheme="minorHAnsi" w:cstheme="minorBidi"/>
          <w:i w:val="0"/>
          <w:color w:val="0000FF"/>
          <w:sz w:val="22"/>
          <w:szCs w:val="22"/>
        </w:rPr>
        <w:t>p-value: P-value</w:t>
      </w:r>
      <w:r w:rsidRPr="009F7B22">
        <w:rPr>
          <w:rFonts w:asciiTheme="minorHAnsi" w:hAnsiTheme="minorHAnsi"/>
          <w:i w:val="0"/>
          <w:color w:val="0070C0"/>
          <w:sz w:val="22"/>
          <w:szCs w:val="22"/>
        </w:rPr>
        <w:t xml:space="preserve"> </w:t>
      </w:r>
      <w:r w:rsidRPr="00EC03C2">
        <w:rPr>
          <w:rFonts w:asciiTheme="minorHAnsi" w:hAnsiTheme="minorHAnsi" w:cstheme="minorBidi"/>
          <w:i w:val="0"/>
          <w:color w:val="0000FF"/>
          <w:sz w:val="22"/>
          <w:szCs w:val="22"/>
        </w:rPr>
        <w:t>of independent samples t-test comparing plans at the 25th percentile to plans at the 75th percentile</w:t>
      </w:r>
    </w:p>
    <w:p w14:paraId="6FB3B8CA" w14:textId="77777777" w:rsidR="00D61410" w:rsidRPr="009F7B22" w:rsidRDefault="00D61410" w:rsidP="00D61410">
      <w:pPr>
        <w:autoSpaceDE w:val="0"/>
        <w:autoSpaceDN w:val="0"/>
        <w:adjustRightInd w:val="0"/>
        <w:spacing w:after="0" w:line="240" w:lineRule="auto"/>
        <w:rPr>
          <w:rFonts w:cstheme="minorHAnsi"/>
          <w:bCs/>
          <w:color w:val="0070C0"/>
        </w:rPr>
      </w:pPr>
    </w:p>
    <w:p w14:paraId="5CC503F5" w14:textId="77777777" w:rsidR="00CD4744" w:rsidRPr="009F7B22" w:rsidRDefault="00D61410" w:rsidP="00D61410">
      <w:pPr>
        <w:autoSpaceDE w:val="0"/>
        <w:autoSpaceDN w:val="0"/>
        <w:adjustRightInd w:val="0"/>
        <w:spacing w:after="0" w:line="240" w:lineRule="auto"/>
        <w:rPr>
          <w:color w:val="0070C0"/>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14:paraId="0D35C179" w14:textId="338B8996" w:rsidR="005F6512" w:rsidRPr="00EC03C2" w:rsidRDefault="00CD4744" w:rsidP="00D61410">
      <w:pPr>
        <w:autoSpaceDE w:val="0"/>
        <w:autoSpaceDN w:val="0"/>
        <w:adjustRightInd w:val="0"/>
        <w:spacing w:after="0" w:line="240" w:lineRule="auto"/>
        <w:rPr>
          <w:color w:val="0000FF"/>
        </w:rPr>
      </w:pPr>
      <w:r w:rsidRPr="00EC03C2">
        <w:rPr>
          <w:color w:val="0000FF"/>
        </w:rPr>
        <w:t>The results above indicate there is a 7</w:t>
      </w:r>
      <w:r w:rsidR="00441842" w:rsidRPr="00EC03C2">
        <w:rPr>
          <w:color w:val="0000FF"/>
        </w:rPr>
        <w:t>-9 percent</w:t>
      </w:r>
      <w:r w:rsidRPr="00EC03C2">
        <w:rPr>
          <w:color w:val="0000FF"/>
        </w:rPr>
        <w:t xml:space="preserve"> gap in performance between the 25th and 75th performing plans. For all product lines and rates the difference between the 25th and 75th percentile is </w:t>
      </w:r>
      <w:r w:rsidRPr="00EC03C2">
        <w:rPr>
          <w:color w:val="0000FF"/>
        </w:rPr>
        <w:lastRenderedPageBreak/>
        <w:t xml:space="preserve">statistically significant.  The largest gap in performance is for commercial HMOs which show </w:t>
      </w:r>
      <w:r w:rsidR="00A75C79" w:rsidRPr="00EC03C2">
        <w:rPr>
          <w:color w:val="0000FF"/>
        </w:rPr>
        <w:t>9.0</w:t>
      </w:r>
      <w:r w:rsidRPr="00EC03C2">
        <w:rPr>
          <w:color w:val="0000FF"/>
        </w:rPr>
        <w:t xml:space="preserve"> percentage point gap between 25th and 75th percentile plans. </w:t>
      </w:r>
      <w:r w:rsidR="003B6A1A" w:rsidRPr="00EC03C2">
        <w:rPr>
          <w:color w:val="0000FF"/>
        </w:rPr>
        <w:t>For</w:t>
      </w:r>
      <w:r w:rsidR="005F6512" w:rsidRPr="00EC03C2">
        <w:rPr>
          <w:color w:val="0000FF"/>
        </w:rPr>
        <w:t xml:space="preserve"> a plan of average eligible population size,</w:t>
      </w:r>
      <w:r w:rsidR="003B6A1A" w:rsidRPr="00EC03C2">
        <w:rPr>
          <w:color w:val="0000FF"/>
        </w:rPr>
        <w:t xml:space="preserve"> this means</w:t>
      </w:r>
      <w:r w:rsidR="005F6512" w:rsidRPr="00EC03C2">
        <w:rPr>
          <w:color w:val="0000FF"/>
        </w:rPr>
        <w:t xml:space="preserve"> 207 fewer patients would receive an inappropriate imaging study if treated at a high performing commercial HMO plan compared to a low performing plan. </w:t>
      </w:r>
    </w:p>
    <w:p w14:paraId="624BEEE9" w14:textId="77777777" w:rsidR="0086464B" w:rsidRDefault="0086464B" w:rsidP="0086464B">
      <w:pPr>
        <w:spacing w:after="0" w:line="240" w:lineRule="auto"/>
        <w:rPr>
          <w:rFonts w:cstheme="minorHAnsi"/>
          <w:b/>
          <w:bCs/>
        </w:rPr>
      </w:pPr>
      <w:r>
        <w:rPr>
          <w:rFonts w:cstheme="minorHAnsi"/>
          <w:b/>
          <w:bCs/>
        </w:rPr>
        <w:t>_______________________________________</w:t>
      </w:r>
    </w:p>
    <w:p w14:paraId="16194414" w14:textId="77777777"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14:paraId="6255682A"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sidRPr="009F7B22">
        <w:rPr>
          <w:rFonts w:cstheme="minorHAnsi"/>
          <w:b/>
          <w:bCs/>
          <w:i/>
          <w:color w:val="0070C0"/>
        </w:rPr>
        <w:t>.</w:t>
      </w:r>
      <w:r w:rsidR="00CD4744" w:rsidRPr="009F7B22">
        <w:rPr>
          <w:rFonts w:cstheme="minorHAnsi"/>
          <w:b/>
          <w:bCs/>
          <w:i/>
          <w:color w:val="0070C0"/>
        </w:rPr>
        <w:t xml:space="preserve"> </w:t>
      </w:r>
      <w:r w:rsidR="00CD4744" w:rsidRPr="00EC03C2">
        <w:rPr>
          <w:b/>
          <w:color w:val="0000FF"/>
        </w:rPr>
        <w:t>N/A</w:t>
      </w:r>
    </w:p>
    <w:p w14:paraId="0189F63E" w14:textId="77777777" w:rsidR="00567D12" w:rsidRPr="00A25024" w:rsidRDefault="00567D12" w:rsidP="00DB3627">
      <w:pPr>
        <w:autoSpaceDE w:val="0"/>
        <w:autoSpaceDN w:val="0"/>
        <w:adjustRightInd w:val="0"/>
        <w:spacing w:after="0" w:line="240" w:lineRule="auto"/>
        <w:rPr>
          <w:rFonts w:cstheme="minorHAnsi"/>
          <w:b/>
          <w:bCs/>
        </w:rPr>
      </w:pPr>
    </w:p>
    <w:p w14:paraId="24B859FA" w14:textId="77777777"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14:paraId="4F60A12A" w14:textId="77777777" w:rsidR="000F06B5" w:rsidRPr="00A25024" w:rsidRDefault="000F06B5" w:rsidP="00DB3627">
      <w:pPr>
        <w:autoSpaceDE w:val="0"/>
        <w:autoSpaceDN w:val="0"/>
        <w:adjustRightInd w:val="0"/>
        <w:spacing w:after="0" w:line="240" w:lineRule="auto"/>
        <w:rPr>
          <w:rFonts w:cstheme="minorHAnsi"/>
          <w:bCs/>
        </w:rPr>
      </w:pPr>
    </w:p>
    <w:p w14:paraId="4913A954" w14:textId="77777777"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757E57">
        <w:rPr>
          <w:rFonts w:cstheme="minorHAnsi"/>
          <w:bCs/>
        </w:rPr>
        <w:t>)</w:t>
      </w:r>
      <w:r w:rsidR="000F06B5" w:rsidRPr="00A25024">
        <w:rPr>
          <w:rFonts w:cstheme="minorHAnsi"/>
          <w:bCs/>
        </w:rPr>
        <w:t xml:space="preserve"> </w:t>
      </w:r>
    </w:p>
    <w:p w14:paraId="1253CE3D"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341BC204" w14:textId="77777777"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27EEF4B6" w14:textId="77777777" w:rsidR="00E1508F" w:rsidRPr="00E1508F" w:rsidRDefault="00E1508F" w:rsidP="00E1508F">
      <w:pPr>
        <w:autoSpaceDE w:val="0"/>
        <w:autoSpaceDN w:val="0"/>
        <w:adjustRightInd w:val="0"/>
        <w:spacing w:after="0" w:line="240" w:lineRule="auto"/>
        <w:rPr>
          <w:rFonts w:cstheme="minorHAnsi"/>
          <w:bCs/>
        </w:rPr>
      </w:pPr>
    </w:p>
    <w:p w14:paraId="152EBB1E" w14:textId="77777777"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3CCD2EF0" w14:textId="77777777" w:rsidR="008F7E67" w:rsidRDefault="008F7E67" w:rsidP="008F7E67">
      <w:pPr>
        <w:spacing w:after="0" w:line="240" w:lineRule="auto"/>
        <w:rPr>
          <w:rFonts w:cstheme="minorHAnsi"/>
          <w:b/>
          <w:bCs/>
        </w:rPr>
      </w:pPr>
      <w:r>
        <w:rPr>
          <w:rFonts w:cstheme="minorHAnsi"/>
          <w:b/>
          <w:bCs/>
        </w:rPr>
        <w:t>_______________________________________</w:t>
      </w:r>
    </w:p>
    <w:p w14:paraId="268E7A24" w14:textId="77777777"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42F07F76" w14:textId="77777777" w:rsidR="008F7E67" w:rsidRDefault="008F7E67" w:rsidP="008F7E67">
      <w:pPr>
        <w:autoSpaceDE w:val="0"/>
        <w:autoSpaceDN w:val="0"/>
        <w:adjustRightInd w:val="0"/>
        <w:spacing w:after="0" w:line="240" w:lineRule="auto"/>
        <w:rPr>
          <w:rFonts w:cstheme="minorHAnsi"/>
          <w:bCs/>
        </w:rPr>
      </w:pPr>
    </w:p>
    <w:p w14:paraId="1F56972E" w14:textId="77777777" w:rsidR="00CD4744" w:rsidRPr="009F7B22" w:rsidRDefault="008F7E67" w:rsidP="00757E57">
      <w:pPr>
        <w:autoSpaceDE w:val="0"/>
        <w:autoSpaceDN w:val="0"/>
        <w:adjustRightInd w:val="0"/>
        <w:spacing w:after="0" w:line="240" w:lineRule="auto"/>
        <w:rPr>
          <w:rFonts w:cstheme="minorHAnsi"/>
          <w:bCs/>
          <w:color w:val="0070C0"/>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00CD4744">
        <w:rPr>
          <w:rFonts w:cstheme="minorHAnsi"/>
          <w:bCs/>
        </w:rPr>
        <w:br/>
      </w:r>
    </w:p>
    <w:p w14:paraId="57F273DC" w14:textId="77777777" w:rsidR="00000117" w:rsidRPr="00EC03C2" w:rsidRDefault="00000117" w:rsidP="00757E57">
      <w:pPr>
        <w:spacing w:after="0" w:line="240" w:lineRule="auto"/>
        <w:rPr>
          <w:color w:val="0000FF"/>
        </w:rPr>
      </w:pPr>
      <w:r w:rsidRPr="00EC03C2">
        <w:rPr>
          <w:color w:val="0000FF"/>
        </w:rPr>
        <w:t>Plans collect this measure using all administrative data sources. NCQA’s audit process checks that plans’ measure calculations are not biased due to missing data.</w:t>
      </w:r>
    </w:p>
    <w:p w14:paraId="0B53A8F3" w14:textId="77777777" w:rsidR="008F7E67" w:rsidRPr="00A25024" w:rsidRDefault="008F7E67" w:rsidP="00757E57">
      <w:pPr>
        <w:pStyle w:val="ListParagraph"/>
        <w:autoSpaceDE w:val="0"/>
        <w:autoSpaceDN w:val="0"/>
        <w:adjustRightInd w:val="0"/>
        <w:spacing w:after="0" w:line="240" w:lineRule="auto"/>
        <w:ind w:left="0"/>
        <w:rPr>
          <w:rFonts w:cstheme="minorHAnsi"/>
          <w:bCs/>
        </w:rPr>
      </w:pPr>
    </w:p>
    <w:p w14:paraId="23852694" w14:textId="77777777" w:rsidR="008F7E67" w:rsidRDefault="008F7E67" w:rsidP="00757E5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14:paraId="4625CD5D" w14:textId="77777777" w:rsidR="00000117" w:rsidRPr="009F7B22" w:rsidRDefault="00000117" w:rsidP="00441842">
      <w:pPr>
        <w:spacing w:after="0" w:line="240" w:lineRule="auto"/>
        <w:rPr>
          <w:color w:val="0070C0"/>
        </w:rPr>
      </w:pPr>
      <w:r w:rsidRPr="00EC03C2">
        <w:rPr>
          <w:color w:val="0000FF"/>
        </w:rPr>
        <w:t>Plans collect this measure using all administrative data sources. NCQA’s audit process checks that plans’ measure calculations are not biased due to missing data</w:t>
      </w:r>
      <w:r w:rsidRPr="009F7B22">
        <w:rPr>
          <w:color w:val="0070C0"/>
        </w:rPr>
        <w:t>.</w:t>
      </w:r>
    </w:p>
    <w:p w14:paraId="33443B35" w14:textId="77777777" w:rsidR="008F7E67" w:rsidRPr="009F7B22" w:rsidRDefault="008F7E67" w:rsidP="00757E57">
      <w:pPr>
        <w:autoSpaceDE w:val="0"/>
        <w:autoSpaceDN w:val="0"/>
        <w:adjustRightInd w:val="0"/>
        <w:spacing w:after="0" w:line="240" w:lineRule="auto"/>
        <w:rPr>
          <w:rFonts w:cstheme="minorHAnsi"/>
          <w:bCs/>
          <w:color w:val="0070C0"/>
        </w:rPr>
      </w:pPr>
    </w:p>
    <w:p w14:paraId="5BA03299" w14:textId="77777777"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 xml:space="preserve">in terms </w:t>
      </w:r>
      <w:r w:rsidR="00145D4F" w:rsidRPr="00FC5DE1">
        <w:rPr>
          <w:rFonts w:cstheme="minorHAnsi"/>
          <w:bCs/>
          <w:i/>
        </w:rPr>
        <w:lastRenderedPageBreak/>
        <w:t>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14:paraId="2BC20953" w14:textId="77777777" w:rsidR="00CD4744" w:rsidRDefault="00CD4744" w:rsidP="00CD4744">
      <w:pPr>
        <w:autoSpaceDE w:val="0"/>
        <w:autoSpaceDN w:val="0"/>
        <w:adjustRightInd w:val="0"/>
        <w:spacing w:after="0" w:line="240" w:lineRule="auto"/>
        <w:rPr>
          <w:rFonts w:ascii="Trebuchet MS" w:eastAsia="Times New Roman" w:hAnsi="Trebuchet MS" w:cs="Calibri"/>
          <w:bCs/>
          <w:i/>
          <w:color w:val="FF0000"/>
          <w:sz w:val="20"/>
          <w:szCs w:val="20"/>
        </w:rPr>
      </w:pPr>
    </w:p>
    <w:p w14:paraId="4DEC84A7" w14:textId="77777777" w:rsidR="00000117" w:rsidRPr="00EC03C2" w:rsidRDefault="00000117" w:rsidP="00441842">
      <w:pPr>
        <w:spacing w:after="0" w:line="240" w:lineRule="auto"/>
        <w:rPr>
          <w:color w:val="0000FF"/>
        </w:rPr>
      </w:pPr>
      <w:r w:rsidRPr="00EC03C2">
        <w:rPr>
          <w:color w:val="0000FF"/>
        </w:rPr>
        <w:t>Plans collect this measure using all administrative data sources. NCQA’s audit process checks that plans’ measure calculations are not biased due to missing data.</w:t>
      </w:r>
    </w:p>
    <w:p w14:paraId="05A9C9CC" w14:textId="77777777"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434BB" w14:textId="77777777" w:rsidR="0052765A" w:rsidRDefault="0052765A" w:rsidP="005C73CA">
      <w:pPr>
        <w:spacing w:after="0" w:line="240" w:lineRule="auto"/>
      </w:pPr>
      <w:r>
        <w:separator/>
      </w:r>
    </w:p>
  </w:endnote>
  <w:endnote w:type="continuationSeparator" w:id="0">
    <w:p w14:paraId="09668864" w14:textId="77777777" w:rsidR="0052765A" w:rsidRDefault="0052765A" w:rsidP="005C73CA">
      <w:pPr>
        <w:spacing w:after="0" w:line="240" w:lineRule="auto"/>
      </w:pPr>
      <w:r>
        <w:continuationSeparator/>
      </w:r>
    </w:p>
  </w:endnote>
  <w:endnote w:type="continuationNotice" w:id="1">
    <w:p w14:paraId="1E8CCF72" w14:textId="77777777" w:rsidR="0052765A" w:rsidRDefault="005276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FD6A" w14:textId="4061DE12" w:rsidR="0052765A" w:rsidRDefault="00216958">
    <w:pPr>
      <w:pStyle w:val="Footer"/>
    </w:pPr>
    <w:r>
      <w:t>Version 6.5  11/1/16</w:t>
    </w:r>
    <w:r w:rsidR="0052765A">
      <w:ptab w:relativeTo="margin" w:alignment="center" w:leader="none"/>
    </w:r>
    <w:r w:rsidR="0052765A">
      <w:ptab w:relativeTo="margin" w:alignment="right" w:leader="none"/>
    </w:r>
    <w:r w:rsidR="0052765A">
      <w:fldChar w:fldCharType="begin"/>
    </w:r>
    <w:r w:rsidR="0052765A">
      <w:instrText xml:space="preserve"> PAGE   \* MERGEFORMAT </w:instrText>
    </w:r>
    <w:r w:rsidR="0052765A">
      <w:fldChar w:fldCharType="separate"/>
    </w:r>
    <w:r>
      <w:rPr>
        <w:noProof/>
      </w:rPr>
      <w:t>18</w:t>
    </w:r>
    <w:r w:rsidR="0052765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CD569" w14:textId="77777777" w:rsidR="0052765A" w:rsidRDefault="0052765A" w:rsidP="005C73CA">
      <w:pPr>
        <w:spacing w:after="0" w:line="240" w:lineRule="auto"/>
      </w:pPr>
      <w:r>
        <w:separator/>
      </w:r>
    </w:p>
  </w:footnote>
  <w:footnote w:type="continuationSeparator" w:id="0">
    <w:p w14:paraId="3E6BC49B" w14:textId="77777777" w:rsidR="0052765A" w:rsidRDefault="0052765A" w:rsidP="005C73CA">
      <w:pPr>
        <w:spacing w:after="0" w:line="240" w:lineRule="auto"/>
      </w:pPr>
      <w:r>
        <w:continuationSeparator/>
      </w:r>
    </w:p>
  </w:footnote>
  <w:footnote w:type="continuationNotice" w:id="1">
    <w:p w14:paraId="1F995570" w14:textId="77777777" w:rsidR="0052765A" w:rsidRDefault="005276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9EA0" w14:textId="77777777" w:rsidR="0052765A" w:rsidRPr="00105D8B" w:rsidRDefault="0052765A"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0D4"/>
    <w:multiLevelType w:val="hybridMultilevel"/>
    <w:tmpl w:val="950A138C"/>
    <w:lvl w:ilvl="0" w:tplc="AD5E6BC4">
      <w:start w:val="7"/>
      <w:numFmt w:val="bullet"/>
      <w:lvlText w:val="•"/>
      <w:lvlJc w:val="left"/>
      <w:pPr>
        <w:ind w:left="720" w:hanging="72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CC1397"/>
    <w:multiLevelType w:val="hybridMultilevel"/>
    <w:tmpl w:val="6F3A7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5C1989"/>
    <w:multiLevelType w:val="hybridMultilevel"/>
    <w:tmpl w:val="5E0C48FE"/>
    <w:lvl w:ilvl="0" w:tplc="C0B80D9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E64835"/>
    <w:multiLevelType w:val="hybridMultilevel"/>
    <w:tmpl w:val="B864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DAE54E8"/>
    <w:multiLevelType w:val="hybridMultilevel"/>
    <w:tmpl w:val="2092D0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404A97"/>
    <w:multiLevelType w:val="hybridMultilevel"/>
    <w:tmpl w:val="8500C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9B16014"/>
    <w:multiLevelType w:val="hybridMultilevel"/>
    <w:tmpl w:val="5E7061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7"/>
  </w:num>
  <w:num w:numId="5">
    <w:abstractNumId w:val="2"/>
  </w:num>
  <w:num w:numId="6">
    <w:abstractNumId w:val="1"/>
  </w:num>
  <w:num w:numId="7">
    <w:abstractNumId w:val="4"/>
  </w:num>
  <w:num w:numId="8">
    <w:abstractNumId w:val="22"/>
  </w:num>
  <w:num w:numId="9">
    <w:abstractNumId w:val="10"/>
  </w:num>
  <w:num w:numId="10">
    <w:abstractNumId w:val="28"/>
  </w:num>
  <w:num w:numId="11">
    <w:abstractNumId w:val="12"/>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9"/>
  </w:num>
  <w:num w:numId="17">
    <w:abstractNumId w:val="27"/>
  </w:num>
  <w:num w:numId="18">
    <w:abstractNumId w:val="24"/>
  </w:num>
  <w:num w:numId="19">
    <w:abstractNumId w:val="23"/>
  </w:num>
  <w:num w:numId="20">
    <w:abstractNumId w:val="17"/>
  </w:num>
  <w:num w:numId="21">
    <w:abstractNumId w:val="21"/>
  </w:num>
  <w:num w:numId="22">
    <w:abstractNumId w:val="15"/>
  </w:num>
  <w:num w:numId="23">
    <w:abstractNumId w:val="8"/>
  </w:num>
  <w:num w:numId="24">
    <w:abstractNumId w:val="14"/>
  </w:num>
  <w:num w:numId="25">
    <w:abstractNumId w:val="13"/>
  </w:num>
  <w:num w:numId="26">
    <w:abstractNumId w:val="29"/>
  </w:num>
  <w:num w:numId="27">
    <w:abstractNumId w:val="18"/>
  </w:num>
  <w:num w:numId="28">
    <w:abstractNumId w:val="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0"/>
  </w:num>
  <w:num w:numId="32">
    <w:abstractNumId w:val="3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characterSpacingControl w:val="doNotCompress"/>
  <w:hdrShapeDefaults>
    <o:shapedefaults v:ext="edit" spidmax="522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0117"/>
    <w:rsid w:val="00000FFB"/>
    <w:rsid w:val="00001CA4"/>
    <w:rsid w:val="00001D73"/>
    <w:rsid w:val="00003408"/>
    <w:rsid w:val="00003469"/>
    <w:rsid w:val="0001094F"/>
    <w:rsid w:val="00011D67"/>
    <w:rsid w:val="00013F67"/>
    <w:rsid w:val="00015011"/>
    <w:rsid w:val="0001729B"/>
    <w:rsid w:val="000172E0"/>
    <w:rsid w:val="00021170"/>
    <w:rsid w:val="0002128B"/>
    <w:rsid w:val="000213E7"/>
    <w:rsid w:val="00024DFD"/>
    <w:rsid w:val="00027371"/>
    <w:rsid w:val="00027AB8"/>
    <w:rsid w:val="000309DD"/>
    <w:rsid w:val="00031414"/>
    <w:rsid w:val="00033038"/>
    <w:rsid w:val="0003343A"/>
    <w:rsid w:val="00033D63"/>
    <w:rsid w:val="0003436F"/>
    <w:rsid w:val="000414E8"/>
    <w:rsid w:val="00043F6A"/>
    <w:rsid w:val="0004593A"/>
    <w:rsid w:val="00046807"/>
    <w:rsid w:val="00050556"/>
    <w:rsid w:val="00050787"/>
    <w:rsid w:val="00050A3E"/>
    <w:rsid w:val="00051DB9"/>
    <w:rsid w:val="00052A6F"/>
    <w:rsid w:val="00053F02"/>
    <w:rsid w:val="0005612B"/>
    <w:rsid w:val="000574AB"/>
    <w:rsid w:val="0006147A"/>
    <w:rsid w:val="00062F14"/>
    <w:rsid w:val="00064ED4"/>
    <w:rsid w:val="00065AE8"/>
    <w:rsid w:val="000775F8"/>
    <w:rsid w:val="00080CF7"/>
    <w:rsid w:val="000851B2"/>
    <w:rsid w:val="000915E9"/>
    <w:rsid w:val="00092566"/>
    <w:rsid w:val="000968F8"/>
    <w:rsid w:val="00097012"/>
    <w:rsid w:val="000A26BF"/>
    <w:rsid w:val="000A3579"/>
    <w:rsid w:val="000B032A"/>
    <w:rsid w:val="000B1A77"/>
    <w:rsid w:val="000B1E90"/>
    <w:rsid w:val="000B2DF7"/>
    <w:rsid w:val="000B3880"/>
    <w:rsid w:val="000C223B"/>
    <w:rsid w:val="000C5623"/>
    <w:rsid w:val="000C7139"/>
    <w:rsid w:val="000D7948"/>
    <w:rsid w:val="000D7C84"/>
    <w:rsid w:val="000E4E13"/>
    <w:rsid w:val="000E78F6"/>
    <w:rsid w:val="000F034A"/>
    <w:rsid w:val="000F035D"/>
    <w:rsid w:val="000F06B5"/>
    <w:rsid w:val="000F07A1"/>
    <w:rsid w:val="000F39E9"/>
    <w:rsid w:val="000F665D"/>
    <w:rsid w:val="000F70F7"/>
    <w:rsid w:val="00104B45"/>
    <w:rsid w:val="00105D8B"/>
    <w:rsid w:val="00112CEC"/>
    <w:rsid w:val="0011342F"/>
    <w:rsid w:val="00113C7D"/>
    <w:rsid w:val="00117D8F"/>
    <w:rsid w:val="001202E9"/>
    <w:rsid w:val="0012454F"/>
    <w:rsid w:val="00125273"/>
    <w:rsid w:val="0012575E"/>
    <w:rsid w:val="001272DB"/>
    <w:rsid w:val="00127C06"/>
    <w:rsid w:val="00131BA7"/>
    <w:rsid w:val="00135FCD"/>
    <w:rsid w:val="00145149"/>
    <w:rsid w:val="00145D4F"/>
    <w:rsid w:val="0014773C"/>
    <w:rsid w:val="00152AD5"/>
    <w:rsid w:val="00154ECB"/>
    <w:rsid w:val="001557C3"/>
    <w:rsid w:val="00161F20"/>
    <w:rsid w:val="00162DA6"/>
    <w:rsid w:val="001719D1"/>
    <w:rsid w:val="0017696D"/>
    <w:rsid w:val="001848FC"/>
    <w:rsid w:val="001904C6"/>
    <w:rsid w:val="001939F5"/>
    <w:rsid w:val="00193E91"/>
    <w:rsid w:val="001969C5"/>
    <w:rsid w:val="001A4D19"/>
    <w:rsid w:val="001A580F"/>
    <w:rsid w:val="001A6CDD"/>
    <w:rsid w:val="001C12EE"/>
    <w:rsid w:val="001C1B56"/>
    <w:rsid w:val="001C32CC"/>
    <w:rsid w:val="001C4036"/>
    <w:rsid w:val="001C7B02"/>
    <w:rsid w:val="001E1190"/>
    <w:rsid w:val="001E1A38"/>
    <w:rsid w:val="001E2A84"/>
    <w:rsid w:val="001E4A3C"/>
    <w:rsid w:val="001E4DD4"/>
    <w:rsid w:val="001E69DC"/>
    <w:rsid w:val="001F0F12"/>
    <w:rsid w:val="001F169D"/>
    <w:rsid w:val="001F1DA1"/>
    <w:rsid w:val="001F1E11"/>
    <w:rsid w:val="001F3AC1"/>
    <w:rsid w:val="001F6F93"/>
    <w:rsid w:val="001F7A20"/>
    <w:rsid w:val="00200FDC"/>
    <w:rsid w:val="0021195A"/>
    <w:rsid w:val="00213383"/>
    <w:rsid w:val="0021669D"/>
    <w:rsid w:val="00216958"/>
    <w:rsid w:val="00220250"/>
    <w:rsid w:val="00221695"/>
    <w:rsid w:val="00224990"/>
    <w:rsid w:val="00225515"/>
    <w:rsid w:val="0022691B"/>
    <w:rsid w:val="00232163"/>
    <w:rsid w:val="002376F8"/>
    <w:rsid w:val="002408E4"/>
    <w:rsid w:val="00241591"/>
    <w:rsid w:val="00246F6E"/>
    <w:rsid w:val="00247E3C"/>
    <w:rsid w:val="00250B4F"/>
    <w:rsid w:val="0025762F"/>
    <w:rsid w:val="00257C65"/>
    <w:rsid w:val="00261583"/>
    <w:rsid w:val="00264165"/>
    <w:rsid w:val="002642EB"/>
    <w:rsid w:val="00270436"/>
    <w:rsid w:val="0028114D"/>
    <w:rsid w:val="002866D8"/>
    <w:rsid w:val="00287649"/>
    <w:rsid w:val="00287E84"/>
    <w:rsid w:val="00290A08"/>
    <w:rsid w:val="0029286C"/>
    <w:rsid w:val="0029300E"/>
    <w:rsid w:val="00297108"/>
    <w:rsid w:val="002A3500"/>
    <w:rsid w:val="002A6BA5"/>
    <w:rsid w:val="002B0C3A"/>
    <w:rsid w:val="002B2116"/>
    <w:rsid w:val="002B22B5"/>
    <w:rsid w:val="002B2D9B"/>
    <w:rsid w:val="002B5016"/>
    <w:rsid w:val="002B742C"/>
    <w:rsid w:val="002B7F4D"/>
    <w:rsid w:val="002C285C"/>
    <w:rsid w:val="002C7BE4"/>
    <w:rsid w:val="002D417D"/>
    <w:rsid w:val="002D5C37"/>
    <w:rsid w:val="002D5E5D"/>
    <w:rsid w:val="002D6E53"/>
    <w:rsid w:val="002D7BCF"/>
    <w:rsid w:val="002E05CB"/>
    <w:rsid w:val="002E78A0"/>
    <w:rsid w:val="002E7FAB"/>
    <w:rsid w:val="002F2687"/>
    <w:rsid w:val="002F3A34"/>
    <w:rsid w:val="002F48E1"/>
    <w:rsid w:val="002F4F3B"/>
    <w:rsid w:val="002F77FD"/>
    <w:rsid w:val="003059EB"/>
    <w:rsid w:val="00310936"/>
    <w:rsid w:val="003116AC"/>
    <w:rsid w:val="00315567"/>
    <w:rsid w:val="0032089F"/>
    <w:rsid w:val="00325335"/>
    <w:rsid w:val="00330144"/>
    <w:rsid w:val="003310E5"/>
    <w:rsid w:val="00340E8F"/>
    <w:rsid w:val="00346245"/>
    <w:rsid w:val="00356267"/>
    <w:rsid w:val="00356BAD"/>
    <w:rsid w:val="0036020F"/>
    <w:rsid w:val="003605B4"/>
    <w:rsid w:val="003627AC"/>
    <w:rsid w:val="00362B96"/>
    <w:rsid w:val="003632E2"/>
    <w:rsid w:val="00366221"/>
    <w:rsid w:val="00366914"/>
    <w:rsid w:val="003711BC"/>
    <w:rsid w:val="00372FE3"/>
    <w:rsid w:val="00374B2F"/>
    <w:rsid w:val="003755CB"/>
    <w:rsid w:val="00383B59"/>
    <w:rsid w:val="00383F85"/>
    <w:rsid w:val="003913BA"/>
    <w:rsid w:val="003A306C"/>
    <w:rsid w:val="003A554D"/>
    <w:rsid w:val="003A7DE7"/>
    <w:rsid w:val="003B0A47"/>
    <w:rsid w:val="003B1006"/>
    <w:rsid w:val="003B6A1A"/>
    <w:rsid w:val="003B6BDE"/>
    <w:rsid w:val="003C5F11"/>
    <w:rsid w:val="003D6401"/>
    <w:rsid w:val="003E04DB"/>
    <w:rsid w:val="003E1863"/>
    <w:rsid w:val="0041606D"/>
    <w:rsid w:val="00416962"/>
    <w:rsid w:val="00432DB1"/>
    <w:rsid w:val="004348CC"/>
    <w:rsid w:val="00435D6F"/>
    <w:rsid w:val="00441842"/>
    <w:rsid w:val="00450064"/>
    <w:rsid w:val="004545F8"/>
    <w:rsid w:val="004555BC"/>
    <w:rsid w:val="00456453"/>
    <w:rsid w:val="00461A27"/>
    <w:rsid w:val="004622B2"/>
    <w:rsid w:val="004658FF"/>
    <w:rsid w:val="004704A8"/>
    <w:rsid w:val="00474ED7"/>
    <w:rsid w:val="004756E1"/>
    <w:rsid w:val="0048008A"/>
    <w:rsid w:val="00483E94"/>
    <w:rsid w:val="00484120"/>
    <w:rsid w:val="00484A2E"/>
    <w:rsid w:val="004853A0"/>
    <w:rsid w:val="0049548B"/>
    <w:rsid w:val="004954AB"/>
    <w:rsid w:val="00495B48"/>
    <w:rsid w:val="00496B5F"/>
    <w:rsid w:val="004A0126"/>
    <w:rsid w:val="004A079F"/>
    <w:rsid w:val="004A2E10"/>
    <w:rsid w:val="004A4D5D"/>
    <w:rsid w:val="004A528A"/>
    <w:rsid w:val="004A553C"/>
    <w:rsid w:val="004B17FF"/>
    <w:rsid w:val="004B1BA0"/>
    <w:rsid w:val="004B6CEE"/>
    <w:rsid w:val="004C1C29"/>
    <w:rsid w:val="004C2443"/>
    <w:rsid w:val="004C498F"/>
    <w:rsid w:val="004C5D29"/>
    <w:rsid w:val="004C681A"/>
    <w:rsid w:val="004D4D8A"/>
    <w:rsid w:val="004D6DAD"/>
    <w:rsid w:val="004D77DB"/>
    <w:rsid w:val="004E1BAA"/>
    <w:rsid w:val="004E7DC9"/>
    <w:rsid w:val="004F0A86"/>
    <w:rsid w:val="004F29A8"/>
    <w:rsid w:val="004F68EE"/>
    <w:rsid w:val="00502682"/>
    <w:rsid w:val="005038D5"/>
    <w:rsid w:val="00507954"/>
    <w:rsid w:val="00511BA4"/>
    <w:rsid w:val="00513310"/>
    <w:rsid w:val="005149E7"/>
    <w:rsid w:val="005232D6"/>
    <w:rsid w:val="0052765A"/>
    <w:rsid w:val="00530719"/>
    <w:rsid w:val="005333CC"/>
    <w:rsid w:val="005363F1"/>
    <w:rsid w:val="0053769F"/>
    <w:rsid w:val="0055007C"/>
    <w:rsid w:val="005545D4"/>
    <w:rsid w:val="00554922"/>
    <w:rsid w:val="00555282"/>
    <w:rsid w:val="005560E7"/>
    <w:rsid w:val="00556909"/>
    <w:rsid w:val="005612CC"/>
    <w:rsid w:val="0056192C"/>
    <w:rsid w:val="00563029"/>
    <w:rsid w:val="00564D3D"/>
    <w:rsid w:val="005676E8"/>
    <w:rsid w:val="00567D12"/>
    <w:rsid w:val="00567D14"/>
    <w:rsid w:val="005714D9"/>
    <w:rsid w:val="00576062"/>
    <w:rsid w:val="00591094"/>
    <w:rsid w:val="0059559F"/>
    <w:rsid w:val="005A2B60"/>
    <w:rsid w:val="005A49FF"/>
    <w:rsid w:val="005A6635"/>
    <w:rsid w:val="005A7634"/>
    <w:rsid w:val="005C0447"/>
    <w:rsid w:val="005C37E1"/>
    <w:rsid w:val="005C4D5C"/>
    <w:rsid w:val="005C739F"/>
    <w:rsid w:val="005C73CA"/>
    <w:rsid w:val="005D4768"/>
    <w:rsid w:val="005D7BA9"/>
    <w:rsid w:val="005E037B"/>
    <w:rsid w:val="005E181F"/>
    <w:rsid w:val="005E2CAB"/>
    <w:rsid w:val="005E429E"/>
    <w:rsid w:val="005F3603"/>
    <w:rsid w:val="005F6512"/>
    <w:rsid w:val="0060012C"/>
    <w:rsid w:val="00601ED4"/>
    <w:rsid w:val="006030BC"/>
    <w:rsid w:val="00612866"/>
    <w:rsid w:val="00616EB5"/>
    <w:rsid w:val="0062355F"/>
    <w:rsid w:val="00624927"/>
    <w:rsid w:val="006269D4"/>
    <w:rsid w:val="006327D8"/>
    <w:rsid w:val="0063308C"/>
    <w:rsid w:val="0064070A"/>
    <w:rsid w:val="00643A01"/>
    <w:rsid w:val="0064442D"/>
    <w:rsid w:val="006538BF"/>
    <w:rsid w:val="006574D2"/>
    <w:rsid w:val="00666D74"/>
    <w:rsid w:val="006676D4"/>
    <w:rsid w:val="00675256"/>
    <w:rsid w:val="00675535"/>
    <w:rsid w:val="00681359"/>
    <w:rsid w:val="0069583B"/>
    <w:rsid w:val="00696262"/>
    <w:rsid w:val="006975AF"/>
    <w:rsid w:val="006B097D"/>
    <w:rsid w:val="006B0F79"/>
    <w:rsid w:val="006B2763"/>
    <w:rsid w:val="006B4BBD"/>
    <w:rsid w:val="006B63A4"/>
    <w:rsid w:val="006B7C99"/>
    <w:rsid w:val="006C0027"/>
    <w:rsid w:val="006C3A4F"/>
    <w:rsid w:val="006C4845"/>
    <w:rsid w:val="006C6F67"/>
    <w:rsid w:val="006D4AB9"/>
    <w:rsid w:val="006D5CC2"/>
    <w:rsid w:val="006D6BC1"/>
    <w:rsid w:val="006E00A4"/>
    <w:rsid w:val="006E2BFC"/>
    <w:rsid w:val="006E4CDD"/>
    <w:rsid w:val="006E5BFF"/>
    <w:rsid w:val="006E5C57"/>
    <w:rsid w:val="006E774A"/>
    <w:rsid w:val="006F22A5"/>
    <w:rsid w:val="006F3357"/>
    <w:rsid w:val="006F5CE0"/>
    <w:rsid w:val="006F75E6"/>
    <w:rsid w:val="00702C73"/>
    <w:rsid w:val="007047FE"/>
    <w:rsid w:val="00711644"/>
    <w:rsid w:val="00713394"/>
    <w:rsid w:val="00715439"/>
    <w:rsid w:val="0072340A"/>
    <w:rsid w:val="00724677"/>
    <w:rsid w:val="00725031"/>
    <w:rsid w:val="00725AC2"/>
    <w:rsid w:val="007265C9"/>
    <w:rsid w:val="00732880"/>
    <w:rsid w:val="00737D4C"/>
    <w:rsid w:val="00740FC6"/>
    <w:rsid w:val="007416B9"/>
    <w:rsid w:val="007422FD"/>
    <w:rsid w:val="00743279"/>
    <w:rsid w:val="00743E46"/>
    <w:rsid w:val="00747C45"/>
    <w:rsid w:val="00750AD8"/>
    <w:rsid w:val="00756FDB"/>
    <w:rsid w:val="00757E57"/>
    <w:rsid w:val="007629B6"/>
    <w:rsid w:val="007665BF"/>
    <w:rsid w:val="00771B2A"/>
    <w:rsid w:val="0077233F"/>
    <w:rsid w:val="007757CE"/>
    <w:rsid w:val="00775800"/>
    <w:rsid w:val="00775F01"/>
    <w:rsid w:val="0078097C"/>
    <w:rsid w:val="0079180E"/>
    <w:rsid w:val="007950CC"/>
    <w:rsid w:val="0079538B"/>
    <w:rsid w:val="00796117"/>
    <w:rsid w:val="007961B8"/>
    <w:rsid w:val="00797624"/>
    <w:rsid w:val="007A4828"/>
    <w:rsid w:val="007B093D"/>
    <w:rsid w:val="007B2069"/>
    <w:rsid w:val="007B57D8"/>
    <w:rsid w:val="007C04A1"/>
    <w:rsid w:val="007C21FA"/>
    <w:rsid w:val="007C4F40"/>
    <w:rsid w:val="007C7CEE"/>
    <w:rsid w:val="007D4351"/>
    <w:rsid w:val="007D7019"/>
    <w:rsid w:val="007E0400"/>
    <w:rsid w:val="007E04E8"/>
    <w:rsid w:val="007E18DB"/>
    <w:rsid w:val="007E6F1C"/>
    <w:rsid w:val="007F251F"/>
    <w:rsid w:val="00803593"/>
    <w:rsid w:val="00804C69"/>
    <w:rsid w:val="0080687C"/>
    <w:rsid w:val="00806AD2"/>
    <w:rsid w:val="00806D58"/>
    <w:rsid w:val="0080711D"/>
    <w:rsid w:val="00807E1E"/>
    <w:rsid w:val="0081115E"/>
    <w:rsid w:val="008125C5"/>
    <w:rsid w:val="008155CD"/>
    <w:rsid w:val="008235C2"/>
    <w:rsid w:val="00833325"/>
    <w:rsid w:val="00833A31"/>
    <w:rsid w:val="00834939"/>
    <w:rsid w:val="00834B4A"/>
    <w:rsid w:val="00840A41"/>
    <w:rsid w:val="008414EC"/>
    <w:rsid w:val="00842F3C"/>
    <w:rsid w:val="008505D1"/>
    <w:rsid w:val="00855158"/>
    <w:rsid w:val="00855A35"/>
    <w:rsid w:val="0085703D"/>
    <w:rsid w:val="00857EE8"/>
    <w:rsid w:val="0086464B"/>
    <w:rsid w:val="008647FC"/>
    <w:rsid w:val="00864CA8"/>
    <w:rsid w:val="00865E2D"/>
    <w:rsid w:val="00870E6C"/>
    <w:rsid w:val="00872991"/>
    <w:rsid w:val="00876B48"/>
    <w:rsid w:val="00884486"/>
    <w:rsid w:val="008871A9"/>
    <w:rsid w:val="008916BA"/>
    <w:rsid w:val="00892176"/>
    <w:rsid w:val="008947E5"/>
    <w:rsid w:val="008A1DB7"/>
    <w:rsid w:val="008A378D"/>
    <w:rsid w:val="008A403A"/>
    <w:rsid w:val="008A4C13"/>
    <w:rsid w:val="008A7CC0"/>
    <w:rsid w:val="008B2640"/>
    <w:rsid w:val="008B49BB"/>
    <w:rsid w:val="008B5201"/>
    <w:rsid w:val="008B604D"/>
    <w:rsid w:val="008B641B"/>
    <w:rsid w:val="008B6F58"/>
    <w:rsid w:val="008C3882"/>
    <w:rsid w:val="008C54A9"/>
    <w:rsid w:val="008D66B2"/>
    <w:rsid w:val="008E41E1"/>
    <w:rsid w:val="008E585A"/>
    <w:rsid w:val="008E67C3"/>
    <w:rsid w:val="008F09AC"/>
    <w:rsid w:val="008F0FAF"/>
    <w:rsid w:val="008F589F"/>
    <w:rsid w:val="008F76A9"/>
    <w:rsid w:val="008F7E67"/>
    <w:rsid w:val="00900DBF"/>
    <w:rsid w:val="00903E42"/>
    <w:rsid w:val="009048B9"/>
    <w:rsid w:val="00904E91"/>
    <w:rsid w:val="00910BEB"/>
    <w:rsid w:val="0091548A"/>
    <w:rsid w:val="00915886"/>
    <w:rsid w:val="0091669E"/>
    <w:rsid w:val="009172AD"/>
    <w:rsid w:val="009214DC"/>
    <w:rsid w:val="0092300A"/>
    <w:rsid w:val="00924974"/>
    <w:rsid w:val="00925CB1"/>
    <w:rsid w:val="00927027"/>
    <w:rsid w:val="00927601"/>
    <w:rsid w:val="00930A06"/>
    <w:rsid w:val="009344BA"/>
    <w:rsid w:val="009437FC"/>
    <w:rsid w:val="009449DD"/>
    <w:rsid w:val="00947F78"/>
    <w:rsid w:val="00953234"/>
    <w:rsid w:val="00953A1F"/>
    <w:rsid w:val="009574EE"/>
    <w:rsid w:val="00961EAF"/>
    <w:rsid w:val="0096278F"/>
    <w:rsid w:val="009726E1"/>
    <w:rsid w:val="00977591"/>
    <w:rsid w:val="00980E75"/>
    <w:rsid w:val="0098174C"/>
    <w:rsid w:val="00994BE0"/>
    <w:rsid w:val="00994D4D"/>
    <w:rsid w:val="009A25B1"/>
    <w:rsid w:val="009A4608"/>
    <w:rsid w:val="009A6A57"/>
    <w:rsid w:val="009A70BF"/>
    <w:rsid w:val="009B1A15"/>
    <w:rsid w:val="009B3CCD"/>
    <w:rsid w:val="009B7B59"/>
    <w:rsid w:val="009C0852"/>
    <w:rsid w:val="009C09CE"/>
    <w:rsid w:val="009C13CA"/>
    <w:rsid w:val="009C293A"/>
    <w:rsid w:val="009C32C6"/>
    <w:rsid w:val="009C4756"/>
    <w:rsid w:val="009C665F"/>
    <w:rsid w:val="009C7E19"/>
    <w:rsid w:val="009D79CB"/>
    <w:rsid w:val="009D7E38"/>
    <w:rsid w:val="009E095B"/>
    <w:rsid w:val="009E1846"/>
    <w:rsid w:val="009E6598"/>
    <w:rsid w:val="009E78FF"/>
    <w:rsid w:val="009F7B22"/>
    <w:rsid w:val="009F7D1D"/>
    <w:rsid w:val="00A01494"/>
    <w:rsid w:val="00A04DFB"/>
    <w:rsid w:val="00A052C2"/>
    <w:rsid w:val="00A124A0"/>
    <w:rsid w:val="00A16A2E"/>
    <w:rsid w:val="00A22C0C"/>
    <w:rsid w:val="00A22FA9"/>
    <w:rsid w:val="00A23BD5"/>
    <w:rsid w:val="00A25024"/>
    <w:rsid w:val="00A35F8F"/>
    <w:rsid w:val="00A37D09"/>
    <w:rsid w:val="00A41377"/>
    <w:rsid w:val="00A4263D"/>
    <w:rsid w:val="00A46F23"/>
    <w:rsid w:val="00A509B8"/>
    <w:rsid w:val="00A5140E"/>
    <w:rsid w:val="00A52AB9"/>
    <w:rsid w:val="00A6142A"/>
    <w:rsid w:val="00A6210B"/>
    <w:rsid w:val="00A62D4C"/>
    <w:rsid w:val="00A7323A"/>
    <w:rsid w:val="00A7430D"/>
    <w:rsid w:val="00A75C79"/>
    <w:rsid w:val="00A76FB5"/>
    <w:rsid w:val="00A802C7"/>
    <w:rsid w:val="00A80403"/>
    <w:rsid w:val="00A831B4"/>
    <w:rsid w:val="00A83C84"/>
    <w:rsid w:val="00A85505"/>
    <w:rsid w:val="00A8563B"/>
    <w:rsid w:val="00A86AC1"/>
    <w:rsid w:val="00A91B33"/>
    <w:rsid w:val="00A97798"/>
    <w:rsid w:val="00A97A91"/>
    <w:rsid w:val="00AA5131"/>
    <w:rsid w:val="00AA5213"/>
    <w:rsid w:val="00AA55F1"/>
    <w:rsid w:val="00AA65A6"/>
    <w:rsid w:val="00AA755B"/>
    <w:rsid w:val="00AB46A4"/>
    <w:rsid w:val="00AB77C5"/>
    <w:rsid w:val="00AB7D2F"/>
    <w:rsid w:val="00AC1D8E"/>
    <w:rsid w:val="00AC3742"/>
    <w:rsid w:val="00AC48FA"/>
    <w:rsid w:val="00AD0240"/>
    <w:rsid w:val="00AD26AF"/>
    <w:rsid w:val="00AD4137"/>
    <w:rsid w:val="00AD5051"/>
    <w:rsid w:val="00AE1B29"/>
    <w:rsid w:val="00AF11D0"/>
    <w:rsid w:val="00AF2F7D"/>
    <w:rsid w:val="00B037BA"/>
    <w:rsid w:val="00B038FE"/>
    <w:rsid w:val="00B1314A"/>
    <w:rsid w:val="00B20139"/>
    <w:rsid w:val="00B218DA"/>
    <w:rsid w:val="00B241E1"/>
    <w:rsid w:val="00B342FA"/>
    <w:rsid w:val="00B37CA5"/>
    <w:rsid w:val="00B53E8B"/>
    <w:rsid w:val="00B55A70"/>
    <w:rsid w:val="00B774D2"/>
    <w:rsid w:val="00B8015A"/>
    <w:rsid w:val="00B816FB"/>
    <w:rsid w:val="00B82A57"/>
    <w:rsid w:val="00B8721F"/>
    <w:rsid w:val="00B91567"/>
    <w:rsid w:val="00B969AE"/>
    <w:rsid w:val="00BA053B"/>
    <w:rsid w:val="00BB1404"/>
    <w:rsid w:val="00BB35AE"/>
    <w:rsid w:val="00BB40DB"/>
    <w:rsid w:val="00BC03A1"/>
    <w:rsid w:val="00BC0D25"/>
    <w:rsid w:val="00BD2505"/>
    <w:rsid w:val="00BE53E3"/>
    <w:rsid w:val="00BE592D"/>
    <w:rsid w:val="00BF0FC3"/>
    <w:rsid w:val="00BF4E22"/>
    <w:rsid w:val="00BF52B0"/>
    <w:rsid w:val="00BF5697"/>
    <w:rsid w:val="00C031AF"/>
    <w:rsid w:val="00C071EB"/>
    <w:rsid w:val="00C13B5D"/>
    <w:rsid w:val="00C14CCC"/>
    <w:rsid w:val="00C1647F"/>
    <w:rsid w:val="00C22C1C"/>
    <w:rsid w:val="00C23B3F"/>
    <w:rsid w:val="00C241B4"/>
    <w:rsid w:val="00C269DA"/>
    <w:rsid w:val="00C26D5A"/>
    <w:rsid w:val="00C33F2E"/>
    <w:rsid w:val="00C34936"/>
    <w:rsid w:val="00C34C14"/>
    <w:rsid w:val="00C355B9"/>
    <w:rsid w:val="00C401C4"/>
    <w:rsid w:val="00C41680"/>
    <w:rsid w:val="00C435C3"/>
    <w:rsid w:val="00C44261"/>
    <w:rsid w:val="00C47A4B"/>
    <w:rsid w:val="00C604E0"/>
    <w:rsid w:val="00C60A25"/>
    <w:rsid w:val="00C61753"/>
    <w:rsid w:val="00C632D5"/>
    <w:rsid w:val="00C6558C"/>
    <w:rsid w:val="00C657EF"/>
    <w:rsid w:val="00C72ED3"/>
    <w:rsid w:val="00C7436B"/>
    <w:rsid w:val="00C761D6"/>
    <w:rsid w:val="00C765C5"/>
    <w:rsid w:val="00C82479"/>
    <w:rsid w:val="00C867F0"/>
    <w:rsid w:val="00CA06D8"/>
    <w:rsid w:val="00CA1538"/>
    <w:rsid w:val="00CA345A"/>
    <w:rsid w:val="00CA7853"/>
    <w:rsid w:val="00CB49FF"/>
    <w:rsid w:val="00CC02CF"/>
    <w:rsid w:val="00CC086A"/>
    <w:rsid w:val="00CD0F66"/>
    <w:rsid w:val="00CD3039"/>
    <w:rsid w:val="00CD364B"/>
    <w:rsid w:val="00CD3B10"/>
    <w:rsid w:val="00CD4744"/>
    <w:rsid w:val="00CD65A6"/>
    <w:rsid w:val="00CE1AD2"/>
    <w:rsid w:val="00CE23B8"/>
    <w:rsid w:val="00CE50D7"/>
    <w:rsid w:val="00CE67AB"/>
    <w:rsid w:val="00CF22D3"/>
    <w:rsid w:val="00CF6ED2"/>
    <w:rsid w:val="00CF76CE"/>
    <w:rsid w:val="00CF7F83"/>
    <w:rsid w:val="00D001C5"/>
    <w:rsid w:val="00D00344"/>
    <w:rsid w:val="00D12764"/>
    <w:rsid w:val="00D12D9A"/>
    <w:rsid w:val="00D1754D"/>
    <w:rsid w:val="00D2223F"/>
    <w:rsid w:val="00D25D36"/>
    <w:rsid w:val="00D274A4"/>
    <w:rsid w:val="00D277AF"/>
    <w:rsid w:val="00D31163"/>
    <w:rsid w:val="00D320B1"/>
    <w:rsid w:val="00D33AFD"/>
    <w:rsid w:val="00D36489"/>
    <w:rsid w:val="00D3691D"/>
    <w:rsid w:val="00D42195"/>
    <w:rsid w:val="00D44B85"/>
    <w:rsid w:val="00D45E51"/>
    <w:rsid w:val="00D47659"/>
    <w:rsid w:val="00D50704"/>
    <w:rsid w:val="00D5760A"/>
    <w:rsid w:val="00D61410"/>
    <w:rsid w:val="00D629DE"/>
    <w:rsid w:val="00D71619"/>
    <w:rsid w:val="00D724B3"/>
    <w:rsid w:val="00D755C3"/>
    <w:rsid w:val="00D8181D"/>
    <w:rsid w:val="00D93C3B"/>
    <w:rsid w:val="00D94666"/>
    <w:rsid w:val="00D968D8"/>
    <w:rsid w:val="00D96977"/>
    <w:rsid w:val="00DA21C7"/>
    <w:rsid w:val="00DA41F8"/>
    <w:rsid w:val="00DA4B65"/>
    <w:rsid w:val="00DA563D"/>
    <w:rsid w:val="00DA7277"/>
    <w:rsid w:val="00DB3627"/>
    <w:rsid w:val="00DB46CC"/>
    <w:rsid w:val="00DB4724"/>
    <w:rsid w:val="00DC15E0"/>
    <w:rsid w:val="00DC4746"/>
    <w:rsid w:val="00DC7DF2"/>
    <w:rsid w:val="00DD179D"/>
    <w:rsid w:val="00DD204D"/>
    <w:rsid w:val="00DD3D17"/>
    <w:rsid w:val="00DE44B7"/>
    <w:rsid w:val="00DE7149"/>
    <w:rsid w:val="00DF0F34"/>
    <w:rsid w:val="00E000CD"/>
    <w:rsid w:val="00E0314C"/>
    <w:rsid w:val="00E10449"/>
    <w:rsid w:val="00E120A1"/>
    <w:rsid w:val="00E1508F"/>
    <w:rsid w:val="00E15D81"/>
    <w:rsid w:val="00E21158"/>
    <w:rsid w:val="00E27240"/>
    <w:rsid w:val="00E27EDD"/>
    <w:rsid w:val="00E30584"/>
    <w:rsid w:val="00E310B9"/>
    <w:rsid w:val="00E37E1B"/>
    <w:rsid w:val="00E401B7"/>
    <w:rsid w:val="00E4024A"/>
    <w:rsid w:val="00E417A3"/>
    <w:rsid w:val="00E43257"/>
    <w:rsid w:val="00E43F65"/>
    <w:rsid w:val="00E45EBE"/>
    <w:rsid w:val="00E468F8"/>
    <w:rsid w:val="00E562C0"/>
    <w:rsid w:val="00E6511C"/>
    <w:rsid w:val="00E6697C"/>
    <w:rsid w:val="00E672D6"/>
    <w:rsid w:val="00E71D9D"/>
    <w:rsid w:val="00E71EC2"/>
    <w:rsid w:val="00E72840"/>
    <w:rsid w:val="00E735D2"/>
    <w:rsid w:val="00E757AC"/>
    <w:rsid w:val="00E76024"/>
    <w:rsid w:val="00E8551E"/>
    <w:rsid w:val="00E856A2"/>
    <w:rsid w:val="00E95331"/>
    <w:rsid w:val="00E96884"/>
    <w:rsid w:val="00EA5435"/>
    <w:rsid w:val="00EA5F47"/>
    <w:rsid w:val="00EA6A1E"/>
    <w:rsid w:val="00EB5727"/>
    <w:rsid w:val="00EC03C2"/>
    <w:rsid w:val="00EC4CAC"/>
    <w:rsid w:val="00EC6C37"/>
    <w:rsid w:val="00EC79DE"/>
    <w:rsid w:val="00ED4ACE"/>
    <w:rsid w:val="00ED62BD"/>
    <w:rsid w:val="00EE16E1"/>
    <w:rsid w:val="00EE4D35"/>
    <w:rsid w:val="00EF0404"/>
    <w:rsid w:val="00EF2DA7"/>
    <w:rsid w:val="00EF361D"/>
    <w:rsid w:val="00EF7B58"/>
    <w:rsid w:val="00F10289"/>
    <w:rsid w:val="00F13332"/>
    <w:rsid w:val="00F14178"/>
    <w:rsid w:val="00F24900"/>
    <w:rsid w:val="00F35EC5"/>
    <w:rsid w:val="00F435AA"/>
    <w:rsid w:val="00F50CC0"/>
    <w:rsid w:val="00F5738A"/>
    <w:rsid w:val="00F612D4"/>
    <w:rsid w:val="00F64327"/>
    <w:rsid w:val="00F73EED"/>
    <w:rsid w:val="00F77F1D"/>
    <w:rsid w:val="00F80108"/>
    <w:rsid w:val="00F832ED"/>
    <w:rsid w:val="00F84839"/>
    <w:rsid w:val="00F866D2"/>
    <w:rsid w:val="00F87CCB"/>
    <w:rsid w:val="00F94646"/>
    <w:rsid w:val="00F971A6"/>
    <w:rsid w:val="00F97A8E"/>
    <w:rsid w:val="00FA12CF"/>
    <w:rsid w:val="00FA24F9"/>
    <w:rsid w:val="00FA48C7"/>
    <w:rsid w:val="00FA758E"/>
    <w:rsid w:val="00FB2549"/>
    <w:rsid w:val="00FB73C1"/>
    <w:rsid w:val="00FC13D4"/>
    <w:rsid w:val="00FC4114"/>
    <w:rsid w:val="00FC7DCF"/>
    <w:rsid w:val="00FD0FFE"/>
    <w:rsid w:val="00FD131F"/>
    <w:rsid w:val="00FD17D3"/>
    <w:rsid w:val="00FD1C57"/>
    <w:rsid w:val="00FD1F8F"/>
    <w:rsid w:val="00FE1D93"/>
    <w:rsid w:val="00FE481B"/>
    <w:rsid w:val="00FF1196"/>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6E2A1ECD"/>
  <w15:docId w15:val="{9CCF06D1-B796-4E1E-9592-12DCA7DB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B3CCD"/>
  </w:style>
  <w:style w:type="paragraph" w:styleId="Heading2">
    <w:name w:val="heading 2"/>
    <w:basedOn w:val="Normal"/>
    <w:next w:val="Normal"/>
    <w:link w:val="Heading2Char"/>
    <w:qFormat/>
    <w:rsid w:val="005F3603"/>
    <w:pPr>
      <w:keepNext/>
      <w:tabs>
        <w:tab w:val="left" w:pos="1080"/>
        <w:tab w:val="left" w:pos="1260"/>
      </w:tabs>
      <w:spacing w:after="0" w:line="240" w:lineRule="auto"/>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AA55F1"/>
    <w:pPr>
      <w:spacing w:after="0" w:line="240" w:lineRule="auto"/>
    </w:pPr>
  </w:style>
  <w:style w:type="paragraph" w:customStyle="1" w:styleId="Style5">
    <w:name w:val="Style5"/>
    <w:basedOn w:val="Normal"/>
    <w:link w:val="Style5Char"/>
    <w:qFormat/>
    <w:rsid w:val="00247E3C"/>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247E3C"/>
    <w:rPr>
      <w:rFonts w:ascii="Trebuchet MS" w:hAnsi="Trebuchet MS" w:cstheme="minorHAnsi"/>
      <w:i/>
      <w:color w:val="FF0000"/>
      <w:sz w:val="20"/>
      <w:szCs w:val="20"/>
    </w:rPr>
  </w:style>
  <w:style w:type="paragraph" w:customStyle="1" w:styleId="Default">
    <w:name w:val="Default"/>
    <w:rsid w:val="00DC7DF2"/>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rsid w:val="005F3603"/>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3740">
      <w:bodyDiv w:val="1"/>
      <w:marLeft w:val="0"/>
      <w:marRight w:val="0"/>
      <w:marTop w:val="0"/>
      <w:marBottom w:val="0"/>
      <w:divBdr>
        <w:top w:val="none" w:sz="0" w:space="0" w:color="auto"/>
        <w:left w:val="none" w:sz="0" w:space="0" w:color="auto"/>
        <w:bottom w:val="none" w:sz="0" w:space="0" w:color="auto"/>
        <w:right w:val="none" w:sz="0" w:space="0" w:color="auto"/>
      </w:divBdr>
    </w:div>
    <w:div w:id="114521654">
      <w:bodyDiv w:val="1"/>
      <w:marLeft w:val="0"/>
      <w:marRight w:val="0"/>
      <w:marTop w:val="0"/>
      <w:marBottom w:val="0"/>
      <w:divBdr>
        <w:top w:val="none" w:sz="0" w:space="0" w:color="auto"/>
        <w:left w:val="none" w:sz="0" w:space="0" w:color="auto"/>
        <w:bottom w:val="none" w:sz="0" w:space="0" w:color="auto"/>
        <w:right w:val="none" w:sz="0" w:space="0" w:color="auto"/>
      </w:divBdr>
    </w:div>
    <w:div w:id="458181025">
      <w:bodyDiv w:val="1"/>
      <w:marLeft w:val="0"/>
      <w:marRight w:val="0"/>
      <w:marTop w:val="0"/>
      <w:marBottom w:val="0"/>
      <w:divBdr>
        <w:top w:val="none" w:sz="0" w:space="0" w:color="auto"/>
        <w:left w:val="none" w:sz="0" w:space="0" w:color="auto"/>
        <w:bottom w:val="none" w:sz="0" w:space="0" w:color="auto"/>
        <w:right w:val="none" w:sz="0" w:space="0" w:color="auto"/>
      </w:divBdr>
    </w:div>
    <w:div w:id="509608417">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328288262">
      <w:bodyDiv w:val="1"/>
      <w:marLeft w:val="0"/>
      <w:marRight w:val="0"/>
      <w:marTop w:val="0"/>
      <w:marBottom w:val="0"/>
      <w:divBdr>
        <w:top w:val="none" w:sz="0" w:space="0" w:color="auto"/>
        <w:left w:val="none" w:sz="0" w:space="0" w:color="auto"/>
        <w:bottom w:val="none" w:sz="0" w:space="0" w:color="auto"/>
        <w:right w:val="none" w:sz="0" w:space="0" w:color="auto"/>
      </w:divBdr>
    </w:div>
    <w:div w:id="137639575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94389680">
      <w:bodyDiv w:val="1"/>
      <w:marLeft w:val="0"/>
      <w:marRight w:val="0"/>
      <w:marTop w:val="0"/>
      <w:marBottom w:val="0"/>
      <w:divBdr>
        <w:top w:val="none" w:sz="0" w:space="0" w:color="auto"/>
        <w:left w:val="none" w:sz="0" w:space="0" w:color="auto"/>
        <w:bottom w:val="none" w:sz="0" w:space="0" w:color="auto"/>
        <w:right w:val="none" w:sz="0" w:space="0" w:color="auto"/>
      </w:divBdr>
    </w:div>
    <w:div w:id="203063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oding/ICD10/2012-ICD-10-CM-and-GEM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49FB08EDA43742B4AF528183682E55FA"/>
        <w:category>
          <w:name w:val="General"/>
          <w:gallery w:val="placeholder"/>
        </w:category>
        <w:types>
          <w:type w:val="bbPlcHdr"/>
        </w:types>
        <w:behaviors>
          <w:behavior w:val="content"/>
        </w:behaviors>
        <w:guid w:val="{6BFE37A4-CE5C-453F-9866-B8BF89D25EA1}"/>
      </w:docPartPr>
      <w:docPartBody>
        <w:p w:rsidR="0045489D" w:rsidRDefault="009B0440" w:rsidP="009B0440">
          <w:pPr>
            <w:pStyle w:val="49FB08EDA43742B4AF528183682E55FA"/>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C90121"/>
    <w:rsid w:val="00021F89"/>
    <w:rsid w:val="00066F21"/>
    <w:rsid w:val="000948D2"/>
    <w:rsid w:val="000B78A9"/>
    <w:rsid w:val="00127222"/>
    <w:rsid w:val="001762EA"/>
    <w:rsid w:val="00190AF4"/>
    <w:rsid w:val="001B6BEA"/>
    <w:rsid w:val="00223FA3"/>
    <w:rsid w:val="0024200E"/>
    <w:rsid w:val="00245285"/>
    <w:rsid w:val="0027700B"/>
    <w:rsid w:val="002A288F"/>
    <w:rsid w:val="002F052A"/>
    <w:rsid w:val="00331C3F"/>
    <w:rsid w:val="00350176"/>
    <w:rsid w:val="003660F8"/>
    <w:rsid w:val="003840F0"/>
    <w:rsid w:val="00437537"/>
    <w:rsid w:val="0045489D"/>
    <w:rsid w:val="004F366F"/>
    <w:rsid w:val="00515887"/>
    <w:rsid w:val="0053654E"/>
    <w:rsid w:val="00590B46"/>
    <w:rsid w:val="005E26FE"/>
    <w:rsid w:val="00632A7E"/>
    <w:rsid w:val="00632AB6"/>
    <w:rsid w:val="006974F7"/>
    <w:rsid w:val="00730B33"/>
    <w:rsid w:val="00772B2A"/>
    <w:rsid w:val="007C672A"/>
    <w:rsid w:val="007D4368"/>
    <w:rsid w:val="00822666"/>
    <w:rsid w:val="00823ECC"/>
    <w:rsid w:val="00851445"/>
    <w:rsid w:val="00866C97"/>
    <w:rsid w:val="008B3413"/>
    <w:rsid w:val="008C1C91"/>
    <w:rsid w:val="008D4729"/>
    <w:rsid w:val="008F1FBC"/>
    <w:rsid w:val="009017AE"/>
    <w:rsid w:val="009B0440"/>
    <w:rsid w:val="009C542D"/>
    <w:rsid w:val="00A83B2C"/>
    <w:rsid w:val="00A95183"/>
    <w:rsid w:val="00A962EF"/>
    <w:rsid w:val="00AB45A8"/>
    <w:rsid w:val="00AB4AF7"/>
    <w:rsid w:val="00AD7C4F"/>
    <w:rsid w:val="00B445F5"/>
    <w:rsid w:val="00B47497"/>
    <w:rsid w:val="00B60FD3"/>
    <w:rsid w:val="00B62580"/>
    <w:rsid w:val="00BB7DC9"/>
    <w:rsid w:val="00BD40CB"/>
    <w:rsid w:val="00C362A2"/>
    <w:rsid w:val="00C47CFC"/>
    <w:rsid w:val="00C61919"/>
    <w:rsid w:val="00C90121"/>
    <w:rsid w:val="00CA1E31"/>
    <w:rsid w:val="00CA344F"/>
    <w:rsid w:val="00D1676E"/>
    <w:rsid w:val="00DC0246"/>
    <w:rsid w:val="00DE02F8"/>
    <w:rsid w:val="00DF7C18"/>
    <w:rsid w:val="00E62BDB"/>
    <w:rsid w:val="00E6518A"/>
    <w:rsid w:val="00E853DB"/>
    <w:rsid w:val="00E9173D"/>
    <w:rsid w:val="00ED02D0"/>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619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0440"/>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49FB08EDA43742B4AF528183682E55FA">
    <w:name w:val="49FB08EDA43742B4AF528183682E55FA"/>
    <w:rsid w:val="009B04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D7A7933F0FF1408BBEBC6ADE597ECF" ma:contentTypeVersion="0" ma:contentTypeDescription="Create a new document." ma:contentTypeScope="" ma:versionID="b7b4e54f38c72edabfcf20781ec9b267">
  <xsd:schema xmlns:xsd="http://www.w3.org/2001/XMLSchema" xmlns:xs="http://www.w3.org/2001/XMLSchema" xmlns:p="http://schemas.microsoft.com/office/2006/metadata/properties" targetNamespace="http://schemas.microsoft.com/office/2006/metadata/properties" ma:root="true" ma:fieldsID="4bf547991614a5aa7db718c2ad7b8d8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3EA46-467A-4DD5-8752-A5D8FF5DD6B4}">
  <ds:schemaRefs>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705B4AF-E402-4A0E-B4CB-5A7F3EF6AE42}">
  <ds:schemaRefs>
    <ds:schemaRef ds:uri="http://schemas.microsoft.com/sharepoint/v3/contenttype/forms"/>
  </ds:schemaRefs>
</ds:datastoreItem>
</file>

<file path=customXml/itemProps3.xml><?xml version="1.0" encoding="utf-8"?>
<ds:datastoreItem xmlns:ds="http://schemas.openxmlformats.org/officeDocument/2006/customXml" ds:itemID="{733C0D1D-B05B-4597-99EC-5501CD69F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575D7E-7789-432E-B996-A1B14A9D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7488</Words>
  <Characters>42685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Reva Winkler</dc:creator>
  <cp:keywords/>
  <dc:description/>
  <cp:lastModifiedBy>Jenna Williams-Bader</cp:lastModifiedBy>
  <cp:revision>4</cp:revision>
  <cp:lastPrinted>2014-03-04T22:17:00Z</cp:lastPrinted>
  <dcterms:created xsi:type="dcterms:W3CDTF">2016-11-07T18:46:00Z</dcterms:created>
  <dcterms:modified xsi:type="dcterms:W3CDTF">2016-11-07T18:50:00Z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0x01010033D7A7933F0FF1408BBEBC6ADE597ECF</vt:lpwstr>
  </property>
  <property fmtid="{D5CDD505-2E9C-101B-9397-08002B2CF9AE}" pid="3" name="IsMyDocuments">
    <vt:bool>true</vt:bool>
  </property>
</Properties>
</file>