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F3F7F7" w14:textId="77777777" w:rsidR="00927027" w:rsidRDefault="000E78F6" w:rsidP="00DD4389">
      <w:pPr>
        <w:spacing w:line="240" w:lineRule="auto"/>
        <w:contextualSpacing/>
        <w:jc w:val="center"/>
        <w:rPr>
          <w:rFonts w:cstheme="minorHAnsi"/>
          <w:b/>
          <w:noProof/>
        </w:rPr>
      </w:pPr>
      <w:bookmarkStart w:id="0" w:name="_GoBack"/>
      <w:bookmarkEnd w:id="0"/>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407C76ED" w14:textId="77777777" w:rsidR="00797624" w:rsidRDefault="00797624" w:rsidP="00DD4389">
      <w:pPr>
        <w:spacing w:line="240" w:lineRule="auto"/>
        <w:contextualSpacing/>
        <w:rPr>
          <w:rFonts w:cstheme="minorHAnsi"/>
          <w:b/>
          <w:noProof/>
        </w:rPr>
      </w:pPr>
    </w:p>
    <w:p w14:paraId="01EB44C8" w14:textId="416EA210" w:rsidR="00927027" w:rsidRDefault="00797624" w:rsidP="00DD4389">
      <w:pPr>
        <w:spacing w:line="240" w:lineRule="auto"/>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6A7037">
            <w:rPr>
              <w:rStyle w:val="Style1"/>
            </w:rPr>
            <w:t>0514</w:t>
          </w:r>
        </w:sdtContent>
      </w:sdt>
    </w:p>
    <w:p w14:paraId="39BA6899" w14:textId="7B5B90EE" w:rsidR="00105D8B" w:rsidRPr="00A25024" w:rsidRDefault="00105D8B" w:rsidP="00DD4389">
      <w:pPr>
        <w:spacing w:line="240" w:lineRule="auto"/>
        <w:contextualSpacing/>
        <w:rPr>
          <w:rFonts w:cstheme="minorHAnsi"/>
          <w:noProof/>
        </w:rPr>
      </w:pPr>
      <w:r w:rsidRPr="00A25024">
        <w:rPr>
          <w:rFonts w:cstheme="minorHAnsi"/>
          <w:b/>
          <w:noProof/>
        </w:rPr>
        <w:t>Measure Title</w:t>
      </w:r>
      <w:r w:rsidRPr="00A25024">
        <w:rPr>
          <w:rFonts w:cstheme="minorHAnsi"/>
          <w:noProof/>
        </w:rPr>
        <w:t>:</w:t>
      </w:r>
      <w:r w:rsidR="00712770">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537135">
            <w:rPr>
              <w:rStyle w:val="Style1"/>
              <w:rFonts w:cstheme="minorHAnsi"/>
            </w:rPr>
            <w:t>MRI Lumbar Spine for Low Back Pain</w:t>
          </w:r>
        </w:sdtContent>
      </w:sdt>
    </w:p>
    <w:p w14:paraId="3F4B9B6A" w14:textId="0D826F8D" w:rsidR="005C73CA" w:rsidRDefault="00105D8B" w:rsidP="00DD4389">
      <w:pPr>
        <w:spacing w:after="0" w:line="240" w:lineRule="auto"/>
        <w:rPr>
          <w:rStyle w:val="Style2"/>
          <w:rFonts w:cstheme="minorHAnsi"/>
        </w:rPr>
      </w:pPr>
      <w:r w:rsidRPr="00A25024">
        <w:rPr>
          <w:rFonts w:cstheme="minorHAnsi"/>
          <w:b/>
          <w:noProof/>
        </w:rPr>
        <w:t>Date of Submission</w:t>
      </w:r>
      <w:r w:rsidRPr="00A25024">
        <w:rPr>
          <w:rFonts w:cstheme="minorHAnsi"/>
          <w:noProof/>
        </w:rPr>
        <w:t>:</w:t>
      </w:r>
      <w:r w:rsidR="00712770">
        <w:rPr>
          <w:rFonts w:cstheme="minorHAnsi"/>
          <w:noProof/>
        </w:rPr>
        <w:t xml:space="preserve"> </w:t>
      </w:r>
      <w:r w:rsidR="007D0E80">
        <w:rPr>
          <w:noProof/>
        </w:rPr>
        <w:t>03/03/2014 (2014 Submission)</w:t>
      </w:r>
      <w:r w:rsidR="007D0E80" w:rsidRPr="005A6EA5">
        <w:rPr>
          <w:noProof/>
          <w:color w:val="0000FF"/>
        </w:rPr>
        <w:t xml:space="preserve"> | </w:t>
      </w:r>
      <w:r w:rsidR="007D0E80" w:rsidRPr="005A6EA5">
        <w:rPr>
          <w:noProof/>
          <w:color w:val="FF0000"/>
        </w:rPr>
        <w:t>11/03/2016 (2016 Submission)</w:t>
      </w:r>
    </w:p>
    <w:p w14:paraId="5295F637" w14:textId="77777777" w:rsidR="00CD364B" w:rsidRPr="009E1846" w:rsidRDefault="009E1846" w:rsidP="00DD4389">
      <w:pPr>
        <w:spacing w:after="0" w:line="240" w:lineRule="auto"/>
        <w:rPr>
          <w:rFonts w:cstheme="minorHAnsi"/>
          <w:b/>
        </w:rPr>
      </w:pPr>
      <w:r>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003"/>
        <w:gridCol w:w="3962"/>
      </w:tblGrid>
      <w:tr w:rsidR="005D5E02" w:rsidRPr="00450C58" w14:paraId="66A6BE47" w14:textId="77777777" w:rsidTr="00E3506C">
        <w:trPr>
          <w:jc w:val="center"/>
        </w:trPr>
        <w:tc>
          <w:tcPr>
            <w:tcW w:w="2513" w:type="pct"/>
          </w:tcPr>
          <w:p w14:paraId="6ECB5839" w14:textId="77777777" w:rsidR="005D5E02" w:rsidRPr="00450C58" w:rsidRDefault="007D0E80" w:rsidP="00DD4389">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Content>
                <w:r w:rsidR="005D5E02" w:rsidRPr="00450C58">
                  <w:rPr>
                    <w:rFonts w:ascii="MS Gothic" w:eastAsia="MS Gothic" w:cstheme="minorHAnsi" w:hint="eastAsia"/>
                    <w:bCs/>
                    <w:color w:val="0000FF"/>
                  </w:rPr>
                  <w:t>☐</w:t>
                </w:r>
              </w:sdtContent>
            </w:sdt>
            <w:r w:rsidR="005D5E02" w:rsidRPr="00450C58">
              <w:rPr>
                <w:rFonts w:cstheme="minorHAnsi"/>
                <w:bCs/>
              </w:rPr>
              <w:t xml:space="preserve"> Outcome (</w:t>
            </w:r>
            <w:r w:rsidR="005D5E02" w:rsidRPr="00450C58">
              <w:rPr>
                <w:rFonts w:cstheme="minorHAnsi"/>
                <w:bCs/>
                <w:i/>
              </w:rPr>
              <w:t>including PRO-PM</w:t>
            </w:r>
            <w:r w:rsidR="005D5E02" w:rsidRPr="00450C58">
              <w:rPr>
                <w:rFonts w:cstheme="minorHAnsi"/>
                <w:bCs/>
              </w:rPr>
              <w:t>)</w:t>
            </w:r>
          </w:p>
        </w:tc>
        <w:tc>
          <w:tcPr>
            <w:tcW w:w="2487" w:type="pct"/>
          </w:tcPr>
          <w:p w14:paraId="0A046BC3" w14:textId="77777777" w:rsidR="005D5E02" w:rsidRPr="00450C58" w:rsidRDefault="007D0E80" w:rsidP="00DD4389">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Content>
                <w:r w:rsidR="005D5E02" w:rsidRPr="00450C58">
                  <w:rPr>
                    <w:rFonts w:ascii="MS Gothic" w:eastAsia="MS Gothic" w:hAnsi="MS Gothic" w:cstheme="minorHAnsi" w:hint="eastAsia"/>
                    <w:bCs/>
                  </w:rPr>
                  <w:t>☐</w:t>
                </w:r>
              </w:sdtContent>
            </w:sdt>
            <w:r w:rsidR="005D5E02" w:rsidRPr="00450C58">
              <w:rPr>
                <w:rFonts w:cstheme="minorHAnsi"/>
                <w:bCs/>
              </w:rPr>
              <w:t xml:space="preserve"> Composite – </w:t>
            </w:r>
            <w:r w:rsidR="005D5E02" w:rsidRPr="00450C58">
              <w:rPr>
                <w:rFonts w:cstheme="minorHAnsi"/>
                <w:b/>
                <w:bCs/>
                <w:i/>
              </w:rPr>
              <w:t>STOP – use composite testing form</w:t>
            </w:r>
          </w:p>
        </w:tc>
      </w:tr>
      <w:tr w:rsidR="005D5E02" w:rsidRPr="00450C58" w14:paraId="482AF8E7" w14:textId="77777777" w:rsidTr="00E3506C">
        <w:trPr>
          <w:jc w:val="center"/>
        </w:trPr>
        <w:tc>
          <w:tcPr>
            <w:tcW w:w="2513" w:type="pct"/>
          </w:tcPr>
          <w:p w14:paraId="25DE8A9A" w14:textId="77777777" w:rsidR="005D5E02" w:rsidRPr="00450C58" w:rsidRDefault="007D0E80" w:rsidP="00DD4389">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Content>
                <w:r w:rsidR="005D5E02" w:rsidRPr="00450C58">
                  <w:rPr>
                    <w:rFonts w:cstheme="minorHAnsi" w:hint="eastAsia"/>
                    <w:bCs/>
                    <w:color w:val="0000FF"/>
                  </w:rPr>
                  <w:t>☐</w:t>
                </w:r>
              </w:sdtContent>
            </w:sdt>
            <w:r w:rsidR="005D5E02" w:rsidRPr="00450C58">
              <w:rPr>
                <w:rFonts w:cstheme="minorHAnsi"/>
                <w:bCs/>
                <w:color w:val="0000FF"/>
              </w:rPr>
              <w:t xml:space="preserve"> </w:t>
            </w:r>
            <w:r w:rsidR="005D5E02" w:rsidRPr="00450C58">
              <w:rPr>
                <w:rFonts w:cstheme="minorHAnsi"/>
                <w:bCs/>
              </w:rPr>
              <w:t>Intermediate Clinical Outcome</w:t>
            </w:r>
          </w:p>
        </w:tc>
        <w:tc>
          <w:tcPr>
            <w:tcW w:w="2487" w:type="pct"/>
          </w:tcPr>
          <w:p w14:paraId="6578037E" w14:textId="77777777" w:rsidR="005D5E02" w:rsidRPr="00450C58" w:rsidRDefault="007D0E80" w:rsidP="00DD4389">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Content>
                <w:r w:rsidR="005D5E02" w:rsidRPr="00450C58">
                  <w:rPr>
                    <w:rFonts w:ascii="MS Gothic" w:eastAsia="MS Gothic" w:hAnsi="MS Gothic" w:cstheme="minorHAnsi" w:hint="eastAsia"/>
                    <w:bCs/>
                  </w:rPr>
                  <w:t>☐</w:t>
                </w:r>
              </w:sdtContent>
            </w:sdt>
            <w:r w:rsidR="005D5E02" w:rsidRPr="00450C58">
              <w:rPr>
                <w:rFonts w:cstheme="minorHAnsi"/>
                <w:bCs/>
              </w:rPr>
              <w:t xml:space="preserve"> Cost/resource</w:t>
            </w:r>
          </w:p>
        </w:tc>
      </w:tr>
      <w:tr w:rsidR="005D5E02" w:rsidRPr="00450C58" w14:paraId="3C491848" w14:textId="77777777" w:rsidTr="00E3506C">
        <w:trPr>
          <w:jc w:val="center"/>
        </w:trPr>
        <w:tc>
          <w:tcPr>
            <w:tcW w:w="2513" w:type="pct"/>
          </w:tcPr>
          <w:p w14:paraId="339B809F" w14:textId="2BE511D7" w:rsidR="005D5E02" w:rsidRPr="00450C58" w:rsidRDefault="007D0E80" w:rsidP="00DD4389">
            <w:pPr>
              <w:autoSpaceDE w:val="0"/>
              <w:autoSpaceDN w:val="0"/>
              <w:adjustRightInd w:val="0"/>
              <w:rPr>
                <w:rFonts w:cstheme="minorHAnsi"/>
                <w:bCs/>
              </w:rPr>
            </w:pPr>
            <w:sdt>
              <w:sdtPr>
                <w:rPr>
                  <w:rFonts w:cstheme="minorHAnsi"/>
                  <w:bCs/>
                  <w:color w:val="FF0000"/>
                </w:rPr>
                <w:id w:val="-1952933063"/>
                <w14:checkbox>
                  <w14:checked w14:val="1"/>
                  <w14:checkedState w14:val="2612" w14:font="MS Gothic"/>
                  <w14:uncheckedState w14:val="2610" w14:font="MS Gothic"/>
                </w14:checkbox>
              </w:sdtPr>
              <w:sdtContent>
                <w:r w:rsidR="005D5E02" w:rsidRPr="007D0E80">
                  <w:rPr>
                    <w:rFonts w:ascii="MS Gothic" w:eastAsia="MS Gothic" w:hAnsi="MS Gothic" w:cstheme="minorHAnsi" w:hint="eastAsia"/>
                    <w:bCs/>
                    <w:color w:val="FF0000"/>
                  </w:rPr>
                  <w:t>☒</w:t>
                </w:r>
              </w:sdtContent>
            </w:sdt>
            <w:r w:rsidR="005D5E02" w:rsidRPr="007D0E80">
              <w:rPr>
                <w:rFonts w:cstheme="minorHAnsi"/>
                <w:bCs/>
                <w:color w:val="FF0000"/>
              </w:rPr>
              <w:t xml:space="preserve"> </w:t>
            </w:r>
            <w:r w:rsidR="005D5E02" w:rsidRPr="00450C58">
              <w:rPr>
                <w:rFonts w:eastAsia="MS Gothic" w:cstheme="minorHAnsi"/>
                <w:bCs/>
              </w:rPr>
              <w:t>Process</w:t>
            </w:r>
            <w:r>
              <w:rPr>
                <w:rFonts w:eastAsia="MS Gothic" w:cstheme="minorHAnsi"/>
                <w:bCs/>
              </w:rPr>
              <w:t xml:space="preserve"> </w:t>
            </w:r>
            <w:r w:rsidRPr="007D0E80">
              <w:rPr>
                <w:rFonts w:eastAsia="MS Gothic" w:cstheme="minorHAnsi"/>
                <w:bCs/>
                <w:color w:val="FF0000"/>
              </w:rPr>
              <w:t>(2016 Submission)</w:t>
            </w:r>
          </w:p>
        </w:tc>
        <w:tc>
          <w:tcPr>
            <w:tcW w:w="2487" w:type="pct"/>
          </w:tcPr>
          <w:p w14:paraId="6FA23145" w14:textId="5BEC95DE" w:rsidR="005D5E02" w:rsidRPr="00450C58" w:rsidRDefault="007D0E80" w:rsidP="00DD4389">
            <w:pPr>
              <w:autoSpaceDE w:val="0"/>
              <w:autoSpaceDN w:val="0"/>
              <w:adjustRightInd w:val="0"/>
              <w:rPr>
                <w:rFonts w:cstheme="minorHAnsi"/>
                <w:bCs/>
              </w:rPr>
            </w:pPr>
            <w:sdt>
              <w:sdtPr>
                <w:rPr>
                  <w:rFonts w:cstheme="minorHAnsi"/>
                  <w:bCs/>
                  <w:color w:val="000000" w:themeColor="text1"/>
                </w:rPr>
                <w:id w:val="-2050835103"/>
                <w14:checkbox>
                  <w14:checked w14:val="1"/>
                  <w14:checkedState w14:val="2612" w14:font="MS Gothic"/>
                  <w14:uncheckedState w14:val="2610" w14:font="MS Gothic"/>
                </w14:checkbox>
              </w:sdtPr>
              <w:sdtContent>
                <w:r w:rsidRPr="00D206CC">
                  <w:rPr>
                    <w:rFonts w:ascii="MS Gothic" w:eastAsia="MS Gothic" w:hAnsi="MS Gothic" w:cstheme="minorHAnsi" w:hint="eastAsia"/>
                    <w:bCs/>
                    <w:color w:val="000000" w:themeColor="text1"/>
                  </w:rPr>
                  <w:t>☒</w:t>
                </w:r>
              </w:sdtContent>
            </w:sdt>
            <w:r w:rsidR="005D5E02" w:rsidRPr="00D206CC">
              <w:rPr>
                <w:rFonts w:cstheme="minorHAnsi"/>
                <w:bCs/>
                <w:color w:val="000000" w:themeColor="text1"/>
              </w:rPr>
              <w:t xml:space="preserve"> Efficiency</w:t>
            </w:r>
            <w:r w:rsidRPr="00D206CC">
              <w:rPr>
                <w:rFonts w:cstheme="minorHAnsi"/>
                <w:bCs/>
                <w:color w:val="000000" w:themeColor="text1"/>
              </w:rPr>
              <w:t xml:space="preserve"> (2014 Submission)</w:t>
            </w:r>
          </w:p>
        </w:tc>
      </w:tr>
      <w:tr w:rsidR="005D5E02" w:rsidRPr="00B82A57" w14:paraId="27642266" w14:textId="77777777" w:rsidTr="00E3506C">
        <w:trPr>
          <w:jc w:val="center"/>
        </w:trPr>
        <w:tc>
          <w:tcPr>
            <w:tcW w:w="2513" w:type="pct"/>
          </w:tcPr>
          <w:p w14:paraId="5B355181" w14:textId="77777777" w:rsidR="005D5E02" w:rsidRPr="00B82A57" w:rsidRDefault="007D0E80" w:rsidP="00DD4389">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Content>
                <w:r w:rsidR="005D5E02" w:rsidRPr="00450C58">
                  <w:rPr>
                    <w:rFonts w:ascii="MS Gothic" w:eastAsia="MS Gothic" w:cstheme="minorHAnsi" w:hint="eastAsia"/>
                    <w:bCs/>
                    <w:color w:val="0000FF"/>
                  </w:rPr>
                  <w:t>☐</w:t>
                </w:r>
              </w:sdtContent>
            </w:sdt>
            <w:r w:rsidR="005D5E02" w:rsidRPr="00450C58">
              <w:rPr>
                <w:rFonts w:cstheme="minorHAnsi"/>
                <w:bCs/>
              </w:rPr>
              <w:t xml:space="preserve"> </w:t>
            </w:r>
            <w:r w:rsidR="005D5E02" w:rsidRPr="00450C58">
              <w:rPr>
                <w:rFonts w:eastAsia="MS Gothic" w:cstheme="minorHAnsi"/>
                <w:bCs/>
              </w:rPr>
              <w:t>Structure</w:t>
            </w:r>
          </w:p>
        </w:tc>
        <w:tc>
          <w:tcPr>
            <w:tcW w:w="2487" w:type="pct"/>
          </w:tcPr>
          <w:p w14:paraId="2784A96A" w14:textId="77777777" w:rsidR="005D5E02" w:rsidRDefault="005D5E02" w:rsidP="00DD4389">
            <w:pPr>
              <w:autoSpaceDE w:val="0"/>
              <w:autoSpaceDN w:val="0"/>
              <w:adjustRightInd w:val="0"/>
              <w:rPr>
                <w:rFonts w:cstheme="minorHAnsi"/>
                <w:bCs/>
                <w:color w:val="0000FF"/>
              </w:rPr>
            </w:pPr>
          </w:p>
        </w:tc>
      </w:tr>
    </w:tbl>
    <w:p w14:paraId="4DA9310B" w14:textId="77777777" w:rsidR="005D5E02" w:rsidRDefault="005D5E02" w:rsidP="00DD4389">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7FA8B2C1" w14:textId="77777777" w:rsidTr="00145149">
        <w:trPr>
          <w:jc w:val="center"/>
        </w:trPr>
        <w:tc>
          <w:tcPr>
            <w:tcW w:w="9576" w:type="dxa"/>
          </w:tcPr>
          <w:p w14:paraId="3F1C6EBF" w14:textId="77777777" w:rsidR="00B53E8B" w:rsidRPr="00B53E8B" w:rsidRDefault="00B53E8B" w:rsidP="00DD4389">
            <w:pPr>
              <w:rPr>
                <w:rFonts w:cstheme="minorHAnsi"/>
                <w:b/>
                <w:noProof/>
              </w:rPr>
            </w:pPr>
            <w:r w:rsidRPr="00B53E8B">
              <w:rPr>
                <w:rFonts w:cstheme="minorHAnsi"/>
                <w:b/>
                <w:noProof/>
              </w:rPr>
              <w:t>Instructions</w:t>
            </w:r>
          </w:p>
          <w:p w14:paraId="40D15D65" w14:textId="77777777" w:rsidR="00C14CCC" w:rsidRPr="00C14CCC" w:rsidRDefault="00C14CCC" w:rsidP="00DD4389">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3AF8B486" w14:textId="77777777" w:rsidR="00702C73" w:rsidRPr="00053F02" w:rsidRDefault="00702C73" w:rsidP="00DD4389">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7232416F" w14:textId="77777777" w:rsidR="00702C73" w:rsidRDefault="00702C73" w:rsidP="00DD4389">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0D05277A" w14:textId="77777777" w:rsidR="00702C73" w:rsidRDefault="00702C73" w:rsidP="00DD4389">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19C83962" w14:textId="77777777" w:rsidR="00702C73" w:rsidRPr="008F589F" w:rsidRDefault="00702C73" w:rsidP="00DD4389">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314E11B6" w14:textId="77777777" w:rsidR="00C14CCC" w:rsidRDefault="00977591" w:rsidP="00DD4389">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1B0A33EF" w14:textId="77777777" w:rsidR="00904E91" w:rsidRPr="008F589F" w:rsidRDefault="009D7E38" w:rsidP="00DD4389">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 xml:space="preserve">NQF staff if more pages </w:t>
            </w:r>
            <w:proofErr w:type="gramStart"/>
            <w:r w:rsidR="00977591">
              <w:rPr>
                <w:b/>
                <w:i/>
              </w:rPr>
              <w:t>are needed</w:t>
            </w:r>
            <w:proofErr w:type="gramEnd"/>
            <w:r w:rsidR="00977591" w:rsidRPr="000D6D06">
              <w:rPr>
                <w:b/>
                <w:i/>
              </w:rPr>
              <w:t>.</w:t>
            </w:r>
          </w:p>
          <w:p w14:paraId="46DB68D8" w14:textId="77777777" w:rsidR="00904E91" w:rsidRPr="00A71200" w:rsidRDefault="00977591" w:rsidP="00DD4389">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9" w:history="1">
              <w:r w:rsidR="00145149" w:rsidRPr="00145149">
                <w:rPr>
                  <w:rStyle w:val="Hyperlink"/>
                </w:rPr>
                <w:t>Submitting Standards webpage</w:t>
              </w:r>
            </w:hyperlink>
            <w:r w:rsidR="00145149">
              <w:t>.</w:t>
            </w:r>
          </w:p>
          <w:p w14:paraId="71770FDE" w14:textId="69582C0C" w:rsidR="00A64EBF" w:rsidRDefault="00A64EBF" w:rsidP="00DD4389">
            <w:pPr>
              <w:pStyle w:val="ListParagraph"/>
              <w:numPr>
                <w:ilvl w:val="0"/>
                <w:numId w:val="6"/>
              </w:numPr>
              <w:rPr>
                <w:rFonts w:cstheme="minorHAnsi"/>
                <w:noProof/>
              </w:rPr>
            </w:pPr>
            <w:r>
              <w:t xml:space="preserve">For information on the most updated guidance on how to </w:t>
            </w:r>
            <w:proofErr w:type="gramStart"/>
            <w:r>
              <w:t>address</w:t>
            </w:r>
            <w:proofErr w:type="gramEnd"/>
            <w:r>
              <w:t xml:space="preserve"> sociodemographic variables and testing in this form refer to the release notes for version 6.6 of the Measure Testing Attachment.</w:t>
            </w:r>
          </w:p>
        </w:tc>
      </w:tr>
    </w:tbl>
    <w:p w14:paraId="05DE80BD" w14:textId="77777777" w:rsidR="005C73CA" w:rsidRDefault="005C73CA" w:rsidP="00DD4389">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14:paraId="0ADFCBF2" w14:textId="77777777" w:rsidTr="00145149">
        <w:trPr>
          <w:jc w:val="center"/>
        </w:trPr>
        <w:tc>
          <w:tcPr>
            <w:tcW w:w="9576" w:type="dxa"/>
          </w:tcPr>
          <w:p w14:paraId="43FD986B" w14:textId="77777777" w:rsidR="00B53E8B" w:rsidRPr="000F034A" w:rsidRDefault="00B53E8B" w:rsidP="00DD4389">
            <w:pPr>
              <w:rPr>
                <w:rFonts w:cstheme="minorHAnsi"/>
                <w:b/>
                <w:bCs/>
              </w:rPr>
            </w:pPr>
            <w:r w:rsidRPr="000F034A">
              <w:rPr>
                <w:b/>
                <w:bCs/>
                <w:u w:val="single"/>
              </w:rPr>
              <w:t>Note</w:t>
            </w:r>
            <w:r w:rsidRPr="000F034A">
              <w:rPr>
                <w:b/>
                <w:bCs/>
              </w:rPr>
              <w:t xml:space="preserve">: The information provided in this form </w:t>
            </w:r>
            <w:proofErr w:type="gramStart"/>
            <w:r w:rsidRPr="000F034A">
              <w:rPr>
                <w:b/>
                <w:bCs/>
              </w:rPr>
              <w:t>is intended</w:t>
            </w:r>
            <w:proofErr w:type="gramEnd"/>
            <w:r w:rsidRPr="000F034A">
              <w:rPr>
                <w:b/>
                <w:bCs/>
              </w:rPr>
              <w:t xml:space="preserve">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14:paraId="72CD1ED4" w14:textId="77777777" w:rsidR="00B53E8B" w:rsidRPr="00A831B4" w:rsidRDefault="00B53E8B" w:rsidP="00DD4389">
            <w:pPr>
              <w:rPr>
                <w:rFonts w:cstheme="minorHAnsi"/>
                <w:b/>
                <w:bCs/>
                <w:sz w:val="20"/>
                <w:szCs w:val="20"/>
              </w:rPr>
            </w:pPr>
          </w:p>
          <w:p w14:paraId="4224A2AD" w14:textId="77777777" w:rsidR="00BC0D25" w:rsidRPr="000F034A" w:rsidRDefault="00145149" w:rsidP="00DD4389">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xml:space="preserve">, reliability </w:t>
            </w:r>
            <w:proofErr w:type="gramStart"/>
            <w:r w:rsidR="00125273" w:rsidRPr="000F034A">
              <w:rPr>
                <w:rFonts w:cstheme="minorHAnsi"/>
                <w:bCs/>
                <w:iCs/>
              </w:rPr>
              <w:t>should be demonstrated</w:t>
            </w:r>
            <w:proofErr w:type="gramEnd"/>
            <w:r w:rsidR="00125273" w:rsidRPr="000F034A">
              <w:rPr>
                <w:rFonts w:cstheme="minorHAnsi"/>
                <w:bCs/>
                <w:iCs/>
              </w:rPr>
              <w:t xml:space="preserve"> for the computed performance score.</w:t>
            </w:r>
          </w:p>
          <w:p w14:paraId="1281A3D6" w14:textId="77777777" w:rsidR="00145149" w:rsidRPr="000F034A" w:rsidRDefault="00145149" w:rsidP="00DD4389">
            <w:pPr>
              <w:autoSpaceDE w:val="0"/>
              <w:autoSpaceDN w:val="0"/>
              <w:adjustRightInd w:val="0"/>
              <w:rPr>
                <w:rFonts w:cstheme="minorHAnsi"/>
                <w:b/>
                <w:iCs/>
              </w:rPr>
            </w:pPr>
          </w:p>
          <w:p w14:paraId="12770C2E" w14:textId="6F4D76BA" w:rsidR="00145149" w:rsidRPr="000F034A" w:rsidRDefault="00145149" w:rsidP="00DD438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00712770">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w:t>
            </w:r>
            <w:proofErr w:type="gramStart"/>
            <w:r w:rsidR="00372FE3" w:rsidRPr="000F034A">
              <w:rPr>
                <w:rFonts w:cstheme="minorHAnsi"/>
                <w:bCs/>
                <w:iCs/>
              </w:rPr>
              <w:t>should be demonstrated</w:t>
            </w:r>
            <w:proofErr w:type="gramEnd"/>
            <w:r w:rsidR="00372FE3" w:rsidRPr="000F034A">
              <w:rPr>
                <w:rFonts w:cstheme="minorHAnsi"/>
                <w:bCs/>
                <w:iCs/>
              </w:rPr>
              <w:t xml:space="preserve"> for the computed performance score.</w:t>
            </w:r>
          </w:p>
          <w:p w14:paraId="7C1B0677" w14:textId="77777777" w:rsidR="00145149" w:rsidRPr="000F034A" w:rsidRDefault="00145149" w:rsidP="00DD4389">
            <w:pPr>
              <w:rPr>
                <w:rFonts w:cstheme="minorHAnsi"/>
              </w:rPr>
            </w:pPr>
            <w:bookmarkStart w:id="1" w:name="_Toc256067249"/>
          </w:p>
          <w:p w14:paraId="33D4078E" w14:textId="77777777" w:rsidR="00145149" w:rsidRPr="000F034A" w:rsidRDefault="00145149" w:rsidP="00DD438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14:paraId="6832A408" w14:textId="77777777" w:rsidR="00145149" w:rsidRPr="000F034A" w:rsidRDefault="00145149" w:rsidP="00DD4389">
            <w:pPr>
              <w:rPr>
                <w:rFonts w:cstheme="minorHAnsi"/>
                <w:b/>
              </w:rPr>
            </w:pPr>
            <w:r w:rsidRPr="000F034A">
              <w:rPr>
                <w:rFonts w:cstheme="minorHAnsi"/>
                <w:b/>
              </w:rPr>
              <w:t xml:space="preserve">AND </w:t>
            </w:r>
          </w:p>
          <w:p w14:paraId="79CBB1C0" w14:textId="66112897" w:rsidR="00145149" w:rsidRPr="000F034A" w:rsidRDefault="00145149" w:rsidP="00DD4389">
            <w:pPr>
              <w:rPr>
                <w:rFonts w:cstheme="minorHAnsi"/>
              </w:rPr>
            </w:pPr>
            <w:r w:rsidRPr="000F034A">
              <w:rPr>
                <w:rFonts w:cstheme="minorHAnsi"/>
              </w:rPr>
              <w:t xml:space="preserve">If patient preference (e.g., informed </w:t>
            </w:r>
            <w:proofErr w:type="gramStart"/>
            <w:r w:rsidRPr="000F034A">
              <w:rPr>
                <w:rFonts w:cstheme="minorHAnsi"/>
              </w:rPr>
              <w:t>decision</w:t>
            </w:r>
            <w:r w:rsidR="00975C01">
              <w:rPr>
                <w:rFonts w:cstheme="minorHAnsi"/>
              </w:rPr>
              <w:t xml:space="preserve"> </w:t>
            </w:r>
            <w:r w:rsidRPr="000F034A">
              <w:rPr>
                <w:rFonts w:cstheme="minorHAnsi"/>
              </w:rPr>
              <w:t>making</w:t>
            </w:r>
            <w:proofErr w:type="gramEnd"/>
            <w:r w:rsidRPr="000F034A">
              <w:rPr>
                <w:rFonts w:cstheme="minorHAnsi"/>
              </w:rPr>
              <w:t xml:space="preserve">) is a basis for exclusion, there must be evidence that the </w:t>
            </w:r>
            <w:r w:rsidRPr="000F034A">
              <w:rPr>
                <w:rFonts w:cstheme="minorHAnsi"/>
              </w:rPr>
              <w:lastRenderedPageBreak/>
              <w:t xml:space="preserve">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166F13B4" w14:textId="77777777" w:rsidR="00145149" w:rsidRPr="000F034A" w:rsidRDefault="00145149" w:rsidP="00DD4389">
            <w:pPr>
              <w:rPr>
                <w:rFonts w:cstheme="minorHAnsi"/>
                <w:b/>
                <w:bCs/>
              </w:rPr>
            </w:pPr>
          </w:p>
          <w:p w14:paraId="3E53AB18" w14:textId="77777777" w:rsidR="00145149" w:rsidRPr="000F034A" w:rsidRDefault="00145149" w:rsidP="00DD4389">
            <w:pPr>
              <w:rPr>
                <w:rFonts w:cstheme="minorHAnsi"/>
              </w:rPr>
            </w:pPr>
            <w:bookmarkStart w:id="2" w:name="_Toc256067250"/>
            <w:r w:rsidRPr="000F034A">
              <w:rPr>
                <w:rFonts w:cstheme="minorHAnsi"/>
                <w:b/>
                <w:bCs/>
              </w:rPr>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2AD7953B" w14:textId="72462E8B" w:rsidR="00145149" w:rsidRPr="000F034A" w:rsidRDefault="00145149" w:rsidP="00DD438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sociodemographic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2B84C649" w14:textId="77777777" w:rsidR="00145149" w:rsidRPr="000F034A" w:rsidRDefault="00145149" w:rsidP="00DD4389">
            <w:pPr>
              <w:rPr>
                <w:rFonts w:cstheme="minorHAnsi"/>
                <w:b/>
              </w:rPr>
            </w:pPr>
            <w:r w:rsidRPr="000F034A">
              <w:rPr>
                <w:rFonts w:cstheme="minorHAnsi"/>
                <w:b/>
              </w:rPr>
              <w:t>OR</w:t>
            </w:r>
          </w:p>
          <w:p w14:paraId="1FB7ADCC" w14:textId="77777777" w:rsidR="00145149" w:rsidRPr="000F034A" w:rsidRDefault="00145149" w:rsidP="00DD438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64932554" w14:textId="77777777" w:rsidR="00145149" w:rsidRPr="000F034A" w:rsidRDefault="00145149" w:rsidP="00DD4389">
            <w:pPr>
              <w:rPr>
                <w:rFonts w:cstheme="minorHAnsi"/>
                <w:b/>
                <w:bCs/>
              </w:rPr>
            </w:pPr>
          </w:p>
          <w:bookmarkEnd w:id="2"/>
          <w:p w14:paraId="7C0BE685" w14:textId="77777777" w:rsidR="00145149" w:rsidRPr="000F034A" w:rsidRDefault="00145149" w:rsidP="00DD438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6F9788CE" w14:textId="77777777" w:rsidR="00145149" w:rsidRPr="000F034A" w:rsidRDefault="00145149" w:rsidP="00DD4389">
            <w:pPr>
              <w:rPr>
                <w:rFonts w:cstheme="minorHAnsi"/>
              </w:rPr>
            </w:pPr>
            <w:r w:rsidRPr="000F034A">
              <w:rPr>
                <w:rFonts w:cstheme="minorHAnsi"/>
                <w:b/>
              </w:rPr>
              <w:t>OR</w:t>
            </w:r>
          </w:p>
          <w:p w14:paraId="236836DB" w14:textId="77777777" w:rsidR="00145149" w:rsidRPr="000F034A" w:rsidRDefault="00145149" w:rsidP="00DD438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700D3850" w14:textId="77777777" w:rsidR="00145149" w:rsidRPr="000F034A" w:rsidRDefault="00145149" w:rsidP="00DD4389">
            <w:pPr>
              <w:rPr>
                <w:rFonts w:cstheme="minorHAnsi"/>
                <w:b/>
                <w:bCs/>
              </w:rPr>
            </w:pPr>
          </w:p>
          <w:p w14:paraId="46363D36" w14:textId="77777777" w:rsidR="00145149" w:rsidRPr="000F034A" w:rsidRDefault="00145149" w:rsidP="00DD438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29D72D0A" w14:textId="77777777" w:rsidR="00E30584" w:rsidRPr="000F034A" w:rsidRDefault="00E30584" w:rsidP="00DD4389">
            <w:pPr>
              <w:rPr>
                <w:rFonts w:cstheme="minorHAnsi"/>
              </w:rPr>
            </w:pPr>
          </w:p>
          <w:p w14:paraId="3EE7AC1A" w14:textId="77777777" w:rsidR="00E30584" w:rsidRPr="00A831B4" w:rsidRDefault="00E30584" w:rsidP="00DD438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bookmarkEnd w:id="1"/>
          <w:p w14:paraId="58C2489F" w14:textId="77777777" w:rsidR="00145149" w:rsidRPr="00A831B4" w:rsidRDefault="00145149" w:rsidP="00DD4389">
            <w:pPr>
              <w:rPr>
                <w:rFonts w:cstheme="minorHAnsi"/>
                <w:b/>
                <w:bCs/>
                <w:sz w:val="20"/>
                <w:szCs w:val="20"/>
              </w:rPr>
            </w:pPr>
          </w:p>
          <w:p w14:paraId="3068DA2C" w14:textId="77777777" w:rsidR="00145149" w:rsidRPr="00A831B4" w:rsidRDefault="00145149" w:rsidP="00DD4389">
            <w:pPr>
              <w:autoSpaceDE w:val="0"/>
              <w:autoSpaceDN w:val="0"/>
              <w:adjustRightInd w:val="0"/>
              <w:rPr>
                <w:rFonts w:cstheme="minorHAnsi"/>
                <w:b/>
                <w:bCs/>
                <w:iCs/>
                <w:sz w:val="20"/>
                <w:szCs w:val="20"/>
              </w:rPr>
            </w:pPr>
            <w:r w:rsidRPr="00A831B4">
              <w:rPr>
                <w:rFonts w:cstheme="minorHAnsi"/>
                <w:b/>
                <w:bCs/>
                <w:iCs/>
                <w:sz w:val="20"/>
                <w:szCs w:val="20"/>
              </w:rPr>
              <w:t>Notes</w:t>
            </w:r>
          </w:p>
          <w:p w14:paraId="41869EBA" w14:textId="77777777" w:rsidR="00145149" w:rsidRPr="00A831B4" w:rsidRDefault="00145149" w:rsidP="00DD4389">
            <w:pPr>
              <w:autoSpaceDE w:val="0"/>
              <w:autoSpaceDN w:val="0"/>
              <w:adjustRightInd w:val="0"/>
              <w:rPr>
                <w:rFonts w:cstheme="minorHAnsi"/>
                <w:sz w:val="20"/>
                <w:szCs w:val="20"/>
              </w:rPr>
            </w:pPr>
            <w:bookmarkStart w:id="3" w:name="Note8"/>
            <w:bookmarkStart w:id="4" w:name="Note9"/>
            <w:bookmarkStart w:id="5" w:name="Note10"/>
            <w:bookmarkEnd w:id="3"/>
            <w:bookmarkEnd w:id="4"/>
            <w:bookmarkEnd w:id="5"/>
            <w:proofErr w:type="gramStart"/>
            <w:r w:rsidRPr="00A831B4">
              <w:rPr>
                <w:rFonts w:cstheme="minorHAnsi"/>
                <w:b/>
                <w:sz w:val="20"/>
                <w:szCs w:val="20"/>
              </w:rPr>
              <w:t>10.</w:t>
            </w:r>
            <w:r w:rsidRPr="00A831B4">
              <w:rPr>
                <w:rFonts w:cstheme="minorHAnsi"/>
                <w:sz w:val="20"/>
                <w:szCs w:val="20"/>
              </w:rPr>
              <w:t xml:space="preserve"> Reliability testing applies to both the data elements and computed measure score.</w:t>
            </w:r>
            <w:proofErr w:type="gramEnd"/>
            <w:r w:rsidRPr="00A831B4">
              <w:rPr>
                <w:rFonts w:cstheme="minorHAnsi"/>
                <w:sz w:val="20"/>
                <w:szCs w:val="20"/>
              </w:rPr>
              <w:t xml:space="preserve"> Examples of reliability testing for data elements include, but are not limited </w:t>
            </w:r>
            <w:proofErr w:type="gramStart"/>
            <w:r w:rsidRPr="00A831B4">
              <w:rPr>
                <w:rFonts w:cstheme="minorHAnsi"/>
                <w:sz w:val="20"/>
                <w:szCs w:val="20"/>
              </w:rPr>
              <w:t>to:</w:t>
            </w:r>
            <w:proofErr w:type="gramEnd"/>
            <w:r w:rsidRPr="00A831B4">
              <w:rPr>
                <w:rFonts w:cstheme="minorHAnsi"/>
                <w:sz w:val="20"/>
                <w:szCs w:val="20"/>
              </w:rPr>
              <w:t xml:space="preserve"> inter-rater/abstractor or intra-rater/abstractor studies; internal consistency for multi-item scales; test-retest for survey items. Reliability testing of the measure score addresses precision of measurement (e.g., signal-to-noise).</w:t>
            </w:r>
          </w:p>
          <w:p w14:paraId="6484301E" w14:textId="24E84AE4" w:rsidR="00145149" w:rsidRPr="00A831B4" w:rsidRDefault="00145149" w:rsidP="00DD4389">
            <w:pPr>
              <w:rPr>
                <w:rFonts w:cstheme="minorHAnsi"/>
                <w:sz w:val="20"/>
                <w:szCs w:val="20"/>
              </w:rPr>
            </w:pPr>
            <w:bookmarkStart w:id="6" w:name="Note11"/>
            <w:bookmarkEnd w:id="6"/>
            <w:proofErr w:type="gramStart"/>
            <w:r w:rsidRPr="00A831B4">
              <w:rPr>
                <w:rFonts w:cstheme="minorHAnsi"/>
                <w:b/>
                <w:sz w:val="20"/>
                <w:szCs w:val="20"/>
              </w:rPr>
              <w:t>11.</w:t>
            </w:r>
            <w:r w:rsidRPr="00A831B4">
              <w:rPr>
                <w:rFonts w:cstheme="minorHAnsi"/>
                <w:sz w:val="20"/>
                <w:szCs w:val="20"/>
              </w:rPr>
              <w:t xml:space="preserve"> Validity testing applies to both the data elements and computed measure score.</w:t>
            </w:r>
            <w:proofErr w:type="gramEnd"/>
            <w:r w:rsidRPr="00A831B4">
              <w:rPr>
                <w:rFonts w:cstheme="minorHAnsi"/>
                <w:sz w:val="20"/>
                <w:szCs w:val="20"/>
              </w:rPr>
              <w:t xml:space="preserve"> Validity testing of data elements typically analyzes agreement with another authoritative source of the same information. </w:t>
            </w:r>
            <w:proofErr w:type="gramStart"/>
            <w:r w:rsidRPr="00A831B4">
              <w:rPr>
                <w:rFonts w:cstheme="minorHAnsi"/>
                <w:sz w:val="20"/>
                <w:szCs w:val="20"/>
              </w:rPr>
              <w:t>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w:t>
            </w:r>
            <w:r w:rsidR="00712770">
              <w:rPr>
                <w:rFonts w:cstheme="minorHAnsi"/>
                <w:sz w:val="20"/>
                <w:szCs w:val="20"/>
              </w:rPr>
              <w:t>.</w:t>
            </w:r>
            <w:proofErr w:type="gramEnd"/>
            <w:r w:rsidR="00712770">
              <w:rPr>
                <w:rFonts w:cstheme="minorHAnsi"/>
                <w:sz w:val="20"/>
                <w:szCs w:val="20"/>
              </w:rPr>
              <w:t xml:space="preserve"> </w:t>
            </w:r>
            <w:r w:rsidRPr="00A831B4">
              <w:rPr>
                <w:rFonts w:cstheme="minorHAnsi"/>
                <w:sz w:val="20"/>
                <w:szCs w:val="20"/>
              </w:rPr>
              <w:t xml:space="preserve">Face validity of the measure score as a quality indicator may be adequate if </w:t>
            </w:r>
            <w:proofErr w:type="gramStart"/>
            <w:r w:rsidRPr="00A831B4">
              <w:rPr>
                <w:rFonts w:cstheme="minorHAnsi"/>
                <w:sz w:val="20"/>
                <w:szCs w:val="20"/>
              </w:rPr>
              <w:t>accomplished</w:t>
            </w:r>
            <w:proofErr w:type="gramEnd"/>
            <w:r w:rsidRPr="00A831B4">
              <w:rPr>
                <w:rFonts w:cstheme="minorHAnsi"/>
                <w:sz w:val="20"/>
                <w:szCs w:val="20"/>
              </w:rPr>
              <w:t xml:space="preserve"> through a systematic and transparent process, by identified experts, and explicitly addresses whether performance scores resulting from the measure as specified can be used to distinguish good from poor quality.</w:t>
            </w:r>
          </w:p>
          <w:p w14:paraId="3E36D3FA" w14:textId="20845196" w:rsidR="00145149" w:rsidRPr="00A831B4" w:rsidRDefault="00145149" w:rsidP="00DD4389">
            <w:pPr>
              <w:pStyle w:val="FootnoteText"/>
              <w:rPr>
                <w:rFonts w:asciiTheme="minorHAnsi" w:hAnsiTheme="minorHAnsi" w:cstheme="minorHAnsi"/>
              </w:rPr>
            </w:pPr>
            <w:bookmarkStart w:id="7" w:name="Note12"/>
            <w:bookmarkEnd w:id="7"/>
            <w:r w:rsidRPr="00A831B4">
              <w:rPr>
                <w:rFonts w:asciiTheme="minorHAnsi" w:hAnsiTheme="minorHAnsi" w:cstheme="minorHAnsi"/>
                <w:b/>
              </w:rPr>
              <w:t>12.</w:t>
            </w:r>
            <w:r w:rsidRPr="00A831B4">
              <w:rPr>
                <w:rFonts w:asciiTheme="minorHAnsi" w:hAnsiTheme="minorHAnsi" w:cstheme="minorHAnsi"/>
              </w:rPr>
              <w:t xml:space="preserve"> Examples of evidence that </w:t>
            </w:r>
            <w:proofErr w:type="gramStart"/>
            <w:r w:rsidRPr="00A831B4">
              <w:rPr>
                <w:rFonts w:asciiTheme="minorHAnsi" w:hAnsiTheme="minorHAnsi" w:cstheme="minorHAnsi"/>
              </w:rPr>
              <w:t>an exclusion</w:t>
            </w:r>
            <w:proofErr w:type="gramEnd"/>
            <w:r w:rsidRPr="00A831B4">
              <w:rPr>
                <w:rFonts w:asciiTheme="minorHAnsi" w:hAnsiTheme="minorHAnsi" w:cstheme="minorHAnsi"/>
              </w:rPr>
              <w:t xml:space="preserve"> distorts measure results include, but are not limited to: frequency of occurrence, variability of exclusions across providers, and sensitivity analyses with and without the exclusion</w:t>
            </w:r>
            <w:r w:rsidR="00712770">
              <w:rPr>
                <w:rFonts w:asciiTheme="minorHAnsi" w:hAnsiTheme="minorHAnsi" w:cstheme="minorHAnsi"/>
              </w:rPr>
              <w:t xml:space="preserve">. </w:t>
            </w:r>
          </w:p>
          <w:p w14:paraId="586EF8EF" w14:textId="77777777" w:rsidR="00145149" w:rsidRPr="00A831B4" w:rsidRDefault="00145149" w:rsidP="00DD4389">
            <w:pPr>
              <w:autoSpaceDE w:val="0"/>
              <w:autoSpaceDN w:val="0"/>
              <w:adjustRightInd w:val="0"/>
              <w:rPr>
                <w:rFonts w:cstheme="minorHAnsi"/>
                <w:b/>
                <w:sz w:val="20"/>
                <w:szCs w:val="20"/>
              </w:rPr>
            </w:pPr>
            <w:bookmarkStart w:id="8" w:name="Note13"/>
            <w:bookmarkEnd w:id="8"/>
            <w:r w:rsidRPr="00A831B4">
              <w:rPr>
                <w:rFonts w:cstheme="minorHAnsi"/>
                <w:b/>
                <w:sz w:val="20"/>
                <w:szCs w:val="20"/>
              </w:rPr>
              <w:t>13.</w:t>
            </w:r>
            <w:r w:rsidRPr="00A831B4">
              <w:rPr>
                <w:rFonts w:cstheme="minorHAnsi"/>
                <w:sz w:val="20"/>
                <w:szCs w:val="20"/>
              </w:rPr>
              <w:t xml:space="preserve"> Patient preference is not a clinical exception to eligibility and </w:t>
            </w:r>
            <w:proofErr w:type="gramStart"/>
            <w:r w:rsidRPr="00A831B4">
              <w:rPr>
                <w:rFonts w:cstheme="minorHAnsi"/>
                <w:sz w:val="20"/>
                <w:szCs w:val="20"/>
              </w:rPr>
              <w:t>can be influenced</w:t>
            </w:r>
            <w:proofErr w:type="gramEnd"/>
            <w:r w:rsidRPr="00A831B4">
              <w:rPr>
                <w:rFonts w:cstheme="minorHAnsi"/>
                <w:sz w:val="20"/>
                <w:szCs w:val="20"/>
              </w:rPr>
              <w:t xml:space="preserve"> by provider interventions.</w:t>
            </w:r>
          </w:p>
          <w:p w14:paraId="1890CDB6" w14:textId="05D75104" w:rsidR="00145149" w:rsidRPr="00A831B4" w:rsidRDefault="00145149" w:rsidP="00DD4389">
            <w:pPr>
              <w:pStyle w:val="FootnoteText"/>
              <w:rPr>
                <w:b/>
                <w:bCs/>
              </w:rPr>
            </w:pPr>
            <w:bookmarkStart w:id="9" w:name="Note14"/>
            <w:bookmarkEnd w:id="9"/>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10" w:name="Note15"/>
            <w:bookmarkEnd w:id="10"/>
          </w:p>
          <w:p w14:paraId="06306D5A" w14:textId="390C59C9" w:rsidR="00145149" w:rsidRPr="00A831B4" w:rsidRDefault="00A64EBF" w:rsidP="00DD4389">
            <w:pPr>
              <w:rPr>
                <w:rFonts w:cstheme="minorHAnsi"/>
                <w:noProof/>
                <w:sz w:val="20"/>
                <w:szCs w:val="20"/>
              </w:rPr>
            </w:pPr>
            <w:bookmarkStart w:id="11" w:name="Note16"/>
            <w:bookmarkEnd w:id="11"/>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w:t>
            </w:r>
            <w:r w:rsidR="00712770">
              <w:rPr>
                <w:rFonts w:cstheme="minorHAnsi"/>
                <w:sz w:val="20"/>
                <w:szCs w:val="20"/>
              </w:rPr>
              <w:t xml:space="preserve"> </w:t>
            </w:r>
            <w:r w:rsidR="00145149" w:rsidRPr="00A831B4">
              <w:rPr>
                <w:rFonts w:cstheme="minorHAnsi"/>
                <w:sz w:val="20"/>
                <w:szCs w:val="20"/>
              </w:rPr>
              <w:t>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469FC9DF" w14:textId="77777777" w:rsidR="00BC0D25" w:rsidRDefault="00BC0D25" w:rsidP="00DD4389">
      <w:pPr>
        <w:spacing w:after="0" w:line="240" w:lineRule="auto"/>
        <w:rPr>
          <w:rFonts w:cstheme="minorHAnsi"/>
          <w:noProof/>
        </w:rPr>
      </w:pPr>
    </w:p>
    <w:p w14:paraId="7B104A5F" w14:textId="77777777" w:rsidR="00702C73" w:rsidRPr="00702C73" w:rsidRDefault="00702C73" w:rsidP="00DD4389">
      <w:pPr>
        <w:spacing w:after="0" w:line="240" w:lineRule="auto"/>
        <w:rPr>
          <w:rFonts w:cstheme="minorHAnsi"/>
          <w:noProof/>
        </w:rPr>
      </w:pPr>
    </w:p>
    <w:p w14:paraId="3B0220F6" w14:textId="77777777" w:rsidR="00E27240" w:rsidRPr="00A25024" w:rsidRDefault="002B5016" w:rsidP="00DD4389">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5BB76059" w14:textId="77777777" w:rsidR="002E78A0" w:rsidRPr="00A25024" w:rsidRDefault="002E78A0" w:rsidP="00DD4389">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24F80E26" w14:textId="77777777" w:rsidR="000574AB" w:rsidRPr="00A25024" w:rsidRDefault="000574AB" w:rsidP="00DD4389">
      <w:pPr>
        <w:spacing w:after="0" w:line="240" w:lineRule="auto"/>
        <w:rPr>
          <w:rFonts w:cstheme="minorHAnsi"/>
          <w:noProof/>
        </w:rPr>
      </w:pPr>
    </w:p>
    <w:p w14:paraId="5B439D26" w14:textId="77777777" w:rsidR="00A01494" w:rsidRDefault="002B5016" w:rsidP="00DD4389">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t>
      </w:r>
      <w:proofErr w:type="gramStart"/>
      <w:r w:rsidR="00857EE8" w:rsidRPr="00A25024">
        <w:rPr>
          <w:rFonts w:cstheme="minorHAnsi"/>
          <w:b/>
          <w:bCs/>
        </w:rPr>
        <w:t>was used</w:t>
      </w:r>
      <w:proofErr w:type="gramEnd"/>
      <w:r w:rsidR="00857EE8" w:rsidRPr="00A25024">
        <w:rPr>
          <w:rFonts w:cstheme="minorHAnsi"/>
          <w:b/>
          <w:bCs/>
        </w:rPr>
        <w:t xml:space="preserve">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proofErr w:type="gramStart"/>
      <w:r w:rsidR="009A25B1">
        <w:rPr>
          <w:rFonts w:cstheme="minorHAnsi"/>
          <w:bCs/>
          <w:i/>
        </w:rPr>
        <w:t>must be provided</w:t>
      </w:r>
      <w:proofErr w:type="gramEnd"/>
      <w:r w:rsidR="009A25B1">
        <w:rPr>
          <w:rFonts w:cstheme="minorHAnsi"/>
          <w:bCs/>
          <w:i/>
        </w:rPr>
        <w:t xml:space="preserve">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 xml:space="preserve">sources </w:t>
      </w:r>
      <w:proofErr w:type="gramStart"/>
      <w:r w:rsidR="00840A41" w:rsidRPr="008647FC">
        <w:rPr>
          <w:rFonts w:cstheme="minorHAnsi"/>
          <w:b/>
          <w:bCs/>
          <w:i/>
        </w:rPr>
        <w:t>are used</w:t>
      </w:r>
      <w:proofErr w:type="gramEnd"/>
      <w:r w:rsidR="00840A41" w:rsidRPr="008647FC">
        <w:rPr>
          <w:rFonts w:cstheme="minorHAnsi"/>
          <w:b/>
          <w:bCs/>
          <w:i/>
        </w:rPr>
        <w:t xml:space="preserve">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4A022F44" w14:textId="77777777" w:rsidTr="0014773C">
        <w:trPr>
          <w:jc w:val="center"/>
        </w:trPr>
        <w:tc>
          <w:tcPr>
            <w:tcW w:w="5208" w:type="dxa"/>
            <w:shd w:val="clear" w:color="auto" w:fill="D9D9D9" w:themeFill="background1" w:themeFillShade="D9"/>
          </w:tcPr>
          <w:p w14:paraId="4BF0905F" w14:textId="77777777" w:rsidR="00A01494" w:rsidRDefault="00A01494" w:rsidP="00DD4389">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66DF76FC" w14:textId="77777777" w:rsidR="009A6A57" w:rsidRPr="00A01494" w:rsidRDefault="009A6A57" w:rsidP="00DD4389">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25E47FA9" w14:textId="77777777" w:rsidR="00A01494" w:rsidRPr="00A01494" w:rsidRDefault="00A01494" w:rsidP="00DD4389">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5D31D38E" w14:textId="77777777" w:rsidTr="0014773C">
        <w:trPr>
          <w:jc w:val="center"/>
        </w:trPr>
        <w:tc>
          <w:tcPr>
            <w:tcW w:w="5208" w:type="dxa"/>
          </w:tcPr>
          <w:p w14:paraId="50DC185F" w14:textId="77777777" w:rsidR="00A01494" w:rsidRPr="00A01494" w:rsidRDefault="007D0E80" w:rsidP="00DD4389">
            <w:pPr>
              <w:autoSpaceDE w:val="0"/>
              <w:autoSpaceDN w:val="0"/>
              <w:adjustRightInd w:val="0"/>
              <w:rPr>
                <w:rFonts w:cstheme="minorHAnsi"/>
                <w:bCs/>
              </w:rPr>
            </w:pPr>
            <w:sdt>
              <w:sdtPr>
                <w:rPr>
                  <w:rFonts w:cstheme="minorHAnsi"/>
                  <w:bCs/>
                  <w:color w:val="0000FF"/>
                </w:rPr>
                <w:id w:val="-839233565"/>
                <w14:checkbox>
                  <w14:checked w14:val="0"/>
                  <w14:checkedState w14:val="2612" w14:font="Arial Unicode MS"/>
                  <w14:uncheckedState w14:val="2610" w14:font="Arial Unicode MS"/>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269FD818" w14:textId="77777777" w:rsidR="00A01494" w:rsidRPr="00A01494" w:rsidRDefault="007D0E80" w:rsidP="00DD4389">
            <w:pPr>
              <w:autoSpaceDE w:val="0"/>
              <w:autoSpaceDN w:val="0"/>
              <w:adjustRightInd w:val="0"/>
              <w:rPr>
                <w:rFonts w:cstheme="minorHAnsi"/>
                <w:bCs/>
              </w:rPr>
            </w:pPr>
            <w:sdt>
              <w:sdtPr>
                <w:rPr>
                  <w:rFonts w:cstheme="minorHAnsi"/>
                  <w:bCs/>
                  <w:color w:val="0000FF"/>
                </w:rPr>
                <w:id w:val="98917060"/>
                <w14:checkbox>
                  <w14:checked w14:val="0"/>
                  <w14:checkedState w14:val="2612" w14:font="Arial Unicode MS"/>
                  <w14:uncheckedState w14:val="2610" w14:font="Arial Unicode MS"/>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3ABF5A25" w14:textId="77777777" w:rsidTr="0014773C">
        <w:trPr>
          <w:jc w:val="center"/>
        </w:trPr>
        <w:tc>
          <w:tcPr>
            <w:tcW w:w="5208" w:type="dxa"/>
          </w:tcPr>
          <w:p w14:paraId="5B8DC953" w14:textId="3766259B" w:rsidR="00A01494" w:rsidRPr="00A01494" w:rsidRDefault="007D0E80" w:rsidP="00DD4389">
            <w:pPr>
              <w:autoSpaceDE w:val="0"/>
              <w:autoSpaceDN w:val="0"/>
              <w:adjustRightInd w:val="0"/>
              <w:rPr>
                <w:rFonts w:cstheme="minorHAnsi"/>
                <w:bCs/>
              </w:rPr>
            </w:pPr>
            <w:sdt>
              <w:sdtPr>
                <w:rPr>
                  <w:rFonts w:cstheme="minorHAnsi"/>
                  <w:bCs/>
                  <w:color w:val="000000" w:themeColor="text1"/>
                </w:rPr>
                <w:id w:val="560149406"/>
                <w14:checkbox>
                  <w14:checked w14:val="1"/>
                  <w14:checkedState w14:val="2612" w14:font="Arial Unicode MS"/>
                  <w14:uncheckedState w14:val="2610" w14:font="Arial Unicode MS"/>
                </w14:checkbox>
              </w:sdtPr>
              <w:sdtContent>
                <w:r w:rsidR="00537135" w:rsidRPr="00AF6521">
                  <w:rPr>
                    <w:rFonts w:ascii="MS Gothic" w:eastAsia="MS Gothic" w:hAnsi="MS Gothic" w:cstheme="minorHAnsi" w:hint="eastAsia"/>
                    <w:bCs/>
                    <w:color w:val="000000" w:themeColor="text1"/>
                  </w:rPr>
                  <w:t>☒</w:t>
                </w:r>
              </w:sdtContent>
            </w:sdt>
            <w:r w:rsidR="00B82A57" w:rsidRPr="00AF6521">
              <w:rPr>
                <w:rFonts w:cstheme="minorHAnsi"/>
                <w:bCs/>
                <w:color w:val="FF0000"/>
              </w:rPr>
              <w:t xml:space="preserve"> </w:t>
            </w:r>
            <w:sdt>
              <w:sdtPr>
                <w:rPr>
                  <w:rFonts w:eastAsia="MS Gothic" w:cstheme="minorHAnsi"/>
                  <w:bCs/>
                  <w:color w:val="FF0000"/>
                </w:rPr>
                <w:id w:val="-257909592"/>
                <w14:checkbox>
                  <w14:checked w14:val="1"/>
                  <w14:checkedState w14:val="2612" w14:font="Arial Unicode MS"/>
                  <w14:uncheckedState w14:val="2610" w14:font="Arial Unicode MS"/>
                </w14:checkbox>
              </w:sdtPr>
              <w:sdtContent>
                <w:r w:rsidR="00AF6521" w:rsidRPr="00AF6521">
                  <w:rPr>
                    <w:rFonts w:ascii="MS Gothic" w:eastAsia="MS Gothic" w:hAnsi="MS Gothic" w:cstheme="minorHAnsi" w:hint="eastAsia"/>
                    <w:bCs/>
                    <w:color w:val="FF0000"/>
                  </w:rPr>
                  <w:t>☒</w:t>
                </w:r>
              </w:sdtContent>
            </w:sdt>
            <w:r w:rsidR="00AF6521" w:rsidRPr="00A01494">
              <w:rPr>
                <w:rFonts w:eastAsia="MS Gothic"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14:paraId="69714DB7" w14:textId="1CAF37F4" w:rsidR="00A01494" w:rsidRPr="00A01494" w:rsidRDefault="00AF6521" w:rsidP="00DD4389">
            <w:pPr>
              <w:autoSpaceDE w:val="0"/>
              <w:autoSpaceDN w:val="0"/>
              <w:adjustRightInd w:val="0"/>
              <w:rPr>
                <w:rFonts w:cstheme="minorHAnsi"/>
                <w:bCs/>
              </w:rPr>
            </w:pPr>
            <w:sdt>
              <w:sdtPr>
                <w:rPr>
                  <w:rFonts w:cstheme="minorHAnsi"/>
                  <w:bCs/>
                  <w:color w:val="000000" w:themeColor="text1"/>
                </w:rPr>
                <w:id w:val="1850906775"/>
                <w14:checkbox>
                  <w14:checked w14:val="1"/>
                  <w14:checkedState w14:val="2612" w14:font="Arial Unicode MS"/>
                  <w14:uncheckedState w14:val="2610" w14:font="Arial Unicode MS"/>
                </w14:checkbox>
              </w:sdtPr>
              <w:sdtContent>
                <w:r w:rsidRPr="00AF6521">
                  <w:rPr>
                    <w:rFonts w:ascii="MS Gothic" w:eastAsia="MS Gothic" w:hAnsi="MS Gothic" w:cstheme="minorHAnsi" w:hint="eastAsia"/>
                    <w:bCs/>
                    <w:color w:val="000000" w:themeColor="text1"/>
                  </w:rPr>
                  <w:t>☒</w:t>
                </w:r>
              </w:sdtContent>
            </w:sdt>
            <w:r w:rsidRPr="00AF6521">
              <w:rPr>
                <w:rFonts w:cstheme="minorHAnsi"/>
                <w:bCs/>
                <w:color w:val="FF0000"/>
              </w:rPr>
              <w:t xml:space="preserve"> </w:t>
            </w:r>
            <w:sdt>
              <w:sdtPr>
                <w:rPr>
                  <w:rFonts w:eastAsia="MS Gothic" w:cstheme="minorHAnsi"/>
                  <w:bCs/>
                  <w:color w:val="FF0000"/>
                </w:rPr>
                <w:id w:val="923918331"/>
                <w14:checkbox>
                  <w14:checked w14:val="1"/>
                  <w14:checkedState w14:val="2612" w14:font="Arial Unicode MS"/>
                  <w14:uncheckedState w14:val="2610" w14:font="Arial Unicode MS"/>
                </w14:checkbox>
              </w:sdtPr>
              <w:sdtContent>
                <w:r w:rsidRPr="00AF6521">
                  <w:rPr>
                    <w:rFonts w:ascii="MS Gothic" w:eastAsia="MS Gothic" w:hAnsi="MS Gothic" w:cstheme="minorHAnsi" w:hint="eastAsia"/>
                    <w:bCs/>
                    <w:color w:val="FF0000"/>
                  </w:rPr>
                  <w:t>☒</w:t>
                </w:r>
              </w:sdtContent>
            </w:sdt>
            <w:r w:rsidRPr="00A01494">
              <w:rPr>
                <w:rFonts w:eastAsia="MS Gothic"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14:paraId="0AAFB0CC" w14:textId="77777777" w:rsidTr="0014773C">
        <w:trPr>
          <w:jc w:val="center"/>
        </w:trPr>
        <w:tc>
          <w:tcPr>
            <w:tcW w:w="5208" w:type="dxa"/>
          </w:tcPr>
          <w:p w14:paraId="59F21029" w14:textId="77777777" w:rsidR="00A01494" w:rsidRPr="00A01494" w:rsidRDefault="007D0E80" w:rsidP="00DD4389">
            <w:pPr>
              <w:autoSpaceDE w:val="0"/>
              <w:autoSpaceDN w:val="0"/>
              <w:adjustRightInd w:val="0"/>
              <w:rPr>
                <w:rFonts w:cstheme="minorHAnsi"/>
                <w:bCs/>
              </w:rPr>
            </w:pPr>
            <w:sdt>
              <w:sdtPr>
                <w:rPr>
                  <w:rFonts w:cstheme="minorHAnsi"/>
                  <w:bCs/>
                  <w:color w:val="0000FF"/>
                </w:rPr>
                <w:id w:val="751091068"/>
                <w14:checkbox>
                  <w14:checked w14:val="0"/>
                  <w14:checkedState w14:val="2612" w14:font="Arial Unicode MS"/>
                  <w14:uncheckedState w14:val="2610" w14:font="Arial Unicode MS"/>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3662E31D" w14:textId="77777777" w:rsidR="00A01494" w:rsidRPr="00A01494" w:rsidRDefault="007D0E80" w:rsidP="00DD4389">
            <w:pPr>
              <w:autoSpaceDE w:val="0"/>
              <w:autoSpaceDN w:val="0"/>
              <w:adjustRightInd w:val="0"/>
              <w:rPr>
                <w:rFonts w:cstheme="minorHAnsi"/>
                <w:bCs/>
              </w:rPr>
            </w:pPr>
            <w:sdt>
              <w:sdtPr>
                <w:rPr>
                  <w:rFonts w:cstheme="minorHAnsi"/>
                  <w:bCs/>
                  <w:color w:val="0000FF"/>
                </w:rPr>
                <w:id w:val="547026371"/>
                <w14:checkbox>
                  <w14:checked w14:val="0"/>
                  <w14:checkedState w14:val="2612" w14:font="Arial Unicode MS"/>
                  <w14:uncheckedState w14:val="2610" w14:font="Arial Unicode MS"/>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28918E8D" w14:textId="77777777" w:rsidTr="0014773C">
        <w:trPr>
          <w:jc w:val="center"/>
        </w:trPr>
        <w:tc>
          <w:tcPr>
            <w:tcW w:w="5208" w:type="dxa"/>
          </w:tcPr>
          <w:p w14:paraId="111E2CBF" w14:textId="77777777" w:rsidR="00A01494" w:rsidRPr="00A01494" w:rsidRDefault="007D0E80" w:rsidP="00DD4389">
            <w:pPr>
              <w:autoSpaceDE w:val="0"/>
              <w:autoSpaceDN w:val="0"/>
              <w:adjustRightInd w:val="0"/>
              <w:rPr>
                <w:rFonts w:cstheme="minorHAnsi"/>
                <w:bCs/>
              </w:rPr>
            </w:pPr>
            <w:sdt>
              <w:sdtPr>
                <w:rPr>
                  <w:rFonts w:cstheme="minorHAnsi"/>
                  <w:bCs/>
                  <w:color w:val="0000FF"/>
                </w:rPr>
                <w:id w:val="1121342177"/>
                <w14:checkbox>
                  <w14:checked w14:val="0"/>
                  <w14:checkedState w14:val="2612" w14:font="Arial Unicode MS"/>
                  <w14:uncheckedState w14:val="2610" w14:font="Arial Unicode MS"/>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4DA75C6D" w14:textId="77777777" w:rsidR="00A01494" w:rsidRPr="00A01494" w:rsidRDefault="007D0E80" w:rsidP="00DD4389">
            <w:pPr>
              <w:autoSpaceDE w:val="0"/>
              <w:autoSpaceDN w:val="0"/>
              <w:adjustRightInd w:val="0"/>
              <w:rPr>
                <w:rFonts w:cstheme="minorHAnsi"/>
                <w:bCs/>
              </w:rPr>
            </w:pPr>
            <w:sdt>
              <w:sdtPr>
                <w:rPr>
                  <w:rFonts w:cstheme="minorHAnsi"/>
                  <w:bCs/>
                  <w:color w:val="0000FF"/>
                </w:rPr>
                <w:id w:val="-359203911"/>
                <w14:checkbox>
                  <w14:checked w14:val="0"/>
                  <w14:checkedState w14:val="2612" w14:font="Arial Unicode MS"/>
                  <w14:uncheckedState w14:val="2610" w14:font="Arial Unicode MS"/>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087EE1FE" w14:textId="77777777" w:rsidTr="0014773C">
        <w:trPr>
          <w:jc w:val="center"/>
        </w:trPr>
        <w:tc>
          <w:tcPr>
            <w:tcW w:w="5208" w:type="dxa"/>
          </w:tcPr>
          <w:p w14:paraId="73167F9A" w14:textId="77777777" w:rsidR="00A01494" w:rsidRPr="00A01494" w:rsidRDefault="007D0E80" w:rsidP="00DD4389">
            <w:pPr>
              <w:autoSpaceDE w:val="0"/>
              <w:autoSpaceDN w:val="0"/>
              <w:adjustRightInd w:val="0"/>
              <w:rPr>
                <w:rFonts w:cstheme="minorHAnsi"/>
                <w:bCs/>
              </w:rPr>
            </w:pPr>
            <w:sdt>
              <w:sdtPr>
                <w:rPr>
                  <w:rFonts w:cstheme="minorHAnsi"/>
                  <w:bCs/>
                  <w:color w:val="0000FF"/>
                </w:rPr>
                <w:id w:val="615648267"/>
                <w14:checkbox>
                  <w14:checked w14:val="0"/>
                  <w14:checkedState w14:val="2612" w14:font="Arial Unicode MS"/>
                  <w14:uncheckedState w14:val="2610" w14:font="Arial Unicode MS"/>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412A229E" w14:textId="77777777" w:rsidR="00A01494" w:rsidRPr="00A01494" w:rsidRDefault="007D0E80" w:rsidP="00DD4389">
            <w:pPr>
              <w:autoSpaceDE w:val="0"/>
              <w:autoSpaceDN w:val="0"/>
              <w:adjustRightInd w:val="0"/>
              <w:rPr>
                <w:rFonts w:cstheme="minorHAnsi"/>
                <w:bCs/>
              </w:rPr>
            </w:pPr>
            <w:sdt>
              <w:sdtPr>
                <w:rPr>
                  <w:rFonts w:cstheme="minorHAnsi"/>
                  <w:bCs/>
                  <w:color w:val="0000FF"/>
                </w:rPr>
                <w:id w:val="498854310"/>
                <w14:checkbox>
                  <w14:checked w14:val="0"/>
                  <w14:checkedState w14:val="2612" w14:font="Arial Unicode MS"/>
                  <w14:uncheckedState w14:val="2610" w14:font="Arial Unicode MS"/>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42E16BD2" w14:textId="77777777" w:rsidTr="0014773C">
        <w:trPr>
          <w:jc w:val="center"/>
        </w:trPr>
        <w:tc>
          <w:tcPr>
            <w:tcW w:w="5208" w:type="dxa"/>
          </w:tcPr>
          <w:p w14:paraId="06B0718B" w14:textId="2A627E33" w:rsidR="00A01494" w:rsidRPr="00A01494" w:rsidRDefault="007D0E80" w:rsidP="00DD4389">
            <w:pPr>
              <w:autoSpaceDE w:val="0"/>
              <w:autoSpaceDN w:val="0"/>
              <w:adjustRightInd w:val="0"/>
              <w:rPr>
                <w:rFonts w:cstheme="minorHAnsi"/>
                <w:bCs/>
              </w:rPr>
            </w:pPr>
            <w:sdt>
              <w:sdtPr>
                <w:rPr>
                  <w:rFonts w:cstheme="minorHAnsi"/>
                  <w:bCs/>
                  <w:color w:val="0000FF"/>
                </w:rPr>
                <w:id w:val="1316375390"/>
                <w14:checkbox>
                  <w14:checked w14:val="0"/>
                  <w14:checkedState w14:val="2612" w14:font="Arial Unicode MS"/>
                  <w14:uncheckedState w14:val="2610" w14:font="Arial Unicode MS"/>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other:</w:t>
            </w:r>
            <w:r w:rsidR="00712770">
              <w:rPr>
                <w:rFonts w:cstheme="minorHAnsi"/>
                <w:bCs/>
              </w:rPr>
              <w:t xml:space="preserve">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3A0091AD" w14:textId="78CA47CA" w:rsidR="00A01494" w:rsidRPr="00A01494" w:rsidRDefault="007D0E80" w:rsidP="00DD4389">
            <w:pPr>
              <w:autoSpaceDE w:val="0"/>
              <w:autoSpaceDN w:val="0"/>
              <w:adjustRightInd w:val="0"/>
              <w:rPr>
                <w:rFonts w:cstheme="minorHAnsi"/>
                <w:bCs/>
              </w:rPr>
            </w:pPr>
            <w:sdt>
              <w:sdtPr>
                <w:rPr>
                  <w:rFonts w:cstheme="minorHAnsi"/>
                  <w:bCs/>
                  <w:color w:val="0000FF"/>
                </w:rPr>
                <w:id w:val="1689098749"/>
                <w14:checkbox>
                  <w14:checked w14:val="0"/>
                  <w14:checkedState w14:val="2612" w14:font="Arial Unicode MS"/>
                  <w14:uncheckedState w14:val="2610" w14:font="Arial Unicode MS"/>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other:</w:t>
            </w:r>
            <w:r w:rsidR="00712770">
              <w:rPr>
                <w:rFonts w:cstheme="minorHAnsi"/>
                <w:bCs/>
              </w:rPr>
              <w:t xml:space="preserve">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14:paraId="5CF22630" w14:textId="2479ECB9" w:rsidR="00A01494" w:rsidRDefault="00712770" w:rsidP="00DD4389">
      <w:pPr>
        <w:autoSpaceDE w:val="0"/>
        <w:autoSpaceDN w:val="0"/>
        <w:adjustRightInd w:val="0"/>
        <w:spacing w:after="0" w:line="240" w:lineRule="auto"/>
        <w:rPr>
          <w:rFonts w:cstheme="minorHAnsi"/>
          <w:b/>
          <w:bCs/>
        </w:rPr>
      </w:pPr>
      <w:r>
        <w:rPr>
          <w:rFonts w:cstheme="minorHAnsi"/>
          <w:b/>
          <w:bCs/>
        </w:rPr>
        <w:t xml:space="preserve">  </w:t>
      </w:r>
      <w:r w:rsidR="006327D8" w:rsidRPr="00A25024">
        <w:rPr>
          <w:rFonts w:cstheme="minorHAnsi"/>
          <w:b/>
          <w:bCs/>
        </w:rPr>
        <w:t xml:space="preserve"> </w:t>
      </w:r>
    </w:p>
    <w:p w14:paraId="06B918C0" w14:textId="395683D0" w:rsidR="00C355B9" w:rsidRDefault="002B5016" w:rsidP="00EE7629">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712770">
        <w:rPr>
          <w:rFonts w:cstheme="minorHAnsi"/>
          <w:bCs/>
        </w:rPr>
        <w:t xml:space="preserve">. </w:t>
      </w:r>
    </w:p>
    <w:p w14:paraId="1FA08183" w14:textId="5AB92DC7" w:rsidR="00414CC3" w:rsidRDefault="00414CC3" w:rsidP="00EE7629">
      <w:pPr>
        <w:autoSpaceDE w:val="0"/>
        <w:autoSpaceDN w:val="0"/>
        <w:adjustRightInd w:val="0"/>
        <w:spacing w:after="0" w:line="240" w:lineRule="auto"/>
        <w:rPr>
          <w:rFonts w:cstheme="minorHAnsi"/>
        </w:rPr>
      </w:pPr>
      <w:r>
        <w:rPr>
          <w:rFonts w:cstheme="minorHAnsi"/>
          <w:b/>
        </w:rPr>
        <w:t>2014 Submission:</w:t>
      </w:r>
    </w:p>
    <w:p w14:paraId="6D472C25" w14:textId="77777777" w:rsidR="00414CC3" w:rsidRPr="00414CC3" w:rsidRDefault="00414CC3" w:rsidP="00EE7629">
      <w:pPr>
        <w:autoSpaceDE w:val="0"/>
        <w:autoSpaceDN w:val="0"/>
        <w:adjustRightInd w:val="0"/>
        <w:spacing w:after="0" w:line="240" w:lineRule="auto"/>
        <w:rPr>
          <w:color w:val="000000" w:themeColor="text1"/>
        </w:rPr>
      </w:pPr>
      <w:r w:rsidRPr="00414CC3">
        <w:rPr>
          <w:color w:val="000000" w:themeColor="text1"/>
        </w:rPr>
        <w:t xml:space="preserve">This measure </w:t>
      </w:r>
      <w:proofErr w:type="gramStart"/>
      <w:r w:rsidRPr="00414CC3">
        <w:rPr>
          <w:color w:val="000000" w:themeColor="text1"/>
        </w:rPr>
        <w:t>was originally constructed</w:t>
      </w:r>
      <w:proofErr w:type="gramEnd"/>
      <w:r w:rsidRPr="00414CC3">
        <w:rPr>
          <w:color w:val="000000" w:themeColor="text1"/>
        </w:rPr>
        <w:t xml:space="preserve"> using the 100% Medicare Fee-For-Service (FFS) Outpatient Standard Analytical Files (SAFs) from 2007. Medicare FFS SAFs </w:t>
      </w:r>
      <w:proofErr w:type="gramStart"/>
      <w:r w:rsidRPr="00414CC3">
        <w:rPr>
          <w:color w:val="000000" w:themeColor="text1"/>
        </w:rPr>
        <w:t>were used</w:t>
      </w:r>
      <w:proofErr w:type="gramEnd"/>
      <w:r w:rsidRPr="00414CC3">
        <w:rPr>
          <w:color w:val="000000" w:themeColor="text1"/>
        </w:rPr>
        <w:t xml:space="preserve"> for all subsequent calculations, with the Medicare FFS SAF from 2011 being the most recent data source.</w:t>
      </w:r>
    </w:p>
    <w:p w14:paraId="6B9553B5" w14:textId="77777777" w:rsidR="00414CC3" w:rsidRDefault="00414CC3" w:rsidP="00EE7629">
      <w:pPr>
        <w:autoSpaceDE w:val="0"/>
        <w:autoSpaceDN w:val="0"/>
        <w:adjustRightInd w:val="0"/>
        <w:spacing w:after="0" w:line="240" w:lineRule="auto"/>
        <w:rPr>
          <w:rFonts w:cstheme="minorHAnsi"/>
        </w:rPr>
      </w:pPr>
    </w:p>
    <w:p w14:paraId="77BE2D5B" w14:textId="55DEF85D" w:rsidR="00414CC3" w:rsidRPr="00414CC3" w:rsidRDefault="00414CC3" w:rsidP="00EE7629">
      <w:pPr>
        <w:autoSpaceDE w:val="0"/>
        <w:autoSpaceDN w:val="0"/>
        <w:adjustRightInd w:val="0"/>
        <w:spacing w:after="0" w:line="240" w:lineRule="auto"/>
        <w:rPr>
          <w:rFonts w:cstheme="minorHAnsi"/>
          <w:color w:val="FF0000"/>
        </w:rPr>
      </w:pPr>
      <w:r w:rsidRPr="00414CC3">
        <w:rPr>
          <w:rFonts w:cstheme="minorHAnsi"/>
          <w:b/>
          <w:color w:val="FF0000"/>
        </w:rPr>
        <w:t>2016 Submission:</w:t>
      </w:r>
    </w:p>
    <w:p w14:paraId="05F73BA5" w14:textId="3807C0B6" w:rsidR="009E1846" w:rsidRPr="00414CC3" w:rsidRDefault="00452B1C" w:rsidP="00EE7629">
      <w:pPr>
        <w:autoSpaceDE w:val="0"/>
        <w:autoSpaceDN w:val="0"/>
        <w:adjustRightInd w:val="0"/>
        <w:spacing w:after="0" w:line="240" w:lineRule="auto"/>
        <w:rPr>
          <w:rFonts w:cstheme="minorHAnsi"/>
          <w:color w:val="FF0000"/>
        </w:rPr>
      </w:pPr>
      <w:r w:rsidRPr="00414CC3">
        <w:rPr>
          <w:rFonts w:cstheme="minorHAnsi"/>
          <w:color w:val="FF0000"/>
        </w:rPr>
        <w:t xml:space="preserve">We tested the measure using 2010-2013 Medicare fee-for-service (FFS) data from the 100% samples </w:t>
      </w:r>
      <w:r w:rsidR="003F37FB" w:rsidRPr="00414CC3">
        <w:rPr>
          <w:rFonts w:cstheme="minorHAnsi"/>
          <w:color w:val="FF0000"/>
        </w:rPr>
        <w:t xml:space="preserve">of </w:t>
      </w:r>
      <w:r w:rsidRPr="00414CC3">
        <w:rPr>
          <w:rFonts w:cstheme="minorHAnsi"/>
          <w:color w:val="FF0000"/>
        </w:rPr>
        <w:t xml:space="preserve">the Outpatient Standard Analytic File (SAF-O), Inpatient Standard Analytic File (SAF-I), and Carrier File. </w:t>
      </w:r>
    </w:p>
    <w:p w14:paraId="5B4F5004" w14:textId="77777777" w:rsidR="00452B1C" w:rsidRPr="00414CC3" w:rsidRDefault="00452B1C" w:rsidP="00EE7629">
      <w:pPr>
        <w:autoSpaceDE w:val="0"/>
        <w:autoSpaceDN w:val="0"/>
        <w:adjustRightInd w:val="0"/>
        <w:spacing w:after="0" w:line="240" w:lineRule="auto"/>
        <w:rPr>
          <w:rFonts w:cstheme="minorHAnsi"/>
          <w:color w:val="FF0000"/>
        </w:rPr>
      </w:pPr>
    </w:p>
    <w:p w14:paraId="052B4BF7" w14:textId="77777777" w:rsidR="00251CA8" w:rsidRPr="00414CC3" w:rsidRDefault="00251CA8" w:rsidP="00EE7629">
      <w:pPr>
        <w:autoSpaceDE w:val="0"/>
        <w:autoSpaceDN w:val="0"/>
        <w:adjustRightInd w:val="0"/>
        <w:spacing w:after="0" w:line="240" w:lineRule="auto"/>
        <w:rPr>
          <w:rFonts w:cstheme="minorHAnsi"/>
          <w:i/>
          <w:color w:val="FF0000"/>
        </w:rPr>
      </w:pPr>
      <w:r w:rsidRPr="00414CC3">
        <w:rPr>
          <w:rFonts w:cstheme="minorHAnsi"/>
          <w:i/>
          <w:color w:val="FF0000"/>
        </w:rPr>
        <w:t xml:space="preserve">Facility Analysis </w:t>
      </w:r>
    </w:p>
    <w:p w14:paraId="690DFAA0" w14:textId="77777777" w:rsidR="00251CA8" w:rsidRPr="00414CC3" w:rsidRDefault="00251CA8" w:rsidP="00EE7629">
      <w:pPr>
        <w:pStyle w:val="ListParagraph"/>
        <w:numPr>
          <w:ilvl w:val="0"/>
          <w:numId w:val="36"/>
        </w:numPr>
        <w:autoSpaceDE w:val="0"/>
        <w:autoSpaceDN w:val="0"/>
        <w:adjustRightInd w:val="0"/>
        <w:spacing w:after="0" w:line="240" w:lineRule="auto"/>
        <w:rPr>
          <w:rFonts w:cstheme="minorHAnsi"/>
          <w:color w:val="FF0000"/>
        </w:rPr>
      </w:pPr>
      <w:r w:rsidRPr="00414CC3">
        <w:rPr>
          <w:rFonts w:cstheme="minorHAnsi"/>
          <w:color w:val="FF0000"/>
        </w:rPr>
        <w:t xml:space="preserve">Datasets used to </w:t>
      </w:r>
      <w:r w:rsidRPr="00414CC3">
        <w:rPr>
          <w:rFonts w:cstheme="minorHAnsi"/>
          <w:color w:val="FF0000"/>
          <w:u w:val="single"/>
        </w:rPr>
        <w:t>define the initial patient population (denominator)</w:t>
      </w:r>
      <w:r w:rsidRPr="00414CC3">
        <w:rPr>
          <w:rFonts w:cstheme="minorHAnsi"/>
          <w:color w:val="FF0000"/>
        </w:rPr>
        <w:t xml:space="preserve">: </w:t>
      </w:r>
    </w:p>
    <w:p w14:paraId="5854B94B" w14:textId="5457C08C" w:rsidR="00251CA8" w:rsidRPr="00414CC3" w:rsidRDefault="00251CA8" w:rsidP="00EE7629">
      <w:pPr>
        <w:pStyle w:val="ListParagraph"/>
        <w:numPr>
          <w:ilvl w:val="0"/>
          <w:numId w:val="35"/>
        </w:numPr>
        <w:autoSpaceDE w:val="0"/>
        <w:autoSpaceDN w:val="0"/>
        <w:adjustRightInd w:val="0"/>
        <w:spacing w:after="0" w:line="240" w:lineRule="auto"/>
        <w:rPr>
          <w:rFonts w:cstheme="minorHAnsi"/>
          <w:color w:val="FF0000"/>
        </w:rPr>
      </w:pPr>
      <w:r w:rsidRPr="00414CC3">
        <w:rPr>
          <w:rFonts w:cstheme="minorHAnsi"/>
          <w:i/>
          <w:color w:val="FF0000"/>
        </w:rPr>
        <w:t xml:space="preserve">SAF-O: </w:t>
      </w:r>
      <w:r w:rsidRPr="00414CC3">
        <w:rPr>
          <w:rFonts w:cstheme="minorHAnsi"/>
          <w:color w:val="FF0000"/>
        </w:rPr>
        <w:t>CORE and Lewin defined the initial patient population based on the 2013 100% SAF-O file. The initial patient population includes all claims for an MRI lumbar-spine study with a diagnosis of low</w:t>
      </w:r>
      <w:r w:rsidR="00CA05CB" w:rsidRPr="00414CC3">
        <w:rPr>
          <w:rFonts w:cstheme="minorHAnsi"/>
          <w:color w:val="FF0000"/>
        </w:rPr>
        <w:t xml:space="preserve"> </w:t>
      </w:r>
      <w:r w:rsidRPr="00414CC3">
        <w:rPr>
          <w:rFonts w:cstheme="minorHAnsi"/>
          <w:color w:val="FF0000"/>
        </w:rPr>
        <w:t xml:space="preserve">back pain from January 1, 2013-December 31, 2013, provided in a hospital outpatient setting. This dataset also includes unique patient and facility identifiers. </w:t>
      </w:r>
    </w:p>
    <w:p w14:paraId="45556509" w14:textId="77777777" w:rsidR="00251CA8" w:rsidRPr="00414CC3" w:rsidRDefault="00251CA8" w:rsidP="00EE7629">
      <w:pPr>
        <w:pStyle w:val="ListParagraph"/>
        <w:numPr>
          <w:ilvl w:val="0"/>
          <w:numId w:val="35"/>
        </w:numPr>
        <w:autoSpaceDE w:val="0"/>
        <w:autoSpaceDN w:val="0"/>
        <w:adjustRightInd w:val="0"/>
        <w:spacing w:after="0" w:line="240" w:lineRule="auto"/>
        <w:rPr>
          <w:rFonts w:cstheme="minorHAnsi"/>
          <w:color w:val="FF0000"/>
        </w:rPr>
      </w:pPr>
      <w:r w:rsidRPr="00414CC3">
        <w:rPr>
          <w:rFonts w:cstheme="minorHAnsi"/>
          <w:i/>
          <w:color w:val="FF0000"/>
        </w:rPr>
        <w:t>Enrollment database and denominator files:</w:t>
      </w:r>
      <w:r w:rsidRPr="00414CC3">
        <w:rPr>
          <w:rFonts w:cstheme="minorHAnsi"/>
          <w:color w:val="FF0000"/>
        </w:rPr>
        <w:t xml:space="preserve"> This dataset contains Medicare FFS enrollment, demographic, and death information for patients identified in the above file. </w:t>
      </w:r>
    </w:p>
    <w:p w14:paraId="7811EE98" w14:textId="77777777" w:rsidR="00251CA8" w:rsidRPr="00414CC3" w:rsidRDefault="00251CA8" w:rsidP="00EE7629">
      <w:pPr>
        <w:pStyle w:val="ListParagraph"/>
        <w:numPr>
          <w:ilvl w:val="0"/>
          <w:numId w:val="35"/>
        </w:numPr>
        <w:autoSpaceDE w:val="0"/>
        <w:autoSpaceDN w:val="0"/>
        <w:adjustRightInd w:val="0"/>
        <w:spacing w:after="0" w:line="240" w:lineRule="auto"/>
        <w:rPr>
          <w:rFonts w:cstheme="minorHAnsi"/>
          <w:color w:val="FF0000"/>
        </w:rPr>
      </w:pPr>
      <w:r w:rsidRPr="00414CC3">
        <w:rPr>
          <w:rFonts w:cstheme="minorHAnsi"/>
          <w:i/>
          <w:color w:val="FF0000"/>
        </w:rPr>
        <w:t>Provider of services (POS) file:</w:t>
      </w:r>
      <w:r w:rsidRPr="00414CC3">
        <w:rPr>
          <w:rFonts w:cstheme="minorHAnsi"/>
          <w:color w:val="FF0000"/>
        </w:rPr>
        <w:t xml:space="preserve"> The POS file contains data on facility characteristics including </w:t>
      </w:r>
      <w:proofErr w:type="spellStart"/>
      <w:r w:rsidRPr="00414CC3">
        <w:rPr>
          <w:rFonts w:cstheme="minorHAnsi"/>
          <w:color w:val="FF0000"/>
        </w:rPr>
        <w:t>urbanicity</w:t>
      </w:r>
      <w:proofErr w:type="spellEnd"/>
      <w:r w:rsidRPr="00414CC3">
        <w:rPr>
          <w:rFonts w:cstheme="minorHAnsi"/>
          <w:color w:val="FF0000"/>
        </w:rPr>
        <w:t xml:space="preserve">, bed count, and teaching status. </w:t>
      </w:r>
    </w:p>
    <w:p w14:paraId="62FB45BC" w14:textId="77777777" w:rsidR="00251CA8" w:rsidRPr="00414CC3" w:rsidRDefault="00251CA8" w:rsidP="00EE7629">
      <w:pPr>
        <w:pStyle w:val="ListParagraph"/>
        <w:autoSpaceDE w:val="0"/>
        <w:autoSpaceDN w:val="0"/>
        <w:adjustRightInd w:val="0"/>
        <w:spacing w:after="0" w:line="240" w:lineRule="auto"/>
        <w:rPr>
          <w:rFonts w:cstheme="minorHAnsi"/>
          <w:color w:val="FF0000"/>
        </w:rPr>
      </w:pPr>
    </w:p>
    <w:p w14:paraId="5CAF3B8D" w14:textId="77777777" w:rsidR="00251CA8" w:rsidRPr="00414CC3" w:rsidRDefault="00251CA8" w:rsidP="00EE7629">
      <w:pPr>
        <w:pStyle w:val="ListParagraph"/>
        <w:numPr>
          <w:ilvl w:val="0"/>
          <w:numId w:val="36"/>
        </w:numPr>
        <w:autoSpaceDE w:val="0"/>
        <w:autoSpaceDN w:val="0"/>
        <w:adjustRightInd w:val="0"/>
        <w:spacing w:after="0" w:line="240" w:lineRule="auto"/>
        <w:rPr>
          <w:rFonts w:cstheme="minorHAnsi"/>
          <w:color w:val="FF0000"/>
        </w:rPr>
      </w:pPr>
      <w:r w:rsidRPr="00414CC3">
        <w:rPr>
          <w:rFonts w:cstheme="minorHAnsi"/>
          <w:color w:val="FF0000"/>
        </w:rPr>
        <w:t xml:space="preserve">Datasets used to </w:t>
      </w:r>
      <w:r w:rsidRPr="00414CC3">
        <w:rPr>
          <w:rFonts w:cstheme="minorHAnsi"/>
          <w:color w:val="FF0000"/>
          <w:u w:val="single"/>
        </w:rPr>
        <w:t>capture the numerator</w:t>
      </w:r>
      <w:r w:rsidRPr="00414CC3">
        <w:rPr>
          <w:rFonts w:cstheme="minorHAnsi"/>
          <w:color w:val="FF0000"/>
        </w:rPr>
        <w:t>:</w:t>
      </w:r>
    </w:p>
    <w:p w14:paraId="498C6C89" w14:textId="77777777" w:rsidR="00251CA8" w:rsidRPr="00414CC3" w:rsidRDefault="00251CA8" w:rsidP="00EE7629">
      <w:pPr>
        <w:pStyle w:val="ListParagraph"/>
        <w:numPr>
          <w:ilvl w:val="0"/>
          <w:numId w:val="35"/>
        </w:numPr>
        <w:autoSpaceDE w:val="0"/>
        <w:autoSpaceDN w:val="0"/>
        <w:adjustRightInd w:val="0"/>
        <w:spacing w:after="0" w:line="240" w:lineRule="auto"/>
        <w:rPr>
          <w:rFonts w:cstheme="minorHAnsi"/>
          <w:color w:val="FF0000"/>
        </w:rPr>
      </w:pPr>
      <w:r w:rsidRPr="00414CC3">
        <w:rPr>
          <w:rFonts w:cstheme="minorHAnsi"/>
          <w:i/>
          <w:color w:val="FF0000"/>
        </w:rPr>
        <w:t>SAF-O and Carrier:</w:t>
      </w:r>
      <w:r w:rsidRPr="00414CC3">
        <w:rPr>
          <w:rFonts w:cstheme="minorHAnsi"/>
          <w:color w:val="FF0000"/>
        </w:rPr>
        <w:t xml:space="preserve"> For patients included in the initial patient population, CORE and Lewin identified numerator exception cases by searching the 2012 and 2013 100% SAF-O and Carrier files for one or more claims for antecedent conservative therapy in the 60 days preceding the MRI lumbar-spine study. </w:t>
      </w:r>
    </w:p>
    <w:p w14:paraId="2B2C9538" w14:textId="77777777" w:rsidR="00251CA8" w:rsidRPr="00414CC3" w:rsidRDefault="00251CA8" w:rsidP="00EE7629">
      <w:pPr>
        <w:autoSpaceDE w:val="0"/>
        <w:autoSpaceDN w:val="0"/>
        <w:adjustRightInd w:val="0"/>
        <w:spacing w:after="0" w:line="240" w:lineRule="auto"/>
        <w:rPr>
          <w:rFonts w:cstheme="minorHAnsi"/>
          <w:color w:val="FF0000"/>
        </w:rPr>
      </w:pPr>
    </w:p>
    <w:p w14:paraId="686549D3" w14:textId="77777777" w:rsidR="00251CA8" w:rsidRPr="00414CC3" w:rsidRDefault="00251CA8" w:rsidP="00EE7629">
      <w:pPr>
        <w:pStyle w:val="ListParagraph"/>
        <w:numPr>
          <w:ilvl w:val="0"/>
          <w:numId w:val="36"/>
        </w:numPr>
        <w:autoSpaceDE w:val="0"/>
        <w:autoSpaceDN w:val="0"/>
        <w:adjustRightInd w:val="0"/>
        <w:spacing w:after="0" w:line="240" w:lineRule="auto"/>
        <w:rPr>
          <w:rFonts w:cstheme="minorHAnsi"/>
          <w:color w:val="FF0000"/>
        </w:rPr>
      </w:pPr>
      <w:r w:rsidRPr="00414CC3">
        <w:rPr>
          <w:rFonts w:cstheme="minorHAnsi"/>
          <w:color w:val="FF0000"/>
        </w:rPr>
        <w:t xml:space="preserve"> Datasets used to </w:t>
      </w:r>
      <w:r w:rsidRPr="00414CC3">
        <w:rPr>
          <w:rFonts w:cstheme="minorHAnsi"/>
          <w:color w:val="FF0000"/>
          <w:u w:val="single"/>
        </w:rPr>
        <w:t>identify measure exclusions</w:t>
      </w:r>
      <w:r w:rsidRPr="00414CC3">
        <w:rPr>
          <w:rFonts w:cstheme="minorHAnsi"/>
          <w:color w:val="FF0000"/>
        </w:rPr>
        <w:t xml:space="preserve">: </w:t>
      </w:r>
    </w:p>
    <w:p w14:paraId="10CE249B" w14:textId="77777777" w:rsidR="00251CA8" w:rsidRPr="00414CC3" w:rsidRDefault="00251CA8" w:rsidP="00EE7629">
      <w:pPr>
        <w:pStyle w:val="ListParagraph"/>
        <w:numPr>
          <w:ilvl w:val="0"/>
          <w:numId w:val="35"/>
        </w:numPr>
        <w:autoSpaceDE w:val="0"/>
        <w:autoSpaceDN w:val="0"/>
        <w:adjustRightInd w:val="0"/>
        <w:spacing w:after="0" w:line="240" w:lineRule="auto"/>
        <w:rPr>
          <w:rFonts w:cstheme="minorHAnsi"/>
          <w:b/>
          <w:color w:val="FF0000"/>
        </w:rPr>
      </w:pPr>
      <w:r w:rsidRPr="00414CC3">
        <w:rPr>
          <w:rFonts w:cstheme="minorHAnsi"/>
          <w:i/>
          <w:color w:val="FF0000"/>
        </w:rPr>
        <w:t>SAF-O, SAF-I, and Carrier:</w:t>
      </w:r>
      <w:r w:rsidRPr="00414CC3">
        <w:rPr>
          <w:rFonts w:cstheme="minorHAnsi"/>
          <w:color w:val="FF0000"/>
        </w:rPr>
        <w:t xml:space="preserve"> For patients included in the initial patient population, CORE and Lewin identified denominator exclusions by searching the 2010-2013 100% SAF-O, SAF-I, and Carrier files for risk factor diagnoses in the three years preceding the MRI lumbar-spine study. </w:t>
      </w:r>
    </w:p>
    <w:p w14:paraId="3CF9B75B" w14:textId="77777777" w:rsidR="00452B1C" w:rsidRDefault="00452B1C" w:rsidP="00EE7629">
      <w:pPr>
        <w:autoSpaceDE w:val="0"/>
        <w:autoSpaceDN w:val="0"/>
        <w:adjustRightInd w:val="0"/>
        <w:spacing w:after="0" w:line="240" w:lineRule="auto"/>
        <w:rPr>
          <w:rFonts w:cstheme="minorHAnsi"/>
          <w:b/>
        </w:rPr>
      </w:pPr>
    </w:p>
    <w:p w14:paraId="78B7DDC3" w14:textId="6FDCCFCA" w:rsidR="0004593A" w:rsidRPr="00A25024" w:rsidRDefault="002B5016" w:rsidP="00EE7629">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414CC3" w:rsidRPr="00A25024">
        <w:rPr>
          <w:rFonts w:cstheme="minorHAnsi"/>
        </w:rPr>
        <w:t xml:space="preserve">  </w:t>
      </w:r>
      <w:sdt>
        <w:sdtPr>
          <w:rPr>
            <w:rStyle w:val="Style1"/>
            <w:color w:val="000000" w:themeColor="text1"/>
          </w:rPr>
          <w:id w:val="-306254740"/>
          <w:text/>
        </w:sdtPr>
        <w:sdtEndPr>
          <w:rPr>
            <w:rStyle w:val="DefaultParagraphFont"/>
            <w:rFonts w:cstheme="minorHAnsi"/>
          </w:rPr>
        </w:sdtEndPr>
        <w:sdtContent>
          <w:r w:rsidR="00414CC3" w:rsidRPr="0088516A">
            <w:rPr>
              <w:rStyle w:val="Style1"/>
              <w:color w:val="000000" w:themeColor="text1"/>
            </w:rPr>
            <w:t>2007-2011</w:t>
          </w:r>
        </w:sdtContent>
      </w:sdt>
      <w:r w:rsidR="00414CC3" w:rsidRPr="0088516A">
        <w:rPr>
          <w:rFonts w:cstheme="minorHAnsi"/>
          <w:color w:val="000000" w:themeColor="text1"/>
        </w:rPr>
        <w:t xml:space="preserve">(2014 Submission) | </w:t>
      </w:r>
      <w:sdt>
        <w:sdtPr>
          <w:rPr>
            <w:rStyle w:val="Style1"/>
            <w:color w:val="FF0000"/>
          </w:rPr>
          <w:id w:val="950514773"/>
          <w:text/>
        </w:sdtPr>
        <w:sdtEndPr>
          <w:rPr>
            <w:rStyle w:val="DefaultParagraphFont"/>
            <w:rFonts w:cstheme="minorHAnsi"/>
          </w:rPr>
        </w:sdtEndPr>
        <w:sdtContent>
          <w:r w:rsidR="006F0ACA" w:rsidRPr="0088516A">
            <w:rPr>
              <w:rStyle w:val="Style1"/>
              <w:color w:val="FF0000"/>
            </w:rPr>
            <w:t xml:space="preserve">January </w:t>
          </w:r>
          <w:r w:rsidR="003F37FB" w:rsidRPr="0088516A">
            <w:rPr>
              <w:rStyle w:val="Style1"/>
              <w:color w:val="FF0000"/>
            </w:rPr>
            <w:t xml:space="preserve">2010 – </w:t>
          </w:r>
          <w:r w:rsidR="006F0ACA" w:rsidRPr="0088516A">
            <w:rPr>
              <w:rStyle w:val="Style1"/>
              <w:color w:val="FF0000"/>
            </w:rPr>
            <w:t>December 2013</w:t>
          </w:r>
        </w:sdtContent>
      </w:sdt>
      <w:r w:rsidR="00414CC3" w:rsidRPr="0088516A">
        <w:rPr>
          <w:rFonts w:cstheme="minorHAnsi"/>
          <w:color w:val="FF0000"/>
        </w:rPr>
        <w:t xml:space="preserve"> (2016 Submission)</w:t>
      </w:r>
    </w:p>
    <w:p w14:paraId="40C38437" w14:textId="77777777" w:rsidR="000574AB" w:rsidRDefault="000574AB" w:rsidP="00DD4389">
      <w:pPr>
        <w:autoSpaceDE w:val="0"/>
        <w:autoSpaceDN w:val="0"/>
        <w:adjustRightInd w:val="0"/>
        <w:spacing w:after="0" w:line="240" w:lineRule="auto"/>
        <w:rPr>
          <w:rFonts w:cstheme="minorHAnsi"/>
          <w:bCs/>
        </w:rPr>
      </w:pPr>
    </w:p>
    <w:p w14:paraId="27B40DEB" w14:textId="77777777" w:rsidR="000414E8" w:rsidRDefault="002B5016" w:rsidP="00DD4389">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47EB017A" w14:textId="77777777" w:rsidTr="000414E8">
        <w:trPr>
          <w:jc w:val="center"/>
        </w:trPr>
        <w:tc>
          <w:tcPr>
            <w:tcW w:w="5027" w:type="dxa"/>
            <w:shd w:val="clear" w:color="auto" w:fill="D9D9D9" w:themeFill="background1" w:themeFillShade="D9"/>
          </w:tcPr>
          <w:p w14:paraId="4186C557" w14:textId="77777777" w:rsidR="000414E8" w:rsidRDefault="000414E8" w:rsidP="00DD4389">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6A4D73B1" w14:textId="77777777" w:rsidR="009A6A57" w:rsidRPr="00A01494" w:rsidRDefault="009A6A57" w:rsidP="00DD4389">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385C4C61" w14:textId="77777777" w:rsidR="000414E8" w:rsidRPr="00A01494" w:rsidRDefault="000414E8" w:rsidP="00DD4389">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6C11DD7A" w14:textId="77777777" w:rsidTr="000414E8">
        <w:trPr>
          <w:jc w:val="center"/>
        </w:trPr>
        <w:tc>
          <w:tcPr>
            <w:tcW w:w="5027" w:type="dxa"/>
          </w:tcPr>
          <w:p w14:paraId="1DA46FCD" w14:textId="77777777" w:rsidR="000414E8" w:rsidRPr="00A01494" w:rsidRDefault="007D0E80" w:rsidP="00DD4389">
            <w:pPr>
              <w:autoSpaceDE w:val="0"/>
              <w:autoSpaceDN w:val="0"/>
              <w:adjustRightInd w:val="0"/>
              <w:rPr>
                <w:rFonts w:cstheme="minorHAnsi"/>
                <w:bCs/>
              </w:rPr>
            </w:pPr>
            <w:sdt>
              <w:sdtPr>
                <w:rPr>
                  <w:rFonts w:cstheme="minorHAnsi"/>
                  <w:bCs/>
                  <w:color w:val="0000FF"/>
                </w:rPr>
                <w:id w:val="447514278"/>
                <w14:checkbox>
                  <w14:checked w14:val="0"/>
                  <w14:checkedState w14:val="2612" w14:font="Arial Unicode MS"/>
                  <w14:uncheckedState w14:val="2610" w14:font="Arial Unicode MS"/>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4861D414" w14:textId="77777777" w:rsidR="000414E8" w:rsidRPr="00A01494" w:rsidRDefault="007D0E80" w:rsidP="00DD4389">
            <w:pPr>
              <w:autoSpaceDE w:val="0"/>
              <w:autoSpaceDN w:val="0"/>
              <w:adjustRightInd w:val="0"/>
              <w:rPr>
                <w:rFonts w:cstheme="minorHAnsi"/>
                <w:bCs/>
              </w:rPr>
            </w:pPr>
            <w:sdt>
              <w:sdtPr>
                <w:rPr>
                  <w:rFonts w:cstheme="minorHAnsi"/>
                  <w:bCs/>
                  <w:color w:val="0000FF"/>
                </w:rPr>
                <w:id w:val="1571624283"/>
                <w14:checkbox>
                  <w14:checked w14:val="0"/>
                  <w14:checkedState w14:val="2612" w14:font="Arial Unicode MS"/>
                  <w14:uncheckedState w14:val="2610" w14:font="Arial Unicode MS"/>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D916BA" w:rsidRPr="00A01494" w14:paraId="79051602" w14:textId="77777777" w:rsidTr="00A87867">
        <w:trPr>
          <w:jc w:val="center"/>
        </w:trPr>
        <w:tc>
          <w:tcPr>
            <w:tcW w:w="5027" w:type="dxa"/>
            <w:vAlign w:val="center"/>
          </w:tcPr>
          <w:p w14:paraId="046A85D6" w14:textId="337A9A71" w:rsidR="00D916BA" w:rsidRPr="00A01494" w:rsidRDefault="007D0E80" w:rsidP="00DD4389">
            <w:pPr>
              <w:autoSpaceDE w:val="0"/>
              <w:autoSpaceDN w:val="0"/>
              <w:adjustRightInd w:val="0"/>
              <w:rPr>
                <w:rFonts w:cstheme="minorHAnsi"/>
                <w:bCs/>
              </w:rPr>
            </w:pPr>
            <w:sdt>
              <w:sdtPr>
                <w:rPr>
                  <w:rFonts w:ascii="MS Gothic" w:eastAsia="MS Gothic" w:hAnsi="MS Gothic" w:cstheme="minorHAnsi"/>
                  <w:bCs/>
                  <w:color w:val="0000FF"/>
                </w:rPr>
                <w:id w:val="-834455086"/>
                <w14:checkbox>
                  <w14:checked w14:val="0"/>
                  <w14:checkedState w14:val="2612" w14:font="Arial Unicode MS"/>
                  <w14:uncheckedState w14:val="2610" w14:font="Arial Unicode MS"/>
                </w14:checkbox>
              </w:sdtPr>
              <w:sdtContent>
                <w:r w:rsidR="00D916BA" w:rsidRPr="00D916BA">
                  <w:rPr>
                    <w:rFonts w:ascii="MS Gothic" w:eastAsia="MS Gothic" w:hAnsi="MS Gothic" w:cstheme="minorHAnsi" w:hint="eastAsia"/>
                    <w:bCs/>
                    <w:color w:val="0000FF"/>
                  </w:rPr>
                  <w:t>☐</w:t>
                </w:r>
              </w:sdtContent>
            </w:sdt>
            <w:r w:rsidR="00D916BA">
              <w:rPr>
                <w:rFonts w:cstheme="minorHAnsi"/>
                <w:bCs/>
              </w:rPr>
              <w:t xml:space="preserve"> </w:t>
            </w:r>
            <w:r w:rsidR="00D916BA">
              <w:rPr>
                <w:rFonts w:eastAsia="MS Gothic" w:cstheme="minorHAnsi"/>
                <w:bCs/>
              </w:rPr>
              <w:t>group/practice</w:t>
            </w:r>
          </w:p>
        </w:tc>
        <w:tc>
          <w:tcPr>
            <w:tcW w:w="5028" w:type="dxa"/>
            <w:vAlign w:val="center"/>
          </w:tcPr>
          <w:p w14:paraId="059D279B" w14:textId="32BCC3A2" w:rsidR="00D916BA" w:rsidRPr="00A01494" w:rsidRDefault="007D0E80" w:rsidP="00DD4389">
            <w:pPr>
              <w:autoSpaceDE w:val="0"/>
              <w:autoSpaceDN w:val="0"/>
              <w:adjustRightInd w:val="0"/>
              <w:rPr>
                <w:rFonts w:cstheme="minorHAnsi"/>
                <w:bCs/>
              </w:rPr>
            </w:pPr>
            <w:sdt>
              <w:sdtPr>
                <w:rPr>
                  <w:rFonts w:ascii="MS Gothic" w:eastAsia="MS Gothic" w:hAnsi="MS Gothic" w:cstheme="minorHAnsi"/>
                  <w:bCs/>
                  <w:color w:val="0000FF"/>
                </w:rPr>
                <w:id w:val="-831608572"/>
                <w14:checkbox>
                  <w14:checked w14:val="0"/>
                  <w14:checkedState w14:val="2612" w14:font="Arial Unicode MS"/>
                  <w14:uncheckedState w14:val="2610" w14:font="Arial Unicode MS"/>
                </w14:checkbox>
              </w:sdtPr>
              <w:sdtContent>
                <w:r w:rsidR="00D916BA" w:rsidRPr="00D916BA">
                  <w:rPr>
                    <w:rFonts w:ascii="MS Gothic" w:eastAsia="MS Gothic" w:hAnsi="MS Gothic" w:cstheme="minorHAnsi" w:hint="eastAsia"/>
                    <w:bCs/>
                    <w:color w:val="0000FF"/>
                  </w:rPr>
                  <w:t>☐</w:t>
                </w:r>
              </w:sdtContent>
            </w:sdt>
            <w:r w:rsidR="00D916BA">
              <w:rPr>
                <w:rFonts w:cstheme="minorHAnsi"/>
                <w:bCs/>
              </w:rPr>
              <w:t xml:space="preserve"> </w:t>
            </w:r>
            <w:r w:rsidR="00D916BA">
              <w:rPr>
                <w:rFonts w:eastAsia="MS Gothic" w:cstheme="minorHAnsi"/>
                <w:bCs/>
              </w:rPr>
              <w:t>group/practice</w:t>
            </w:r>
          </w:p>
        </w:tc>
      </w:tr>
      <w:tr w:rsidR="000414E8" w:rsidRPr="00A01494" w14:paraId="0E4A07E6" w14:textId="77777777" w:rsidTr="000414E8">
        <w:trPr>
          <w:jc w:val="center"/>
        </w:trPr>
        <w:tc>
          <w:tcPr>
            <w:tcW w:w="5027" w:type="dxa"/>
          </w:tcPr>
          <w:p w14:paraId="532A4D7A" w14:textId="7B5C7C30" w:rsidR="000414E8" w:rsidRPr="00A01494" w:rsidRDefault="0088516A" w:rsidP="00DD4389">
            <w:pPr>
              <w:autoSpaceDE w:val="0"/>
              <w:autoSpaceDN w:val="0"/>
              <w:adjustRightInd w:val="0"/>
              <w:rPr>
                <w:rFonts w:cstheme="minorHAnsi"/>
                <w:bCs/>
              </w:rPr>
            </w:pPr>
            <w:sdt>
              <w:sdtPr>
                <w:rPr>
                  <w:rFonts w:cstheme="minorHAnsi"/>
                  <w:bCs/>
                  <w:color w:val="000000" w:themeColor="text1"/>
                </w:rPr>
                <w:id w:val="-1952933019"/>
                <w14:checkbox>
                  <w14:checked w14:val="1"/>
                  <w14:checkedState w14:val="2612" w14:font="Arial Unicode MS"/>
                  <w14:uncheckedState w14:val="2610" w14:font="Arial Unicode MS"/>
                </w14:checkbox>
              </w:sdtPr>
              <w:sdtContent>
                <w:r w:rsidRPr="00AF6521">
                  <w:rPr>
                    <w:rFonts w:ascii="MS Gothic" w:eastAsia="MS Gothic" w:hAnsi="MS Gothic" w:cstheme="minorHAnsi" w:hint="eastAsia"/>
                    <w:bCs/>
                    <w:color w:val="000000" w:themeColor="text1"/>
                  </w:rPr>
                  <w:t>☒</w:t>
                </w:r>
              </w:sdtContent>
            </w:sdt>
            <w:r w:rsidRPr="00AF6521">
              <w:rPr>
                <w:rFonts w:cstheme="minorHAnsi"/>
                <w:bCs/>
                <w:color w:val="FF0000"/>
              </w:rPr>
              <w:t xml:space="preserve"> </w:t>
            </w:r>
            <w:sdt>
              <w:sdtPr>
                <w:rPr>
                  <w:rFonts w:eastAsia="MS Gothic" w:cstheme="minorHAnsi"/>
                  <w:bCs/>
                  <w:color w:val="FF0000"/>
                </w:rPr>
                <w:id w:val="-610050937"/>
                <w14:checkbox>
                  <w14:checked w14:val="1"/>
                  <w14:checkedState w14:val="2612" w14:font="Arial Unicode MS"/>
                  <w14:uncheckedState w14:val="2610" w14:font="Arial Unicode MS"/>
                </w14:checkbox>
              </w:sdtPr>
              <w:sdtContent>
                <w:r w:rsidRPr="00AF6521">
                  <w:rPr>
                    <w:rFonts w:ascii="MS Gothic" w:eastAsia="MS Gothic" w:hAnsi="MS Gothic" w:cstheme="minorHAnsi" w:hint="eastAsia"/>
                    <w:bCs/>
                    <w:color w:val="FF0000"/>
                  </w:rPr>
                  <w:t>☒</w:t>
                </w:r>
              </w:sdtContent>
            </w:sdt>
            <w:r w:rsidRPr="00A01494">
              <w:rPr>
                <w:rFonts w:eastAsia="MS Gothic" w:cstheme="minorHAnsi"/>
                <w:bCs/>
              </w:rPr>
              <w:t xml:space="preserve"> </w:t>
            </w:r>
            <w:r w:rsidR="000414E8">
              <w:rPr>
                <w:rFonts w:eastAsia="MS Gothic" w:cstheme="minorHAnsi"/>
                <w:bCs/>
              </w:rPr>
              <w:t>hospital/facility/agency</w:t>
            </w:r>
          </w:p>
        </w:tc>
        <w:tc>
          <w:tcPr>
            <w:tcW w:w="5028" w:type="dxa"/>
          </w:tcPr>
          <w:p w14:paraId="18EB19D0" w14:textId="4AFACA4B" w:rsidR="000414E8" w:rsidRPr="00A01494" w:rsidRDefault="0088516A" w:rsidP="00DD4389">
            <w:pPr>
              <w:autoSpaceDE w:val="0"/>
              <w:autoSpaceDN w:val="0"/>
              <w:adjustRightInd w:val="0"/>
              <w:rPr>
                <w:rFonts w:cstheme="minorHAnsi"/>
                <w:bCs/>
              </w:rPr>
            </w:pPr>
            <w:sdt>
              <w:sdtPr>
                <w:rPr>
                  <w:rFonts w:cstheme="minorHAnsi"/>
                  <w:bCs/>
                  <w:color w:val="000000" w:themeColor="text1"/>
                </w:rPr>
                <w:id w:val="788551781"/>
                <w14:checkbox>
                  <w14:checked w14:val="1"/>
                  <w14:checkedState w14:val="2612" w14:font="Arial Unicode MS"/>
                  <w14:uncheckedState w14:val="2610" w14:font="Arial Unicode MS"/>
                </w14:checkbox>
              </w:sdtPr>
              <w:sdtContent>
                <w:r w:rsidRPr="00AF6521">
                  <w:rPr>
                    <w:rFonts w:ascii="MS Gothic" w:eastAsia="MS Gothic" w:hAnsi="MS Gothic" w:cstheme="minorHAnsi" w:hint="eastAsia"/>
                    <w:bCs/>
                    <w:color w:val="000000" w:themeColor="text1"/>
                  </w:rPr>
                  <w:t>☒</w:t>
                </w:r>
              </w:sdtContent>
            </w:sdt>
            <w:r w:rsidRPr="00AF6521">
              <w:rPr>
                <w:rFonts w:cstheme="minorHAnsi"/>
                <w:bCs/>
                <w:color w:val="FF0000"/>
              </w:rPr>
              <w:t xml:space="preserve"> </w:t>
            </w:r>
            <w:sdt>
              <w:sdtPr>
                <w:rPr>
                  <w:rFonts w:eastAsia="MS Gothic" w:cstheme="minorHAnsi"/>
                  <w:bCs/>
                  <w:color w:val="FF0000"/>
                </w:rPr>
                <w:id w:val="1640458610"/>
                <w14:checkbox>
                  <w14:checked w14:val="1"/>
                  <w14:checkedState w14:val="2612" w14:font="Arial Unicode MS"/>
                  <w14:uncheckedState w14:val="2610" w14:font="Arial Unicode MS"/>
                </w14:checkbox>
              </w:sdtPr>
              <w:sdtContent>
                <w:r w:rsidRPr="00AF6521">
                  <w:rPr>
                    <w:rFonts w:ascii="MS Gothic" w:eastAsia="MS Gothic" w:hAnsi="MS Gothic" w:cstheme="minorHAnsi" w:hint="eastAsia"/>
                    <w:bCs/>
                    <w:color w:val="FF0000"/>
                  </w:rPr>
                  <w:t>☒</w:t>
                </w:r>
              </w:sdtContent>
            </w:sdt>
            <w:r w:rsidRPr="00A01494">
              <w:rPr>
                <w:rFonts w:eastAsia="MS Gothic" w:cstheme="minorHAnsi"/>
                <w:bCs/>
              </w:rPr>
              <w:t xml:space="preserve"> </w:t>
            </w:r>
            <w:r w:rsidR="000414E8">
              <w:rPr>
                <w:rFonts w:eastAsia="MS Gothic" w:cstheme="minorHAnsi"/>
                <w:bCs/>
              </w:rPr>
              <w:t>hospital/facility/agency</w:t>
            </w:r>
          </w:p>
        </w:tc>
      </w:tr>
      <w:tr w:rsidR="000414E8" w:rsidRPr="00A01494" w14:paraId="6A83D587" w14:textId="77777777" w:rsidTr="000414E8">
        <w:trPr>
          <w:jc w:val="center"/>
        </w:trPr>
        <w:tc>
          <w:tcPr>
            <w:tcW w:w="5027" w:type="dxa"/>
          </w:tcPr>
          <w:p w14:paraId="491DB308" w14:textId="77777777" w:rsidR="000414E8" w:rsidRPr="00A01494" w:rsidRDefault="007D0E80" w:rsidP="00DD4389">
            <w:pPr>
              <w:autoSpaceDE w:val="0"/>
              <w:autoSpaceDN w:val="0"/>
              <w:adjustRightInd w:val="0"/>
              <w:rPr>
                <w:rFonts w:cstheme="minorHAnsi"/>
                <w:bCs/>
              </w:rPr>
            </w:pPr>
            <w:sdt>
              <w:sdtPr>
                <w:rPr>
                  <w:rFonts w:cstheme="minorHAnsi"/>
                  <w:bCs/>
                  <w:color w:val="0000FF"/>
                </w:rPr>
                <w:id w:val="275535217"/>
                <w14:checkbox>
                  <w14:checked w14:val="0"/>
                  <w14:checkedState w14:val="2612" w14:font="Arial Unicode MS"/>
                  <w14:uncheckedState w14:val="2610" w14:font="Arial Unicode MS"/>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136A27C1" w14:textId="77777777" w:rsidR="000414E8" w:rsidRPr="00A01494" w:rsidRDefault="007D0E80" w:rsidP="00DD4389">
            <w:pPr>
              <w:autoSpaceDE w:val="0"/>
              <w:autoSpaceDN w:val="0"/>
              <w:adjustRightInd w:val="0"/>
              <w:rPr>
                <w:rFonts w:cstheme="minorHAnsi"/>
                <w:bCs/>
              </w:rPr>
            </w:pPr>
            <w:sdt>
              <w:sdtPr>
                <w:rPr>
                  <w:rFonts w:cstheme="minorHAnsi"/>
                  <w:bCs/>
                  <w:color w:val="0000FF"/>
                </w:rPr>
                <w:id w:val="1896924375"/>
                <w14:checkbox>
                  <w14:checked w14:val="0"/>
                  <w14:checkedState w14:val="2612" w14:font="Arial Unicode MS"/>
                  <w14:uncheckedState w14:val="2610" w14:font="Arial Unicode MS"/>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5100E627" w14:textId="77777777" w:rsidTr="000414E8">
        <w:trPr>
          <w:jc w:val="center"/>
        </w:trPr>
        <w:tc>
          <w:tcPr>
            <w:tcW w:w="5027" w:type="dxa"/>
          </w:tcPr>
          <w:p w14:paraId="5EA381A5" w14:textId="0847A752" w:rsidR="000414E8" w:rsidRPr="00A01494" w:rsidRDefault="0088516A" w:rsidP="00DD4389">
            <w:pPr>
              <w:autoSpaceDE w:val="0"/>
              <w:autoSpaceDN w:val="0"/>
              <w:adjustRightInd w:val="0"/>
              <w:rPr>
                <w:rFonts w:cstheme="minorHAnsi"/>
                <w:bCs/>
              </w:rPr>
            </w:pPr>
            <w:sdt>
              <w:sdtPr>
                <w:rPr>
                  <w:rFonts w:cstheme="minorHAnsi"/>
                  <w:bCs/>
                  <w:color w:val="000000" w:themeColor="text1"/>
                </w:rPr>
                <w:id w:val="-1998642177"/>
                <w14:checkbox>
                  <w14:checked w14:val="1"/>
                  <w14:checkedState w14:val="2612" w14:font="Arial Unicode MS"/>
                  <w14:uncheckedState w14:val="2610" w14:font="Arial Unicode MS"/>
                </w14:checkbox>
              </w:sdtPr>
              <w:sdtContent>
                <w:r w:rsidRPr="00AF6521">
                  <w:rPr>
                    <w:rFonts w:ascii="MS Gothic" w:eastAsia="MS Gothic" w:hAnsi="MS Gothic" w:cstheme="minorHAnsi" w:hint="eastAsia"/>
                    <w:bCs/>
                    <w:color w:val="000000" w:themeColor="text1"/>
                  </w:rPr>
                  <w:t>☒</w:t>
                </w:r>
              </w:sdtContent>
            </w:sdt>
            <w:r w:rsidRPr="00AF6521">
              <w:rPr>
                <w:rFonts w:cstheme="minorHAnsi"/>
                <w:bCs/>
                <w:color w:val="FF0000"/>
              </w:rPr>
              <w:t xml:space="preserve"> </w:t>
            </w:r>
            <w:sdt>
              <w:sdtPr>
                <w:rPr>
                  <w:rFonts w:eastAsia="MS Gothic" w:cstheme="minorHAnsi"/>
                  <w:bCs/>
                  <w:color w:val="FF0000"/>
                </w:rPr>
                <w:id w:val="851222432"/>
                <w14:checkbox>
                  <w14:checked w14:val="1"/>
                  <w14:checkedState w14:val="2612" w14:font="Arial Unicode MS"/>
                  <w14:uncheckedState w14:val="2610" w14:font="Arial Unicode MS"/>
                </w14:checkbox>
              </w:sdtPr>
              <w:sdtContent>
                <w:r w:rsidRPr="00AF6521">
                  <w:rPr>
                    <w:rFonts w:ascii="MS Gothic" w:eastAsia="MS Gothic" w:hAnsi="MS Gothic" w:cstheme="minorHAnsi" w:hint="eastAsia"/>
                    <w:bCs/>
                    <w:color w:val="FF0000"/>
                  </w:rPr>
                  <w:t>☒</w:t>
                </w:r>
              </w:sdtContent>
            </w:sdt>
            <w:r w:rsidRPr="00A01494">
              <w:rPr>
                <w:rFonts w:eastAsia="MS Gothic" w:cstheme="minorHAnsi"/>
                <w:bCs/>
              </w:rPr>
              <w:t xml:space="preserve"> </w:t>
            </w:r>
            <w:r w:rsidR="000414E8" w:rsidRPr="00A01494">
              <w:rPr>
                <w:rFonts w:cstheme="minorHAnsi"/>
                <w:bCs/>
              </w:rPr>
              <w:t>other:</w:t>
            </w:r>
            <w:r w:rsidR="00712770">
              <w:rPr>
                <w:rFonts w:cstheme="minorHAnsi"/>
                <w:bCs/>
              </w:rPr>
              <w:t xml:space="preserve"> </w:t>
            </w:r>
            <w:sdt>
              <w:sdtPr>
                <w:rPr>
                  <w:rStyle w:val="Style1"/>
                </w:rPr>
                <w:id w:val="1923679898"/>
                <w:text/>
              </w:sdtPr>
              <w:sdtEndPr>
                <w:rPr>
                  <w:rStyle w:val="DefaultParagraphFont"/>
                  <w:rFonts w:cstheme="minorHAnsi"/>
                  <w:bCs/>
                  <w:color w:val="auto"/>
                </w:rPr>
              </w:sdtEndPr>
              <w:sdtContent>
                <w:r w:rsidR="00537135">
                  <w:rPr>
                    <w:rStyle w:val="Style1"/>
                  </w:rPr>
                  <w:t>state, national</w:t>
                </w:r>
              </w:sdtContent>
            </w:sdt>
          </w:p>
        </w:tc>
        <w:tc>
          <w:tcPr>
            <w:tcW w:w="5028" w:type="dxa"/>
          </w:tcPr>
          <w:p w14:paraId="41B17C78" w14:textId="0F92FED7" w:rsidR="000414E8" w:rsidRPr="00A01494" w:rsidRDefault="00105564" w:rsidP="00DD4389">
            <w:pPr>
              <w:autoSpaceDE w:val="0"/>
              <w:autoSpaceDN w:val="0"/>
              <w:adjustRightInd w:val="0"/>
              <w:rPr>
                <w:rFonts w:cstheme="minorHAnsi"/>
                <w:bCs/>
              </w:rPr>
            </w:pPr>
            <w:sdt>
              <w:sdtPr>
                <w:rPr>
                  <w:rFonts w:cstheme="minorHAnsi"/>
                  <w:bCs/>
                  <w:color w:val="000000" w:themeColor="text1"/>
                </w:rPr>
                <w:id w:val="1170683692"/>
                <w14:checkbox>
                  <w14:checked w14:val="1"/>
                  <w14:checkedState w14:val="2612" w14:font="Arial Unicode MS"/>
                  <w14:uncheckedState w14:val="2610" w14:font="Arial Unicode MS"/>
                </w14:checkbox>
              </w:sdtPr>
              <w:sdtContent>
                <w:r w:rsidRPr="00AF6521">
                  <w:rPr>
                    <w:rFonts w:ascii="MS Gothic" w:eastAsia="MS Gothic" w:hAnsi="MS Gothic" w:cstheme="minorHAnsi" w:hint="eastAsia"/>
                    <w:bCs/>
                    <w:color w:val="000000" w:themeColor="text1"/>
                  </w:rPr>
                  <w:t>☒</w:t>
                </w:r>
              </w:sdtContent>
            </w:sdt>
            <w:r w:rsidRPr="00AF6521">
              <w:rPr>
                <w:rFonts w:cstheme="minorHAnsi"/>
                <w:bCs/>
                <w:color w:val="FF0000"/>
              </w:rPr>
              <w:t xml:space="preserve"> </w:t>
            </w:r>
            <w:sdt>
              <w:sdtPr>
                <w:rPr>
                  <w:rFonts w:eastAsia="MS Gothic" w:cstheme="minorHAnsi"/>
                  <w:bCs/>
                  <w:color w:val="FF0000"/>
                </w:rPr>
                <w:id w:val="-536893776"/>
                <w14:checkbox>
                  <w14:checked w14:val="1"/>
                  <w14:checkedState w14:val="2612" w14:font="Arial Unicode MS"/>
                  <w14:uncheckedState w14:val="2610" w14:font="Arial Unicode MS"/>
                </w14:checkbox>
              </w:sdtPr>
              <w:sdtContent>
                <w:r w:rsidRPr="00AF6521">
                  <w:rPr>
                    <w:rFonts w:ascii="MS Gothic" w:eastAsia="MS Gothic" w:hAnsi="MS Gothic" w:cstheme="minorHAnsi" w:hint="eastAsia"/>
                    <w:bCs/>
                    <w:color w:val="FF0000"/>
                  </w:rPr>
                  <w:t>☒</w:t>
                </w:r>
              </w:sdtContent>
            </w:sdt>
            <w:r w:rsidRPr="00A01494">
              <w:rPr>
                <w:rFonts w:eastAsia="MS Gothic" w:cstheme="minorHAnsi"/>
                <w:bCs/>
              </w:rPr>
              <w:t xml:space="preserve"> </w:t>
            </w:r>
            <w:r w:rsidR="000414E8" w:rsidRPr="00A01494">
              <w:rPr>
                <w:rFonts w:cstheme="minorHAnsi"/>
                <w:bCs/>
              </w:rPr>
              <w:t>other:</w:t>
            </w:r>
            <w:r w:rsidR="00712770">
              <w:rPr>
                <w:rFonts w:cstheme="minorHAnsi"/>
                <w:bCs/>
              </w:rPr>
              <w:t xml:space="preserve"> </w:t>
            </w:r>
            <w:sdt>
              <w:sdtPr>
                <w:rPr>
                  <w:rStyle w:val="Style1"/>
                </w:rPr>
                <w:id w:val="2034217519"/>
                <w:text/>
              </w:sdtPr>
              <w:sdtEndPr>
                <w:rPr>
                  <w:rStyle w:val="DefaultParagraphFont"/>
                  <w:rFonts w:cstheme="minorHAnsi"/>
                  <w:bCs/>
                  <w:color w:val="auto"/>
                </w:rPr>
              </w:sdtEndPr>
              <w:sdtContent>
                <w:r w:rsidR="00537135">
                  <w:rPr>
                    <w:rStyle w:val="Style1"/>
                  </w:rPr>
                  <w:t>state, national</w:t>
                </w:r>
              </w:sdtContent>
            </w:sdt>
          </w:p>
        </w:tc>
      </w:tr>
    </w:tbl>
    <w:p w14:paraId="2A8A48DA" w14:textId="77777777" w:rsidR="000414E8" w:rsidRPr="00A25024" w:rsidRDefault="000414E8" w:rsidP="00DD4389">
      <w:pPr>
        <w:autoSpaceDE w:val="0"/>
        <w:autoSpaceDN w:val="0"/>
        <w:adjustRightInd w:val="0"/>
        <w:spacing w:after="0" w:line="240" w:lineRule="auto"/>
        <w:rPr>
          <w:rFonts w:cstheme="minorHAnsi"/>
          <w:bCs/>
        </w:rPr>
      </w:pPr>
    </w:p>
    <w:p w14:paraId="7AF4E733" w14:textId="3181C561" w:rsidR="00537135" w:rsidRDefault="002B5016" w:rsidP="00EE7629">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7F3C4079" w14:textId="587AB5F1" w:rsidR="00105564" w:rsidRDefault="00105564" w:rsidP="00EE7629">
      <w:pPr>
        <w:autoSpaceDE w:val="0"/>
        <w:autoSpaceDN w:val="0"/>
        <w:adjustRightInd w:val="0"/>
        <w:spacing w:after="0" w:line="240" w:lineRule="auto"/>
        <w:rPr>
          <w:rFonts w:cstheme="minorHAnsi"/>
          <w:b/>
          <w:bCs/>
        </w:rPr>
      </w:pPr>
      <w:r>
        <w:rPr>
          <w:rFonts w:cstheme="minorHAnsi"/>
          <w:b/>
          <w:bCs/>
        </w:rPr>
        <w:t>2014 Submission:</w:t>
      </w:r>
    </w:p>
    <w:p w14:paraId="376C8017" w14:textId="49FE83AE" w:rsidR="00105564" w:rsidRPr="00105564" w:rsidRDefault="00105564" w:rsidP="00EE7629">
      <w:pPr>
        <w:autoSpaceDE w:val="0"/>
        <w:autoSpaceDN w:val="0"/>
        <w:adjustRightInd w:val="0"/>
        <w:spacing w:after="0" w:line="240" w:lineRule="auto"/>
        <w:rPr>
          <w:rFonts w:cstheme="minorHAnsi"/>
          <w:bCs/>
        </w:rPr>
      </w:pPr>
      <w:r w:rsidRPr="00105564">
        <w:rPr>
          <w:rFonts w:cstheme="minorHAnsi"/>
          <w:bCs/>
        </w:rPr>
        <w:t xml:space="preserve">Measure percentages </w:t>
      </w:r>
      <w:proofErr w:type="gramStart"/>
      <w:r w:rsidRPr="00105564">
        <w:rPr>
          <w:rFonts w:cstheme="minorHAnsi"/>
          <w:bCs/>
        </w:rPr>
        <w:t>were calculated</w:t>
      </w:r>
      <w:proofErr w:type="gramEnd"/>
      <w:r w:rsidRPr="00105564">
        <w:rPr>
          <w:rFonts w:cstheme="minorHAnsi"/>
          <w:bCs/>
        </w:rPr>
        <w:t xml:space="preserve"> for all hospital facilities in the Medicare FFS SAF files. </w:t>
      </w:r>
      <w:proofErr w:type="gramStart"/>
      <w:r w:rsidRPr="00105564">
        <w:rPr>
          <w:rFonts w:cstheme="minorHAnsi"/>
          <w:bCs/>
        </w:rPr>
        <w:t>Inclusion of facilities in subsequent analyses varied by type and intent of analysis.</w:t>
      </w:r>
      <w:proofErr w:type="gramEnd"/>
      <w:r w:rsidRPr="00105564">
        <w:rPr>
          <w:rFonts w:cstheme="minorHAnsi"/>
          <w:bCs/>
        </w:rPr>
        <w:t xml:space="preserve"> Analyses describing publicly reported values included all facilities eligible in the Hospital Outpatient Quality Reporting (HOQR) Program, regardless of whether the facility chooses to participate in the program or not. There are </w:t>
      </w:r>
      <w:proofErr w:type="gramStart"/>
      <w:r w:rsidRPr="00105564">
        <w:rPr>
          <w:rFonts w:cstheme="minorHAnsi"/>
          <w:bCs/>
        </w:rPr>
        <w:t>a total of 3,680</w:t>
      </w:r>
      <w:proofErr w:type="gramEnd"/>
      <w:r w:rsidRPr="00105564">
        <w:rPr>
          <w:rFonts w:cstheme="minorHAnsi"/>
          <w:bCs/>
        </w:rPr>
        <w:t xml:space="preserve"> eligible facilities in the HOQR Program, which include short-term, acute care hospitals, as well as critical access hospitals (CAHs). Case count requirements </w:t>
      </w:r>
      <w:proofErr w:type="gramStart"/>
      <w:r w:rsidRPr="00105564">
        <w:rPr>
          <w:rFonts w:cstheme="minorHAnsi"/>
          <w:bCs/>
        </w:rPr>
        <w:t>were applied</w:t>
      </w:r>
      <w:proofErr w:type="gramEnd"/>
      <w:r w:rsidRPr="00105564">
        <w:rPr>
          <w:rFonts w:cstheme="minorHAnsi"/>
          <w:bCs/>
        </w:rPr>
        <w:t xml:space="preserve"> to exclude those facilities that did not have a significant number of cases for this measure for some analyses.</w:t>
      </w:r>
    </w:p>
    <w:p w14:paraId="45826BC0" w14:textId="77777777" w:rsidR="00105564" w:rsidRDefault="00105564" w:rsidP="00EE7629">
      <w:pPr>
        <w:autoSpaceDE w:val="0"/>
        <w:autoSpaceDN w:val="0"/>
        <w:adjustRightInd w:val="0"/>
        <w:spacing w:after="0" w:line="240" w:lineRule="auto"/>
        <w:rPr>
          <w:rFonts w:cstheme="minorHAnsi"/>
          <w:bCs/>
        </w:rPr>
      </w:pPr>
    </w:p>
    <w:p w14:paraId="440E77FD" w14:textId="7A1DED36" w:rsidR="00105564" w:rsidRPr="00105564" w:rsidRDefault="00105564" w:rsidP="00EE7629">
      <w:pPr>
        <w:autoSpaceDE w:val="0"/>
        <w:autoSpaceDN w:val="0"/>
        <w:adjustRightInd w:val="0"/>
        <w:spacing w:after="0" w:line="240" w:lineRule="auto"/>
        <w:rPr>
          <w:rFonts w:cstheme="minorHAnsi"/>
          <w:b/>
          <w:bCs/>
          <w:color w:val="FF0000"/>
        </w:rPr>
      </w:pPr>
      <w:r w:rsidRPr="00105564">
        <w:rPr>
          <w:rFonts w:cstheme="minorHAnsi"/>
          <w:b/>
          <w:bCs/>
          <w:color w:val="FF0000"/>
        </w:rPr>
        <w:t>2016 Submission:</w:t>
      </w:r>
    </w:p>
    <w:p w14:paraId="20568039" w14:textId="391D050C" w:rsidR="00537135" w:rsidRPr="00105564" w:rsidRDefault="006F0ACA" w:rsidP="00EE7629">
      <w:pPr>
        <w:autoSpaceDE w:val="0"/>
        <w:autoSpaceDN w:val="0"/>
        <w:adjustRightInd w:val="0"/>
        <w:spacing w:after="0" w:line="240" w:lineRule="auto"/>
        <w:rPr>
          <w:rFonts w:cstheme="minorHAnsi"/>
          <w:bCs/>
          <w:color w:val="FF0000"/>
        </w:rPr>
      </w:pPr>
      <w:r w:rsidRPr="00105564">
        <w:rPr>
          <w:rFonts w:cstheme="minorHAnsi"/>
          <w:bCs/>
          <w:color w:val="FF0000"/>
        </w:rPr>
        <w:t xml:space="preserve">The testing sample included </w:t>
      </w:r>
      <w:r w:rsidR="00251CA8" w:rsidRPr="00105564">
        <w:rPr>
          <w:rFonts w:cstheme="minorHAnsi"/>
          <w:bCs/>
          <w:color w:val="FF0000"/>
        </w:rPr>
        <w:t>2,569 facilities</w:t>
      </w:r>
      <w:r w:rsidRPr="00105564">
        <w:rPr>
          <w:rFonts w:cstheme="minorHAnsi"/>
          <w:bCs/>
          <w:color w:val="FF0000"/>
        </w:rPr>
        <w:t xml:space="preserve">. </w:t>
      </w:r>
      <w:r w:rsidR="00537135" w:rsidRPr="00105564">
        <w:rPr>
          <w:rFonts w:cstheme="minorHAnsi"/>
          <w:bCs/>
          <w:color w:val="FF0000"/>
        </w:rPr>
        <w:t>The number of measured entities (</w:t>
      </w:r>
      <w:r w:rsidRPr="00105564">
        <w:rPr>
          <w:rFonts w:cstheme="minorHAnsi"/>
          <w:bCs/>
          <w:color w:val="FF0000"/>
        </w:rPr>
        <w:t>facilities</w:t>
      </w:r>
      <w:r w:rsidR="00537135" w:rsidRPr="00105564">
        <w:rPr>
          <w:rFonts w:cstheme="minorHAnsi"/>
          <w:bCs/>
          <w:color w:val="FF0000"/>
        </w:rPr>
        <w:t xml:space="preserve">) varies by testing type; see </w:t>
      </w:r>
      <w:r w:rsidR="00537135" w:rsidRPr="00105564">
        <w:rPr>
          <w:rFonts w:cstheme="minorHAnsi"/>
          <w:b/>
          <w:bCs/>
          <w:color w:val="FF0000"/>
        </w:rPr>
        <w:t>Section 1.7</w:t>
      </w:r>
      <w:r w:rsidR="00537135" w:rsidRPr="00105564">
        <w:rPr>
          <w:rFonts w:cstheme="minorHAnsi"/>
          <w:bCs/>
          <w:color w:val="FF0000"/>
        </w:rPr>
        <w:t xml:space="preserve"> for details. </w:t>
      </w:r>
    </w:p>
    <w:p w14:paraId="6D95178A" w14:textId="77777777" w:rsidR="002B5016" w:rsidRPr="00A25024" w:rsidRDefault="002B5016" w:rsidP="00EE7629">
      <w:pPr>
        <w:autoSpaceDE w:val="0"/>
        <w:autoSpaceDN w:val="0"/>
        <w:adjustRightInd w:val="0"/>
        <w:spacing w:after="0" w:line="240" w:lineRule="auto"/>
        <w:rPr>
          <w:rFonts w:cstheme="minorHAnsi"/>
          <w:bCs/>
        </w:rPr>
      </w:pPr>
    </w:p>
    <w:p w14:paraId="69223BAF" w14:textId="0D4BAD1B" w:rsidR="00105564" w:rsidRDefault="002B5016" w:rsidP="00EE7629">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r w:rsidR="00105564">
        <w:rPr>
          <w:rFonts w:cstheme="minorHAnsi"/>
          <w:b/>
          <w:bCs/>
        </w:rPr>
        <w:t>2014 Submission:</w:t>
      </w:r>
    </w:p>
    <w:p w14:paraId="2B3CA4A6" w14:textId="48965A40" w:rsidR="00105564" w:rsidRPr="00105564" w:rsidRDefault="00105564" w:rsidP="00EE7629">
      <w:pPr>
        <w:autoSpaceDE w:val="0"/>
        <w:autoSpaceDN w:val="0"/>
        <w:adjustRightInd w:val="0"/>
        <w:spacing w:after="0" w:line="240" w:lineRule="auto"/>
        <w:rPr>
          <w:rFonts w:cstheme="minorHAnsi"/>
          <w:bCs/>
        </w:rPr>
      </w:pPr>
      <w:r w:rsidRPr="00105564">
        <w:rPr>
          <w:rFonts w:cstheme="minorHAnsi"/>
          <w:bCs/>
        </w:rPr>
        <w:t>All Medicare FFS patients in the SAF file were included in the testing and analysis. Some analyses only included facilities and patients eligible for the Hospital Outpatient Quality Reporting (HOQR) Program.</w:t>
      </w:r>
    </w:p>
    <w:p w14:paraId="1C47E5E8" w14:textId="77777777" w:rsidR="00105564" w:rsidRDefault="00105564" w:rsidP="00EE7629">
      <w:pPr>
        <w:autoSpaceDE w:val="0"/>
        <w:autoSpaceDN w:val="0"/>
        <w:adjustRightInd w:val="0"/>
        <w:spacing w:after="0" w:line="240" w:lineRule="auto"/>
        <w:rPr>
          <w:rFonts w:cstheme="minorHAnsi"/>
          <w:bCs/>
        </w:rPr>
      </w:pPr>
    </w:p>
    <w:p w14:paraId="4B112A6F" w14:textId="6C95AE5A" w:rsidR="00105564" w:rsidRPr="000530AD" w:rsidRDefault="00105564" w:rsidP="00EE7629">
      <w:pPr>
        <w:autoSpaceDE w:val="0"/>
        <w:autoSpaceDN w:val="0"/>
        <w:adjustRightInd w:val="0"/>
        <w:spacing w:after="0" w:line="240" w:lineRule="auto"/>
        <w:rPr>
          <w:rFonts w:cstheme="minorHAnsi"/>
          <w:b/>
          <w:bCs/>
          <w:color w:val="FF0000"/>
        </w:rPr>
      </w:pPr>
      <w:r w:rsidRPr="000530AD">
        <w:rPr>
          <w:rFonts w:cstheme="minorHAnsi"/>
          <w:b/>
          <w:bCs/>
          <w:color w:val="FF0000"/>
        </w:rPr>
        <w:t>2016 Submission:</w:t>
      </w:r>
    </w:p>
    <w:p w14:paraId="0BB50392" w14:textId="61588735" w:rsidR="007422FD" w:rsidRPr="000530AD" w:rsidRDefault="00537135" w:rsidP="00EE7629">
      <w:pPr>
        <w:autoSpaceDE w:val="0"/>
        <w:autoSpaceDN w:val="0"/>
        <w:adjustRightInd w:val="0"/>
        <w:spacing w:after="0" w:line="240" w:lineRule="auto"/>
        <w:rPr>
          <w:rFonts w:cstheme="minorHAnsi"/>
          <w:bCs/>
          <w:color w:val="FF0000"/>
        </w:rPr>
      </w:pPr>
      <w:r w:rsidRPr="000530AD">
        <w:rPr>
          <w:rFonts w:cstheme="minorHAnsi"/>
          <w:bCs/>
          <w:color w:val="FF0000"/>
        </w:rPr>
        <w:t xml:space="preserve">The number of patients varies by testing type; see </w:t>
      </w:r>
      <w:r w:rsidRPr="000530AD">
        <w:rPr>
          <w:rFonts w:cstheme="minorHAnsi"/>
          <w:b/>
          <w:bCs/>
          <w:color w:val="FF0000"/>
        </w:rPr>
        <w:t>Section 1.7</w:t>
      </w:r>
      <w:r w:rsidRPr="000530AD">
        <w:rPr>
          <w:rFonts w:cstheme="minorHAnsi"/>
          <w:bCs/>
          <w:color w:val="FF0000"/>
        </w:rPr>
        <w:t xml:space="preserve"> for details.</w:t>
      </w:r>
      <w:r w:rsidR="00F4673C" w:rsidRPr="000530AD">
        <w:rPr>
          <w:rFonts w:cstheme="minorHAnsi"/>
          <w:bCs/>
          <w:color w:val="FF0000"/>
        </w:rPr>
        <w:t xml:space="preserve"> Prior to applying minimum case count, there were 521,460 MRI lumbar spine study denominator cases in the hospital outpatient (facility) </w:t>
      </w:r>
      <w:proofErr w:type="gramStart"/>
      <w:r w:rsidR="00F4673C" w:rsidRPr="000530AD">
        <w:rPr>
          <w:rFonts w:cstheme="minorHAnsi"/>
          <w:bCs/>
          <w:color w:val="FF0000"/>
        </w:rPr>
        <w:t>setting.</w:t>
      </w:r>
      <w:proofErr w:type="gramEnd"/>
      <w:r w:rsidR="00F4673C" w:rsidRPr="000530AD">
        <w:rPr>
          <w:rFonts w:cstheme="minorHAnsi"/>
          <w:bCs/>
          <w:color w:val="FF0000"/>
        </w:rPr>
        <w:t xml:space="preserve"> </w:t>
      </w:r>
    </w:p>
    <w:p w14:paraId="5B94CAA0" w14:textId="77777777" w:rsidR="00C854A4" w:rsidRDefault="00C854A4" w:rsidP="00EE7629">
      <w:pPr>
        <w:autoSpaceDE w:val="0"/>
        <w:autoSpaceDN w:val="0"/>
        <w:adjustRightInd w:val="0"/>
        <w:spacing w:after="0" w:line="240" w:lineRule="auto"/>
        <w:rPr>
          <w:rFonts w:cstheme="minorHAnsi"/>
          <w:bCs/>
        </w:rPr>
      </w:pPr>
    </w:p>
    <w:p w14:paraId="1902DE9A" w14:textId="2D5EB0C8" w:rsidR="0021054A" w:rsidRDefault="002B5016" w:rsidP="00EE7629">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w:t>
      </w:r>
      <w:proofErr w:type="gramStart"/>
      <w:r w:rsidR="000574AB" w:rsidRPr="00A25024">
        <w:rPr>
          <w:rFonts w:cstheme="minorHAnsi"/>
          <w:b/>
          <w:bCs/>
        </w:rPr>
        <w:t>used</w:t>
      </w:r>
      <w:proofErr w:type="gramEnd"/>
      <w:r w:rsidR="000574AB" w:rsidRPr="00A25024">
        <w:rPr>
          <w:rFonts w:cstheme="minorHAnsi"/>
          <w:b/>
          <w:bCs/>
        </w:rPr>
        <w:t xml:space="preserve">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0F13EF76" w14:textId="5A0ADD23" w:rsidR="000530AD" w:rsidRDefault="000530AD" w:rsidP="00EE7629">
      <w:pPr>
        <w:autoSpaceDE w:val="0"/>
        <w:autoSpaceDN w:val="0"/>
        <w:adjustRightInd w:val="0"/>
        <w:spacing w:after="0" w:line="240" w:lineRule="auto"/>
        <w:rPr>
          <w:rFonts w:cstheme="minorHAnsi"/>
          <w:bCs/>
        </w:rPr>
      </w:pPr>
      <w:r>
        <w:rPr>
          <w:rFonts w:cstheme="minorHAnsi"/>
          <w:b/>
          <w:bCs/>
        </w:rPr>
        <w:t>2014 Submission:</w:t>
      </w:r>
    </w:p>
    <w:p w14:paraId="6DD25B42" w14:textId="460FE84C" w:rsidR="000530AD" w:rsidRPr="000530AD" w:rsidRDefault="000530AD" w:rsidP="00EE7629">
      <w:pPr>
        <w:autoSpaceDE w:val="0"/>
        <w:autoSpaceDN w:val="0"/>
        <w:adjustRightInd w:val="0"/>
        <w:spacing w:after="0" w:line="240" w:lineRule="auto"/>
        <w:rPr>
          <w:rFonts w:cstheme="minorHAnsi"/>
          <w:bCs/>
        </w:rPr>
      </w:pPr>
      <w:r w:rsidRPr="000530AD">
        <w:rPr>
          <w:rFonts w:cstheme="minorHAnsi"/>
          <w:bCs/>
        </w:rPr>
        <w:t xml:space="preserve">Measure testing relied exclusively on 100% Medicare FFS SAF data. The data year and subset used for each level of testing </w:t>
      </w:r>
      <w:proofErr w:type="gramStart"/>
      <w:r w:rsidRPr="000530AD">
        <w:rPr>
          <w:rFonts w:cstheme="minorHAnsi"/>
          <w:bCs/>
        </w:rPr>
        <w:t>is reported</w:t>
      </w:r>
      <w:proofErr w:type="gramEnd"/>
      <w:r w:rsidRPr="000530AD">
        <w:rPr>
          <w:rFonts w:cstheme="minorHAnsi"/>
          <w:bCs/>
        </w:rPr>
        <w:t xml:space="preserve"> in the testing narrative for each section.</w:t>
      </w:r>
    </w:p>
    <w:p w14:paraId="0AD64B13" w14:textId="77777777" w:rsidR="000530AD" w:rsidRDefault="000530AD" w:rsidP="00EE7629">
      <w:pPr>
        <w:autoSpaceDE w:val="0"/>
        <w:autoSpaceDN w:val="0"/>
        <w:adjustRightInd w:val="0"/>
        <w:spacing w:after="0" w:line="240" w:lineRule="auto"/>
        <w:rPr>
          <w:rFonts w:cstheme="minorHAnsi"/>
          <w:bCs/>
        </w:rPr>
      </w:pPr>
    </w:p>
    <w:p w14:paraId="6B4F9568" w14:textId="6723A2E7" w:rsidR="000530AD" w:rsidRPr="000530AD" w:rsidRDefault="000530AD" w:rsidP="00EE7629">
      <w:pPr>
        <w:autoSpaceDE w:val="0"/>
        <w:autoSpaceDN w:val="0"/>
        <w:adjustRightInd w:val="0"/>
        <w:spacing w:after="0" w:line="240" w:lineRule="auto"/>
        <w:rPr>
          <w:rFonts w:cstheme="minorHAnsi"/>
          <w:bCs/>
          <w:color w:val="FF0000"/>
        </w:rPr>
      </w:pPr>
      <w:r w:rsidRPr="000530AD">
        <w:rPr>
          <w:rFonts w:cstheme="minorHAnsi"/>
          <w:b/>
          <w:bCs/>
          <w:color w:val="FF0000"/>
        </w:rPr>
        <w:t>2016 Submission:</w:t>
      </w:r>
    </w:p>
    <w:p w14:paraId="37A62C58" w14:textId="158C39F2" w:rsidR="00537135" w:rsidRPr="000530AD" w:rsidRDefault="00537135" w:rsidP="00EE7629">
      <w:pPr>
        <w:autoSpaceDE w:val="0"/>
        <w:autoSpaceDN w:val="0"/>
        <w:adjustRightInd w:val="0"/>
        <w:spacing w:after="0" w:line="240" w:lineRule="auto"/>
        <w:rPr>
          <w:rFonts w:cstheme="minorHAnsi"/>
          <w:bCs/>
          <w:color w:val="FF0000"/>
        </w:rPr>
      </w:pPr>
      <w:r w:rsidRPr="000530AD">
        <w:rPr>
          <w:rFonts w:cstheme="minorHAnsi"/>
          <w:bCs/>
          <w:color w:val="FF0000"/>
        </w:rPr>
        <w:t>The data sources, dates, number of measured</w:t>
      </w:r>
      <w:r w:rsidR="00B77B71" w:rsidRPr="000530AD">
        <w:rPr>
          <w:rFonts w:cstheme="minorHAnsi"/>
          <w:bCs/>
          <w:color w:val="FF0000"/>
        </w:rPr>
        <w:t xml:space="preserve"> entities, number of MRI lumbar-</w:t>
      </w:r>
      <w:r w:rsidRPr="000530AD">
        <w:rPr>
          <w:rFonts w:cstheme="minorHAnsi"/>
          <w:bCs/>
          <w:color w:val="FF0000"/>
        </w:rPr>
        <w:t xml:space="preserve">spine studies, number of antecedent conservative therapies, level of analysis, and demographic profile for the patients used in each type of testing are as follows: </w:t>
      </w:r>
    </w:p>
    <w:p w14:paraId="1D246A89" w14:textId="77777777" w:rsidR="00537135" w:rsidRPr="000530AD" w:rsidRDefault="00537135" w:rsidP="00EE7629">
      <w:pPr>
        <w:autoSpaceDE w:val="0"/>
        <w:autoSpaceDN w:val="0"/>
        <w:adjustRightInd w:val="0"/>
        <w:spacing w:after="0" w:line="240" w:lineRule="auto"/>
        <w:rPr>
          <w:rFonts w:cstheme="minorHAnsi"/>
          <w:bCs/>
          <w:color w:val="FF0000"/>
        </w:rPr>
      </w:pPr>
    </w:p>
    <w:p w14:paraId="1917D261" w14:textId="77777777" w:rsidR="00537135" w:rsidRPr="000530AD" w:rsidRDefault="00537135" w:rsidP="00EE7629">
      <w:pPr>
        <w:autoSpaceDE w:val="0"/>
        <w:autoSpaceDN w:val="0"/>
        <w:spacing w:after="0" w:line="240" w:lineRule="auto"/>
        <w:rPr>
          <w:b/>
          <w:bCs/>
          <w:color w:val="FF0000"/>
        </w:rPr>
      </w:pPr>
      <w:r w:rsidRPr="000530AD">
        <w:rPr>
          <w:b/>
          <w:bCs/>
          <w:color w:val="FF0000"/>
        </w:rPr>
        <w:t>Reliability Testing</w:t>
      </w:r>
    </w:p>
    <w:p w14:paraId="766CD44A" w14:textId="0467E13B" w:rsidR="001D6ACA" w:rsidRPr="000530AD" w:rsidRDefault="001D6ACA" w:rsidP="00EE7629">
      <w:pPr>
        <w:autoSpaceDE w:val="0"/>
        <w:autoSpaceDN w:val="0"/>
        <w:spacing w:after="0" w:line="240" w:lineRule="auto"/>
        <w:rPr>
          <w:i/>
          <w:color w:val="FF0000"/>
        </w:rPr>
      </w:pPr>
      <w:r w:rsidRPr="000530AD">
        <w:rPr>
          <w:i/>
          <w:color w:val="FF0000"/>
        </w:rPr>
        <w:t>Facilities</w:t>
      </w:r>
    </w:p>
    <w:p w14:paraId="4E51D8E5" w14:textId="58B52E3D" w:rsidR="00537135" w:rsidRPr="000530AD" w:rsidRDefault="00537135" w:rsidP="00EE7629">
      <w:pPr>
        <w:autoSpaceDE w:val="0"/>
        <w:autoSpaceDN w:val="0"/>
        <w:spacing w:after="0" w:line="240" w:lineRule="auto"/>
        <w:rPr>
          <w:color w:val="FF0000"/>
        </w:rPr>
      </w:pPr>
      <w:r w:rsidRPr="000530AD">
        <w:rPr>
          <w:color w:val="FF0000"/>
          <w:u w:val="single"/>
        </w:rPr>
        <w:t>Data Source</w:t>
      </w:r>
      <w:r w:rsidRPr="000530AD">
        <w:rPr>
          <w:color w:val="FF0000"/>
        </w:rPr>
        <w:t>:</w:t>
      </w:r>
      <w:r w:rsidR="00C66718" w:rsidRPr="000530AD">
        <w:rPr>
          <w:color w:val="FF0000"/>
        </w:rPr>
        <w:t xml:space="preserve"> Denominator: SAF-O, SAF-I, </w:t>
      </w:r>
      <w:r w:rsidR="00251CA8" w:rsidRPr="000530AD">
        <w:rPr>
          <w:color w:val="FF0000"/>
        </w:rPr>
        <w:t>and Carrier;</w:t>
      </w:r>
      <w:r w:rsidR="00C66718" w:rsidRPr="000530AD">
        <w:rPr>
          <w:color w:val="FF0000"/>
        </w:rPr>
        <w:t xml:space="preserve"> Numerator: SAF-O and Carrier; Exclusions: SAF-O, SAF-I, and Carrier</w:t>
      </w:r>
      <w:r w:rsidRPr="000530AD">
        <w:rPr>
          <w:color w:val="FF0000"/>
        </w:rPr>
        <w:t xml:space="preserve"> </w:t>
      </w:r>
    </w:p>
    <w:p w14:paraId="34FAA774" w14:textId="7C86E617" w:rsidR="00537135" w:rsidRPr="000530AD" w:rsidRDefault="00537135" w:rsidP="00EE7629">
      <w:pPr>
        <w:autoSpaceDE w:val="0"/>
        <w:autoSpaceDN w:val="0"/>
        <w:spacing w:after="0" w:line="240" w:lineRule="auto"/>
        <w:rPr>
          <w:color w:val="FF0000"/>
        </w:rPr>
      </w:pPr>
      <w:r w:rsidRPr="000530AD">
        <w:rPr>
          <w:color w:val="FF0000"/>
          <w:u w:val="single"/>
        </w:rPr>
        <w:t>Dates</w:t>
      </w:r>
      <w:r w:rsidRPr="000530AD">
        <w:rPr>
          <w:color w:val="FF0000"/>
        </w:rPr>
        <w:t xml:space="preserve">: </w:t>
      </w:r>
      <w:r w:rsidR="00D34CE8" w:rsidRPr="000530AD">
        <w:rPr>
          <w:color w:val="FF0000"/>
        </w:rPr>
        <w:t>Denominator: January 1, 2013-</w:t>
      </w:r>
      <w:r w:rsidR="00C66718" w:rsidRPr="000530AD">
        <w:rPr>
          <w:color w:val="FF0000"/>
        </w:rPr>
        <w:t>December 31, 2013</w:t>
      </w:r>
      <w:r w:rsidR="00D34CE8" w:rsidRPr="000530AD">
        <w:rPr>
          <w:color w:val="FF0000"/>
        </w:rPr>
        <w:t>; Numerator: November 1, 2012-</w:t>
      </w:r>
      <w:r w:rsidR="00C66718" w:rsidRPr="000530AD">
        <w:rPr>
          <w:color w:val="FF0000"/>
        </w:rPr>
        <w:t>December 31, 2013</w:t>
      </w:r>
      <w:r w:rsidR="00D34CE8" w:rsidRPr="000530AD">
        <w:rPr>
          <w:color w:val="FF0000"/>
        </w:rPr>
        <w:t>; Exclusions: January 1, 2010-</w:t>
      </w:r>
      <w:r w:rsidR="00C66718" w:rsidRPr="000530AD">
        <w:rPr>
          <w:color w:val="FF0000"/>
        </w:rPr>
        <w:t xml:space="preserve">December 31, 2013 </w:t>
      </w:r>
    </w:p>
    <w:p w14:paraId="0EF6D3F4" w14:textId="0E637510" w:rsidR="00537135" w:rsidRPr="000530AD" w:rsidRDefault="00537135" w:rsidP="00EE7629">
      <w:pPr>
        <w:autoSpaceDE w:val="0"/>
        <w:autoSpaceDN w:val="0"/>
        <w:spacing w:after="0" w:line="240" w:lineRule="auto"/>
        <w:rPr>
          <w:color w:val="FF0000"/>
        </w:rPr>
      </w:pPr>
      <w:r w:rsidRPr="000530AD">
        <w:rPr>
          <w:color w:val="FF0000"/>
          <w:u w:val="single"/>
        </w:rPr>
        <w:t xml:space="preserve">Number of </w:t>
      </w:r>
      <w:r w:rsidR="00C66718" w:rsidRPr="000530AD">
        <w:rPr>
          <w:color w:val="FF0000"/>
          <w:u w:val="single"/>
        </w:rPr>
        <w:t>Measured Entities</w:t>
      </w:r>
      <w:r w:rsidRPr="000530AD">
        <w:rPr>
          <w:color w:val="FF0000"/>
        </w:rPr>
        <w:t xml:space="preserve">: </w:t>
      </w:r>
      <w:r w:rsidR="0017199C" w:rsidRPr="000530AD">
        <w:rPr>
          <w:color w:val="FF0000"/>
        </w:rPr>
        <w:t>1,616</w:t>
      </w:r>
      <w:r w:rsidR="001D497A" w:rsidRPr="000530AD">
        <w:rPr>
          <w:color w:val="FF0000"/>
        </w:rPr>
        <w:t xml:space="preserve"> </w:t>
      </w:r>
    </w:p>
    <w:p w14:paraId="2E2DDDB5" w14:textId="188E993E" w:rsidR="00537135" w:rsidRPr="000530AD" w:rsidRDefault="00B77B71" w:rsidP="00EE7629">
      <w:pPr>
        <w:autoSpaceDE w:val="0"/>
        <w:autoSpaceDN w:val="0"/>
        <w:spacing w:after="0" w:line="240" w:lineRule="auto"/>
        <w:rPr>
          <w:color w:val="FF0000"/>
        </w:rPr>
      </w:pPr>
      <w:r w:rsidRPr="000530AD">
        <w:rPr>
          <w:color w:val="FF0000"/>
          <w:u w:val="single"/>
        </w:rPr>
        <w:t>Number of MRI Lumbar-</w:t>
      </w:r>
      <w:r w:rsidR="00537135" w:rsidRPr="000530AD">
        <w:rPr>
          <w:color w:val="FF0000"/>
          <w:u w:val="single"/>
        </w:rPr>
        <w:t>Spine Studies</w:t>
      </w:r>
      <w:r w:rsidR="00537135" w:rsidRPr="000530AD">
        <w:rPr>
          <w:color w:val="FF0000"/>
        </w:rPr>
        <w:t xml:space="preserve">: </w:t>
      </w:r>
      <w:r w:rsidR="0017199C" w:rsidRPr="000530AD">
        <w:rPr>
          <w:color w:val="FF0000"/>
        </w:rPr>
        <w:t xml:space="preserve">164,848 </w:t>
      </w:r>
    </w:p>
    <w:p w14:paraId="309F26B9" w14:textId="31999C5E" w:rsidR="00537135" w:rsidRPr="000530AD" w:rsidRDefault="00537135" w:rsidP="00EE7629">
      <w:pPr>
        <w:autoSpaceDE w:val="0"/>
        <w:autoSpaceDN w:val="0"/>
        <w:spacing w:after="0" w:line="240" w:lineRule="auto"/>
        <w:rPr>
          <w:color w:val="FF0000"/>
        </w:rPr>
      </w:pPr>
      <w:r w:rsidRPr="000530AD">
        <w:rPr>
          <w:color w:val="FF0000"/>
          <w:u w:val="single"/>
        </w:rPr>
        <w:t>Number of Antecedent Conservative Therapy Cases</w:t>
      </w:r>
      <w:r w:rsidRPr="000530AD">
        <w:rPr>
          <w:color w:val="FF0000"/>
        </w:rPr>
        <w:t xml:space="preserve">: </w:t>
      </w:r>
      <w:r w:rsidR="001376C4" w:rsidRPr="000530AD">
        <w:rPr>
          <w:color w:val="FF0000"/>
        </w:rPr>
        <w:t xml:space="preserve">62,009 </w:t>
      </w:r>
    </w:p>
    <w:p w14:paraId="649D42FF" w14:textId="0E4843F3" w:rsidR="00537135" w:rsidRPr="000530AD" w:rsidRDefault="00537135" w:rsidP="00EE7629">
      <w:pPr>
        <w:autoSpaceDE w:val="0"/>
        <w:autoSpaceDN w:val="0"/>
        <w:spacing w:after="0" w:line="240" w:lineRule="auto"/>
        <w:rPr>
          <w:color w:val="FF0000"/>
        </w:rPr>
      </w:pPr>
      <w:r w:rsidRPr="000530AD">
        <w:rPr>
          <w:color w:val="FF0000"/>
          <w:u w:val="single"/>
        </w:rPr>
        <w:t>Level of Analysis</w:t>
      </w:r>
      <w:r w:rsidRPr="000530AD">
        <w:rPr>
          <w:color w:val="FF0000"/>
        </w:rPr>
        <w:t xml:space="preserve">: </w:t>
      </w:r>
      <w:r w:rsidR="001D6ACA" w:rsidRPr="000530AD">
        <w:rPr>
          <w:color w:val="FF0000"/>
        </w:rPr>
        <w:t>Facility</w:t>
      </w:r>
      <w:r w:rsidR="0083003D" w:rsidRPr="000530AD">
        <w:rPr>
          <w:color w:val="FF0000"/>
        </w:rPr>
        <w:t xml:space="preserve"> </w:t>
      </w:r>
    </w:p>
    <w:p w14:paraId="00202EE5" w14:textId="05637AD4" w:rsidR="00537135" w:rsidRPr="000530AD" w:rsidRDefault="00537135" w:rsidP="00EE7629">
      <w:pPr>
        <w:autoSpaceDE w:val="0"/>
        <w:autoSpaceDN w:val="0"/>
        <w:adjustRightInd w:val="0"/>
        <w:spacing w:after="0" w:line="240" w:lineRule="auto"/>
        <w:rPr>
          <w:color w:val="FF0000"/>
        </w:rPr>
      </w:pPr>
      <w:r w:rsidRPr="000530AD">
        <w:rPr>
          <w:color w:val="FF0000"/>
          <w:u w:val="single"/>
        </w:rPr>
        <w:t>Patient Characteristics</w:t>
      </w:r>
      <w:r w:rsidRPr="000530AD">
        <w:rPr>
          <w:color w:val="FF0000"/>
        </w:rPr>
        <w:t xml:space="preserve">: </w:t>
      </w:r>
      <w:r w:rsidR="003C2EBC" w:rsidRPr="000530AD">
        <w:rPr>
          <w:color w:val="FF0000"/>
        </w:rPr>
        <w:t>Gender (% Male): 42.4; Mean Age (Years): 66.5 (St. Dev.: 12.2);</w:t>
      </w:r>
      <w:r w:rsidR="0083003D" w:rsidRPr="000530AD">
        <w:rPr>
          <w:color w:val="FF0000"/>
        </w:rPr>
        <w:t xml:space="preserve"> </w:t>
      </w:r>
      <w:r w:rsidR="003C2EBC" w:rsidRPr="000530AD">
        <w:rPr>
          <w:color w:val="FF0000"/>
        </w:rPr>
        <w:t>Race/Ethnicity (% Minority): 14.4</w:t>
      </w:r>
    </w:p>
    <w:p w14:paraId="1BB92FFA" w14:textId="77777777" w:rsidR="001D6ACA" w:rsidRPr="000530AD" w:rsidRDefault="001D6ACA" w:rsidP="00EE7629">
      <w:pPr>
        <w:autoSpaceDE w:val="0"/>
        <w:autoSpaceDN w:val="0"/>
        <w:adjustRightInd w:val="0"/>
        <w:spacing w:after="0" w:line="240" w:lineRule="auto"/>
        <w:rPr>
          <w:color w:val="FF0000"/>
        </w:rPr>
      </w:pPr>
    </w:p>
    <w:p w14:paraId="032E643D" w14:textId="77777777" w:rsidR="00537135" w:rsidRPr="000530AD" w:rsidRDefault="00537135" w:rsidP="00EE7629">
      <w:pPr>
        <w:autoSpaceDE w:val="0"/>
        <w:autoSpaceDN w:val="0"/>
        <w:adjustRightInd w:val="0"/>
        <w:spacing w:after="0" w:line="240" w:lineRule="auto"/>
        <w:rPr>
          <w:rFonts w:cstheme="minorHAnsi"/>
          <w:bCs/>
          <w:color w:val="FF0000"/>
        </w:rPr>
      </w:pPr>
    </w:p>
    <w:p w14:paraId="25C839E0" w14:textId="77777777" w:rsidR="00537135" w:rsidRPr="000530AD" w:rsidRDefault="00537135" w:rsidP="00EE7629">
      <w:pPr>
        <w:autoSpaceDE w:val="0"/>
        <w:autoSpaceDN w:val="0"/>
        <w:adjustRightInd w:val="0"/>
        <w:spacing w:after="0" w:line="240" w:lineRule="auto"/>
        <w:rPr>
          <w:rFonts w:cstheme="minorHAnsi"/>
          <w:b/>
          <w:bCs/>
          <w:color w:val="FF0000"/>
        </w:rPr>
      </w:pPr>
      <w:r w:rsidRPr="000530AD">
        <w:rPr>
          <w:rFonts w:cstheme="minorHAnsi"/>
          <w:b/>
          <w:bCs/>
          <w:color w:val="FF0000"/>
        </w:rPr>
        <w:t>Validity Testing</w:t>
      </w:r>
    </w:p>
    <w:p w14:paraId="076DB663" w14:textId="3B540E70" w:rsidR="00537135" w:rsidRPr="000530AD" w:rsidRDefault="00537135" w:rsidP="00EE7629">
      <w:pPr>
        <w:autoSpaceDE w:val="0"/>
        <w:autoSpaceDN w:val="0"/>
        <w:adjustRightInd w:val="0"/>
        <w:spacing w:after="0" w:line="240" w:lineRule="auto"/>
        <w:rPr>
          <w:rFonts w:cstheme="minorHAnsi"/>
          <w:bCs/>
          <w:color w:val="FF0000"/>
        </w:rPr>
      </w:pPr>
      <w:r w:rsidRPr="000530AD">
        <w:rPr>
          <w:color w:val="FF0000"/>
          <w:u w:val="single"/>
        </w:rPr>
        <w:t>Data Source</w:t>
      </w:r>
      <w:r w:rsidRPr="000530AD">
        <w:rPr>
          <w:color w:val="FF0000"/>
        </w:rPr>
        <w:t xml:space="preserve">: </w:t>
      </w:r>
      <w:r w:rsidR="00046C54" w:rsidRPr="000530AD">
        <w:rPr>
          <w:rFonts w:cstheme="minorHAnsi"/>
          <w:bCs/>
          <w:color w:val="FF0000"/>
        </w:rPr>
        <w:t>Structured qualitative survey qu</w:t>
      </w:r>
      <w:r w:rsidR="001376C4" w:rsidRPr="000530AD">
        <w:rPr>
          <w:rFonts w:cstheme="minorHAnsi"/>
          <w:bCs/>
          <w:color w:val="FF0000"/>
        </w:rPr>
        <w:t>estions completed by t</w:t>
      </w:r>
      <w:r w:rsidR="00046C54" w:rsidRPr="000530AD">
        <w:rPr>
          <w:rFonts w:cstheme="minorHAnsi"/>
          <w:bCs/>
          <w:color w:val="FF0000"/>
        </w:rPr>
        <w:t xml:space="preserve">echnical </w:t>
      </w:r>
      <w:r w:rsidR="001376C4" w:rsidRPr="000530AD">
        <w:rPr>
          <w:rFonts w:cstheme="minorHAnsi"/>
          <w:bCs/>
          <w:color w:val="FF0000"/>
        </w:rPr>
        <w:t>expert p</w:t>
      </w:r>
      <w:r w:rsidR="00046C54" w:rsidRPr="000530AD">
        <w:rPr>
          <w:rFonts w:cstheme="minorHAnsi"/>
          <w:bCs/>
          <w:color w:val="FF0000"/>
        </w:rPr>
        <w:t xml:space="preserve">anel </w:t>
      </w:r>
      <w:r w:rsidR="001376C4" w:rsidRPr="000530AD">
        <w:rPr>
          <w:rFonts w:cstheme="minorHAnsi"/>
          <w:bCs/>
          <w:color w:val="FF0000"/>
        </w:rPr>
        <w:t xml:space="preserve">(TEP) </w:t>
      </w:r>
      <w:r w:rsidR="00046C54" w:rsidRPr="000530AD">
        <w:rPr>
          <w:rFonts w:cstheme="minorHAnsi"/>
          <w:bCs/>
          <w:color w:val="FF0000"/>
        </w:rPr>
        <w:t>members</w:t>
      </w:r>
      <w:r w:rsidR="001D6ACA" w:rsidRPr="000530AD">
        <w:rPr>
          <w:rFonts w:cstheme="minorHAnsi"/>
          <w:bCs/>
          <w:color w:val="FF0000"/>
        </w:rPr>
        <w:t xml:space="preserve"> regarding measure face validity</w:t>
      </w:r>
    </w:p>
    <w:p w14:paraId="16FABA2D" w14:textId="161DF965" w:rsidR="00537135" w:rsidRPr="000530AD" w:rsidRDefault="00537135" w:rsidP="00EE7629">
      <w:pPr>
        <w:autoSpaceDE w:val="0"/>
        <w:autoSpaceDN w:val="0"/>
        <w:spacing w:after="0" w:line="240" w:lineRule="auto"/>
        <w:rPr>
          <w:color w:val="FF0000"/>
        </w:rPr>
      </w:pPr>
      <w:r w:rsidRPr="000530AD">
        <w:rPr>
          <w:color w:val="FF0000"/>
          <w:u w:val="single"/>
        </w:rPr>
        <w:t>Dates</w:t>
      </w:r>
      <w:r w:rsidRPr="000530AD">
        <w:rPr>
          <w:color w:val="FF0000"/>
        </w:rPr>
        <w:t xml:space="preserve">: </w:t>
      </w:r>
      <w:r w:rsidR="00D34CE8" w:rsidRPr="000530AD">
        <w:rPr>
          <w:color w:val="FF0000"/>
        </w:rPr>
        <w:t>June-</w:t>
      </w:r>
      <w:r w:rsidR="00046C54" w:rsidRPr="000530AD">
        <w:rPr>
          <w:color w:val="FF0000"/>
        </w:rPr>
        <w:t>July 2015</w:t>
      </w:r>
    </w:p>
    <w:p w14:paraId="3CAEA44D" w14:textId="4BD03BA3" w:rsidR="00C66718" w:rsidRPr="000530AD" w:rsidRDefault="00C66718" w:rsidP="00EE7629">
      <w:pPr>
        <w:autoSpaceDE w:val="0"/>
        <w:autoSpaceDN w:val="0"/>
        <w:spacing w:after="0" w:line="240" w:lineRule="auto"/>
        <w:rPr>
          <w:color w:val="FF0000"/>
        </w:rPr>
      </w:pPr>
      <w:r w:rsidRPr="000530AD">
        <w:rPr>
          <w:color w:val="FF0000"/>
          <w:u w:val="single"/>
        </w:rPr>
        <w:t xml:space="preserve">Number of </w:t>
      </w:r>
      <w:r w:rsidR="00046C54" w:rsidRPr="000530AD">
        <w:rPr>
          <w:color w:val="FF0000"/>
          <w:u w:val="single"/>
        </w:rPr>
        <w:t>Responses</w:t>
      </w:r>
      <w:r w:rsidRPr="000530AD">
        <w:rPr>
          <w:color w:val="FF0000"/>
        </w:rPr>
        <w:t>:</w:t>
      </w:r>
      <w:r w:rsidR="00046C54" w:rsidRPr="000530AD">
        <w:rPr>
          <w:color w:val="FF0000"/>
        </w:rPr>
        <w:t xml:space="preserve"> 11</w:t>
      </w:r>
      <w:r w:rsidRPr="000530AD">
        <w:rPr>
          <w:color w:val="FF0000"/>
        </w:rPr>
        <w:t xml:space="preserve"> </w:t>
      </w:r>
    </w:p>
    <w:p w14:paraId="45B879B3" w14:textId="57933702" w:rsidR="00046C54" w:rsidRPr="000530AD" w:rsidRDefault="00046C54" w:rsidP="00EE7629">
      <w:pPr>
        <w:autoSpaceDE w:val="0"/>
        <w:autoSpaceDN w:val="0"/>
        <w:adjustRightInd w:val="0"/>
        <w:spacing w:after="0" w:line="240" w:lineRule="auto"/>
        <w:rPr>
          <w:color w:val="FF0000"/>
        </w:rPr>
      </w:pPr>
      <w:r w:rsidRPr="000530AD">
        <w:rPr>
          <w:rFonts w:cstheme="minorHAnsi"/>
          <w:bCs/>
          <w:color w:val="FF0000"/>
          <w:u w:val="single"/>
        </w:rPr>
        <w:t>Respondent Characteristics:</w:t>
      </w:r>
      <w:r w:rsidRPr="000530AD">
        <w:rPr>
          <w:rFonts w:cstheme="minorHAnsi"/>
          <w:bCs/>
          <w:color w:val="FF0000"/>
        </w:rPr>
        <w:t xml:space="preserve"> </w:t>
      </w:r>
      <w:r w:rsidR="001D497A" w:rsidRPr="000530AD">
        <w:rPr>
          <w:rFonts w:cstheme="minorHAnsi"/>
          <w:bCs/>
          <w:color w:val="FF0000"/>
        </w:rPr>
        <w:t>CORE and Lewin asked r</w:t>
      </w:r>
      <w:r w:rsidRPr="000530AD">
        <w:rPr>
          <w:rFonts w:cstheme="minorHAnsi"/>
          <w:bCs/>
          <w:color w:val="FF0000"/>
        </w:rPr>
        <w:t xml:space="preserve">espondents </w:t>
      </w:r>
      <w:r w:rsidR="001D497A" w:rsidRPr="000530AD">
        <w:rPr>
          <w:rFonts w:cstheme="minorHAnsi"/>
          <w:bCs/>
          <w:color w:val="FF0000"/>
        </w:rPr>
        <w:t>t</w:t>
      </w:r>
      <w:r w:rsidRPr="000530AD">
        <w:rPr>
          <w:rFonts w:cstheme="minorHAnsi"/>
          <w:bCs/>
          <w:color w:val="FF0000"/>
        </w:rPr>
        <w:t>o select at least one of the following categories: insurer/purchaser (3); payer (1); clinician (6); management/administration (5)</w:t>
      </w:r>
      <w:proofErr w:type="gramStart"/>
      <w:r w:rsidRPr="000530AD">
        <w:rPr>
          <w:rFonts w:cstheme="minorHAnsi"/>
          <w:bCs/>
          <w:color w:val="FF0000"/>
        </w:rPr>
        <w:t>;</w:t>
      </w:r>
      <w:proofErr w:type="gramEnd"/>
      <w:r w:rsidRPr="000530AD">
        <w:rPr>
          <w:rFonts w:cstheme="minorHAnsi"/>
          <w:bCs/>
          <w:color w:val="FF0000"/>
        </w:rPr>
        <w:t xml:space="preserve"> patient/patient advocate/caregiver (3).</w:t>
      </w:r>
    </w:p>
    <w:p w14:paraId="13EBE562" w14:textId="77777777" w:rsidR="00537135" w:rsidRPr="000530AD" w:rsidRDefault="00537135" w:rsidP="00EE7629">
      <w:pPr>
        <w:autoSpaceDE w:val="0"/>
        <w:autoSpaceDN w:val="0"/>
        <w:adjustRightInd w:val="0"/>
        <w:spacing w:after="0" w:line="240" w:lineRule="auto"/>
        <w:rPr>
          <w:rFonts w:cstheme="minorHAnsi"/>
          <w:bCs/>
          <w:color w:val="FF0000"/>
        </w:rPr>
      </w:pPr>
    </w:p>
    <w:p w14:paraId="5BCB9ECA" w14:textId="77777777" w:rsidR="00537135" w:rsidRPr="000530AD" w:rsidRDefault="00537135" w:rsidP="00EE7629">
      <w:pPr>
        <w:autoSpaceDE w:val="0"/>
        <w:autoSpaceDN w:val="0"/>
        <w:spacing w:after="0" w:line="240" w:lineRule="auto"/>
        <w:rPr>
          <w:b/>
          <w:bCs/>
          <w:color w:val="FF0000"/>
        </w:rPr>
      </w:pPr>
      <w:r w:rsidRPr="000530AD">
        <w:rPr>
          <w:b/>
          <w:bCs/>
          <w:color w:val="FF0000"/>
        </w:rPr>
        <w:t>Exclusions Analysis</w:t>
      </w:r>
    </w:p>
    <w:p w14:paraId="2B188A7F" w14:textId="6785F0F1" w:rsidR="001D6ACA" w:rsidRPr="000530AD" w:rsidRDefault="001D6ACA" w:rsidP="00EE7629">
      <w:pPr>
        <w:autoSpaceDE w:val="0"/>
        <w:autoSpaceDN w:val="0"/>
        <w:spacing w:after="0" w:line="240" w:lineRule="auto"/>
        <w:rPr>
          <w:i/>
          <w:color w:val="FF0000"/>
        </w:rPr>
      </w:pPr>
      <w:r w:rsidRPr="000530AD">
        <w:rPr>
          <w:i/>
          <w:color w:val="FF0000"/>
        </w:rPr>
        <w:t>Facilities</w:t>
      </w:r>
    </w:p>
    <w:p w14:paraId="041B95BB" w14:textId="13BA724E" w:rsidR="00537135" w:rsidRPr="000530AD" w:rsidRDefault="00537135" w:rsidP="00EE7629">
      <w:pPr>
        <w:autoSpaceDE w:val="0"/>
        <w:autoSpaceDN w:val="0"/>
        <w:spacing w:after="0" w:line="240" w:lineRule="auto"/>
        <w:rPr>
          <w:color w:val="FF0000"/>
        </w:rPr>
      </w:pPr>
      <w:r w:rsidRPr="000530AD">
        <w:rPr>
          <w:color w:val="FF0000"/>
          <w:u w:val="single"/>
        </w:rPr>
        <w:t>Data Source</w:t>
      </w:r>
      <w:r w:rsidRPr="000530AD">
        <w:rPr>
          <w:color w:val="FF0000"/>
        </w:rPr>
        <w:t xml:space="preserve">: </w:t>
      </w:r>
      <w:r w:rsidR="00491B99" w:rsidRPr="000530AD">
        <w:rPr>
          <w:color w:val="FF0000"/>
        </w:rPr>
        <w:t xml:space="preserve">Denominator: SAF-O, SAF-I, </w:t>
      </w:r>
      <w:r w:rsidR="00251CA8" w:rsidRPr="000530AD">
        <w:rPr>
          <w:color w:val="FF0000"/>
        </w:rPr>
        <w:t>and Carrier</w:t>
      </w:r>
      <w:r w:rsidR="00491B99" w:rsidRPr="000530AD">
        <w:rPr>
          <w:color w:val="FF0000"/>
        </w:rPr>
        <w:t>; Numerator: SAF-O and Carrier; Exclusions: SAF-O, SAF-I, and Carrier</w:t>
      </w:r>
    </w:p>
    <w:p w14:paraId="314BDF35" w14:textId="3B85E465" w:rsidR="00537135" w:rsidRPr="000530AD" w:rsidRDefault="00537135" w:rsidP="00EE7629">
      <w:pPr>
        <w:autoSpaceDE w:val="0"/>
        <w:autoSpaceDN w:val="0"/>
        <w:spacing w:after="0" w:line="240" w:lineRule="auto"/>
        <w:rPr>
          <w:color w:val="FF0000"/>
        </w:rPr>
      </w:pPr>
      <w:r w:rsidRPr="000530AD">
        <w:rPr>
          <w:color w:val="FF0000"/>
          <w:u w:val="single"/>
        </w:rPr>
        <w:t>Dates</w:t>
      </w:r>
      <w:r w:rsidRPr="000530AD">
        <w:rPr>
          <w:color w:val="FF0000"/>
        </w:rPr>
        <w:t xml:space="preserve">: </w:t>
      </w:r>
      <w:r w:rsidR="00491B99" w:rsidRPr="000530AD">
        <w:rPr>
          <w:color w:val="FF0000"/>
        </w:rPr>
        <w:t>Denominator: Janua</w:t>
      </w:r>
      <w:r w:rsidR="00D34CE8" w:rsidRPr="000530AD">
        <w:rPr>
          <w:color w:val="FF0000"/>
        </w:rPr>
        <w:t>ry 1, 2013-</w:t>
      </w:r>
      <w:r w:rsidR="00491B99" w:rsidRPr="000530AD">
        <w:rPr>
          <w:color w:val="FF0000"/>
        </w:rPr>
        <w:t>December 31, 2013</w:t>
      </w:r>
      <w:r w:rsidR="00D34CE8" w:rsidRPr="000530AD">
        <w:rPr>
          <w:color w:val="FF0000"/>
        </w:rPr>
        <w:t>; Numerator: November 1, 2012-</w:t>
      </w:r>
      <w:r w:rsidR="00491B99" w:rsidRPr="000530AD">
        <w:rPr>
          <w:color w:val="FF0000"/>
        </w:rPr>
        <w:t>December 31, 2013</w:t>
      </w:r>
      <w:r w:rsidR="00D34CE8" w:rsidRPr="000530AD">
        <w:rPr>
          <w:color w:val="FF0000"/>
        </w:rPr>
        <w:t>; Exclusions: January 1, 2010-</w:t>
      </w:r>
      <w:r w:rsidR="00491B99" w:rsidRPr="000530AD">
        <w:rPr>
          <w:color w:val="FF0000"/>
        </w:rPr>
        <w:t>December 31, 2013</w:t>
      </w:r>
    </w:p>
    <w:p w14:paraId="147E440A" w14:textId="24260C0D" w:rsidR="00C66718" w:rsidRPr="000530AD" w:rsidRDefault="00C66718" w:rsidP="00EE7629">
      <w:pPr>
        <w:autoSpaceDE w:val="0"/>
        <w:autoSpaceDN w:val="0"/>
        <w:adjustRightInd w:val="0"/>
        <w:spacing w:after="0" w:line="240" w:lineRule="auto"/>
        <w:rPr>
          <w:rFonts w:cstheme="minorHAnsi"/>
          <w:bCs/>
          <w:color w:val="FF0000"/>
        </w:rPr>
      </w:pPr>
      <w:r w:rsidRPr="000530AD">
        <w:rPr>
          <w:color w:val="FF0000"/>
          <w:u w:val="single"/>
        </w:rPr>
        <w:t>Number of Measured Entities</w:t>
      </w:r>
      <w:r w:rsidRPr="000530AD">
        <w:rPr>
          <w:color w:val="FF0000"/>
        </w:rPr>
        <w:t xml:space="preserve">: </w:t>
      </w:r>
      <w:r w:rsidR="001D6ACA" w:rsidRPr="000530AD">
        <w:rPr>
          <w:rFonts w:cstheme="minorHAnsi"/>
          <w:bCs/>
          <w:color w:val="FF0000"/>
        </w:rPr>
        <w:t>2,569</w:t>
      </w:r>
    </w:p>
    <w:p w14:paraId="4B04F472" w14:textId="0C0A4E98" w:rsidR="00C66718" w:rsidRPr="000530AD" w:rsidRDefault="00B77B71" w:rsidP="00EE7629">
      <w:pPr>
        <w:autoSpaceDE w:val="0"/>
        <w:autoSpaceDN w:val="0"/>
        <w:adjustRightInd w:val="0"/>
        <w:spacing w:after="0" w:line="240" w:lineRule="auto"/>
        <w:rPr>
          <w:rFonts w:cstheme="minorHAnsi"/>
          <w:bCs/>
          <w:color w:val="FF0000"/>
        </w:rPr>
      </w:pPr>
      <w:r w:rsidRPr="000530AD">
        <w:rPr>
          <w:color w:val="FF0000"/>
          <w:u w:val="single"/>
        </w:rPr>
        <w:t>Number of MRI Lumbar-</w:t>
      </w:r>
      <w:r w:rsidR="00C66718" w:rsidRPr="000530AD">
        <w:rPr>
          <w:color w:val="FF0000"/>
          <w:u w:val="single"/>
        </w:rPr>
        <w:t>Spine Studies</w:t>
      </w:r>
      <w:r w:rsidR="00C66718" w:rsidRPr="000530AD">
        <w:rPr>
          <w:color w:val="FF0000"/>
        </w:rPr>
        <w:t xml:space="preserve">: </w:t>
      </w:r>
      <w:r w:rsidR="00842526" w:rsidRPr="000530AD">
        <w:rPr>
          <w:rFonts w:cstheme="minorHAnsi"/>
          <w:bCs/>
          <w:color w:val="FF0000"/>
        </w:rPr>
        <w:t xml:space="preserve">521,460 </w:t>
      </w:r>
    </w:p>
    <w:p w14:paraId="182297D4" w14:textId="7E5AFCBE" w:rsidR="00C66718" w:rsidRPr="000530AD" w:rsidRDefault="00C66718" w:rsidP="00EE7629">
      <w:pPr>
        <w:autoSpaceDE w:val="0"/>
        <w:autoSpaceDN w:val="0"/>
        <w:adjustRightInd w:val="0"/>
        <w:spacing w:after="0" w:line="240" w:lineRule="auto"/>
        <w:rPr>
          <w:rFonts w:cstheme="minorHAnsi"/>
          <w:bCs/>
          <w:color w:val="FF0000"/>
        </w:rPr>
      </w:pPr>
      <w:r w:rsidRPr="000530AD">
        <w:rPr>
          <w:color w:val="FF0000"/>
          <w:u w:val="single"/>
        </w:rPr>
        <w:t>Number of Antecedent Conservative Therapy Cases</w:t>
      </w:r>
      <w:r w:rsidRPr="000530AD">
        <w:rPr>
          <w:color w:val="FF0000"/>
        </w:rPr>
        <w:t xml:space="preserve">: </w:t>
      </w:r>
      <w:r w:rsidR="001D497A" w:rsidRPr="000530AD">
        <w:rPr>
          <w:rFonts w:cstheme="minorHAnsi"/>
          <w:bCs/>
          <w:color w:val="FF0000"/>
        </w:rPr>
        <w:t xml:space="preserve">356,163 </w:t>
      </w:r>
    </w:p>
    <w:p w14:paraId="02274E66" w14:textId="31A03080" w:rsidR="00C66718" w:rsidRPr="000530AD" w:rsidRDefault="00C66718" w:rsidP="00EE7629">
      <w:pPr>
        <w:autoSpaceDE w:val="0"/>
        <w:autoSpaceDN w:val="0"/>
        <w:adjustRightInd w:val="0"/>
        <w:spacing w:after="0" w:line="240" w:lineRule="auto"/>
        <w:rPr>
          <w:rFonts w:cstheme="minorHAnsi"/>
          <w:bCs/>
          <w:color w:val="FF0000"/>
        </w:rPr>
      </w:pPr>
      <w:r w:rsidRPr="000530AD">
        <w:rPr>
          <w:color w:val="FF0000"/>
          <w:u w:val="single"/>
        </w:rPr>
        <w:t>Level of Analysis</w:t>
      </w:r>
      <w:r w:rsidR="001D497A" w:rsidRPr="000530AD">
        <w:rPr>
          <w:color w:val="FF0000"/>
        </w:rPr>
        <w:t xml:space="preserve">: </w:t>
      </w:r>
      <w:r w:rsidR="001D6ACA" w:rsidRPr="000530AD">
        <w:rPr>
          <w:color w:val="FF0000"/>
        </w:rPr>
        <w:t>Facility</w:t>
      </w:r>
    </w:p>
    <w:p w14:paraId="38F7633D" w14:textId="69716980" w:rsidR="00C66718" w:rsidRPr="000530AD" w:rsidRDefault="00C66718" w:rsidP="00EE7629">
      <w:pPr>
        <w:autoSpaceDE w:val="0"/>
        <w:autoSpaceDN w:val="0"/>
        <w:adjustRightInd w:val="0"/>
        <w:spacing w:after="0" w:line="240" w:lineRule="auto"/>
        <w:rPr>
          <w:rFonts w:cstheme="minorHAnsi"/>
          <w:bCs/>
          <w:color w:val="FF0000"/>
        </w:rPr>
      </w:pPr>
      <w:r w:rsidRPr="000530AD">
        <w:rPr>
          <w:color w:val="FF0000"/>
          <w:u w:val="single"/>
        </w:rPr>
        <w:t>Patient Characteristics</w:t>
      </w:r>
      <w:r w:rsidRPr="000530AD">
        <w:rPr>
          <w:color w:val="FF0000"/>
        </w:rPr>
        <w:t xml:space="preserve">: </w:t>
      </w:r>
      <w:r w:rsidR="003F7884" w:rsidRPr="000530AD">
        <w:rPr>
          <w:color w:val="FF0000"/>
        </w:rPr>
        <w:t>Gender (% Male): 39.3; Mean Age (Years): 68.3 (St. Dev.: 12.3); Race/Ethnicity (% Minority): 12.7</w:t>
      </w:r>
    </w:p>
    <w:p w14:paraId="156C8167" w14:textId="77777777" w:rsidR="001D6ACA" w:rsidRPr="000530AD" w:rsidRDefault="001D6ACA" w:rsidP="00EE7629">
      <w:pPr>
        <w:autoSpaceDE w:val="0"/>
        <w:autoSpaceDN w:val="0"/>
        <w:adjustRightInd w:val="0"/>
        <w:spacing w:after="0" w:line="240" w:lineRule="auto"/>
        <w:rPr>
          <w:rFonts w:cstheme="minorHAnsi"/>
          <w:bCs/>
          <w:color w:val="FF0000"/>
        </w:rPr>
      </w:pPr>
    </w:p>
    <w:p w14:paraId="0256D197" w14:textId="77777777" w:rsidR="00537135" w:rsidRPr="000530AD" w:rsidRDefault="00537135" w:rsidP="00EE7629">
      <w:pPr>
        <w:autoSpaceDE w:val="0"/>
        <w:autoSpaceDN w:val="0"/>
        <w:adjustRightInd w:val="0"/>
        <w:spacing w:after="0" w:line="240" w:lineRule="auto"/>
        <w:rPr>
          <w:rFonts w:cstheme="minorHAnsi"/>
          <w:bCs/>
          <w:color w:val="FF0000"/>
          <w:u w:val="single"/>
        </w:rPr>
      </w:pPr>
      <w:r w:rsidRPr="000530AD">
        <w:rPr>
          <w:rFonts w:cstheme="minorHAnsi"/>
          <w:b/>
          <w:bCs/>
          <w:color w:val="FF0000"/>
        </w:rPr>
        <w:t>Risk Adjustment/Stratification</w:t>
      </w:r>
      <w:r w:rsidRPr="000530AD">
        <w:rPr>
          <w:rFonts w:cstheme="minorHAnsi"/>
          <w:bCs/>
          <w:color w:val="FF0000"/>
          <w:u w:val="single"/>
        </w:rPr>
        <w:t xml:space="preserve"> </w:t>
      </w:r>
    </w:p>
    <w:p w14:paraId="00546CA3" w14:textId="30CA8643" w:rsidR="00C76568" w:rsidRPr="000530AD" w:rsidRDefault="00C76568" w:rsidP="00EE7629">
      <w:pPr>
        <w:autoSpaceDE w:val="0"/>
        <w:autoSpaceDN w:val="0"/>
        <w:adjustRightInd w:val="0"/>
        <w:spacing w:after="0" w:line="240" w:lineRule="auto"/>
        <w:rPr>
          <w:rFonts w:cstheme="minorHAnsi"/>
          <w:bCs/>
          <w:color w:val="FF0000"/>
        </w:rPr>
      </w:pPr>
      <w:r w:rsidRPr="000530AD">
        <w:rPr>
          <w:rFonts w:cstheme="minorHAnsi"/>
          <w:bCs/>
          <w:color w:val="FF0000"/>
        </w:rPr>
        <w:t>N/A</w:t>
      </w:r>
      <w:r w:rsidR="00375D12" w:rsidRPr="000530AD">
        <w:rPr>
          <w:rFonts w:cstheme="minorHAnsi"/>
          <w:bCs/>
          <w:color w:val="FF0000"/>
        </w:rPr>
        <w:t xml:space="preserve">; this measure is not risk adjusted or risk stratified. </w:t>
      </w:r>
      <w:r w:rsidRPr="000530AD">
        <w:rPr>
          <w:rFonts w:cstheme="minorHAnsi"/>
          <w:bCs/>
          <w:color w:val="FF0000"/>
        </w:rPr>
        <w:t xml:space="preserve"> </w:t>
      </w:r>
    </w:p>
    <w:p w14:paraId="14C3F5B3" w14:textId="77777777" w:rsidR="00537135" w:rsidRPr="000530AD" w:rsidRDefault="00537135" w:rsidP="00EE7629">
      <w:pPr>
        <w:autoSpaceDE w:val="0"/>
        <w:autoSpaceDN w:val="0"/>
        <w:adjustRightInd w:val="0"/>
        <w:spacing w:after="0" w:line="240" w:lineRule="auto"/>
        <w:rPr>
          <w:rFonts w:cstheme="minorHAnsi"/>
          <w:bCs/>
          <w:color w:val="FF0000"/>
        </w:rPr>
      </w:pPr>
    </w:p>
    <w:p w14:paraId="3CB59823" w14:textId="77777777" w:rsidR="00537135" w:rsidRPr="000530AD" w:rsidRDefault="00537135" w:rsidP="00EE7629">
      <w:pPr>
        <w:autoSpaceDE w:val="0"/>
        <w:autoSpaceDN w:val="0"/>
        <w:adjustRightInd w:val="0"/>
        <w:spacing w:after="0" w:line="240" w:lineRule="auto"/>
        <w:rPr>
          <w:rFonts w:cstheme="minorHAnsi"/>
          <w:b/>
          <w:bCs/>
          <w:color w:val="FF0000"/>
        </w:rPr>
      </w:pPr>
      <w:r w:rsidRPr="000530AD">
        <w:rPr>
          <w:rFonts w:cstheme="minorHAnsi"/>
          <w:b/>
          <w:bCs/>
          <w:color w:val="FF0000"/>
        </w:rPr>
        <w:t>Identification of Statistically Significant &amp; Meaningful Differences in Performance</w:t>
      </w:r>
    </w:p>
    <w:p w14:paraId="1469D81C" w14:textId="3B94607F" w:rsidR="001D6ACA" w:rsidRPr="000530AD" w:rsidRDefault="001D6ACA" w:rsidP="00EE7629">
      <w:pPr>
        <w:autoSpaceDE w:val="0"/>
        <w:autoSpaceDN w:val="0"/>
        <w:spacing w:after="0" w:line="240" w:lineRule="auto"/>
        <w:rPr>
          <w:i/>
          <w:color w:val="FF0000"/>
        </w:rPr>
      </w:pPr>
      <w:r w:rsidRPr="000530AD">
        <w:rPr>
          <w:i/>
          <w:color w:val="FF0000"/>
        </w:rPr>
        <w:t>Facilities</w:t>
      </w:r>
    </w:p>
    <w:p w14:paraId="1D9A54D4" w14:textId="1FB9EE03" w:rsidR="00537135" w:rsidRPr="000530AD" w:rsidRDefault="00537135" w:rsidP="00EE7629">
      <w:pPr>
        <w:autoSpaceDE w:val="0"/>
        <w:autoSpaceDN w:val="0"/>
        <w:spacing w:after="0" w:line="240" w:lineRule="auto"/>
        <w:rPr>
          <w:color w:val="FF0000"/>
        </w:rPr>
      </w:pPr>
      <w:r w:rsidRPr="000530AD">
        <w:rPr>
          <w:color w:val="FF0000"/>
          <w:u w:val="single"/>
        </w:rPr>
        <w:t>Data Source</w:t>
      </w:r>
      <w:r w:rsidRPr="000530AD">
        <w:rPr>
          <w:color w:val="FF0000"/>
        </w:rPr>
        <w:t xml:space="preserve">: </w:t>
      </w:r>
      <w:r w:rsidR="00EE67B6" w:rsidRPr="000530AD">
        <w:rPr>
          <w:color w:val="FF0000"/>
        </w:rPr>
        <w:t xml:space="preserve">Denominator: SAF-O, SAF-I, </w:t>
      </w:r>
      <w:r w:rsidR="00251CA8" w:rsidRPr="000530AD">
        <w:rPr>
          <w:color w:val="FF0000"/>
        </w:rPr>
        <w:t>and Carrier</w:t>
      </w:r>
      <w:r w:rsidR="00EE67B6" w:rsidRPr="000530AD">
        <w:rPr>
          <w:color w:val="FF0000"/>
        </w:rPr>
        <w:t>; Numerator: SAF-O and Carrier; Exclusions: SAF-O, SAF-I, and Carrier</w:t>
      </w:r>
    </w:p>
    <w:p w14:paraId="44B501E3" w14:textId="29649028" w:rsidR="00537135" w:rsidRPr="000530AD" w:rsidRDefault="00537135" w:rsidP="00EE7629">
      <w:pPr>
        <w:autoSpaceDE w:val="0"/>
        <w:autoSpaceDN w:val="0"/>
        <w:spacing w:after="0" w:line="240" w:lineRule="auto"/>
        <w:rPr>
          <w:color w:val="FF0000"/>
        </w:rPr>
      </w:pPr>
      <w:r w:rsidRPr="000530AD">
        <w:rPr>
          <w:color w:val="FF0000"/>
          <w:u w:val="single"/>
        </w:rPr>
        <w:t>Dates</w:t>
      </w:r>
      <w:r w:rsidRPr="000530AD">
        <w:rPr>
          <w:color w:val="FF0000"/>
        </w:rPr>
        <w:t xml:space="preserve">: </w:t>
      </w:r>
      <w:r w:rsidR="00EE67B6" w:rsidRPr="000530AD">
        <w:rPr>
          <w:color w:val="FF0000"/>
        </w:rPr>
        <w:t>Denominator: January 1, 2013</w:t>
      </w:r>
      <w:r w:rsidR="0074056D" w:rsidRPr="000530AD">
        <w:rPr>
          <w:color w:val="FF0000"/>
        </w:rPr>
        <w:t>-</w:t>
      </w:r>
      <w:r w:rsidR="00EE67B6" w:rsidRPr="000530AD">
        <w:rPr>
          <w:color w:val="FF0000"/>
        </w:rPr>
        <w:t>December 31, 2013; Numerator: November 1, 2012</w:t>
      </w:r>
      <w:r w:rsidR="0074056D" w:rsidRPr="000530AD">
        <w:rPr>
          <w:color w:val="FF0000"/>
        </w:rPr>
        <w:t>-</w:t>
      </w:r>
      <w:r w:rsidR="00EE67B6" w:rsidRPr="000530AD">
        <w:rPr>
          <w:color w:val="FF0000"/>
        </w:rPr>
        <w:t>December 31, 2013; Exclusions: January 1, 2010</w:t>
      </w:r>
      <w:r w:rsidR="0074056D" w:rsidRPr="000530AD">
        <w:rPr>
          <w:color w:val="FF0000"/>
        </w:rPr>
        <w:t>-</w:t>
      </w:r>
      <w:r w:rsidR="00EE67B6" w:rsidRPr="000530AD">
        <w:rPr>
          <w:color w:val="FF0000"/>
        </w:rPr>
        <w:t>December 31, 2013</w:t>
      </w:r>
    </w:p>
    <w:p w14:paraId="19A92033" w14:textId="7253E9C3" w:rsidR="00C66718" w:rsidRPr="000530AD" w:rsidRDefault="00C66718" w:rsidP="00EE7629">
      <w:pPr>
        <w:autoSpaceDE w:val="0"/>
        <w:autoSpaceDN w:val="0"/>
        <w:spacing w:after="0" w:line="240" w:lineRule="auto"/>
        <w:rPr>
          <w:color w:val="FF0000"/>
        </w:rPr>
      </w:pPr>
      <w:r w:rsidRPr="000530AD">
        <w:rPr>
          <w:color w:val="FF0000"/>
          <w:u w:val="single"/>
        </w:rPr>
        <w:t>Number of Measured Entities</w:t>
      </w:r>
      <w:r w:rsidRPr="000530AD">
        <w:rPr>
          <w:color w:val="FF0000"/>
        </w:rPr>
        <w:t xml:space="preserve">: </w:t>
      </w:r>
      <w:r w:rsidR="001D6ACA" w:rsidRPr="000530AD">
        <w:rPr>
          <w:color w:val="FF0000"/>
        </w:rPr>
        <w:t>1,616</w:t>
      </w:r>
    </w:p>
    <w:p w14:paraId="08451275" w14:textId="4AF0471C" w:rsidR="00C66718" w:rsidRPr="000530AD" w:rsidRDefault="00C66718" w:rsidP="00EE7629">
      <w:pPr>
        <w:autoSpaceDE w:val="0"/>
        <w:autoSpaceDN w:val="0"/>
        <w:spacing w:after="0" w:line="240" w:lineRule="auto"/>
        <w:rPr>
          <w:color w:val="FF0000"/>
        </w:rPr>
      </w:pPr>
      <w:r w:rsidRPr="000530AD">
        <w:rPr>
          <w:color w:val="FF0000"/>
          <w:u w:val="single"/>
        </w:rPr>
        <w:t>Number of MRI Lumbar</w:t>
      </w:r>
      <w:r w:rsidR="00B77B71" w:rsidRPr="000530AD">
        <w:rPr>
          <w:color w:val="FF0000"/>
          <w:u w:val="single"/>
        </w:rPr>
        <w:t>-</w:t>
      </w:r>
      <w:r w:rsidRPr="000530AD">
        <w:rPr>
          <w:color w:val="FF0000"/>
          <w:u w:val="single"/>
        </w:rPr>
        <w:t>Spine Studies</w:t>
      </w:r>
      <w:r w:rsidRPr="000530AD">
        <w:rPr>
          <w:color w:val="FF0000"/>
        </w:rPr>
        <w:t xml:space="preserve">: </w:t>
      </w:r>
      <w:r w:rsidR="00EE67B6" w:rsidRPr="000530AD">
        <w:rPr>
          <w:color w:val="FF0000"/>
        </w:rPr>
        <w:t xml:space="preserve">164,848 </w:t>
      </w:r>
    </w:p>
    <w:p w14:paraId="5CE1C262" w14:textId="2B1F4B04" w:rsidR="00C66718" w:rsidRPr="000530AD" w:rsidRDefault="00C66718" w:rsidP="00EE7629">
      <w:pPr>
        <w:autoSpaceDE w:val="0"/>
        <w:autoSpaceDN w:val="0"/>
        <w:spacing w:after="0" w:line="240" w:lineRule="auto"/>
        <w:rPr>
          <w:color w:val="FF0000"/>
        </w:rPr>
      </w:pPr>
      <w:r w:rsidRPr="000530AD">
        <w:rPr>
          <w:color w:val="FF0000"/>
          <w:u w:val="single"/>
        </w:rPr>
        <w:t>Number of Antecedent Conservative Therapy Cases</w:t>
      </w:r>
      <w:r w:rsidRPr="000530AD">
        <w:rPr>
          <w:color w:val="FF0000"/>
        </w:rPr>
        <w:t xml:space="preserve">: </w:t>
      </w:r>
      <w:r w:rsidR="001D497A" w:rsidRPr="000530AD">
        <w:rPr>
          <w:color w:val="FF0000"/>
        </w:rPr>
        <w:t xml:space="preserve">62,009 </w:t>
      </w:r>
    </w:p>
    <w:p w14:paraId="5BEB0610" w14:textId="232745F0" w:rsidR="00C66718" w:rsidRPr="000530AD" w:rsidRDefault="00C66718" w:rsidP="00EE7629">
      <w:pPr>
        <w:autoSpaceDE w:val="0"/>
        <w:autoSpaceDN w:val="0"/>
        <w:spacing w:after="0" w:line="240" w:lineRule="auto"/>
        <w:rPr>
          <w:color w:val="FF0000"/>
        </w:rPr>
      </w:pPr>
      <w:r w:rsidRPr="000530AD">
        <w:rPr>
          <w:color w:val="FF0000"/>
          <w:u w:val="single"/>
        </w:rPr>
        <w:t>Level of Analysis</w:t>
      </w:r>
      <w:r w:rsidRPr="000530AD">
        <w:rPr>
          <w:color w:val="FF0000"/>
        </w:rPr>
        <w:t xml:space="preserve">: </w:t>
      </w:r>
      <w:r w:rsidR="001D6ACA" w:rsidRPr="000530AD">
        <w:rPr>
          <w:color w:val="FF0000"/>
        </w:rPr>
        <w:t>Facility</w:t>
      </w:r>
    </w:p>
    <w:p w14:paraId="4646B610" w14:textId="46E55714" w:rsidR="001D6ACA" w:rsidRPr="000530AD" w:rsidRDefault="00C66718" w:rsidP="00EE7629">
      <w:pPr>
        <w:autoSpaceDE w:val="0"/>
        <w:autoSpaceDN w:val="0"/>
        <w:adjustRightInd w:val="0"/>
        <w:spacing w:after="0" w:line="240" w:lineRule="auto"/>
        <w:rPr>
          <w:color w:val="FF0000"/>
        </w:rPr>
      </w:pPr>
      <w:r w:rsidRPr="000530AD">
        <w:rPr>
          <w:color w:val="FF0000"/>
          <w:u w:val="single"/>
        </w:rPr>
        <w:t>Patient Characteristics</w:t>
      </w:r>
      <w:r w:rsidRPr="000530AD">
        <w:rPr>
          <w:color w:val="FF0000"/>
        </w:rPr>
        <w:t xml:space="preserve">: </w:t>
      </w:r>
      <w:r w:rsidR="00452B1C" w:rsidRPr="000530AD">
        <w:rPr>
          <w:color w:val="FF0000"/>
        </w:rPr>
        <w:t>Gender (% Male): 42.4; Mean Age (Years): 66.5 (St. Dev.: 12.2); Race/Ethnicity (% Minority): 14.4</w:t>
      </w:r>
    </w:p>
    <w:p w14:paraId="253E6BE0" w14:textId="77777777" w:rsidR="00537135" w:rsidRPr="000530AD" w:rsidRDefault="00537135" w:rsidP="00EE7629">
      <w:pPr>
        <w:autoSpaceDE w:val="0"/>
        <w:autoSpaceDN w:val="0"/>
        <w:adjustRightInd w:val="0"/>
        <w:spacing w:after="0" w:line="240" w:lineRule="auto"/>
        <w:rPr>
          <w:rFonts w:cstheme="minorHAnsi"/>
          <w:bCs/>
          <w:color w:val="FF0000"/>
        </w:rPr>
      </w:pPr>
    </w:p>
    <w:p w14:paraId="66BD3F92" w14:textId="0EBFACA4" w:rsidR="00537135" w:rsidRPr="000530AD" w:rsidRDefault="00537135" w:rsidP="00EE7629">
      <w:pPr>
        <w:autoSpaceDE w:val="0"/>
        <w:autoSpaceDN w:val="0"/>
        <w:adjustRightInd w:val="0"/>
        <w:spacing w:after="0" w:line="240" w:lineRule="auto"/>
        <w:rPr>
          <w:rFonts w:cstheme="minorHAnsi"/>
          <w:b/>
          <w:bCs/>
          <w:color w:val="FF0000"/>
        </w:rPr>
      </w:pPr>
      <w:r w:rsidRPr="000530AD">
        <w:rPr>
          <w:rFonts w:cstheme="minorHAnsi"/>
          <w:b/>
          <w:bCs/>
          <w:color w:val="FF0000"/>
        </w:rPr>
        <w:t>Comparabil</w:t>
      </w:r>
      <w:r w:rsidR="00F16D54" w:rsidRPr="000530AD">
        <w:rPr>
          <w:rFonts w:cstheme="minorHAnsi"/>
          <w:b/>
          <w:bCs/>
          <w:color w:val="FF0000"/>
        </w:rPr>
        <w:t>ity of Performance Scores when M</w:t>
      </w:r>
      <w:r w:rsidRPr="000530AD">
        <w:rPr>
          <w:rFonts w:cstheme="minorHAnsi"/>
          <w:b/>
          <w:bCs/>
          <w:color w:val="FF0000"/>
        </w:rPr>
        <w:t xml:space="preserve">ore than </w:t>
      </w:r>
      <w:r w:rsidR="00F16D54" w:rsidRPr="000530AD">
        <w:rPr>
          <w:rFonts w:cstheme="minorHAnsi"/>
          <w:b/>
          <w:bCs/>
          <w:color w:val="FF0000"/>
        </w:rPr>
        <w:t>O</w:t>
      </w:r>
      <w:r w:rsidRPr="000530AD">
        <w:rPr>
          <w:rFonts w:cstheme="minorHAnsi"/>
          <w:b/>
          <w:bCs/>
          <w:color w:val="FF0000"/>
        </w:rPr>
        <w:t>ne Set of Specifications</w:t>
      </w:r>
    </w:p>
    <w:p w14:paraId="22C7F6BA" w14:textId="297CB8CE" w:rsidR="00C76568" w:rsidRPr="000530AD" w:rsidRDefault="00C76568" w:rsidP="00EE7629">
      <w:pPr>
        <w:autoSpaceDE w:val="0"/>
        <w:autoSpaceDN w:val="0"/>
        <w:adjustRightInd w:val="0"/>
        <w:spacing w:after="0" w:line="240" w:lineRule="auto"/>
        <w:rPr>
          <w:rFonts w:cstheme="minorHAnsi"/>
          <w:bCs/>
          <w:color w:val="FF0000"/>
        </w:rPr>
      </w:pPr>
      <w:r w:rsidRPr="000530AD">
        <w:rPr>
          <w:rFonts w:cstheme="minorHAnsi"/>
          <w:bCs/>
          <w:color w:val="FF0000"/>
        </w:rPr>
        <w:t>N/A</w:t>
      </w:r>
      <w:r w:rsidR="00375D12" w:rsidRPr="000530AD">
        <w:rPr>
          <w:rFonts w:cstheme="minorHAnsi"/>
          <w:bCs/>
          <w:color w:val="FF0000"/>
        </w:rPr>
        <w:t xml:space="preserve">; this measure only relies on one set of specifications. </w:t>
      </w:r>
    </w:p>
    <w:p w14:paraId="0738B096" w14:textId="77777777" w:rsidR="00537135" w:rsidRPr="000530AD" w:rsidRDefault="00537135" w:rsidP="00EE7629">
      <w:pPr>
        <w:autoSpaceDE w:val="0"/>
        <w:autoSpaceDN w:val="0"/>
        <w:adjustRightInd w:val="0"/>
        <w:spacing w:after="0" w:line="240" w:lineRule="auto"/>
        <w:rPr>
          <w:rFonts w:cstheme="minorHAnsi"/>
          <w:bCs/>
          <w:color w:val="FF0000"/>
        </w:rPr>
      </w:pPr>
    </w:p>
    <w:p w14:paraId="24DB29E2" w14:textId="77777777" w:rsidR="00537135" w:rsidRPr="000530AD" w:rsidRDefault="00537135" w:rsidP="00EE7629">
      <w:pPr>
        <w:autoSpaceDE w:val="0"/>
        <w:autoSpaceDN w:val="0"/>
        <w:adjustRightInd w:val="0"/>
        <w:spacing w:after="0" w:line="240" w:lineRule="auto"/>
        <w:rPr>
          <w:rFonts w:cstheme="minorHAnsi"/>
          <w:b/>
          <w:bCs/>
          <w:color w:val="FF0000"/>
        </w:rPr>
      </w:pPr>
      <w:r w:rsidRPr="000530AD">
        <w:rPr>
          <w:rFonts w:cstheme="minorHAnsi"/>
          <w:b/>
          <w:bCs/>
          <w:color w:val="FF0000"/>
        </w:rPr>
        <w:t>Missing Data Analysis and Minimizing Bias</w:t>
      </w:r>
    </w:p>
    <w:p w14:paraId="7DA2CCD2" w14:textId="51B86161" w:rsidR="00C76568" w:rsidRPr="000530AD" w:rsidRDefault="00C76568" w:rsidP="00EE7629">
      <w:pPr>
        <w:autoSpaceDE w:val="0"/>
        <w:autoSpaceDN w:val="0"/>
        <w:adjustRightInd w:val="0"/>
        <w:spacing w:after="0" w:line="240" w:lineRule="auto"/>
        <w:rPr>
          <w:rFonts w:cstheme="minorHAnsi"/>
          <w:bCs/>
          <w:color w:val="FF0000"/>
        </w:rPr>
      </w:pPr>
      <w:r w:rsidRPr="000530AD">
        <w:rPr>
          <w:rFonts w:cstheme="minorHAnsi"/>
          <w:bCs/>
          <w:color w:val="FF0000"/>
        </w:rPr>
        <w:t>N/A</w:t>
      </w:r>
      <w:r w:rsidR="00375D12" w:rsidRPr="000530AD">
        <w:rPr>
          <w:rFonts w:cstheme="minorHAnsi"/>
          <w:bCs/>
          <w:color w:val="FF0000"/>
        </w:rPr>
        <w:t xml:space="preserve">; this measure is calculated using cleaned, post-adjudicated claims data for which no missing data was observed. </w:t>
      </w:r>
    </w:p>
    <w:p w14:paraId="5637D9AA" w14:textId="77777777" w:rsidR="00537135" w:rsidRDefault="00537135" w:rsidP="00EE7629">
      <w:pPr>
        <w:autoSpaceDE w:val="0"/>
        <w:autoSpaceDN w:val="0"/>
        <w:adjustRightInd w:val="0"/>
        <w:spacing w:after="0" w:line="240" w:lineRule="auto"/>
        <w:rPr>
          <w:rFonts w:cstheme="minorHAnsi"/>
          <w:bCs/>
        </w:rPr>
      </w:pPr>
    </w:p>
    <w:p w14:paraId="24B0BBE7" w14:textId="3A0F6ADA" w:rsidR="0021054A" w:rsidRDefault="0021054A" w:rsidP="00EE7629">
      <w:pPr>
        <w:autoSpaceDE w:val="0"/>
        <w:autoSpaceDN w:val="0"/>
        <w:adjustRightInd w:val="0"/>
        <w:spacing w:after="0" w:line="240" w:lineRule="auto"/>
        <w:rPr>
          <w:rFonts w:cstheme="minorHAnsi"/>
          <w:bCs/>
        </w:rPr>
      </w:pPr>
      <w:r w:rsidRPr="00712770">
        <w:rPr>
          <w:rFonts w:cstheme="minorHAnsi"/>
          <w:b/>
          <w:bCs/>
        </w:rPr>
        <w:t>1.8 What were the patient-level sociodemographic (SDS) variables that were available and analyzed in the data or sample used?</w:t>
      </w:r>
      <w:r>
        <w:rPr>
          <w:rFonts w:cstheme="minorHAnsi"/>
          <w:bCs/>
        </w:rPr>
        <w:t xml:space="preserve"> </w:t>
      </w:r>
      <w:proofErr w:type="gramStart"/>
      <w:r w:rsidRPr="00712770">
        <w:rPr>
          <w:rFonts w:cstheme="minorHAnsi"/>
          <w:bCs/>
          <w:i/>
        </w:rPr>
        <w:t>For example, patient-reported data (e.g., income, education, language), proxy variables when SDS data are not collected from each patient (e.g. census tract), or patient community characteristics (e.g. percent vacant housing, crime rate).</w:t>
      </w:r>
      <w:proofErr w:type="gramEnd"/>
      <w:r>
        <w:rPr>
          <w:rFonts w:cstheme="minorHAnsi"/>
          <w:bCs/>
        </w:rPr>
        <w:t xml:space="preserve"> </w:t>
      </w:r>
    </w:p>
    <w:p w14:paraId="75DB38CC" w14:textId="7911013F" w:rsidR="00712770" w:rsidRDefault="00712770" w:rsidP="00EE7629">
      <w:pPr>
        <w:autoSpaceDE w:val="0"/>
        <w:autoSpaceDN w:val="0"/>
        <w:adjustRightInd w:val="0"/>
        <w:spacing w:after="0" w:line="240" w:lineRule="auto"/>
        <w:rPr>
          <w:rFonts w:cstheme="minorHAnsi"/>
          <w:bCs/>
        </w:rPr>
      </w:pPr>
      <w:r>
        <w:rPr>
          <w:rFonts w:cstheme="minorHAnsi"/>
          <w:bCs/>
        </w:rPr>
        <w:t xml:space="preserve">We assessed patient-level SDS factors as part of the regression model reported in </w:t>
      </w:r>
      <w:r w:rsidRPr="00615781">
        <w:rPr>
          <w:rFonts w:cstheme="minorHAnsi"/>
          <w:b/>
          <w:bCs/>
        </w:rPr>
        <w:t xml:space="preserve">Section </w:t>
      </w:r>
      <w:r w:rsidRPr="00051702">
        <w:rPr>
          <w:rFonts w:cstheme="minorHAnsi"/>
          <w:b/>
          <w:bCs/>
        </w:rPr>
        <w:t>1b.4</w:t>
      </w:r>
      <w:r>
        <w:rPr>
          <w:rFonts w:cstheme="minorHAnsi"/>
          <w:bCs/>
        </w:rPr>
        <w:t>, which provides an overview of disparities in car</w:t>
      </w:r>
      <w:r w:rsidR="008F093C">
        <w:rPr>
          <w:rFonts w:cstheme="minorHAnsi"/>
          <w:bCs/>
        </w:rPr>
        <w:t>e for patient sub-populations. CORE and Lewin based t</w:t>
      </w:r>
      <w:r>
        <w:rPr>
          <w:rFonts w:cstheme="minorHAnsi"/>
          <w:bCs/>
        </w:rPr>
        <w:t>his analysis on SDS</w:t>
      </w:r>
      <w:r w:rsidR="008F093C">
        <w:rPr>
          <w:rFonts w:cstheme="minorHAnsi"/>
          <w:bCs/>
        </w:rPr>
        <w:t xml:space="preserve"> variables included in the CMS P</w:t>
      </w:r>
      <w:r>
        <w:rPr>
          <w:rFonts w:cstheme="minorHAnsi"/>
          <w:bCs/>
        </w:rPr>
        <w:t xml:space="preserve">atient </w:t>
      </w:r>
      <w:r w:rsidR="008F093C">
        <w:rPr>
          <w:rFonts w:cstheme="minorHAnsi"/>
          <w:bCs/>
        </w:rPr>
        <w:t>E</w:t>
      </w:r>
      <w:r>
        <w:rPr>
          <w:rFonts w:cstheme="minorHAnsi"/>
          <w:bCs/>
        </w:rPr>
        <w:t>ligibility file</w:t>
      </w:r>
      <w:r w:rsidR="00051702">
        <w:rPr>
          <w:rFonts w:cstheme="minorHAnsi"/>
          <w:bCs/>
        </w:rPr>
        <w:t xml:space="preserve">: </w:t>
      </w:r>
    </w:p>
    <w:p w14:paraId="765A3B88" w14:textId="53B08E08" w:rsidR="00051702" w:rsidRDefault="00F16D54" w:rsidP="00EE7629">
      <w:pPr>
        <w:pStyle w:val="ListParagraph"/>
        <w:numPr>
          <w:ilvl w:val="0"/>
          <w:numId w:val="40"/>
        </w:numPr>
        <w:autoSpaceDE w:val="0"/>
        <w:autoSpaceDN w:val="0"/>
        <w:adjustRightInd w:val="0"/>
        <w:spacing w:after="0" w:line="240" w:lineRule="auto"/>
        <w:rPr>
          <w:rFonts w:cstheme="minorHAnsi"/>
          <w:bCs/>
        </w:rPr>
      </w:pPr>
      <w:r>
        <w:rPr>
          <w:rFonts w:cstheme="minorHAnsi"/>
          <w:bCs/>
        </w:rPr>
        <w:t>Age g</w:t>
      </w:r>
      <w:r w:rsidR="00051702">
        <w:rPr>
          <w:rFonts w:cstheme="minorHAnsi"/>
          <w:bCs/>
        </w:rPr>
        <w:t>roup</w:t>
      </w:r>
    </w:p>
    <w:p w14:paraId="0FC90DA1" w14:textId="645861E9" w:rsidR="00051702" w:rsidRDefault="00051702" w:rsidP="00EE7629">
      <w:pPr>
        <w:pStyle w:val="ListParagraph"/>
        <w:numPr>
          <w:ilvl w:val="0"/>
          <w:numId w:val="40"/>
        </w:numPr>
        <w:autoSpaceDE w:val="0"/>
        <w:autoSpaceDN w:val="0"/>
        <w:adjustRightInd w:val="0"/>
        <w:spacing w:after="0" w:line="240" w:lineRule="auto"/>
        <w:rPr>
          <w:rFonts w:cstheme="minorHAnsi"/>
          <w:bCs/>
        </w:rPr>
      </w:pPr>
      <w:r>
        <w:rPr>
          <w:rFonts w:cstheme="minorHAnsi"/>
          <w:bCs/>
        </w:rPr>
        <w:t>Gender</w:t>
      </w:r>
    </w:p>
    <w:p w14:paraId="7422565F" w14:textId="2DB11AF6" w:rsidR="00051702" w:rsidRPr="00051702" w:rsidRDefault="00051702" w:rsidP="00EE7629">
      <w:pPr>
        <w:pStyle w:val="ListParagraph"/>
        <w:numPr>
          <w:ilvl w:val="0"/>
          <w:numId w:val="40"/>
        </w:numPr>
        <w:autoSpaceDE w:val="0"/>
        <w:autoSpaceDN w:val="0"/>
        <w:adjustRightInd w:val="0"/>
        <w:spacing w:after="0" w:line="240" w:lineRule="auto"/>
        <w:rPr>
          <w:rFonts w:cstheme="minorHAnsi"/>
          <w:bCs/>
        </w:rPr>
      </w:pPr>
      <w:r>
        <w:rPr>
          <w:rFonts w:cstheme="minorHAnsi"/>
          <w:bCs/>
        </w:rPr>
        <w:t>Race</w:t>
      </w:r>
    </w:p>
    <w:p w14:paraId="5D2D55F4" w14:textId="4B8FFBBE" w:rsidR="000530AD" w:rsidRPr="003E4C3A" w:rsidRDefault="000530AD" w:rsidP="00EE7629">
      <w:pPr>
        <w:autoSpaceDE w:val="0"/>
        <w:autoSpaceDN w:val="0"/>
        <w:adjustRightInd w:val="0"/>
        <w:spacing w:after="0" w:line="240" w:lineRule="auto"/>
        <w:rPr>
          <w:rFonts w:cstheme="minorHAnsi"/>
          <w:bCs/>
          <w:color w:val="FF0000"/>
        </w:rPr>
      </w:pPr>
      <w:r w:rsidRPr="003E4C3A">
        <w:rPr>
          <w:rFonts w:cstheme="minorHAnsi"/>
          <w:b/>
          <w:bCs/>
          <w:color w:val="FF0000"/>
        </w:rPr>
        <w:t>201</w:t>
      </w:r>
      <w:r w:rsidR="003E4C3A" w:rsidRPr="003E4C3A">
        <w:rPr>
          <w:rFonts w:cstheme="minorHAnsi"/>
          <w:b/>
          <w:bCs/>
          <w:color w:val="FF0000"/>
        </w:rPr>
        <w:t>6</w:t>
      </w:r>
      <w:r w:rsidRPr="003E4C3A">
        <w:rPr>
          <w:rFonts w:cstheme="minorHAnsi"/>
          <w:b/>
          <w:bCs/>
          <w:color w:val="FF0000"/>
        </w:rPr>
        <w:t xml:space="preserve"> Submission:</w:t>
      </w:r>
    </w:p>
    <w:p w14:paraId="00905244" w14:textId="05B16A04" w:rsidR="00051702" w:rsidRPr="003E4C3A" w:rsidRDefault="00051702" w:rsidP="00EE7629">
      <w:pPr>
        <w:autoSpaceDE w:val="0"/>
        <w:autoSpaceDN w:val="0"/>
        <w:adjustRightInd w:val="0"/>
        <w:spacing w:after="0" w:line="240" w:lineRule="auto"/>
        <w:rPr>
          <w:rFonts w:cstheme="minorHAnsi"/>
          <w:bCs/>
          <w:color w:val="FF0000"/>
        </w:rPr>
      </w:pPr>
      <w:r w:rsidRPr="003E4C3A">
        <w:rPr>
          <w:rFonts w:cstheme="minorHAnsi"/>
          <w:bCs/>
          <w:color w:val="FF0000"/>
        </w:rPr>
        <w:t xml:space="preserve">While an analysis of SDS factors is important in understanding differences in care for patient sub-populations, this measure is a process measure </w:t>
      </w:r>
      <w:r w:rsidR="003F37FB" w:rsidRPr="003E4C3A">
        <w:rPr>
          <w:rFonts w:cstheme="minorHAnsi"/>
          <w:bCs/>
          <w:color w:val="FF0000"/>
        </w:rPr>
        <w:t xml:space="preserve">that is </w:t>
      </w:r>
      <w:r w:rsidR="00182576" w:rsidRPr="003E4C3A">
        <w:rPr>
          <w:rFonts w:cstheme="minorHAnsi"/>
          <w:bCs/>
          <w:color w:val="FF0000"/>
        </w:rPr>
        <w:t>neither risk adjusted nor</w:t>
      </w:r>
      <w:r w:rsidRPr="003E4C3A">
        <w:rPr>
          <w:rFonts w:cstheme="minorHAnsi"/>
          <w:bCs/>
          <w:color w:val="FF0000"/>
        </w:rPr>
        <w:t xml:space="preserve"> risk stratifi</w:t>
      </w:r>
      <w:r w:rsidR="003F37FB" w:rsidRPr="003E4C3A">
        <w:rPr>
          <w:rFonts w:cstheme="minorHAnsi"/>
          <w:bCs/>
          <w:color w:val="FF0000"/>
        </w:rPr>
        <w:t>ed</w:t>
      </w:r>
      <w:r w:rsidRPr="003E4C3A">
        <w:rPr>
          <w:rFonts w:cstheme="minorHAnsi"/>
          <w:bCs/>
          <w:color w:val="FF0000"/>
        </w:rPr>
        <w:t xml:space="preserve">. </w:t>
      </w:r>
      <w:r w:rsidR="003F37FB" w:rsidRPr="003E4C3A">
        <w:rPr>
          <w:rFonts w:cstheme="minorHAnsi"/>
          <w:bCs/>
          <w:color w:val="FF0000"/>
        </w:rPr>
        <w:t>R</w:t>
      </w:r>
      <w:r w:rsidRPr="003E4C3A">
        <w:rPr>
          <w:rFonts w:cstheme="minorHAnsi"/>
          <w:bCs/>
          <w:color w:val="FF0000"/>
        </w:rPr>
        <w:t xml:space="preserve">isk adjustment </w:t>
      </w:r>
      <w:r w:rsidR="003F37FB" w:rsidRPr="003E4C3A">
        <w:rPr>
          <w:rFonts w:cstheme="minorHAnsi"/>
          <w:bCs/>
          <w:color w:val="FF0000"/>
        </w:rPr>
        <w:t>or r</w:t>
      </w:r>
      <w:r w:rsidRPr="003E4C3A">
        <w:rPr>
          <w:rFonts w:cstheme="minorHAnsi"/>
          <w:bCs/>
          <w:color w:val="FF0000"/>
        </w:rPr>
        <w:t xml:space="preserve">isk stratification </w:t>
      </w:r>
      <w:r w:rsidR="003F37FB" w:rsidRPr="003E4C3A">
        <w:rPr>
          <w:rFonts w:cstheme="minorHAnsi"/>
          <w:bCs/>
          <w:color w:val="FF0000"/>
        </w:rPr>
        <w:t xml:space="preserve">would </w:t>
      </w:r>
      <w:r w:rsidRPr="003E4C3A">
        <w:rPr>
          <w:rFonts w:cstheme="minorHAnsi"/>
          <w:bCs/>
          <w:color w:val="FF0000"/>
        </w:rPr>
        <w:t>not</w:t>
      </w:r>
      <w:r w:rsidR="003F37FB" w:rsidRPr="003E4C3A">
        <w:rPr>
          <w:rFonts w:cstheme="minorHAnsi"/>
          <w:bCs/>
          <w:color w:val="FF0000"/>
        </w:rPr>
        <w:t xml:space="preserve"> be</w:t>
      </w:r>
      <w:r w:rsidRPr="003E4C3A">
        <w:rPr>
          <w:rFonts w:cstheme="minorHAnsi"/>
          <w:bCs/>
          <w:color w:val="FF0000"/>
        </w:rPr>
        <w:t xml:space="preserve"> appropriate based on the measure evidence base and the measure construct. Additional information on this determination </w:t>
      </w:r>
      <w:proofErr w:type="gramStart"/>
      <w:r w:rsidRPr="003E4C3A">
        <w:rPr>
          <w:rFonts w:cstheme="minorHAnsi"/>
          <w:bCs/>
          <w:color w:val="FF0000"/>
        </w:rPr>
        <w:t>is provided</w:t>
      </w:r>
      <w:proofErr w:type="gramEnd"/>
      <w:r w:rsidRPr="003E4C3A">
        <w:rPr>
          <w:rFonts w:cstheme="minorHAnsi"/>
          <w:bCs/>
          <w:color w:val="FF0000"/>
        </w:rPr>
        <w:t xml:space="preserve"> in </w:t>
      </w:r>
      <w:r w:rsidRPr="003E4C3A">
        <w:rPr>
          <w:rFonts w:cstheme="minorHAnsi"/>
          <w:b/>
          <w:bCs/>
          <w:color w:val="FF0000"/>
        </w:rPr>
        <w:t>Section 2b4.2</w:t>
      </w:r>
      <w:r w:rsidRPr="003E4C3A">
        <w:rPr>
          <w:rFonts w:cstheme="minorHAnsi"/>
          <w:bCs/>
          <w:color w:val="FF0000"/>
        </w:rPr>
        <w:t>.</w:t>
      </w:r>
    </w:p>
    <w:p w14:paraId="187C4E73" w14:textId="3BB0AAE2" w:rsidR="004348CC" w:rsidRPr="00E37E1B" w:rsidRDefault="00483E94" w:rsidP="00EE7629">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73DA60E6" w14:textId="77777777" w:rsidR="008A403A" w:rsidRPr="00A25024" w:rsidRDefault="00021170" w:rsidP="00EE7629">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1BC45091" w14:textId="77777777" w:rsidR="00E310B9" w:rsidRPr="00A25024" w:rsidRDefault="00E310B9" w:rsidP="00EE7629">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55538BA3" w14:textId="77777777" w:rsidR="008C54A9" w:rsidRPr="00A25024" w:rsidRDefault="008C54A9" w:rsidP="00EE7629">
      <w:pPr>
        <w:autoSpaceDE w:val="0"/>
        <w:autoSpaceDN w:val="0"/>
        <w:adjustRightInd w:val="0"/>
        <w:spacing w:after="0" w:line="240" w:lineRule="auto"/>
        <w:rPr>
          <w:rFonts w:cstheme="minorHAnsi"/>
          <w:b/>
          <w:bCs/>
        </w:rPr>
      </w:pPr>
    </w:p>
    <w:p w14:paraId="0120D891" w14:textId="059FF402" w:rsidR="001969C5" w:rsidRDefault="00092566" w:rsidP="00EE762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Arial Unicode MS"/>
            <w14:uncheckedState w14:val="2610" w14:font="Arial Unicode MS"/>
          </w14:checkbox>
        </w:sdt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00" w:themeColor="text1"/>
          </w:rPr>
          <w:id w:val="1033152840"/>
          <w14:checkbox>
            <w14:checked w14:val="1"/>
            <w14:checkedState w14:val="2612" w14:font="Arial Unicode MS"/>
            <w14:uncheckedState w14:val="2610" w14:font="Arial Unicode MS"/>
          </w14:checkbox>
        </w:sdtPr>
        <w:sdtContent>
          <w:r w:rsidR="003E4C3A" w:rsidRPr="00AF6521">
            <w:rPr>
              <w:rFonts w:ascii="MS Gothic" w:eastAsia="MS Gothic" w:hAnsi="MS Gothic" w:cstheme="minorHAnsi" w:hint="eastAsia"/>
              <w:bCs/>
              <w:color w:val="000000" w:themeColor="text1"/>
            </w:rPr>
            <w:t>☒</w:t>
          </w:r>
        </w:sdtContent>
      </w:sdt>
      <w:r w:rsidR="003E4C3A" w:rsidRPr="00AF6521">
        <w:rPr>
          <w:rFonts w:cstheme="minorHAnsi"/>
          <w:bCs/>
          <w:color w:val="FF0000"/>
        </w:rPr>
        <w:t xml:space="preserve"> </w:t>
      </w:r>
      <w:sdt>
        <w:sdtPr>
          <w:rPr>
            <w:rFonts w:eastAsia="MS Gothic" w:cstheme="minorHAnsi"/>
            <w:bCs/>
            <w:color w:val="FF0000"/>
          </w:rPr>
          <w:id w:val="-1528330452"/>
          <w14:checkbox>
            <w14:checked w14:val="1"/>
            <w14:checkedState w14:val="2612" w14:font="Arial Unicode MS"/>
            <w14:uncheckedState w14:val="2610" w14:font="Arial Unicode MS"/>
          </w14:checkbox>
        </w:sdtPr>
        <w:sdtContent>
          <w:r w:rsidR="003E4C3A" w:rsidRPr="00AF6521">
            <w:rPr>
              <w:rFonts w:ascii="MS Gothic" w:eastAsia="MS Gothic" w:hAnsi="MS Gothic" w:cstheme="minorHAnsi" w:hint="eastAsia"/>
              <w:bCs/>
              <w:color w:val="FF0000"/>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68186CA0" w14:textId="54B31EFF" w:rsidR="003E4C3A" w:rsidRDefault="003E4C3A" w:rsidP="00EE7629">
      <w:pPr>
        <w:autoSpaceDE w:val="0"/>
        <w:autoSpaceDN w:val="0"/>
        <w:adjustRightInd w:val="0"/>
        <w:spacing w:after="0" w:line="240" w:lineRule="auto"/>
        <w:rPr>
          <w:rFonts w:cstheme="minorHAnsi"/>
          <w:bCs/>
        </w:rPr>
      </w:pPr>
      <w:r>
        <w:rPr>
          <w:rFonts w:cstheme="minorHAnsi"/>
          <w:b/>
          <w:bCs/>
        </w:rPr>
        <w:t>2014 Submission:</w:t>
      </w:r>
    </w:p>
    <w:p w14:paraId="1525A1D6" w14:textId="77777777" w:rsidR="003E4C3A" w:rsidRPr="003E4C3A" w:rsidRDefault="003E4C3A" w:rsidP="00EE7629">
      <w:pPr>
        <w:autoSpaceDE w:val="0"/>
        <w:autoSpaceDN w:val="0"/>
        <w:adjustRightInd w:val="0"/>
        <w:spacing w:after="0" w:line="240" w:lineRule="auto"/>
        <w:rPr>
          <w:rFonts w:cstheme="minorHAnsi"/>
          <w:bCs/>
        </w:rPr>
      </w:pPr>
      <w:r w:rsidRPr="003E4C3A">
        <w:rPr>
          <w:rFonts w:cstheme="minorHAnsi"/>
          <w:bCs/>
        </w:rPr>
        <w:t xml:space="preserve">Reliability </w:t>
      </w:r>
      <w:proofErr w:type="gramStart"/>
      <w:r w:rsidRPr="003E4C3A">
        <w:rPr>
          <w:rFonts w:cstheme="minorHAnsi"/>
          <w:bCs/>
        </w:rPr>
        <w:t>was calculated</w:t>
      </w:r>
      <w:proofErr w:type="gramEnd"/>
      <w:r w:rsidRPr="003E4C3A">
        <w:rPr>
          <w:rFonts w:cstheme="minorHAnsi"/>
          <w:bCs/>
        </w:rPr>
        <w:t xml:space="preserve"> in accordance with the methods discussed in </w:t>
      </w:r>
      <w:r w:rsidRPr="00A66276">
        <w:rPr>
          <w:rFonts w:cstheme="minorHAnsi"/>
          <w:bCs/>
          <w:i/>
        </w:rPr>
        <w:t>The Reliability of Provider Profiling: A Tutorial</w:t>
      </w:r>
      <w:r w:rsidRPr="003E4C3A">
        <w:rPr>
          <w:rFonts w:cstheme="minorHAnsi"/>
          <w:bCs/>
        </w:rPr>
        <w:t xml:space="preserve"> (2009). The reliability testing calculates the ability of the measure to distinguish between the </w:t>
      </w:r>
      <w:proofErr w:type="gramStart"/>
      <w:r w:rsidRPr="003E4C3A">
        <w:rPr>
          <w:rFonts w:cstheme="minorHAnsi"/>
          <w:bCs/>
        </w:rPr>
        <w:t>performance</w:t>
      </w:r>
      <w:proofErr w:type="gramEnd"/>
      <w:r w:rsidRPr="003E4C3A">
        <w:rPr>
          <w:rFonts w:cstheme="minorHAnsi"/>
          <w:bCs/>
        </w:rPr>
        <w:t xml:space="preserve"> of different facilities. Specifically, the testing calculated the signal-to-noise ratio for each facility meeting the minimum case count and other criteria for public reporting from the 2011 FFS SAF file. The reliability score </w:t>
      </w:r>
      <w:proofErr w:type="gramStart"/>
      <w:r w:rsidRPr="003E4C3A">
        <w:rPr>
          <w:rFonts w:cstheme="minorHAnsi"/>
          <w:bCs/>
        </w:rPr>
        <w:t>is estimated</w:t>
      </w:r>
      <w:proofErr w:type="gramEnd"/>
      <w:r w:rsidRPr="003E4C3A">
        <w:rPr>
          <w:rFonts w:cstheme="minorHAnsi"/>
          <w:bCs/>
        </w:rPr>
        <w:t xml:space="preserve"> using a beta-binomial model, which is appropriate for the reliability testing of pass/fail measures. The reliability score for each facility is a function of the facility’s sample size and score on the measure, and the variance across facilities. </w:t>
      </w:r>
    </w:p>
    <w:p w14:paraId="5FBE3A93" w14:textId="77777777" w:rsidR="003E4C3A" w:rsidRPr="003E4C3A" w:rsidRDefault="003E4C3A" w:rsidP="00EE7629">
      <w:pPr>
        <w:autoSpaceDE w:val="0"/>
        <w:autoSpaceDN w:val="0"/>
        <w:adjustRightInd w:val="0"/>
        <w:spacing w:after="0" w:line="240" w:lineRule="auto"/>
        <w:rPr>
          <w:rFonts w:cstheme="minorHAnsi"/>
          <w:bCs/>
        </w:rPr>
      </w:pPr>
    </w:p>
    <w:p w14:paraId="1FD9FD36" w14:textId="77777777" w:rsidR="003E4C3A" w:rsidRPr="003E4C3A" w:rsidRDefault="003E4C3A" w:rsidP="00EE7629">
      <w:pPr>
        <w:autoSpaceDE w:val="0"/>
        <w:autoSpaceDN w:val="0"/>
        <w:adjustRightInd w:val="0"/>
        <w:spacing w:after="0" w:line="240" w:lineRule="auto"/>
        <w:rPr>
          <w:rFonts w:cstheme="minorHAnsi"/>
          <w:bCs/>
          <w:i/>
        </w:rPr>
      </w:pPr>
      <w:r w:rsidRPr="003E4C3A">
        <w:rPr>
          <w:rFonts w:cstheme="minorHAnsi"/>
          <w:bCs/>
          <w:i/>
        </w:rPr>
        <w:t xml:space="preserve">Reference: </w:t>
      </w:r>
    </w:p>
    <w:p w14:paraId="08D3B200" w14:textId="77777777" w:rsidR="003E4C3A" w:rsidRPr="003E4C3A" w:rsidRDefault="003E4C3A" w:rsidP="00EE7629">
      <w:pPr>
        <w:autoSpaceDE w:val="0"/>
        <w:autoSpaceDN w:val="0"/>
        <w:adjustRightInd w:val="0"/>
        <w:spacing w:after="0" w:line="240" w:lineRule="auto"/>
        <w:rPr>
          <w:rFonts w:cstheme="minorHAnsi"/>
          <w:bCs/>
        </w:rPr>
      </w:pPr>
      <w:proofErr w:type="gramStart"/>
      <w:r w:rsidRPr="003E4C3A">
        <w:rPr>
          <w:rFonts w:cstheme="minorHAnsi"/>
          <w:bCs/>
        </w:rPr>
        <w:t>Adams JL.</w:t>
      </w:r>
      <w:proofErr w:type="gramEnd"/>
      <w:r w:rsidRPr="003E4C3A">
        <w:rPr>
          <w:rFonts w:cstheme="minorHAnsi"/>
          <w:bCs/>
        </w:rPr>
        <w:t xml:space="preserve"> The reliability of provider </w:t>
      </w:r>
      <w:proofErr w:type="gramStart"/>
      <w:r w:rsidRPr="003E4C3A">
        <w:rPr>
          <w:rFonts w:cstheme="minorHAnsi"/>
          <w:bCs/>
        </w:rPr>
        <w:t>profiling:</w:t>
      </w:r>
      <w:proofErr w:type="gramEnd"/>
      <w:r w:rsidRPr="003E4C3A">
        <w:rPr>
          <w:rFonts w:cstheme="minorHAnsi"/>
          <w:bCs/>
        </w:rPr>
        <w:t xml:space="preserve"> a tutorial. Santa Monica, CA: RAND Corporation. </w:t>
      </w:r>
      <w:proofErr w:type="gramStart"/>
      <w:r w:rsidRPr="003E4C3A">
        <w:rPr>
          <w:rFonts w:cstheme="minorHAnsi"/>
          <w:bCs/>
        </w:rPr>
        <w:t>2009. Retrieved from http://www.rand.org/pubs/technical_reports/TR653.</w:t>
      </w:r>
      <w:proofErr w:type="gramEnd"/>
      <w:r w:rsidRPr="003E4C3A">
        <w:rPr>
          <w:rFonts w:cstheme="minorHAnsi"/>
          <w:bCs/>
        </w:rPr>
        <w:t xml:space="preserve"> </w:t>
      </w:r>
    </w:p>
    <w:p w14:paraId="76B90EE6" w14:textId="77777777" w:rsidR="003E4C3A" w:rsidRPr="003E4C3A" w:rsidRDefault="003E4C3A" w:rsidP="00EE7629">
      <w:pPr>
        <w:autoSpaceDE w:val="0"/>
        <w:autoSpaceDN w:val="0"/>
        <w:adjustRightInd w:val="0"/>
        <w:spacing w:after="0" w:line="240" w:lineRule="auto"/>
        <w:rPr>
          <w:rFonts w:cstheme="minorHAnsi"/>
          <w:bCs/>
        </w:rPr>
      </w:pPr>
    </w:p>
    <w:p w14:paraId="0C0C1B6E" w14:textId="0F7EEF76" w:rsidR="003E4C3A" w:rsidRPr="00A66276" w:rsidRDefault="00A66276" w:rsidP="00EE7629">
      <w:pPr>
        <w:autoSpaceDE w:val="0"/>
        <w:autoSpaceDN w:val="0"/>
        <w:adjustRightInd w:val="0"/>
        <w:spacing w:after="0" w:line="240" w:lineRule="auto"/>
        <w:rPr>
          <w:rFonts w:cstheme="minorHAnsi"/>
          <w:b/>
          <w:bCs/>
          <w:color w:val="FF0000"/>
        </w:rPr>
      </w:pPr>
      <w:r w:rsidRPr="00A66276">
        <w:rPr>
          <w:rFonts w:cstheme="minorHAnsi"/>
          <w:b/>
          <w:bCs/>
          <w:color w:val="FF0000"/>
        </w:rPr>
        <w:t>2016 Submission:</w:t>
      </w:r>
    </w:p>
    <w:p w14:paraId="23DF7F2D" w14:textId="3AB866C5" w:rsidR="00537135" w:rsidRPr="00A66276" w:rsidRDefault="00537135" w:rsidP="00EE7629">
      <w:pPr>
        <w:autoSpaceDE w:val="0"/>
        <w:autoSpaceDN w:val="0"/>
        <w:adjustRightInd w:val="0"/>
        <w:spacing w:after="0" w:line="240" w:lineRule="auto"/>
        <w:rPr>
          <w:rFonts w:cstheme="minorHAnsi"/>
          <w:bCs/>
          <w:color w:val="FF0000"/>
        </w:rPr>
      </w:pPr>
      <w:r w:rsidRPr="00A66276">
        <w:rPr>
          <w:rFonts w:cstheme="minorHAnsi"/>
          <w:bCs/>
          <w:color w:val="FF0000"/>
        </w:rPr>
        <w:t>We calculate reliability</w:t>
      </w:r>
      <w:r w:rsidR="00375D12" w:rsidRPr="00A66276">
        <w:rPr>
          <w:rFonts w:cstheme="minorHAnsi"/>
          <w:bCs/>
          <w:color w:val="FF0000"/>
        </w:rPr>
        <w:t xml:space="preserve"> in a manner consistent with NQF guidance and</w:t>
      </w:r>
      <w:r w:rsidRPr="00A66276">
        <w:rPr>
          <w:rFonts w:cstheme="minorHAnsi"/>
          <w:bCs/>
          <w:color w:val="FF0000"/>
        </w:rPr>
        <w:t xml:space="preserve"> in accordance with the methods discussed in </w:t>
      </w:r>
      <w:r w:rsidRPr="00A66276">
        <w:rPr>
          <w:rFonts w:cstheme="minorHAnsi"/>
          <w:bCs/>
          <w:i/>
          <w:color w:val="FF0000"/>
        </w:rPr>
        <w:t>The Reliability of Provider Profiling: A Tutorial</w:t>
      </w:r>
      <w:r w:rsidRPr="00A66276">
        <w:rPr>
          <w:rFonts w:cstheme="minorHAnsi"/>
          <w:bCs/>
          <w:color w:val="FF0000"/>
        </w:rPr>
        <w:t xml:space="preserve"> (2009). The reliability testing calculates the ability of the measure to distinguish between the </w:t>
      </w:r>
      <w:r w:rsidR="00975C01" w:rsidRPr="00A66276">
        <w:rPr>
          <w:rFonts w:cstheme="minorHAnsi"/>
          <w:bCs/>
          <w:color w:val="FF0000"/>
        </w:rPr>
        <w:t>performances</w:t>
      </w:r>
      <w:r w:rsidRPr="00A66276">
        <w:rPr>
          <w:rFonts w:cstheme="minorHAnsi"/>
          <w:bCs/>
          <w:color w:val="FF0000"/>
        </w:rPr>
        <w:t xml:space="preserve"> of different facilities</w:t>
      </w:r>
      <w:r w:rsidR="00DA1350" w:rsidRPr="00A66276">
        <w:rPr>
          <w:rFonts w:cstheme="minorHAnsi"/>
          <w:bCs/>
          <w:color w:val="FF0000"/>
        </w:rPr>
        <w:t xml:space="preserve">. </w:t>
      </w:r>
      <w:r w:rsidRPr="00A66276">
        <w:rPr>
          <w:rFonts w:cstheme="minorHAnsi"/>
          <w:bCs/>
          <w:color w:val="FF0000"/>
        </w:rPr>
        <w:t xml:space="preserve">Specifically, the testing calculated the signal-to-noise ratio for each facility meeting the minimum case count in 2013. </w:t>
      </w:r>
      <w:r w:rsidR="008F093C" w:rsidRPr="00A66276">
        <w:rPr>
          <w:rFonts w:cstheme="minorHAnsi"/>
          <w:bCs/>
          <w:color w:val="FF0000"/>
        </w:rPr>
        <w:t>CORE and Lewin estimate t</w:t>
      </w:r>
      <w:r w:rsidRPr="00A66276">
        <w:rPr>
          <w:rFonts w:cstheme="minorHAnsi"/>
          <w:bCs/>
          <w:color w:val="FF0000"/>
        </w:rPr>
        <w:t xml:space="preserve">he reliability score using a beta-binomial model, which is appropriate for the reliability testing of </w:t>
      </w:r>
      <w:r w:rsidR="00375D12" w:rsidRPr="00A66276">
        <w:rPr>
          <w:rFonts w:cstheme="minorHAnsi"/>
          <w:bCs/>
          <w:color w:val="FF0000"/>
        </w:rPr>
        <w:t>dichotomous</w:t>
      </w:r>
      <w:r w:rsidRPr="00A66276">
        <w:rPr>
          <w:rFonts w:cstheme="minorHAnsi"/>
          <w:bCs/>
          <w:color w:val="FF0000"/>
        </w:rPr>
        <w:t xml:space="preserve"> measures</w:t>
      </w:r>
      <w:r w:rsidR="00375D12" w:rsidRPr="00A66276">
        <w:rPr>
          <w:rFonts w:cstheme="minorHAnsi"/>
          <w:bCs/>
          <w:color w:val="FF0000"/>
        </w:rPr>
        <w:t xml:space="preserve"> (where numerator cases may only have a value of zero or one)</w:t>
      </w:r>
      <w:r w:rsidRPr="00A66276">
        <w:rPr>
          <w:rFonts w:cstheme="minorHAnsi"/>
          <w:bCs/>
          <w:color w:val="FF0000"/>
        </w:rPr>
        <w:t xml:space="preserve">. The reliability score for each facility is a function of the facility sample size and score on the measure, and the variance across facilities. </w:t>
      </w:r>
    </w:p>
    <w:p w14:paraId="6420D8D0" w14:textId="77777777" w:rsidR="008C54A9" w:rsidRPr="00A25024" w:rsidRDefault="008C54A9" w:rsidP="00EE7629">
      <w:pPr>
        <w:autoSpaceDE w:val="0"/>
        <w:autoSpaceDN w:val="0"/>
        <w:adjustRightInd w:val="0"/>
        <w:spacing w:after="0" w:line="240" w:lineRule="auto"/>
        <w:rPr>
          <w:rFonts w:cstheme="minorHAnsi"/>
          <w:bCs/>
        </w:rPr>
      </w:pPr>
    </w:p>
    <w:p w14:paraId="4BEFF67E" w14:textId="77498AD9" w:rsidR="00537135" w:rsidRDefault="00092566" w:rsidP="00EE762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712770">
        <w:rPr>
          <w:rFonts w:cstheme="minorHAnsi"/>
          <w:bCs/>
        </w:rPr>
        <w:t xml:space="preserve"> </w:t>
      </w:r>
      <w:r w:rsidR="00AA5213" w:rsidRPr="00A25024">
        <w:rPr>
          <w:rFonts w:cstheme="minorHAnsi"/>
          <w:bCs/>
        </w:rPr>
        <w:t>(e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636C4B6C" w14:textId="4690488E" w:rsidR="00375D12" w:rsidRDefault="00A66276" w:rsidP="00EE7629">
      <w:pPr>
        <w:autoSpaceDE w:val="0"/>
        <w:autoSpaceDN w:val="0"/>
        <w:adjustRightInd w:val="0"/>
        <w:spacing w:after="0" w:line="240" w:lineRule="auto"/>
        <w:rPr>
          <w:rFonts w:cstheme="minorHAnsi"/>
          <w:b/>
          <w:bCs/>
        </w:rPr>
      </w:pPr>
      <w:r w:rsidRPr="00A66276">
        <w:rPr>
          <w:rFonts w:cstheme="minorHAnsi"/>
          <w:b/>
          <w:bCs/>
        </w:rPr>
        <w:t>2014 Submission:</w:t>
      </w:r>
    </w:p>
    <w:p w14:paraId="2D29FD24" w14:textId="77777777" w:rsidR="00A66276" w:rsidRPr="00A66276" w:rsidRDefault="00A66276" w:rsidP="00EE7629">
      <w:pPr>
        <w:autoSpaceDE w:val="0"/>
        <w:autoSpaceDN w:val="0"/>
        <w:spacing w:line="240" w:lineRule="auto"/>
        <w:rPr>
          <w:color w:val="000000" w:themeColor="text1"/>
        </w:rPr>
      </w:pPr>
      <w:r w:rsidRPr="00A66276">
        <w:rPr>
          <w:i/>
          <w:color w:val="000000" w:themeColor="text1"/>
        </w:rPr>
        <w:t>Figure 1</w:t>
      </w:r>
      <w:r w:rsidRPr="00A66276">
        <w:rPr>
          <w:color w:val="000000" w:themeColor="text1"/>
        </w:rPr>
        <w:t xml:space="preserve"> (below) is a histogram of the distribution of the reliability scores for the facilities meeting all public reporting requirements in 2011. Reliability scores ranged from 24.8% to 91.8%, with a median reliability score of 53.1%.  </w:t>
      </w:r>
    </w:p>
    <w:p w14:paraId="3EE111AA" w14:textId="77777777" w:rsidR="00A66276" w:rsidRDefault="00A66276" w:rsidP="00DD4389">
      <w:pPr>
        <w:autoSpaceDE w:val="0"/>
        <w:autoSpaceDN w:val="0"/>
        <w:adjustRightInd w:val="0"/>
        <w:spacing w:after="0" w:line="240" w:lineRule="auto"/>
        <w:rPr>
          <w:rFonts w:cstheme="minorHAnsi"/>
          <w:bCs/>
        </w:rPr>
      </w:pPr>
    </w:p>
    <w:p w14:paraId="5B6F7A74" w14:textId="77777777" w:rsidR="00A66276" w:rsidRDefault="00A66276" w:rsidP="00DD4389">
      <w:pPr>
        <w:keepNext/>
        <w:autoSpaceDE w:val="0"/>
        <w:autoSpaceDN w:val="0"/>
        <w:adjustRightInd w:val="0"/>
        <w:spacing w:after="0" w:line="240" w:lineRule="auto"/>
      </w:pPr>
      <w:r>
        <w:rPr>
          <w:rFonts w:cstheme="minorHAnsi"/>
          <w:bCs/>
          <w:noProof/>
        </w:rPr>
        <w:drawing>
          <wp:inline distT="0" distB="0" distL="0" distR="0" wp14:anchorId="0EEA8EF9" wp14:editId="577B95F6">
            <wp:extent cx="5854700" cy="4393565"/>
            <wp:effectExtent l="0" t="0" r="0" b="6985"/>
            <wp:docPr id="2" name="Picture 2" descr="S:\Project\CMS MIDS\5368.01_Documents\Reliability calculations\Reliability histogram NQF 05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roject\CMS MIDS\5368.01_Documents\Reliability calculations\Reliability histogram NQF 0514.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54700" cy="4393565"/>
                    </a:xfrm>
                    <a:prstGeom prst="rect">
                      <a:avLst/>
                    </a:prstGeom>
                    <a:noFill/>
                    <a:ln>
                      <a:noFill/>
                    </a:ln>
                  </pic:spPr>
                </pic:pic>
              </a:graphicData>
            </a:graphic>
          </wp:inline>
        </w:drawing>
      </w:r>
    </w:p>
    <w:p w14:paraId="5EB989DB" w14:textId="77777777" w:rsidR="00A66276" w:rsidRDefault="00A66276" w:rsidP="00DD4389">
      <w:pPr>
        <w:pStyle w:val="Caption"/>
        <w:rPr>
          <w:rFonts w:cstheme="minorHAnsi"/>
          <w:bCs w:val="0"/>
        </w:rPr>
      </w:pPr>
      <w:r>
        <w:t xml:space="preserve">Figure </w:t>
      </w:r>
      <w:r>
        <w:fldChar w:fldCharType="begin"/>
      </w:r>
      <w:r>
        <w:instrText xml:space="preserve"> SEQ Figure \* ARABIC </w:instrText>
      </w:r>
      <w:r>
        <w:fldChar w:fldCharType="separate"/>
      </w:r>
      <w:r>
        <w:rPr>
          <w:noProof/>
        </w:rPr>
        <w:t>1</w:t>
      </w:r>
      <w:r>
        <w:rPr>
          <w:noProof/>
        </w:rPr>
        <w:fldChar w:fldCharType="end"/>
      </w:r>
      <w:r>
        <w:t>: Histogram of Reliability Scores</w:t>
      </w:r>
    </w:p>
    <w:p w14:paraId="4A3AA31C" w14:textId="3B34DE5A" w:rsidR="00A66276" w:rsidRPr="00A66276" w:rsidRDefault="00A66276" w:rsidP="00DD4389">
      <w:pPr>
        <w:autoSpaceDE w:val="0"/>
        <w:autoSpaceDN w:val="0"/>
        <w:adjustRightInd w:val="0"/>
        <w:spacing w:after="0" w:line="240" w:lineRule="auto"/>
        <w:rPr>
          <w:rFonts w:cstheme="minorHAnsi"/>
          <w:bCs/>
          <w:color w:val="FF0000"/>
        </w:rPr>
      </w:pPr>
      <w:r w:rsidRPr="00A66276">
        <w:rPr>
          <w:rFonts w:cstheme="minorHAnsi"/>
          <w:b/>
          <w:bCs/>
          <w:color w:val="FF0000"/>
        </w:rPr>
        <w:t>2016 Submission:</w:t>
      </w:r>
    </w:p>
    <w:p w14:paraId="4C964E5E" w14:textId="680B5B2D" w:rsidR="00375D12" w:rsidRPr="00A66276" w:rsidRDefault="00375D12" w:rsidP="00DD4389">
      <w:pPr>
        <w:autoSpaceDE w:val="0"/>
        <w:autoSpaceDN w:val="0"/>
        <w:adjustRightInd w:val="0"/>
        <w:spacing w:after="0" w:line="240" w:lineRule="auto"/>
        <w:rPr>
          <w:rFonts w:cstheme="minorHAnsi"/>
          <w:b/>
          <w:bCs/>
          <w:i/>
          <w:color w:val="FF0000"/>
        </w:rPr>
      </w:pPr>
      <w:r w:rsidRPr="00A66276">
        <w:rPr>
          <w:rFonts w:cstheme="minorHAnsi"/>
          <w:b/>
          <w:bCs/>
          <w:i/>
          <w:color w:val="FF0000"/>
        </w:rPr>
        <w:t>Facilit</w:t>
      </w:r>
      <w:r w:rsidR="004C7628" w:rsidRPr="00A66276">
        <w:rPr>
          <w:rFonts w:cstheme="minorHAnsi"/>
          <w:b/>
          <w:bCs/>
          <w:i/>
          <w:color w:val="FF0000"/>
        </w:rPr>
        <w:t>y Reliability</w:t>
      </w:r>
    </w:p>
    <w:p w14:paraId="346A8B8E" w14:textId="4DF8F8C4" w:rsidR="00537135" w:rsidRPr="00A66276" w:rsidRDefault="00375D12" w:rsidP="00DD4389">
      <w:pPr>
        <w:autoSpaceDE w:val="0"/>
        <w:autoSpaceDN w:val="0"/>
        <w:adjustRightInd w:val="0"/>
        <w:spacing w:after="0" w:line="240" w:lineRule="auto"/>
        <w:rPr>
          <w:rFonts w:cstheme="minorHAnsi"/>
          <w:bCs/>
          <w:color w:val="FF0000"/>
        </w:rPr>
      </w:pPr>
      <w:r w:rsidRPr="00A66276">
        <w:rPr>
          <w:rFonts w:cstheme="minorHAnsi"/>
          <w:bCs/>
          <w:i/>
          <w:color w:val="FF0000"/>
        </w:rPr>
        <w:t>Figure 1</w:t>
      </w:r>
      <w:r w:rsidR="00537135" w:rsidRPr="00A66276">
        <w:rPr>
          <w:rFonts w:cstheme="minorHAnsi"/>
          <w:bCs/>
          <w:color w:val="FF0000"/>
        </w:rPr>
        <w:t xml:space="preserve"> (below) is a histogram of the distribution of the reliability scores for the facilities meeting the minimum case count in 2013. Reliability scores ranged from </w:t>
      </w:r>
      <w:r w:rsidR="007513D4" w:rsidRPr="00A66276">
        <w:rPr>
          <w:rFonts w:cstheme="minorHAnsi"/>
          <w:bCs/>
          <w:color w:val="FF0000"/>
        </w:rPr>
        <w:t>22.4</w:t>
      </w:r>
      <w:r w:rsidR="00EB35F7" w:rsidRPr="00A66276">
        <w:rPr>
          <w:rFonts w:cstheme="minorHAnsi"/>
          <w:bCs/>
          <w:color w:val="FF0000"/>
        </w:rPr>
        <w:t>%</w:t>
      </w:r>
      <w:r w:rsidR="00537135" w:rsidRPr="00A66276">
        <w:rPr>
          <w:rFonts w:cstheme="minorHAnsi"/>
          <w:bCs/>
          <w:color w:val="FF0000"/>
        </w:rPr>
        <w:t xml:space="preserve"> to </w:t>
      </w:r>
      <w:r w:rsidR="007513D4" w:rsidRPr="00A66276">
        <w:rPr>
          <w:rFonts w:cstheme="minorHAnsi"/>
          <w:bCs/>
          <w:color w:val="FF0000"/>
        </w:rPr>
        <w:t>86.6</w:t>
      </w:r>
      <w:r w:rsidR="00EB35F7" w:rsidRPr="00A66276">
        <w:rPr>
          <w:rFonts w:cstheme="minorHAnsi"/>
          <w:bCs/>
          <w:color w:val="FF0000"/>
        </w:rPr>
        <w:t>%</w:t>
      </w:r>
      <w:r w:rsidR="00537135" w:rsidRPr="00A66276">
        <w:rPr>
          <w:rFonts w:cstheme="minorHAnsi"/>
          <w:bCs/>
          <w:color w:val="FF0000"/>
        </w:rPr>
        <w:t>, with a m</w:t>
      </w:r>
      <w:r w:rsidR="00AE4BE8" w:rsidRPr="00A66276">
        <w:rPr>
          <w:rFonts w:cstheme="minorHAnsi"/>
          <w:bCs/>
          <w:color w:val="FF0000"/>
        </w:rPr>
        <w:t xml:space="preserve">edian reliability score of </w:t>
      </w:r>
      <w:r w:rsidR="007513D4" w:rsidRPr="00A66276">
        <w:rPr>
          <w:rFonts w:cstheme="minorHAnsi"/>
          <w:bCs/>
          <w:color w:val="FF0000"/>
        </w:rPr>
        <w:t>44.9</w:t>
      </w:r>
      <w:r w:rsidR="00EB35F7" w:rsidRPr="00A66276">
        <w:rPr>
          <w:rFonts w:cstheme="minorHAnsi"/>
          <w:bCs/>
          <w:color w:val="FF0000"/>
        </w:rPr>
        <w:t>%.</w:t>
      </w:r>
    </w:p>
    <w:p w14:paraId="794BDDD3" w14:textId="77777777" w:rsidR="007513D4" w:rsidRPr="00A66276" w:rsidRDefault="007513D4" w:rsidP="00DD4389">
      <w:pPr>
        <w:autoSpaceDE w:val="0"/>
        <w:autoSpaceDN w:val="0"/>
        <w:adjustRightInd w:val="0"/>
        <w:spacing w:after="0" w:line="240" w:lineRule="auto"/>
        <w:rPr>
          <w:rFonts w:cstheme="minorHAnsi"/>
          <w:bCs/>
          <w:color w:val="FF0000"/>
        </w:rPr>
      </w:pPr>
    </w:p>
    <w:p w14:paraId="4CFB82E7" w14:textId="32FBC7AE" w:rsidR="007513D4" w:rsidRPr="00A66276" w:rsidRDefault="007513D4" w:rsidP="00DD4389">
      <w:pPr>
        <w:keepNext/>
        <w:autoSpaceDE w:val="0"/>
        <w:autoSpaceDN w:val="0"/>
        <w:adjustRightInd w:val="0"/>
        <w:spacing w:after="0" w:line="240" w:lineRule="auto"/>
        <w:rPr>
          <w:rFonts w:cstheme="minorHAnsi"/>
          <w:bCs/>
          <w:i/>
          <w:color w:val="FF0000"/>
        </w:rPr>
      </w:pPr>
      <w:r w:rsidRPr="00A66276">
        <w:rPr>
          <w:rFonts w:cstheme="minorHAnsi"/>
          <w:bCs/>
          <w:i/>
          <w:color w:val="FF0000"/>
        </w:rPr>
        <w:t>Figure</w:t>
      </w:r>
      <w:r w:rsidR="00C846E0" w:rsidRPr="00A66276">
        <w:rPr>
          <w:rFonts w:cstheme="minorHAnsi"/>
          <w:bCs/>
          <w:i/>
          <w:color w:val="FF0000"/>
        </w:rPr>
        <w:t xml:space="preserve"> </w:t>
      </w:r>
      <w:r w:rsidR="004C7628" w:rsidRPr="00A66276">
        <w:rPr>
          <w:rFonts w:cstheme="minorHAnsi"/>
          <w:bCs/>
          <w:i/>
          <w:color w:val="FF0000"/>
        </w:rPr>
        <w:t>1</w:t>
      </w:r>
      <w:r w:rsidRPr="00A66276">
        <w:rPr>
          <w:rFonts w:cstheme="minorHAnsi"/>
          <w:bCs/>
          <w:i/>
          <w:color w:val="FF0000"/>
        </w:rPr>
        <w:t xml:space="preserve"> </w:t>
      </w:r>
    </w:p>
    <w:p w14:paraId="6E89D0A0" w14:textId="27C2B9CF" w:rsidR="007513D4" w:rsidRPr="00A66276" w:rsidRDefault="003C622D" w:rsidP="00DD4389">
      <w:pPr>
        <w:autoSpaceDE w:val="0"/>
        <w:autoSpaceDN w:val="0"/>
        <w:adjustRightInd w:val="0"/>
        <w:spacing w:after="0" w:line="240" w:lineRule="auto"/>
        <w:rPr>
          <w:rFonts w:cstheme="minorHAnsi"/>
          <w:bCs/>
          <w:color w:val="FF0000"/>
        </w:rPr>
      </w:pPr>
      <w:r w:rsidRPr="00A66276">
        <w:rPr>
          <w:rFonts w:cstheme="minorHAnsi"/>
          <w:bCs/>
          <w:noProof/>
          <w:color w:val="FF0000"/>
        </w:rPr>
        <w:drawing>
          <wp:inline distT="0" distB="0" distL="0" distR="0" wp14:anchorId="6143DB66" wp14:editId="721E0118">
            <wp:extent cx="5847715" cy="4391025"/>
            <wp:effectExtent l="19050" t="19050" r="19685" b="28575"/>
            <wp:docPr id="4" name="Picture 4" descr="S:\Project\Yale OIE\5654.010\Measure-Specific Materials\OP-08\2015-09-10_Facility Reliability Scores (NQ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roject\Yale OIE\5654.010\Measure-Specific Materials\OP-08\2015-09-10_Facility Reliability Scores (NQF).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47715" cy="4391025"/>
                    </a:xfrm>
                    <a:prstGeom prst="rect">
                      <a:avLst/>
                    </a:prstGeom>
                    <a:noFill/>
                    <a:ln>
                      <a:solidFill>
                        <a:srgbClr val="FF0000"/>
                      </a:solidFill>
                    </a:ln>
                  </pic:spPr>
                </pic:pic>
              </a:graphicData>
            </a:graphic>
          </wp:inline>
        </w:drawing>
      </w:r>
    </w:p>
    <w:p w14:paraId="397B6697" w14:textId="24A41D43" w:rsidR="00375D12" w:rsidRPr="00BB48D1" w:rsidRDefault="00375D12" w:rsidP="00DD4389">
      <w:pPr>
        <w:keepNext/>
        <w:autoSpaceDE w:val="0"/>
        <w:autoSpaceDN w:val="0"/>
        <w:adjustRightInd w:val="0"/>
        <w:spacing w:after="0" w:line="240" w:lineRule="auto"/>
        <w:rPr>
          <w:rFonts w:cstheme="minorHAnsi"/>
          <w:b/>
          <w:bCs/>
        </w:rPr>
      </w:pPr>
    </w:p>
    <w:p w14:paraId="4D8A2987" w14:textId="6F673643" w:rsidR="0019009A" w:rsidRDefault="00092566" w:rsidP="00AE1932">
      <w:pPr>
        <w:autoSpaceDE w:val="0"/>
        <w:autoSpaceDN w:val="0"/>
        <w:adjustRightInd w:val="0"/>
        <w:spacing w:after="0" w:line="240" w:lineRule="auto"/>
        <w:rPr>
          <w:rFonts w:cstheme="minorHAnsi"/>
          <w:noProof/>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A66276">
        <w:rPr>
          <w:rFonts w:cstheme="minorHAnsi"/>
          <w:b/>
          <w:noProof/>
        </w:rPr>
        <w:t>2014 Submission:</w:t>
      </w:r>
    </w:p>
    <w:p w14:paraId="50852974" w14:textId="77777777" w:rsidR="00A66276" w:rsidRPr="00A66276" w:rsidRDefault="00A66276" w:rsidP="00AE1932">
      <w:pPr>
        <w:autoSpaceDE w:val="0"/>
        <w:autoSpaceDN w:val="0"/>
        <w:adjustRightInd w:val="0"/>
        <w:spacing w:after="0" w:line="240" w:lineRule="auto"/>
        <w:rPr>
          <w:color w:val="000000" w:themeColor="text1"/>
        </w:rPr>
      </w:pPr>
      <w:r w:rsidRPr="00A66276">
        <w:rPr>
          <w:color w:val="000000" w:themeColor="text1"/>
        </w:rPr>
        <w:t xml:space="preserve">A median reliability score of 53.1% is below the target median value using a beta-binomial model if the intent of the measure is to identify differences between individual facilities. However, the intent of the measure is not to identify differences in performance between individual facilities, but, rather, to identify differences from the mean (or threshold) performance value. Thus, the measure contractor purports that the testing reported in </w:t>
      </w:r>
      <w:r w:rsidRPr="00A66276">
        <w:rPr>
          <w:b/>
          <w:color w:val="000000" w:themeColor="text1"/>
        </w:rPr>
        <w:t>Section 2b5</w:t>
      </w:r>
      <w:r w:rsidRPr="00A66276">
        <w:rPr>
          <w:color w:val="000000" w:themeColor="text1"/>
        </w:rPr>
        <w:t xml:space="preserve">, to determine statistically significant and meaningful differences in performance, is a more appropriate test for this measure. </w:t>
      </w:r>
    </w:p>
    <w:p w14:paraId="64DB4E66" w14:textId="77777777" w:rsidR="00A66276" w:rsidRDefault="00A66276" w:rsidP="00AE1932">
      <w:pPr>
        <w:autoSpaceDE w:val="0"/>
        <w:autoSpaceDN w:val="0"/>
        <w:adjustRightInd w:val="0"/>
        <w:spacing w:after="0" w:line="240" w:lineRule="auto"/>
        <w:rPr>
          <w:rFonts w:cstheme="minorHAnsi"/>
          <w:noProof/>
        </w:rPr>
      </w:pPr>
    </w:p>
    <w:p w14:paraId="4C5B8E19" w14:textId="4DE55252" w:rsidR="00A66276" w:rsidRPr="00A66276" w:rsidRDefault="00A66276" w:rsidP="00AE1932">
      <w:pPr>
        <w:autoSpaceDE w:val="0"/>
        <w:autoSpaceDN w:val="0"/>
        <w:adjustRightInd w:val="0"/>
        <w:spacing w:after="0" w:line="240" w:lineRule="auto"/>
        <w:rPr>
          <w:rFonts w:cstheme="minorHAnsi"/>
          <w:noProof/>
          <w:color w:val="FF0000"/>
        </w:rPr>
      </w:pPr>
      <w:r w:rsidRPr="00A66276">
        <w:rPr>
          <w:rFonts w:cstheme="minorHAnsi"/>
          <w:b/>
          <w:noProof/>
          <w:color w:val="FF0000"/>
        </w:rPr>
        <w:t>2016 Submission:</w:t>
      </w:r>
    </w:p>
    <w:p w14:paraId="4867F6E2" w14:textId="77777777" w:rsidR="0019009A" w:rsidRPr="00A66276" w:rsidRDefault="0019009A" w:rsidP="00AE1932">
      <w:pPr>
        <w:autoSpaceDE w:val="0"/>
        <w:autoSpaceDN w:val="0"/>
        <w:adjustRightInd w:val="0"/>
        <w:spacing w:after="0" w:line="240" w:lineRule="auto"/>
        <w:rPr>
          <w:rFonts w:cstheme="minorHAnsi"/>
          <w:noProof/>
          <w:color w:val="FF0000"/>
        </w:rPr>
      </w:pPr>
      <w:r w:rsidRPr="00A66276">
        <w:rPr>
          <w:rFonts w:cstheme="minorHAnsi"/>
          <w:bCs/>
          <w:color w:val="FF0000"/>
        </w:rPr>
        <w:t>The results of reliability testing are similar to the results reported to NQF in 2014. During the August 2014 review of the measure, the working group classified the measure’s reliability as moderate.</w:t>
      </w:r>
    </w:p>
    <w:p w14:paraId="5A91996B" w14:textId="77777777" w:rsidR="0059435B" w:rsidRPr="00A66276" w:rsidRDefault="0059435B" w:rsidP="00AE1932">
      <w:pPr>
        <w:autoSpaceDE w:val="0"/>
        <w:autoSpaceDN w:val="0"/>
        <w:adjustRightInd w:val="0"/>
        <w:spacing w:after="0" w:line="240" w:lineRule="auto"/>
        <w:rPr>
          <w:rFonts w:cstheme="minorHAnsi"/>
          <w:bCs/>
          <w:color w:val="FF0000"/>
        </w:rPr>
      </w:pPr>
    </w:p>
    <w:p w14:paraId="0AB7776D" w14:textId="0A18FF8E" w:rsidR="007422FD" w:rsidRPr="00A66276" w:rsidRDefault="006B4981" w:rsidP="00AE1932">
      <w:pPr>
        <w:autoSpaceDE w:val="0"/>
        <w:autoSpaceDN w:val="0"/>
        <w:adjustRightInd w:val="0"/>
        <w:spacing w:after="0" w:line="240" w:lineRule="auto"/>
        <w:rPr>
          <w:rFonts w:cstheme="minorHAnsi"/>
          <w:bCs/>
          <w:color w:val="FF0000"/>
        </w:rPr>
      </w:pPr>
      <w:r w:rsidRPr="00A66276">
        <w:rPr>
          <w:rFonts w:cstheme="minorHAnsi"/>
          <w:bCs/>
          <w:color w:val="FF0000"/>
        </w:rPr>
        <w:t>A median reliability of 44.9% is below the target median value using a beta-binomial model</w:t>
      </w:r>
      <w:r w:rsidR="00C846E0" w:rsidRPr="00A66276">
        <w:rPr>
          <w:rFonts w:cstheme="minorHAnsi"/>
          <w:bCs/>
          <w:color w:val="FF0000"/>
        </w:rPr>
        <w:t>,</w:t>
      </w:r>
      <w:r w:rsidRPr="00A66276">
        <w:rPr>
          <w:rFonts w:cstheme="minorHAnsi"/>
          <w:bCs/>
          <w:color w:val="FF0000"/>
        </w:rPr>
        <w:t xml:space="preserve"> if the intent of the measure is to identify differences between individual facilities. However, the intent of the measure is not to identify differences in performance between individual facilities, </w:t>
      </w:r>
      <w:proofErr w:type="gramStart"/>
      <w:r w:rsidRPr="00A66276">
        <w:rPr>
          <w:rFonts w:cstheme="minorHAnsi"/>
          <w:bCs/>
          <w:color w:val="FF0000"/>
        </w:rPr>
        <w:t>but,</w:t>
      </w:r>
      <w:proofErr w:type="gramEnd"/>
      <w:r w:rsidRPr="00A66276">
        <w:rPr>
          <w:rFonts w:cstheme="minorHAnsi"/>
          <w:bCs/>
          <w:color w:val="FF0000"/>
        </w:rPr>
        <w:t xml:space="preserve"> rather to identify differences from the mean (or threshold) performance value. Thus, we believe the testing reporting in </w:t>
      </w:r>
      <w:r w:rsidRPr="00A66276">
        <w:rPr>
          <w:rFonts w:cstheme="minorHAnsi"/>
          <w:b/>
          <w:bCs/>
          <w:color w:val="FF0000"/>
        </w:rPr>
        <w:t>Section 2b5</w:t>
      </w:r>
      <w:r w:rsidRPr="00A66276">
        <w:rPr>
          <w:rFonts w:cstheme="minorHAnsi"/>
          <w:bCs/>
          <w:color w:val="FF0000"/>
        </w:rPr>
        <w:t>, to determine statistically significant and meaningful differences in performance, is a more app</w:t>
      </w:r>
      <w:r w:rsidR="00C846E0" w:rsidRPr="00A66276">
        <w:rPr>
          <w:rFonts w:cstheme="minorHAnsi"/>
          <w:bCs/>
          <w:color w:val="FF0000"/>
        </w:rPr>
        <w:t>ropriate test for this measure.</w:t>
      </w:r>
    </w:p>
    <w:p w14:paraId="3B6D3A7C" w14:textId="77777777" w:rsidR="00021170" w:rsidRPr="00A25024" w:rsidRDefault="00483E94" w:rsidP="00DD4389">
      <w:pPr>
        <w:autoSpaceDE w:val="0"/>
        <w:autoSpaceDN w:val="0"/>
        <w:adjustRightInd w:val="0"/>
        <w:spacing w:after="0" w:line="240" w:lineRule="auto"/>
        <w:rPr>
          <w:rFonts w:cstheme="minorHAnsi"/>
          <w:noProof/>
        </w:rPr>
      </w:pPr>
      <w:r>
        <w:rPr>
          <w:rFonts w:cstheme="minorHAnsi"/>
          <w:noProof/>
        </w:rPr>
        <w:t>_________________________________</w:t>
      </w:r>
    </w:p>
    <w:p w14:paraId="68696F20" w14:textId="77777777" w:rsidR="00B037BA" w:rsidRPr="00A25024" w:rsidRDefault="00021170" w:rsidP="00AE1932">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2FD914CA" w14:textId="77777777" w:rsidR="00696262" w:rsidRPr="000414E8" w:rsidRDefault="00092566" w:rsidP="00AE1932">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Arial Unicode MS"/>
            <w14:uncheckedState w14:val="2610" w14:font="Arial Unicode MS"/>
          </w14:checkbox>
        </w:sdt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35FF4E05" w14:textId="34CF7018" w:rsidR="00696262" w:rsidRPr="00A25024" w:rsidRDefault="00D109A4" w:rsidP="00AE1932">
      <w:pPr>
        <w:autoSpaceDE w:val="0"/>
        <w:autoSpaceDN w:val="0"/>
        <w:adjustRightInd w:val="0"/>
        <w:spacing w:after="0" w:line="240" w:lineRule="auto"/>
        <w:rPr>
          <w:rFonts w:cstheme="minorHAnsi"/>
          <w:b/>
          <w:bCs/>
        </w:rPr>
      </w:pPr>
      <w:sdt>
        <w:sdtPr>
          <w:rPr>
            <w:rFonts w:cstheme="minorHAnsi"/>
            <w:bCs/>
            <w:color w:val="000000" w:themeColor="text1"/>
          </w:rPr>
          <w:id w:val="-1366591797"/>
          <w14:checkbox>
            <w14:checked w14:val="1"/>
            <w14:checkedState w14:val="2612" w14:font="Arial Unicode MS"/>
            <w14:uncheckedState w14:val="2610" w14:font="Arial Unicode MS"/>
          </w14:checkbox>
        </w:sdtPr>
        <w:sdtContent>
          <w:r w:rsidRPr="00AF6521">
            <w:rPr>
              <w:rFonts w:ascii="MS Gothic" w:eastAsia="MS Gothic" w:hAnsi="MS Gothic" w:cstheme="minorHAnsi" w:hint="eastAsia"/>
              <w:bCs/>
              <w:color w:val="000000" w:themeColor="text1"/>
            </w:rPr>
            <w:t>☒</w:t>
          </w:r>
        </w:sdtContent>
      </w:sdt>
      <w:r w:rsidRPr="00AF6521">
        <w:rPr>
          <w:rFonts w:cstheme="minorHAnsi"/>
          <w:bCs/>
          <w:color w:val="FF0000"/>
        </w:rPr>
        <w:t xml:space="preserve"> </w:t>
      </w:r>
      <w:sdt>
        <w:sdtPr>
          <w:rPr>
            <w:rFonts w:eastAsia="MS Gothic" w:cstheme="minorHAnsi"/>
            <w:bCs/>
            <w:color w:val="FF0000"/>
          </w:rPr>
          <w:id w:val="-1425564156"/>
          <w14:checkbox>
            <w14:checked w14:val="1"/>
            <w14:checkedState w14:val="2612" w14:font="Arial Unicode MS"/>
            <w14:uncheckedState w14:val="2610" w14:font="Arial Unicode MS"/>
          </w14:checkbox>
        </w:sdtPr>
        <w:sdtContent>
          <w:r w:rsidRPr="00AF6521">
            <w:rPr>
              <w:rFonts w:ascii="MS Gothic" w:eastAsia="MS Gothic" w:hAnsi="MS Gothic" w:cstheme="minorHAnsi" w:hint="eastAsia"/>
              <w:bCs/>
              <w:color w:val="FF0000"/>
            </w:rPr>
            <w:t>☒</w:t>
          </w:r>
        </w:sdtContent>
      </w:sdt>
      <w:r w:rsidRPr="00A25024">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1E60D7FB" w14:textId="047ADDC3" w:rsidR="000574AB" w:rsidRPr="00A25024" w:rsidRDefault="007D0E80" w:rsidP="00AE193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Arial Unicode MS"/>
            <w14:uncheckedState w14:val="2610" w14:font="Arial Unicode MS"/>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00" w:themeColor="text1"/>
          </w:rPr>
          <w:id w:val="377976128"/>
          <w14:checkbox>
            <w14:checked w14:val="1"/>
            <w14:checkedState w14:val="2612" w14:font="Arial Unicode MS"/>
            <w14:uncheckedState w14:val="2610" w14:font="Arial Unicode MS"/>
          </w14:checkbox>
        </w:sdtPr>
        <w:sdtContent>
          <w:r w:rsidR="00D109A4" w:rsidRPr="00AF6521">
            <w:rPr>
              <w:rFonts w:ascii="MS Gothic" w:eastAsia="MS Gothic" w:hAnsi="MS Gothic" w:cstheme="minorHAnsi" w:hint="eastAsia"/>
              <w:bCs/>
              <w:color w:val="000000" w:themeColor="text1"/>
            </w:rPr>
            <w:t>☒</w:t>
          </w:r>
        </w:sdtContent>
      </w:sdt>
      <w:r w:rsidR="00D109A4" w:rsidRPr="00AF6521">
        <w:rPr>
          <w:rFonts w:cstheme="minorHAnsi"/>
          <w:bCs/>
          <w:color w:val="FF0000"/>
        </w:rPr>
        <w:t xml:space="preserve"> </w:t>
      </w:r>
      <w:sdt>
        <w:sdtPr>
          <w:rPr>
            <w:rFonts w:eastAsia="MS Gothic" w:cstheme="minorHAnsi"/>
            <w:bCs/>
            <w:color w:val="FF0000"/>
          </w:rPr>
          <w:id w:val="2133044459"/>
          <w14:checkbox>
            <w14:checked w14:val="1"/>
            <w14:checkedState w14:val="2612" w14:font="Arial Unicode MS"/>
            <w14:uncheckedState w14:val="2610" w14:font="Arial Unicode MS"/>
          </w14:checkbox>
        </w:sdtPr>
        <w:sdtContent>
          <w:r w:rsidR="00D109A4" w:rsidRPr="00AF6521">
            <w:rPr>
              <w:rFonts w:ascii="MS Gothic" w:eastAsia="MS Gothic" w:hAnsi="MS Gothic" w:cstheme="minorHAnsi" w:hint="eastAsia"/>
              <w:bCs/>
              <w:color w:val="FF0000"/>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proofErr w:type="gramStart"/>
      <w:r w:rsidR="000414E8">
        <w:rPr>
          <w:rFonts w:eastAsia="MS Gothic" w:cstheme="minorHAnsi"/>
          <w:bCs/>
          <w:i/>
        </w:rPr>
        <w:t>good</w:t>
      </w:r>
      <w:proofErr w:type="gramEnd"/>
      <w:r w:rsidR="000414E8">
        <w:rPr>
          <w:rFonts w:eastAsia="MS Gothic" w:cstheme="minorHAnsi"/>
          <w:bCs/>
          <w:i/>
        </w:rPr>
        <w:t xml:space="preserve"> from poor p</w:t>
      </w:r>
      <w:r w:rsidR="005149E7">
        <w:rPr>
          <w:rFonts w:eastAsia="MS Gothic" w:cstheme="minorHAnsi"/>
          <w:bCs/>
          <w:i/>
        </w:rPr>
        <w:t>erformance</w:t>
      </w:r>
      <w:r w:rsidR="00A41377" w:rsidRPr="00A25024">
        <w:rPr>
          <w:rFonts w:eastAsia="MS Gothic" w:cstheme="minorHAnsi"/>
          <w:bCs/>
        </w:rPr>
        <w:t>)</w:t>
      </w:r>
    </w:p>
    <w:p w14:paraId="384D0A55" w14:textId="77777777" w:rsidR="00D50704" w:rsidRPr="00A25024" w:rsidRDefault="00D50704" w:rsidP="00AE1932">
      <w:pPr>
        <w:autoSpaceDE w:val="0"/>
        <w:autoSpaceDN w:val="0"/>
        <w:adjustRightInd w:val="0"/>
        <w:spacing w:after="0" w:line="240" w:lineRule="auto"/>
        <w:rPr>
          <w:rFonts w:cstheme="minorHAnsi"/>
          <w:bCs/>
        </w:rPr>
      </w:pPr>
    </w:p>
    <w:p w14:paraId="789A383C" w14:textId="1C354E8D" w:rsidR="00D109A4" w:rsidRDefault="00092566" w:rsidP="00AE1932">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B53D76">
        <w:rPr>
          <w:rFonts w:cstheme="minorHAnsi"/>
          <w:bCs/>
          <w:i/>
        </w:rPr>
        <w:t>.</w:t>
      </w:r>
      <w:r w:rsidR="00833325" w:rsidRPr="00A25024">
        <w:rPr>
          <w:rFonts w:cstheme="minorHAnsi"/>
          <w:bCs/>
        </w:rPr>
        <w:br/>
      </w:r>
      <w:r w:rsidR="00D109A4">
        <w:rPr>
          <w:rFonts w:cstheme="minorHAnsi"/>
          <w:b/>
          <w:bCs/>
        </w:rPr>
        <w:t>2014 Submission:</w:t>
      </w:r>
    </w:p>
    <w:p w14:paraId="44132A8C" w14:textId="002C6213" w:rsidR="00D109A4" w:rsidRDefault="00D109A4" w:rsidP="00AE1932">
      <w:pPr>
        <w:autoSpaceDE w:val="0"/>
        <w:autoSpaceDN w:val="0"/>
        <w:adjustRightInd w:val="0"/>
        <w:spacing w:after="0" w:line="240" w:lineRule="auto"/>
        <w:rPr>
          <w:rFonts w:cstheme="minorHAnsi"/>
          <w:bCs/>
        </w:rPr>
      </w:pPr>
      <w:r w:rsidRPr="00D109A4">
        <w:rPr>
          <w:rFonts w:cstheme="minorHAnsi"/>
          <w:bCs/>
        </w:rPr>
        <w:t xml:space="preserve">Face validity of the measure score </w:t>
      </w:r>
      <w:proofErr w:type="gramStart"/>
      <w:r w:rsidRPr="00D109A4">
        <w:rPr>
          <w:rFonts w:cstheme="minorHAnsi"/>
          <w:bCs/>
        </w:rPr>
        <w:t>was systematically assessed</w:t>
      </w:r>
      <w:proofErr w:type="gramEnd"/>
      <w:r w:rsidRPr="00D109A4">
        <w:rPr>
          <w:rFonts w:cstheme="minorHAnsi"/>
          <w:bCs/>
        </w:rPr>
        <w:t xml:space="preserve"> as follows: after the measure was fully specified, patient-level data and measure specifications were sent to each of the facilities for whom a score was calculated (via individual reports generated during a “dry-run” period). Facilities </w:t>
      </w:r>
      <w:proofErr w:type="gramStart"/>
      <w:r w:rsidRPr="00D109A4">
        <w:rPr>
          <w:rFonts w:cstheme="minorHAnsi"/>
          <w:bCs/>
        </w:rPr>
        <w:t>were provided</w:t>
      </w:r>
      <w:proofErr w:type="gramEnd"/>
      <w:r w:rsidRPr="00D109A4">
        <w:rPr>
          <w:rFonts w:cstheme="minorHAnsi"/>
          <w:bCs/>
        </w:rPr>
        <w:t xml:space="preserve"> with an opportunity to review both the specifications and calculations, and to report any concerns regarding the specifications. The validity assessment included the 3,680 facilities in the HOQR Program.</w:t>
      </w:r>
    </w:p>
    <w:p w14:paraId="41BB1991" w14:textId="77777777" w:rsidR="00D109A4" w:rsidRDefault="00D109A4" w:rsidP="00AE1932">
      <w:pPr>
        <w:autoSpaceDE w:val="0"/>
        <w:autoSpaceDN w:val="0"/>
        <w:adjustRightInd w:val="0"/>
        <w:spacing w:after="0" w:line="240" w:lineRule="auto"/>
        <w:rPr>
          <w:rFonts w:cstheme="minorHAnsi"/>
          <w:bCs/>
        </w:rPr>
      </w:pPr>
    </w:p>
    <w:p w14:paraId="096E5849" w14:textId="7B719F1D" w:rsidR="00D109A4" w:rsidRPr="00D109A4" w:rsidRDefault="00D109A4" w:rsidP="00AE1932">
      <w:pPr>
        <w:autoSpaceDE w:val="0"/>
        <w:autoSpaceDN w:val="0"/>
        <w:adjustRightInd w:val="0"/>
        <w:spacing w:after="0" w:line="240" w:lineRule="auto"/>
        <w:rPr>
          <w:rFonts w:cstheme="minorHAnsi"/>
          <w:bCs/>
          <w:color w:val="FF0000"/>
        </w:rPr>
      </w:pPr>
      <w:r w:rsidRPr="00D109A4">
        <w:rPr>
          <w:rFonts w:cstheme="minorHAnsi"/>
          <w:b/>
          <w:bCs/>
          <w:color w:val="FF0000"/>
        </w:rPr>
        <w:t>2016 Submission:</w:t>
      </w:r>
    </w:p>
    <w:p w14:paraId="7E9229CE" w14:textId="4F6C510E" w:rsidR="00833325" w:rsidRPr="00D109A4" w:rsidRDefault="00B53D76" w:rsidP="00AE1932">
      <w:pPr>
        <w:autoSpaceDE w:val="0"/>
        <w:autoSpaceDN w:val="0"/>
        <w:adjustRightInd w:val="0"/>
        <w:spacing w:after="0" w:line="240" w:lineRule="auto"/>
        <w:rPr>
          <w:rFonts w:cstheme="minorHAnsi"/>
          <w:bCs/>
          <w:color w:val="FF0000"/>
        </w:rPr>
      </w:pPr>
      <w:r w:rsidRPr="00D109A4">
        <w:rPr>
          <w:rFonts w:cstheme="minorHAnsi"/>
          <w:bCs/>
          <w:color w:val="FF0000"/>
        </w:rPr>
        <w:t>CORE and Lewin systematically assessed f</w:t>
      </w:r>
      <w:r w:rsidR="00AE4BE8" w:rsidRPr="00D109A4">
        <w:rPr>
          <w:rFonts w:cstheme="minorHAnsi"/>
          <w:bCs/>
          <w:color w:val="FF0000"/>
        </w:rPr>
        <w:t xml:space="preserve">ace validity of the measure through survey of the </w:t>
      </w:r>
      <w:r w:rsidRPr="00D109A4">
        <w:rPr>
          <w:rFonts w:cstheme="minorHAnsi"/>
          <w:bCs/>
          <w:color w:val="FF0000"/>
        </w:rPr>
        <w:t>TEP</w:t>
      </w:r>
      <w:r w:rsidR="00AE4BE8" w:rsidRPr="00D109A4">
        <w:rPr>
          <w:rFonts w:cstheme="minorHAnsi"/>
          <w:bCs/>
          <w:color w:val="FF0000"/>
        </w:rPr>
        <w:t xml:space="preserve">. </w:t>
      </w:r>
      <w:r w:rsidR="00722613" w:rsidRPr="00D109A4">
        <w:rPr>
          <w:rFonts w:cstheme="minorHAnsi"/>
          <w:bCs/>
          <w:color w:val="FF0000"/>
        </w:rPr>
        <w:t xml:space="preserve">Composition of the TEP </w:t>
      </w:r>
      <w:proofErr w:type="gramStart"/>
      <w:r w:rsidR="00722613" w:rsidRPr="00D109A4">
        <w:rPr>
          <w:rFonts w:cstheme="minorHAnsi"/>
          <w:bCs/>
          <w:color w:val="FF0000"/>
        </w:rPr>
        <w:t>is described</w:t>
      </w:r>
      <w:proofErr w:type="gramEnd"/>
      <w:r w:rsidR="00722613" w:rsidRPr="00D109A4">
        <w:rPr>
          <w:rFonts w:cstheme="minorHAnsi"/>
          <w:bCs/>
          <w:color w:val="FF0000"/>
        </w:rPr>
        <w:t xml:space="preserve"> in </w:t>
      </w:r>
      <w:r w:rsidR="00722613" w:rsidRPr="00D109A4">
        <w:rPr>
          <w:rFonts w:cstheme="minorHAnsi"/>
          <w:b/>
          <w:bCs/>
          <w:color w:val="FF0000"/>
        </w:rPr>
        <w:t>Section Ad.1</w:t>
      </w:r>
      <w:r w:rsidR="00722613" w:rsidRPr="00D109A4">
        <w:rPr>
          <w:rFonts w:cstheme="minorHAnsi"/>
          <w:bCs/>
          <w:color w:val="FF0000"/>
        </w:rPr>
        <w:t>.</w:t>
      </w:r>
      <w:r w:rsidR="005E15D4" w:rsidRPr="00D109A4">
        <w:rPr>
          <w:rFonts w:cstheme="minorHAnsi"/>
          <w:bCs/>
          <w:color w:val="FF0000"/>
        </w:rPr>
        <w:t xml:space="preserve"> </w:t>
      </w:r>
      <w:r w:rsidR="00C76568" w:rsidRPr="00D109A4">
        <w:rPr>
          <w:rFonts w:cstheme="minorHAnsi"/>
          <w:bCs/>
          <w:color w:val="FF0000"/>
        </w:rPr>
        <w:t xml:space="preserve">Eleven </w:t>
      </w:r>
      <w:r w:rsidR="00AE4BE8" w:rsidRPr="00D109A4">
        <w:rPr>
          <w:rFonts w:cstheme="minorHAnsi"/>
          <w:bCs/>
          <w:color w:val="FF0000"/>
        </w:rPr>
        <w:t>TEP m</w:t>
      </w:r>
      <w:r w:rsidR="00C854A4" w:rsidRPr="00D109A4">
        <w:rPr>
          <w:rFonts w:cstheme="minorHAnsi"/>
          <w:bCs/>
          <w:color w:val="FF0000"/>
        </w:rPr>
        <w:t>embers responded to the survey</w:t>
      </w:r>
      <w:r w:rsidR="00AE4BE8" w:rsidRPr="00D109A4">
        <w:rPr>
          <w:rFonts w:cstheme="minorHAnsi"/>
          <w:bCs/>
          <w:color w:val="FF0000"/>
        </w:rPr>
        <w:t>. Respondents include</w:t>
      </w:r>
      <w:r w:rsidR="00FD0619" w:rsidRPr="00D109A4">
        <w:rPr>
          <w:rFonts w:cstheme="minorHAnsi"/>
          <w:bCs/>
          <w:color w:val="FF0000"/>
        </w:rPr>
        <w:t>d</w:t>
      </w:r>
      <w:r w:rsidR="00AE4BE8" w:rsidRPr="00D109A4">
        <w:rPr>
          <w:rFonts w:cstheme="minorHAnsi"/>
          <w:bCs/>
          <w:color w:val="FF0000"/>
        </w:rPr>
        <w:t xml:space="preserve"> insurers/purchasers, clinicians, management or administration, patients/patient advocates, and caregivers. Prior to responding to questions related to measure-score and data-element face validity, </w:t>
      </w:r>
      <w:r w:rsidR="00636958" w:rsidRPr="00D109A4">
        <w:rPr>
          <w:rFonts w:cstheme="minorHAnsi"/>
          <w:bCs/>
          <w:color w:val="FF0000"/>
        </w:rPr>
        <w:t xml:space="preserve">CORE and Lewin provided </w:t>
      </w:r>
      <w:r w:rsidR="00AE4BE8" w:rsidRPr="00D109A4">
        <w:rPr>
          <w:rFonts w:cstheme="minorHAnsi"/>
          <w:bCs/>
          <w:color w:val="FF0000"/>
        </w:rPr>
        <w:t xml:space="preserve">TEP members </w:t>
      </w:r>
      <w:r w:rsidR="00636958" w:rsidRPr="00D109A4">
        <w:rPr>
          <w:rFonts w:cstheme="minorHAnsi"/>
          <w:bCs/>
          <w:color w:val="FF0000"/>
        </w:rPr>
        <w:t>detailed measure specifications to support evaluation of the measure’s face validity.</w:t>
      </w:r>
    </w:p>
    <w:p w14:paraId="1F5CE250" w14:textId="77777777" w:rsidR="00C76568" w:rsidRPr="00D109A4" w:rsidRDefault="00C76568" w:rsidP="00AE1932">
      <w:pPr>
        <w:autoSpaceDE w:val="0"/>
        <w:autoSpaceDN w:val="0"/>
        <w:adjustRightInd w:val="0"/>
        <w:spacing w:after="0" w:line="240" w:lineRule="auto"/>
        <w:rPr>
          <w:rFonts w:cstheme="minorHAnsi"/>
          <w:bCs/>
          <w:color w:val="FF0000"/>
        </w:rPr>
      </w:pPr>
    </w:p>
    <w:p w14:paraId="07A96032" w14:textId="503A1DE1" w:rsidR="00C76568" w:rsidRPr="00D109A4" w:rsidRDefault="00636958" w:rsidP="00AE1932">
      <w:pPr>
        <w:autoSpaceDE w:val="0"/>
        <w:autoSpaceDN w:val="0"/>
        <w:adjustRightInd w:val="0"/>
        <w:spacing w:after="0" w:line="240" w:lineRule="auto"/>
        <w:rPr>
          <w:rFonts w:cstheme="minorHAnsi"/>
          <w:bCs/>
          <w:color w:val="FF0000"/>
        </w:rPr>
      </w:pPr>
      <w:r w:rsidRPr="00D109A4">
        <w:rPr>
          <w:rFonts w:cstheme="minorHAnsi"/>
          <w:bCs/>
          <w:color w:val="FF0000"/>
        </w:rPr>
        <w:t>CORE and Lewin posed t</w:t>
      </w:r>
      <w:r w:rsidR="00C76568" w:rsidRPr="00D109A4">
        <w:rPr>
          <w:rFonts w:cstheme="minorHAnsi"/>
          <w:bCs/>
          <w:color w:val="FF0000"/>
        </w:rPr>
        <w:t>he following questions and statements related to measure-score face validity:</w:t>
      </w:r>
    </w:p>
    <w:p w14:paraId="4B58C12B" w14:textId="27ED46E1" w:rsidR="00C76568" w:rsidRPr="00D109A4" w:rsidRDefault="00C76568" w:rsidP="00AE1932">
      <w:pPr>
        <w:pStyle w:val="ListParagraph"/>
        <w:numPr>
          <w:ilvl w:val="0"/>
          <w:numId w:val="32"/>
        </w:numPr>
        <w:autoSpaceDE w:val="0"/>
        <w:autoSpaceDN w:val="0"/>
        <w:adjustRightInd w:val="0"/>
        <w:spacing w:after="0" w:line="240" w:lineRule="auto"/>
        <w:rPr>
          <w:rFonts w:cstheme="minorHAnsi"/>
          <w:bCs/>
          <w:color w:val="FF0000"/>
        </w:rPr>
      </w:pPr>
      <w:proofErr w:type="gramStart"/>
      <w:r w:rsidRPr="00D109A4">
        <w:rPr>
          <w:rFonts w:cstheme="minorHAnsi"/>
          <w:bCs/>
          <w:color w:val="FF0000"/>
        </w:rPr>
        <w:t xml:space="preserve">Does </w:t>
      </w:r>
      <w:r w:rsidR="00061E44" w:rsidRPr="00D109A4">
        <w:rPr>
          <w:rFonts w:cstheme="minorHAnsi"/>
          <w:bCs/>
          <w:color w:val="FF0000"/>
        </w:rPr>
        <w:t>NQF #0514</w:t>
      </w:r>
      <w:r w:rsidRPr="00D109A4">
        <w:rPr>
          <w:rFonts w:cstheme="minorHAnsi"/>
          <w:bCs/>
          <w:color w:val="FF0000"/>
        </w:rPr>
        <w:t xml:space="preserve"> capture the most appropriate and prevalent types of antecedent conservative therapy available through claims data?</w:t>
      </w:r>
      <w:proofErr w:type="gramEnd"/>
    </w:p>
    <w:p w14:paraId="7C9D4677" w14:textId="040D101D" w:rsidR="00C76568" w:rsidRPr="00D109A4" w:rsidRDefault="00C76568" w:rsidP="00AE1932">
      <w:pPr>
        <w:pStyle w:val="ListParagraph"/>
        <w:numPr>
          <w:ilvl w:val="0"/>
          <w:numId w:val="32"/>
        </w:numPr>
        <w:autoSpaceDE w:val="0"/>
        <w:autoSpaceDN w:val="0"/>
        <w:adjustRightInd w:val="0"/>
        <w:spacing w:after="0" w:line="240" w:lineRule="auto"/>
        <w:rPr>
          <w:rFonts w:cstheme="minorHAnsi"/>
          <w:bCs/>
          <w:color w:val="FF0000"/>
        </w:rPr>
      </w:pPr>
      <w:r w:rsidRPr="00D109A4">
        <w:rPr>
          <w:rFonts w:cstheme="minorHAnsi"/>
          <w:bCs/>
          <w:color w:val="FF0000"/>
        </w:rPr>
        <w:t xml:space="preserve">The measure helps assess the </w:t>
      </w:r>
      <w:r w:rsidR="00B77B71" w:rsidRPr="00D109A4">
        <w:rPr>
          <w:rFonts w:cstheme="minorHAnsi"/>
          <w:bCs/>
          <w:color w:val="FF0000"/>
        </w:rPr>
        <w:t>inappropriate use of MRI lumbar-</w:t>
      </w:r>
      <w:r w:rsidRPr="00D109A4">
        <w:rPr>
          <w:rFonts w:cstheme="minorHAnsi"/>
          <w:bCs/>
          <w:color w:val="FF0000"/>
        </w:rPr>
        <w:t>spine tests. Do you agree?</w:t>
      </w:r>
    </w:p>
    <w:p w14:paraId="485AB640" w14:textId="77777777" w:rsidR="00833325" w:rsidRPr="00D109A4" w:rsidRDefault="00833325" w:rsidP="00AE1932">
      <w:pPr>
        <w:autoSpaceDE w:val="0"/>
        <w:autoSpaceDN w:val="0"/>
        <w:adjustRightInd w:val="0"/>
        <w:spacing w:after="0" w:line="240" w:lineRule="auto"/>
        <w:rPr>
          <w:rFonts w:cstheme="minorHAnsi"/>
          <w:bCs/>
          <w:color w:val="FF0000"/>
        </w:rPr>
      </w:pPr>
    </w:p>
    <w:p w14:paraId="3F52148E" w14:textId="364DF807" w:rsidR="006A35A4" w:rsidRPr="00D109A4" w:rsidRDefault="006F18A9" w:rsidP="00AE1932">
      <w:pPr>
        <w:autoSpaceDE w:val="0"/>
        <w:autoSpaceDN w:val="0"/>
        <w:adjustRightInd w:val="0"/>
        <w:spacing w:after="0" w:line="240" w:lineRule="auto"/>
        <w:rPr>
          <w:rFonts w:cstheme="minorHAnsi"/>
          <w:bCs/>
          <w:color w:val="FF0000"/>
        </w:rPr>
      </w:pPr>
      <w:r w:rsidRPr="00D109A4">
        <w:rPr>
          <w:rFonts w:cstheme="minorHAnsi"/>
          <w:bCs/>
          <w:color w:val="FF0000"/>
        </w:rPr>
        <w:t>CORE and Lewin collected r</w:t>
      </w:r>
      <w:r w:rsidR="004819BA" w:rsidRPr="00D109A4">
        <w:rPr>
          <w:rFonts w:cstheme="minorHAnsi"/>
          <w:bCs/>
          <w:color w:val="FF0000"/>
        </w:rPr>
        <w:t xml:space="preserve">esponses </w:t>
      </w:r>
      <w:r w:rsidR="005E15D4" w:rsidRPr="00D109A4">
        <w:rPr>
          <w:rFonts w:cstheme="minorHAnsi"/>
          <w:bCs/>
          <w:color w:val="FF0000"/>
        </w:rPr>
        <w:t xml:space="preserve">question one using a scale or </w:t>
      </w:r>
      <w:r w:rsidR="005E15D4" w:rsidRPr="00D109A4">
        <w:rPr>
          <w:rFonts w:cstheme="minorHAnsi"/>
          <w:bCs/>
          <w:i/>
          <w:color w:val="FF0000"/>
        </w:rPr>
        <w:t>yes</w:t>
      </w:r>
      <w:r w:rsidR="005E15D4" w:rsidRPr="00D109A4">
        <w:rPr>
          <w:rFonts w:cstheme="minorHAnsi"/>
          <w:bCs/>
          <w:color w:val="FF0000"/>
        </w:rPr>
        <w:t xml:space="preserve">, </w:t>
      </w:r>
      <w:r w:rsidR="005E15D4" w:rsidRPr="00D109A4">
        <w:rPr>
          <w:rFonts w:cstheme="minorHAnsi"/>
          <w:bCs/>
          <w:i/>
          <w:color w:val="FF0000"/>
        </w:rPr>
        <w:t>not sure or do not know</w:t>
      </w:r>
      <w:r w:rsidR="005E15D4" w:rsidRPr="00D109A4">
        <w:rPr>
          <w:rFonts w:cstheme="minorHAnsi"/>
          <w:bCs/>
          <w:color w:val="FF0000"/>
        </w:rPr>
        <w:t xml:space="preserve">, and </w:t>
      </w:r>
      <w:r w:rsidR="005E15D4" w:rsidRPr="00D109A4">
        <w:rPr>
          <w:rFonts w:cstheme="minorHAnsi"/>
          <w:bCs/>
          <w:i/>
          <w:color w:val="FF0000"/>
        </w:rPr>
        <w:t>no</w:t>
      </w:r>
      <w:r w:rsidR="005E15D4" w:rsidRPr="00D109A4">
        <w:rPr>
          <w:rFonts w:cstheme="minorHAnsi"/>
          <w:bCs/>
          <w:color w:val="FF0000"/>
        </w:rPr>
        <w:t xml:space="preserve"> and responses to question two using </w:t>
      </w:r>
      <w:r w:rsidR="004819BA" w:rsidRPr="00D109A4">
        <w:rPr>
          <w:rFonts w:cstheme="minorHAnsi"/>
          <w:bCs/>
          <w:color w:val="FF0000"/>
        </w:rPr>
        <w:t xml:space="preserve">a five-point </w:t>
      </w:r>
      <w:r w:rsidR="003F0C1F" w:rsidRPr="00D109A4">
        <w:rPr>
          <w:rFonts w:cstheme="minorHAnsi"/>
          <w:bCs/>
          <w:color w:val="FF0000"/>
        </w:rPr>
        <w:t xml:space="preserve">Likert </w:t>
      </w:r>
      <w:r w:rsidR="004819BA" w:rsidRPr="00D109A4">
        <w:rPr>
          <w:rFonts w:cstheme="minorHAnsi"/>
          <w:bCs/>
          <w:color w:val="FF0000"/>
        </w:rPr>
        <w:t xml:space="preserve">scale: </w:t>
      </w:r>
      <w:r w:rsidR="004819BA" w:rsidRPr="00D109A4">
        <w:rPr>
          <w:rFonts w:cstheme="minorHAnsi"/>
          <w:bCs/>
          <w:i/>
          <w:color w:val="FF0000"/>
        </w:rPr>
        <w:t>strongly agree</w:t>
      </w:r>
      <w:r w:rsidR="004819BA" w:rsidRPr="00D109A4">
        <w:rPr>
          <w:rFonts w:cstheme="minorHAnsi"/>
          <w:bCs/>
          <w:color w:val="FF0000"/>
        </w:rPr>
        <w:t xml:space="preserve">, </w:t>
      </w:r>
      <w:proofErr w:type="gramStart"/>
      <w:r w:rsidR="004819BA" w:rsidRPr="00D109A4">
        <w:rPr>
          <w:rFonts w:cstheme="minorHAnsi"/>
          <w:bCs/>
          <w:i/>
          <w:color w:val="FF0000"/>
        </w:rPr>
        <w:t>agree</w:t>
      </w:r>
      <w:r w:rsidR="004819BA" w:rsidRPr="00D109A4">
        <w:rPr>
          <w:rFonts w:cstheme="minorHAnsi"/>
          <w:bCs/>
          <w:color w:val="FF0000"/>
        </w:rPr>
        <w:t>,</w:t>
      </w:r>
      <w:proofErr w:type="gramEnd"/>
      <w:r w:rsidR="004819BA" w:rsidRPr="00D109A4">
        <w:rPr>
          <w:rFonts w:cstheme="minorHAnsi"/>
          <w:bCs/>
          <w:color w:val="FF0000"/>
        </w:rPr>
        <w:t xml:space="preserve"> </w:t>
      </w:r>
      <w:r w:rsidR="004819BA" w:rsidRPr="00D109A4">
        <w:rPr>
          <w:rFonts w:cstheme="minorHAnsi"/>
          <w:bCs/>
          <w:i/>
          <w:color w:val="FF0000"/>
        </w:rPr>
        <w:t>undecided</w:t>
      </w:r>
      <w:r w:rsidRPr="00D109A4">
        <w:rPr>
          <w:rFonts w:cstheme="minorHAnsi"/>
          <w:bCs/>
          <w:i/>
          <w:color w:val="FF0000"/>
        </w:rPr>
        <w:t>/do not know</w:t>
      </w:r>
      <w:r w:rsidR="004819BA" w:rsidRPr="00D109A4">
        <w:rPr>
          <w:rFonts w:cstheme="minorHAnsi"/>
          <w:bCs/>
          <w:color w:val="FF0000"/>
        </w:rPr>
        <w:t xml:space="preserve">, </w:t>
      </w:r>
      <w:r w:rsidR="004819BA" w:rsidRPr="00D109A4">
        <w:rPr>
          <w:rFonts w:cstheme="minorHAnsi"/>
          <w:bCs/>
          <w:i/>
          <w:color w:val="FF0000"/>
        </w:rPr>
        <w:t>disagree</w:t>
      </w:r>
      <w:r w:rsidR="004819BA" w:rsidRPr="00D109A4">
        <w:rPr>
          <w:rFonts w:cstheme="minorHAnsi"/>
          <w:bCs/>
          <w:color w:val="FF0000"/>
        </w:rPr>
        <w:t xml:space="preserve">, </w:t>
      </w:r>
      <w:r w:rsidRPr="00D109A4">
        <w:rPr>
          <w:rFonts w:cstheme="minorHAnsi"/>
          <w:bCs/>
          <w:color w:val="FF0000"/>
        </w:rPr>
        <w:t xml:space="preserve">and </w:t>
      </w:r>
      <w:r w:rsidR="004819BA" w:rsidRPr="00D109A4">
        <w:rPr>
          <w:rFonts w:cstheme="minorHAnsi"/>
          <w:bCs/>
          <w:i/>
          <w:color w:val="FF0000"/>
        </w:rPr>
        <w:t>strongly disagree</w:t>
      </w:r>
      <w:r w:rsidR="005E15D4" w:rsidRPr="00D109A4">
        <w:rPr>
          <w:rFonts w:cstheme="minorHAnsi"/>
          <w:bCs/>
          <w:color w:val="FF0000"/>
        </w:rPr>
        <w:t>.</w:t>
      </w:r>
      <w:r w:rsidR="003F0C1F" w:rsidRPr="00D109A4">
        <w:rPr>
          <w:rFonts w:cstheme="minorHAnsi"/>
          <w:bCs/>
          <w:color w:val="FF0000"/>
        </w:rPr>
        <w:t xml:space="preserve"> </w:t>
      </w:r>
    </w:p>
    <w:p w14:paraId="0EC0948A" w14:textId="77777777" w:rsidR="00640283" w:rsidRPr="00A25024" w:rsidRDefault="00640283" w:rsidP="00AE1932">
      <w:pPr>
        <w:autoSpaceDE w:val="0"/>
        <w:autoSpaceDN w:val="0"/>
        <w:adjustRightInd w:val="0"/>
        <w:spacing w:after="0" w:line="240" w:lineRule="auto"/>
        <w:rPr>
          <w:rFonts w:cstheme="minorHAnsi"/>
          <w:bCs/>
        </w:rPr>
      </w:pPr>
    </w:p>
    <w:p w14:paraId="1E4866D5" w14:textId="39E3CF8D" w:rsidR="003F0C1F" w:rsidRPr="003F0C1F" w:rsidRDefault="00092566" w:rsidP="00AE1932">
      <w:pPr>
        <w:autoSpaceDE w:val="0"/>
        <w:autoSpaceDN w:val="0"/>
        <w:adjustRightInd w:val="0"/>
        <w:spacing w:after="0" w:line="240" w:lineRule="auto"/>
        <w:rPr>
          <w:rFonts w:cstheme="minorHAnsi"/>
          <w:b/>
          <w:bCs/>
        </w:rPr>
      </w:pPr>
      <w:r>
        <w:rPr>
          <w:rFonts w:cstheme="minorHAnsi"/>
          <w:b/>
          <w:bCs/>
        </w:rPr>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r w:rsidR="006E1DCC">
        <w:rPr>
          <w:rFonts w:cstheme="minorHAnsi"/>
          <w:bCs/>
        </w:rPr>
        <w:t xml:space="preserve">Results of the face-validity </w:t>
      </w:r>
      <w:r w:rsidR="003F37FB">
        <w:rPr>
          <w:rFonts w:cstheme="minorHAnsi"/>
          <w:bCs/>
        </w:rPr>
        <w:t xml:space="preserve">survey </w:t>
      </w:r>
      <w:r w:rsidR="006E1DCC">
        <w:rPr>
          <w:rFonts w:cstheme="minorHAnsi"/>
          <w:bCs/>
        </w:rPr>
        <w:t xml:space="preserve">indicate that a diverse group of stakeholders, a majority of whom </w:t>
      </w:r>
      <w:proofErr w:type="gramStart"/>
      <w:r w:rsidR="006E1DCC">
        <w:rPr>
          <w:rFonts w:cstheme="minorHAnsi"/>
          <w:bCs/>
        </w:rPr>
        <w:t>were</w:t>
      </w:r>
      <w:proofErr w:type="gramEnd"/>
      <w:r w:rsidR="006E1DCC">
        <w:rPr>
          <w:rFonts w:cstheme="minorHAnsi"/>
          <w:bCs/>
        </w:rPr>
        <w:t xml:space="preserve"> not involved in the measure’s development, support the validity of the measure</w:t>
      </w:r>
      <w:r w:rsidR="005E15D4">
        <w:rPr>
          <w:rFonts w:cstheme="minorHAnsi"/>
          <w:bCs/>
        </w:rPr>
        <w:t>, including the identification of antecedent conservative therapy</w:t>
      </w:r>
      <w:r w:rsidR="006E1DCC">
        <w:rPr>
          <w:rFonts w:cstheme="minorHAnsi"/>
          <w:bCs/>
        </w:rPr>
        <w:t>.</w:t>
      </w:r>
    </w:p>
    <w:p w14:paraId="0F526107" w14:textId="66D1A210" w:rsidR="003F0C1F" w:rsidRPr="00D109A4" w:rsidRDefault="00D109A4" w:rsidP="00AE1932">
      <w:pPr>
        <w:autoSpaceDE w:val="0"/>
        <w:autoSpaceDN w:val="0"/>
        <w:adjustRightInd w:val="0"/>
        <w:spacing w:after="0" w:line="240" w:lineRule="auto"/>
        <w:rPr>
          <w:rFonts w:cstheme="minorHAnsi"/>
          <w:b/>
          <w:bCs/>
        </w:rPr>
      </w:pPr>
      <w:r>
        <w:rPr>
          <w:rFonts w:cstheme="minorHAnsi"/>
          <w:b/>
          <w:bCs/>
        </w:rPr>
        <w:t>2014 Submission</w:t>
      </w:r>
      <w:proofErr w:type="gramStart"/>
      <w:r>
        <w:rPr>
          <w:rFonts w:cstheme="minorHAnsi"/>
          <w:b/>
          <w:bCs/>
        </w:rPr>
        <w:t>:</w:t>
      </w:r>
      <w:proofErr w:type="gramEnd"/>
      <w:r>
        <w:rPr>
          <w:rFonts w:cstheme="minorHAnsi"/>
          <w:b/>
          <w:bCs/>
        </w:rPr>
        <w:br/>
      </w:r>
      <w:r w:rsidRPr="00D109A4">
        <w:rPr>
          <w:rFonts w:cstheme="minorHAnsi"/>
          <w:bCs/>
        </w:rPr>
        <w:t>The results of the assessment of face validity through the dry-run reporting indicate that an independent group of experts (i.e., those different from those who advised on measure development) did not have concerns with the specifications for the measure. Additionally, in an ongoing opportunity for comment on the specifications, clinicians and administrators have not expressed concern regarding the implementation of the specifications.</w:t>
      </w:r>
    </w:p>
    <w:p w14:paraId="2D2D111D" w14:textId="77777777" w:rsidR="00D109A4" w:rsidRDefault="00D109A4" w:rsidP="00DD4389">
      <w:pPr>
        <w:autoSpaceDE w:val="0"/>
        <w:autoSpaceDN w:val="0"/>
        <w:adjustRightInd w:val="0"/>
        <w:spacing w:after="0" w:line="240" w:lineRule="auto"/>
        <w:rPr>
          <w:rFonts w:cstheme="minorHAnsi"/>
          <w:bCs/>
          <w:i/>
        </w:rPr>
      </w:pPr>
    </w:p>
    <w:p w14:paraId="34F650B0" w14:textId="13433826" w:rsidR="00D109A4" w:rsidRPr="00D109A4" w:rsidRDefault="00D109A4" w:rsidP="00DD4389">
      <w:pPr>
        <w:autoSpaceDE w:val="0"/>
        <w:autoSpaceDN w:val="0"/>
        <w:adjustRightInd w:val="0"/>
        <w:spacing w:after="0" w:line="240" w:lineRule="auto"/>
        <w:rPr>
          <w:rFonts w:cstheme="minorHAnsi"/>
          <w:bCs/>
          <w:color w:val="FF0000"/>
        </w:rPr>
      </w:pPr>
      <w:r w:rsidRPr="00D109A4">
        <w:rPr>
          <w:rFonts w:cstheme="minorHAnsi"/>
          <w:b/>
          <w:bCs/>
          <w:color w:val="FF0000"/>
        </w:rPr>
        <w:t>2016 Submission:</w:t>
      </w:r>
    </w:p>
    <w:p w14:paraId="49DBA57A" w14:textId="6661154B" w:rsidR="003F0C1F" w:rsidRPr="00D109A4" w:rsidRDefault="003F0C1F" w:rsidP="00DD4389">
      <w:pPr>
        <w:autoSpaceDE w:val="0"/>
        <w:autoSpaceDN w:val="0"/>
        <w:adjustRightInd w:val="0"/>
        <w:spacing w:after="0" w:line="240" w:lineRule="auto"/>
        <w:rPr>
          <w:rFonts w:cstheme="minorHAnsi"/>
          <w:bCs/>
          <w:i/>
          <w:color w:val="FF0000"/>
        </w:rPr>
      </w:pPr>
      <w:proofErr w:type="gramStart"/>
      <w:r w:rsidRPr="00D109A4">
        <w:rPr>
          <w:rFonts w:cstheme="minorHAnsi"/>
          <w:bCs/>
          <w:i/>
          <w:color w:val="FF0000"/>
        </w:rPr>
        <w:t>Does NQF #0514 capture the most appropriate and prevalent types of antecedent conservative therapy available through claims data?</w:t>
      </w:r>
      <w:proofErr w:type="gramEnd"/>
    </w:p>
    <w:tbl>
      <w:tblPr>
        <w:tblStyle w:val="TableGrid"/>
        <w:tblW w:w="9360" w:type="dxa"/>
        <w:tblBorders>
          <w:top w:val="single" w:sz="12" w:space="0" w:color="auto"/>
          <w:left w:val="single" w:sz="12" w:space="0" w:color="auto"/>
          <w:bottom w:val="single" w:sz="12" w:space="0" w:color="auto"/>
          <w:right w:val="single" w:sz="12" w:space="0" w:color="auto"/>
          <w:insideH w:val="single" w:sz="8" w:space="0" w:color="auto"/>
          <w:insideV w:val="dashed" w:sz="4" w:space="0" w:color="auto"/>
        </w:tblBorders>
        <w:tblLayout w:type="fixed"/>
        <w:tblLook w:val="04A0" w:firstRow="1" w:lastRow="0" w:firstColumn="1" w:lastColumn="0" w:noHBand="0" w:noVBand="1"/>
      </w:tblPr>
      <w:tblGrid>
        <w:gridCol w:w="5418"/>
        <w:gridCol w:w="1971"/>
        <w:gridCol w:w="1971"/>
      </w:tblGrid>
      <w:tr w:rsidR="001B6DF2" w:rsidRPr="00D109A4" w14:paraId="1C19AB62" w14:textId="77777777" w:rsidTr="001F269F">
        <w:trPr>
          <w:trHeight w:val="255"/>
        </w:trPr>
        <w:tc>
          <w:tcPr>
            <w:tcW w:w="5418" w:type="dxa"/>
            <w:tcBorders>
              <w:top w:val="single" w:sz="12" w:space="0" w:color="auto"/>
              <w:bottom w:val="single" w:sz="12" w:space="0" w:color="auto"/>
              <w:right w:val="nil"/>
            </w:tcBorders>
            <w:shd w:val="clear" w:color="auto" w:fill="808080" w:themeFill="background1" w:themeFillShade="80"/>
          </w:tcPr>
          <w:p w14:paraId="2E805B9D" w14:textId="77777777" w:rsidR="001B6DF2" w:rsidRPr="00D109A4" w:rsidRDefault="001B6DF2" w:rsidP="00DD4389">
            <w:pPr>
              <w:jc w:val="center"/>
              <w:rPr>
                <w:rFonts w:ascii="Calibri" w:eastAsia="Times New Roman" w:hAnsi="Calibri" w:cs="Microsoft Sans Serif"/>
                <w:b/>
                <w:color w:val="FF0000"/>
                <w:sz w:val="20"/>
                <w:szCs w:val="20"/>
              </w:rPr>
            </w:pPr>
            <w:r w:rsidRPr="00D109A4">
              <w:rPr>
                <w:rFonts w:ascii="Calibri" w:eastAsia="Times New Roman" w:hAnsi="Calibri" w:cs="Microsoft Sans Serif"/>
                <w:b/>
                <w:color w:val="FF0000"/>
                <w:sz w:val="20"/>
                <w:szCs w:val="20"/>
              </w:rPr>
              <w:t>Response Option</w:t>
            </w:r>
          </w:p>
        </w:tc>
        <w:tc>
          <w:tcPr>
            <w:tcW w:w="1971" w:type="dxa"/>
            <w:tcBorders>
              <w:top w:val="single" w:sz="12" w:space="0" w:color="auto"/>
              <w:left w:val="nil"/>
              <w:bottom w:val="single" w:sz="12" w:space="0" w:color="auto"/>
              <w:right w:val="nil"/>
            </w:tcBorders>
            <w:shd w:val="clear" w:color="auto" w:fill="808080" w:themeFill="background1" w:themeFillShade="80"/>
            <w:noWrap/>
          </w:tcPr>
          <w:p w14:paraId="0D475B92" w14:textId="77777777" w:rsidR="001B6DF2" w:rsidRPr="00D109A4" w:rsidRDefault="001B6DF2" w:rsidP="00DD4389">
            <w:pPr>
              <w:jc w:val="center"/>
              <w:rPr>
                <w:rFonts w:ascii="Calibri" w:eastAsia="Times New Roman" w:hAnsi="Calibri" w:cs="Microsoft Sans Serif"/>
                <w:b/>
                <w:color w:val="FF0000"/>
                <w:sz w:val="20"/>
                <w:szCs w:val="20"/>
              </w:rPr>
            </w:pPr>
            <w:r w:rsidRPr="00D109A4">
              <w:rPr>
                <w:rFonts w:ascii="Calibri" w:eastAsia="Times New Roman" w:hAnsi="Calibri" w:cs="Microsoft Sans Serif"/>
                <w:b/>
                <w:color w:val="FF0000"/>
                <w:sz w:val="20"/>
                <w:szCs w:val="20"/>
              </w:rPr>
              <w:t>Response (%)</w:t>
            </w:r>
          </w:p>
        </w:tc>
        <w:tc>
          <w:tcPr>
            <w:tcW w:w="1971" w:type="dxa"/>
            <w:tcBorders>
              <w:top w:val="single" w:sz="12" w:space="0" w:color="auto"/>
              <w:left w:val="nil"/>
              <w:bottom w:val="single" w:sz="12" w:space="0" w:color="auto"/>
            </w:tcBorders>
            <w:shd w:val="clear" w:color="auto" w:fill="808080" w:themeFill="background1" w:themeFillShade="80"/>
            <w:noWrap/>
          </w:tcPr>
          <w:p w14:paraId="0590B919" w14:textId="77777777" w:rsidR="001B6DF2" w:rsidRPr="00D109A4" w:rsidRDefault="001B6DF2" w:rsidP="00DD4389">
            <w:pPr>
              <w:jc w:val="center"/>
              <w:rPr>
                <w:rFonts w:ascii="Calibri" w:eastAsia="Times New Roman" w:hAnsi="Calibri" w:cs="Microsoft Sans Serif"/>
                <w:b/>
                <w:color w:val="FF0000"/>
                <w:sz w:val="20"/>
                <w:szCs w:val="20"/>
              </w:rPr>
            </w:pPr>
            <w:r w:rsidRPr="00D109A4">
              <w:rPr>
                <w:rFonts w:ascii="Calibri" w:eastAsia="Times New Roman" w:hAnsi="Calibri" w:cs="Microsoft Sans Serif"/>
                <w:b/>
                <w:color w:val="FF0000"/>
                <w:sz w:val="20"/>
                <w:szCs w:val="20"/>
              </w:rPr>
              <w:t>Response (#)</w:t>
            </w:r>
          </w:p>
        </w:tc>
      </w:tr>
      <w:tr w:rsidR="001B6DF2" w:rsidRPr="00D109A4" w14:paraId="571B8B43" w14:textId="77777777" w:rsidTr="001B6DF2">
        <w:trPr>
          <w:trHeight w:val="255"/>
        </w:trPr>
        <w:tc>
          <w:tcPr>
            <w:tcW w:w="5418" w:type="dxa"/>
            <w:tcBorders>
              <w:top w:val="single" w:sz="12" w:space="0" w:color="auto"/>
            </w:tcBorders>
          </w:tcPr>
          <w:p w14:paraId="1FD08407" w14:textId="760B926C" w:rsidR="001B6DF2" w:rsidRPr="00D109A4" w:rsidRDefault="001B6DF2" w:rsidP="00DD4389">
            <w:pPr>
              <w:ind w:left="144"/>
              <w:rPr>
                <w:rFonts w:ascii="Calibri" w:eastAsia="Times New Roman" w:hAnsi="Calibri" w:cs="Microsoft Sans Serif"/>
                <w:color w:val="FF0000"/>
                <w:sz w:val="20"/>
                <w:szCs w:val="20"/>
              </w:rPr>
            </w:pPr>
            <w:r w:rsidRPr="00D109A4">
              <w:rPr>
                <w:rFonts w:ascii="Calibri" w:eastAsia="Times New Roman" w:hAnsi="Calibri" w:cs="Microsoft Sans Serif"/>
                <w:color w:val="FF0000"/>
                <w:sz w:val="20"/>
                <w:szCs w:val="20"/>
              </w:rPr>
              <w:t>Yes</w:t>
            </w:r>
          </w:p>
        </w:tc>
        <w:tc>
          <w:tcPr>
            <w:tcW w:w="1971" w:type="dxa"/>
            <w:tcBorders>
              <w:top w:val="single" w:sz="12" w:space="0" w:color="auto"/>
            </w:tcBorders>
            <w:noWrap/>
            <w:vAlign w:val="center"/>
          </w:tcPr>
          <w:p w14:paraId="1D65C794" w14:textId="1958550C" w:rsidR="001B6DF2" w:rsidRPr="00D109A4" w:rsidRDefault="001B6DF2" w:rsidP="00DD4389">
            <w:pPr>
              <w:jc w:val="center"/>
              <w:rPr>
                <w:rFonts w:ascii="Calibri" w:eastAsia="Times New Roman" w:hAnsi="Calibri" w:cs="Microsoft Sans Serif"/>
                <w:color w:val="FF0000"/>
                <w:sz w:val="20"/>
                <w:szCs w:val="20"/>
              </w:rPr>
            </w:pPr>
            <w:r w:rsidRPr="00D109A4">
              <w:rPr>
                <w:rFonts w:ascii="Calibri" w:eastAsia="Times New Roman" w:hAnsi="Calibri" w:cs="Microsoft Sans Serif"/>
                <w:color w:val="FF0000"/>
                <w:sz w:val="20"/>
                <w:szCs w:val="20"/>
              </w:rPr>
              <w:t>72.7</w:t>
            </w:r>
          </w:p>
        </w:tc>
        <w:tc>
          <w:tcPr>
            <w:tcW w:w="1971" w:type="dxa"/>
            <w:tcBorders>
              <w:top w:val="single" w:sz="12" w:space="0" w:color="auto"/>
            </w:tcBorders>
            <w:noWrap/>
            <w:vAlign w:val="center"/>
          </w:tcPr>
          <w:p w14:paraId="64A633BB" w14:textId="1BC5EDBA" w:rsidR="001B6DF2" w:rsidRPr="00D109A4" w:rsidRDefault="001B6DF2" w:rsidP="00DD4389">
            <w:pPr>
              <w:jc w:val="center"/>
              <w:rPr>
                <w:rFonts w:ascii="Calibri" w:eastAsia="Times New Roman" w:hAnsi="Calibri" w:cs="Microsoft Sans Serif"/>
                <w:color w:val="FF0000"/>
                <w:sz w:val="20"/>
                <w:szCs w:val="20"/>
              </w:rPr>
            </w:pPr>
            <w:r w:rsidRPr="00D109A4">
              <w:rPr>
                <w:rFonts w:ascii="Calibri" w:eastAsia="Times New Roman" w:hAnsi="Calibri" w:cs="Microsoft Sans Serif"/>
                <w:color w:val="FF0000"/>
                <w:sz w:val="20"/>
                <w:szCs w:val="20"/>
              </w:rPr>
              <w:t>8</w:t>
            </w:r>
          </w:p>
        </w:tc>
      </w:tr>
      <w:tr w:rsidR="001B6DF2" w:rsidRPr="00D109A4" w14:paraId="2BC6950C" w14:textId="77777777" w:rsidTr="001B6DF2">
        <w:trPr>
          <w:trHeight w:val="255"/>
        </w:trPr>
        <w:tc>
          <w:tcPr>
            <w:tcW w:w="5418" w:type="dxa"/>
          </w:tcPr>
          <w:p w14:paraId="56BA6C9E" w14:textId="4A1F5B5A" w:rsidR="001B6DF2" w:rsidRPr="00D109A4" w:rsidRDefault="001B6DF2" w:rsidP="00DD4389">
            <w:pPr>
              <w:ind w:left="144"/>
              <w:rPr>
                <w:rFonts w:ascii="Calibri" w:eastAsia="Times New Roman" w:hAnsi="Calibri" w:cs="Microsoft Sans Serif"/>
                <w:color w:val="FF0000"/>
                <w:sz w:val="20"/>
                <w:szCs w:val="20"/>
              </w:rPr>
            </w:pPr>
            <w:r w:rsidRPr="00D109A4">
              <w:rPr>
                <w:rFonts w:ascii="Calibri" w:eastAsia="Times New Roman" w:hAnsi="Calibri" w:cs="Microsoft Sans Serif"/>
                <w:color w:val="FF0000"/>
                <w:sz w:val="20"/>
                <w:szCs w:val="20"/>
              </w:rPr>
              <w:t>Not Sure or Do not Know</w:t>
            </w:r>
          </w:p>
        </w:tc>
        <w:tc>
          <w:tcPr>
            <w:tcW w:w="1971" w:type="dxa"/>
            <w:noWrap/>
            <w:vAlign w:val="center"/>
          </w:tcPr>
          <w:p w14:paraId="48E5DD16" w14:textId="6CC37F67" w:rsidR="001B6DF2" w:rsidRPr="00D109A4" w:rsidRDefault="001B6DF2" w:rsidP="00DD4389">
            <w:pPr>
              <w:jc w:val="center"/>
              <w:rPr>
                <w:rFonts w:ascii="Calibri" w:eastAsia="Times New Roman" w:hAnsi="Calibri" w:cs="Microsoft Sans Serif"/>
                <w:color w:val="FF0000"/>
                <w:sz w:val="20"/>
                <w:szCs w:val="20"/>
              </w:rPr>
            </w:pPr>
            <w:r w:rsidRPr="00D109A4">
              <w:rPr>
                <w:rFonts w:ascii="Calibri" w:eastAsia="Times New Roman" w:hAnsi="Calibri" w:cs="Microsoft Sans Serif"/>
                <w:color w:val="FF0000"/>
                <w:sz w:val="20"/>
                <w:szCs w:val="20"/>
              </w:rPr>
              <w:t>9.1</w:t>
            </w:r>
          </w:p>
        </w:tc>
        <w:tc>
          <w:tcPr>
            <w:tcW w:w="1971" w:type="dxa"/>
            <w:noWrap/>
            <w:vAlign w:val="center"/>
          </w:tcPr>
          <w:p w14:paraId="355F8037" w14:textId="6096FF1D" w:rsidR="001B6DF2" w:rsidRPr="00D109A4" w:rsidRDefault="001B6DF2" w:rsidP="00DD4389">
            <w:pPr>
              <w:jc w:val="center"/>
              <w:rPr>
                <w:rFonts w:ascii="Calibri" w:eastAsia="Times New Roman" w:hAnsi="Calibri" w:cs="Microsoft Sans Serif"/>
                <w:color w:val="FF0000"/>
                <w:sz w:val="20"/>
                <w:szCs w:val="20"/>
              </w:rPr>
            </w:pPr>
            <w:r w:rsidRPr="00D109A4">
              <w:rPr>
                <w:rFonts w:ascii="Calibri" w:eastAsia="Times New Roman" w:hAnsi="Calibri" w:cs="Microsoft Sans Serif"/>
                <w:color w:val="FF0000"/>
                <w:sz w:val="20"/>
                <w:szCs w:val="20"/>
              </w:rPr>
              <w:t>1</w:t>
            </w:r>
          </w:p>
        </w:tc>
      </w:tr>
      <w:tr w:rsidR="001B6DF2" w:rsidRPr="00D109A4" w14:paraId="1D08C44D" w14:textId="77777777" w:rsidTr="001B6DF2">
        <w:trPr>
          <w:trHeight w:val="255"/>
        </w:trPr>
        <w:tc>
          <w:tcPr>
            <w:tcW w:w="5418" w:type="dxa"/>
          </w:tcPr>
          <w:p w14:paraId="1BA4D6A7" w14:textId="62D4C196" w:rsidR="001B6DF2" w:rsidRPr="00D109A4" w:rsidRDefault="001B6DF2" w:rsidP="00DD4389">
            <w:pPr>
              <w:ind w:left="144"/>
              <w:rPr>
                <w:rFonts w:ascii="Calibri" w:eastAsia="Times New Roman" w:hAnsi="Calibri" w:cs="Microsoft Sans Serif"/>
                <w:color w:val="FF0000"/>
                <w:sz w:val="20"/>
                <w:szCs w:val="20"/>
              </w:rPr>
            </w:pPr>
            <w:r w:rsidRPr="00D109A4">
              <w:rPr>
                <w:rFonts w:ascii="Calibri" w:eastAsia="Times New Roman" w:hAnsi="Calibri" w:cs="Microsoft Sans Serif"/>
                <w:color w:val="FF0000"/>
                <w:sz w:val="20"/>
                <w:szCs w:val="20"/>
              </w:rPr>
              <w:t>No</w:t>
            </w:r>
          </w:p>
        </w:tc>
        <w:tc>
          <w:tcPr>
            <w:tcW w:w="1971" w:type="dxa"/>
            <w:noWrap/>
            <w:vAlign w:val="center"/>
          </w:tcPr>
          <w:p w14:paraId="1DCB913F" w14:textId="17137887" w:rsidR="001B6DF2" w:rsidRPr="00D109A4" w:rsidRDefault="001B6DF2" w:rsidP="00DD4389">
            <w:pPr>
              <w:jc w:val="center"/>
              <w:rPr>
                <w:rFonts w:ascii="Calibri" w:eastAsia="Times New Roman" w:hAnsi="Calibri" w:cs="Microsoft Sans Serif"/>
                <w:color w:val="FF0000"/>
                <w:sz w:val="20"/>
                <w:szCs w:val="20"/>
              </w:rPr>
            </w:pPr>
            <w:r w:rsidRPr="00D109A4">
              <w:rPr>
                <w:rFonts w:ascii="Calibri" w:eastAsia="Times New Roman" w:hAnsi="Calibri" w:cs="Microsoft Sans Serif"/>
                <w:color w:val="FF0000"/>
                <w:sz w:val="20"/>
                <w:szCs w:val="20"/>
              </w:rPr>
              <w:t>18.2</w:t>
            </w:r>
          </w:p>
        </w:tc>
        <w:tc>
          <w:tcPr>
            <w:tcW w:w="1971" w:type="dxa"/>
            <w:noWrap/>
            <w:vAlign w:val="center"/>
          </w:tcPr>
          <w:p w14:paraId="258FE9CB" w14:textId="44B563B7" w:rsidR="001B6DF2" w:rsidRPr="00D109A4" w:rsidRDefault="001B6DF2" w:rsidP="00DD4389">
            <w:pPr>
              <w:jc w:val="center"/>
              <w:rPr>
                <w:rFonts w:ascii="Calibri" w:eastAsia="Times New Roman" w:hAnsi="Calibri" w:cs="Microsoft Sans Serif"/>
                <w:color w:val="FF0000"/>
                <w:sz w:val="20"/>
                <w:szCs w:val="20"/>
              </w:rPr>
            </w:pPr>
            <w:r w:rsidRPr="00D109A4">
              <w:rPr>
                <w:rFonts w:ascii="Calibri" w:eastAsia="Times New Roman" w:hAnsi="Calibri" w:cs="Microsoft Sans Serif"/>
                <w:color w:val="FF0000"/>
                <w:sz w:val="20"/>
                <w:szCs w:val="20"/>
              </w:rPr>
              <w:t>2</w:t>
            </w:r>
          </w:p>
        </w:tc>
      </w:tr>
    </w:tbl>
    <w:p w14:paraId="0AA5D711" w14:textId="77777777" w:rsidR="009429D9" w:rsidRPr="00D109A4" w:rsidRDefault="009429D9" w:rsidP="00DD4389">
      <w:pPr>
        <w:autoSpaceDE w:val="0"/>
        <w:autoSpaceDN w:val="0"/>
        <w:adjustRightInd w:val="0"/>
        <w:spacing w:after="0" w:line="240" w:lineRule="auto"/>
        <w:rPr>
          <w:rFonts w:cstheme="minorHAnsi"/>
          <w:bCs/>
          <w:color w:val="FF0000"/>
        </w:rPr>
      </w:pPr>
    </w:p>
    <w:p w14:paraId="7D5054E6" w14:textId="7C290EBF" w:rsidR="003F0C1F" w:rsidRPr="00D109A4" w:rsidRDefault="003F0C1F" w:rsidP="00DD4389">
      <w:pPr>
        <w:autoSpaceDE w:val="0"/>
        <w:autoSpaceDN w:val="0"/>
        <w:adjustRightInd w:val="0"/>
        <w:spacing w:after="0" w:line="240" w:lineRule="auto"/>
        <w:rPr>
          <w:rFonts w:cstheme="minorHAnsi"/>
          <w:bCs/>
          <w:color w:val="FF0000"/>
        </w:rPr>
      </w:pPr>
      <w:r w:rsidRPr="00D109A4">
        <w:rPr>
          <w:rFonts w:cstheme="minorHAnsi"/>
          <w:bCs/>
          <w:color w:val="FF0000"/>
        </w:rPr>
        <w:t xml:space="preserve">Similarly, TEP members indicated that the measure helped to assess the rate of inappropriate use of MRI lumbar spine studies: </w:t>
      </w:r>
    </w:p>
    <w:p w14:paraId="357AD096" w14:textId="77777777" w:rsidR="003F0C1F" w:rsidRPr="00D109A4" w:rsidRDefault="003F0C1F" w:rsidP="00DD4389">
      <w:pPr>
        <w:pStyle w:val="ListParagraph"/>
        <w:autoSpaceDE w:val="0"/>
        <w:autoSpaceDN w:val="0"/>
        <w:adjustRightInd w:val="0"/>
        <w:spacing w:after="0" w:line="240" w:lineRule="auto"/>
        <w:ind w:left="360"/>
        <w:rPr>
          <w:rFonts w:cstheme="minorHAnsi"/>
          <w:bCs/>
          <w:color w:val="FF0000"/>
        </w:rPr>
      </w:pPr>
    </w:p>
    <w:p w14:paraId="4E384544" w14:textId="507682DE" w:rsidR="00640283" w:rsidRPr="00D109A4" w:rsidRDefault="009429D9" w:rsidP="00DD4389">
      <w:pPr>
        <w:autoSpaceDE w:val="0"/>
        <w:autoSpaceDN w:val="0"/>
        <w:adjustRightInd w:val="0"/>
        <w:spacing w:after="0" w:line="240" w:lineRule="auto"/>
        <w:rPr>
          <w:rFonts w:cstheme="minorHAnsi"/>
          <w:bCs/>
          <w:i/>
          <w:color w:val="FF0000"/>
        </w:rPr>
      </w:pPr>
      <w:r w:rsidRPr="00D109A4">
        <w:rPr>
          <w:rFonts w:cstheme="minorHAnsi"/>
          <w:bCs/>
          <w:i/>
          <w:color w:val="FF0000"/>
        </w:rPr>
        <w:t xml:space="preserve">The measure helps assess the </w:t>
      </w:r>
      <w:r w:rsidR="00222CE9" w:rsidRPr="00D109A4">
        <w:rPr>
          <w:rFonts w:cstheme="minorHAnsi"/>
          <w:bCs/>
          <w:i/>
          <w:color w:val="FF0000"/>
        </w:rPr>
        <w:t>inappropriate use of MRI lumbar-</w:t>
      </w:r>
      <w:r w:rsidRPr="00D109A4">
        <w:rPr>
          <w:rFonts w:cstheme="minorHAnsi"/>
          <w:bCs/>
          <w:i/>
          <w:color w:val="FF0000"/>
        </w:rPr>
        <w:t>spine tests. Do you agree?</w:t>
      </w:r>
    </w:p>
    <w:tbl>
      <w:tblPr>
        <w:tblStyle w:val="TableGrid"/>
        <w:tblW w:w="9360" w:type="dxa"/>
        <w:tblBorders>
          <w:top w:val="single" w:sz="12" w:space="0" w:color="auto"/>
          <w:left w:val="single" w:sz="12" w:space="0" w:color="auto"/>
          <w:bottom w:val="single" w:sz="12" w:space="0" w:color="auto"/>
          <w:right w:val="single" w:sz="12" w:space="0" w:color="auto"/>
          <w:insideH w:val="single" w:sz="8" w:space="0" w:color="auto"/>
          <w:insideV w:val="dashed" w:sz="4" w:space="0" w:color="auto"/>
        </w:tblBorders>
        <w:tblLayout w:type="fixed"/>
        <w:tblLook w:val="04A0" w:firstRow="1" w:lastRow="0" w:firstColumn="1" w:lastColumn="0" w:noHBand="0" w:noVBand="1"/>
      </w:tblPr>
      <w:tblGrid>
        <w:gridCol w:w="5418"/>
        <w:gridCol w:w="1971"/>
        <w:gridCol w:w="1971"/>
      </w:tblGrid>
      <w:tr w:rsidR="00172F1D" w:rsidRPr="00D109A4" w14:paraId="185F0727" w14:textId="77777777" w:rsidTr="001F269F">
        <w:trPr>
          <w:trHeight w:val="255"/>
        </w:trPr>
        <w:tc>
          <w:tcPr>
            <w:tcW w:w="5418" w:type="dxa"/>
            <w:tcBorders>
              <w:top w:val="single" w:sz="12" w:space="0" w:color="auto"/>
              <w:bottom w:val="single" w:sz="12" w:space="0" w:color="auto"/>
              <w:right w:val="nil"/>
            </w:tcBorders>
            <w:shd w:val="clear" w:color="auto" w:fill="808080" w:themeFill="background1" w:themeFillShade="80"/>
          </w:tcPr>
          <w:p w14:paraId="5EC905D9" w14:textId="77777777" w:rsidR="00172F1D" w:rsidRPr="00D109A4" w:rsidRDefault="00172F1D" w:rsidP="00DD4389">
            <w:pPr>
              <w:jc w:val="center"/>
              <w:rPr>
                <w:rFonts w:ascii="Calibri" w:eastAsia="Times New Roman" w:hAnsi="Calibri" w:cs="Microsoft Sans Serif"/>
                <w:b/>
                <w:color w:val="FF0000"/>
                <w:sz w:val="20"/>
                <w:szCs w:val="20"/>
              </w:rPr>
            </w:pPr>
            <w:r w:rsidRPr="00D109A4">
              <w:rPr>
                <w:rFonts w:ascii="Calibri" w:eastAsia="Times New Roman" w:hAnsi="Calibri" w:cs="Microsoft Sans Serif"/>
                <w:b/>
                <w:color w:val="FF0000"/>
                <w:sz w:val="20"/>
                <w:szCs w:val="20"/>
              </w:rPr>
              <w:t>Response Option</w:t>
            </w:r>
          </w:p>
        </w:tc>
        <w:tc>
          <w:tcPr>
            <w:tcW w:w="1971" w:type="dxa"/>
            <w:tcBorders>
              <w:top w:val="single" w:sz="12" w:space="0" w:color="auto"/>
              <w:left w:val="nil"/>
              <w:bottom w:val="single" w:sz="12" w:space="0" w:color="auto"/>
              <w:right w:val="nil"/>
            </w:tcBorders>
            <w:shd w:val="clear" w:color="auto" w:fill="808080" w:themeFill="background1" w:themeFillShade="80"/>
            <w:noWrap/>
          </w:tcPr>
          <w:p w14:paraId="60F242B3" w14:textId="77777777" w:rsidR="00172F1D" w:rsidRPr="00D109A4" w:rsidRDefault="00172F1D" w:rsidP="00DD4389">
            <w:pPr>
              <w:jc w:val="center"/>
              <w:rPr>
                <w:rFonts w:ascii="Calibri" w:eastAsia="Times New Roman" w:hAnsi="Calibri" w:cs="Microsoft Sans Serif"/>
                <w:b/>
                <w:color w:val="FF0000"/>
                <w:sz w:val="20"/>
                <w:szCs w:val="20"/>
              </w:rPr>
            </w:pPr>
            <w:r w:rsidRPr="00D109A4">
              <w:rPr>
                <w:rFonts w:ascii="Calibri" w:eastAsia="Times New Roman" w:hAnsi="Calibri" w:cs="Microsoft Sans Serif"/>
                <w:b/>
                <w:color w:val="FF0000"/>
                <w:sz w:val="20"/>
                <w:szCs w:val="20"/>
              </w:rPr>
              <w:t>Response (%)</w:t>
            </w:r>
          </w:p>
        </w:tc>
        <w:tc>
          <w:tcPr>
            <w:tcW w:w="1971" w:type="dxa"/>
            <w:tcBorders>
              <w:top w:val="single" w:sz="12" w:space="0" w:color="auto"/>
              <w:left w:val="nil"/>
              <w:bottom w:val="single" w:sz="12" w:space="0" w:color="auto"/>
            </w:tcBorders>
            <w:shd w:val="clear" w:color="auto" w:fill="808080" w:themeFill="background1" w:themeFillShade="80"/>
            <w:noWrap/>
          </w:tcPr>
          <w:p w14:paraId="48F5CA4F" w14:textId="77777777" w:rsidR="00172F1D" w:rsidRPr="00D109A4" w:rsidRDefault="00172F1D" w:rsidP="00DD4389">
            <w:pPr>
              <w:jc w:val="center"/>
              <w:rPr>
                <w:rFonts w:ascii="Calibri" w:eastAsia="Times New Roman" w:hAnsi="Calibri" w:cs="Microsoft Sans Serif"/>
                <w:b/>
                <w:color w:val="FF0000"/>
                <w:sz w:val="20"/>
                <w:szCs w:val="20"/>
              </w:rPr>
            </w:pPr>
            <w:r w:rsidRPr="00D109A4">
              <w:rPr>
                <w:rFonts w:ascii="Calibri" w:eastAsia="Times New Roman" w:hAnsi="Calibri" w:cs="Microsoft Sans Serif"/>
                <w:b/>
                <w:color w:val="FF0000"/>
                <w:sz w:val="20"/>
                <w:szCs w:val="20"/>
              </w:rPr>
              <w:t>Response (#)</w:t>
            </w:r>
          </w:p>
        </w:tc>
      </w:tr>
      <w:tr w:rsidR="00172F1D" w:rsidRPr="00D109A4" w14:paraId="5D281746" w14:textId="77777777" w:rsidTr="001F269F">
        <w:trPr>
          <w:trHeight w:val="255"/>
        </w:trPr>
        <w:tc>
          <w:tcPr>
            <w:tcW w:w="5418" w:type="dxa"/>
            <w:tcBorders>
              <w:top w:val="single" w:sz="12" w:space="0" w:color="auto"/>
            </w:tcBorders>
            <w:hideMark/>
          </w:tcPr>
          <w:p w14:paraId="10A21D77" w14:textId="77777777" w:rsidR="00172F1D" w:rsidRPr="00D109A4" w:rsidRDefault="00172F1D" w:rsidP="00DD4389">
            <w:pPr>
              <w:ind w:left="144"/>
              <w:rPr>
                <w:rFonts w:ascii="Calibri" w:eastAsia="Times New Roman" w:hAnsi="Calibri" w:cs="Microsoft Sans Serif"/>
                <w:color w:val="FF0000"/>
                <w:sz w:val="20"/>
                <w:szCs w:val="20"/>
              </w:rPr>
            </w:pPr>
            <w:r w:rsidRPr="00D109A4">
              <w:rPr>
                <w:rFonts w:ascii="Calibri" w:eastAsia="Times New Roman" w:hAnsi="Calibri" w:cs="Microsoft Sans Serif"/>
                <w:color w:val="FF0000"/>
                <w:sz w:val="20"/>
                <w:szCs w:val="20"/>
              </w:rPr>
              <w:t>Strongly Agree</w:t>
            </w:r>
          </w:p>
        </w:tc>
        <w:tc>
          <w:tcPr>
            <w:tcW w:w="1971" w:type="dxa"/>
            <w:tcBorders>
              <w:top w:val="single" w:sz="12" w:space="0" w:color="auto"/>
            </w:tcBorders>
            <w:noWrap/>
            <w:vAlign w:val="center"/>
            <w:hideMark/>
          </w:tcPr>
          <w:p w14:paraId="36511DD8" w14:textId="77777777" w:rsidR="00172F1D" w:rsidRPr="00D109A4" w:rsidRDefault="00172F1D" w:rsidP="00DD4389">
            <w:pPr>
              <w:jc w:val="center"/>
              <w:rPr>
                <w:rFonts w:ascii="Calibri" w:eastAsia="Times New Roman" w:hAnsi="Calibri" w:cs="Microsoft Sans Serif"/>
                <w:color w:val="FF0000"/>
                <w:sz w:val="20"/>
                <w:szCs w:val="20"/>
              </w:rPr>
            </w:pPr>
            <w:r w:rsidRPr="00D109A4">
              <w:rPr>
                <w:rFonts w:ascii="Calibri" w:hAnsi="Calibri" w:cs="Microsoft Sans Serif"/>
                <w:color w:val="FF0000"/>
                <w:sz w:val="20"/>
                <w:szCs w:val="20"/>
              </w:rPr>
              <w:t>36.4</w:t>
            </w:r>
          </w:p>
        </w:tc>
        <w:tc>
          <w:tcPr>
            <w:tcW w:w="1971" w:type="dxa"/>
            <w:tcBorders>
              <w:top w:val="single" w:sz="12" w:space="0" w:color="auto"/>
            </w:tcBorders>
            <w:noWrap/>
            <w:vAlign w:val="center"/>
            <w:hideMark/>
          </w:tcPr>
          <w:p w14:paraId="60F2C979" w14:textId="77777777" w:rsidR="00172F1D" w:rsidRPr="00D109A4" w:rsidRDefault="00172F1D" w:rsidP="00DD4389">
            <w:pPr>
              <w:jc w:val="center"/>
              <w:rPr>
                <w:rFonts w:ascii="Calibri" w:eastAsia="Times New Roman" w:hAnsi="Calibri" w:cs="Microsoft Sans Serif"/>
                <w:color w:val="FF0000"/>
                <w:sz w:val="20"/>
                <w:szCs w:val="20"/>
              </w:rPr>
            </w:pPr>
            <w:r w:rsidRPr="00D109A4">
              <w:rPr>
                <w:rFonts w:ascii="Calibri" w:hAnsi="Calibri" w:cs="Microsoft Sans Serif"/>
                <w:color w:val="FF0000"/>
                <w:sz w:val="20"/>
                <w:szCs w:val="20"/>
              </w:rPr>
              <w:t>4</w:t>
            </w:r>
          </w:p>
        </w:tc>
      </w:tr>
      <w:tr w:rsidR="00172F1D" w:rsidRPr="00D109A4" w14:paraId="2A4B6BF2" w14:textId="77777777" w:rsidTr="003A5C5A">
        <w:trPr>
          <w:trHeight w:val="255"/>
        </w:trPr>
        <w:tc>
          <w:tcPr>
            <w:tcW w:w="5418" w:type="dxa"/>
            <w:hideMark/>
          </w:tcPr>
          <w:p w14:paraId="6611BCFB" w14:textId="77777777" w:rsidR="00172F1D" w:rsidRPr="00D109A4" w:rsidRDefault="00172F1D" w:rsidP="00DD4389">
            <w:pPr>
              <w:ind w:left="144"/>
              <w:rPr>
                <w:rFonts w:ascii="Calibri" w:eastAsia="Times New Roman" w:hAnsi="Calibri" w:cs="Microsoft Sans Serif"/>
                <w:color w:val="FF0000"/>
                <w:sz w:val="20"/>
                <w:szCs w:val="20"/>
              </w:rPr>
            </w:pPr>
            <w:r w:rsidRPr="00D109A4">
              <w:rPr>
                <w:rFonts w:ascii="Calibri" w:eastAsia="Times New Roman" w:hAnsi="Calibri" w:cs="Microsoft Sans Serif"/>
                <w:color w:val="FF0000"/>
                <w:sz w:val="20"/>
                <w:szCs w:val="20"/>
              </w:rPr>
              <w:t>Agree</w:t>
            </w:r>
          </w:p>
        </w:tc>
        <w:tc>
          <w:tcPr>
            <w:tcW w:w="1971" w:type="dxa"/>
            <w:noWrap/>
            <w:vAlign w:val="center"/>
          </w:tcPr>
          <w:p w14:paraId="518BE03E" w14:textId="1EACAB21" w:rsidR="00172F1D" w:rsidRPr="00D109A4" w:rsidRDefault="003A5C5A" w:rsidP="00DD4389">
            <w:pPr>
              <w:jc w:val="center"/>
              <w:rPr>
                <w:rFonts w:ascii="Calibri" w:eastAsia="Times New Roman" w:hAnsi="Calibri" w:cs="Microsoft Sans Serif"/>
                <w:color w:val="FF0000"/>
                <w:sz w:val="20"/>
                <w:szCs w:val="20"/>
              </w:rPr>
            </w:pPr>
            <w:r w:rsidRPr="00D109A4">
              <w:rPr>
                <w:rFonts w:ascii="Calibri" w:eastAsia="Times New Roman" w:hAnsi="Calibri" w:cs="Microsoft Sans Serif"/>
                <w:color w:val="FF0000"/>
                <w:sz w:val="20"/>
                <w:szCs w:val="20"/>
              </w:rPr>
              <w:t>45.5</w:t>
            </w:r>
          </w:p>
        </w:tc>
        <w:tc>
          <w:tcPr>
            <w:tcW w:w="1971" w:type="dxa"/>
            <w:noWrap/>
            <w:vAlign w:val="center"/>
          </w:tcPr>
          <w:p w14:paraId="7E269C69" w14:textId="57AE683B" w:rsidR="00172F1D" w:rsidRPr="00D109A4" w:rsidRDefault="003A5C5A" w:rsidP="00DD4389">
            <w:pPr>
              <w:jc w:val="center"/>
              <w:rPr>
                <w:rFonts w:ascii="Calibri" w:eastAsia="Times New Roman" w:hAnsi="Calibri" w:cs="Microsoft Sans Serif"/>
                <w:color w:val="FF0000"/>
                <w:sz w:val="20"/>
                <w:szCs w:val="20"/>
              </w:rPr>
            </w:pPr>
            <w:r w:rsidRPr="00D109A4">
              <w:rPr>
                <w:rFonts w:ascii="Calibri" w:eastAsia="Times New Roman" w:hAnsi="Calibri" w:cs="Microsoft Sans Serif"/>
                <w:color w:val="FF0000"/>
                <w:sz w:val="20"/>
                <w:szCs w:val="20"/>
              </w:rPr>
              <w:t>5</w:t>
            </w:r>
          </w:p>
        </w:tc>
      </w:tr>
      <w:tr w:rsidR="00172F1D" w:rsidRPr="00D109A4" w14:paraId="4FF50059" w14:textId="77777777" w:rsidTr="003A5C5A">
        <w:trPr>
          <w:trHeight w:val="255"/>
        </w:trPr>
        <w:tc>
          <w:tcPr>
            <w:tcW w:w="5418" w:type="dxa"/>
            <w:hideMark/>
          </w:tcPr>
          <w:p w14:paraId="2A78E9DF" w14:textId="77777777" w:rsidR="00172F1D" w:rsidRPr="00D109A4" w:rsidRDefault="00172F1D" w:rsidP="00DD4389">
            <w:pPr>
              <w:ind w:left="144"/>
              <w:rPr>
                <w:rFonts w:ascii="Calibri" w:eastAsia="Times New Roman" w:hAnsi="Calibri" w:cs="Microsoft Sans Serif"/>
                <w:color w:val="FF0000"/>
                <w:sz w:val="20"/>
                <w:szCs w:val="20"/>
              </w:rPr>
            </w:pPr>
            <w:r w:rsidRPr="00D109A4">
              <w:rPr>
                <w:rFonts w:ascii="Calibri" w:eastAsia="Times New Roman" w:hAnsi="Calibri" w:cs="Microsoft Sans Serif"/>
                <w:color w:val="FF0000"/>
                <w:sz w:val="20"/>
                <w:szCs w:val="20"/>
              </w:rPr>
              <w:t>Undecided</w:t>
            </w:r>
          </w:p>
        </w:tc>
        <w:tc>
          <w:tcPr>
            <w:tcW w:w="1971" w:type="dxa"/>
            <w:noWrap/>
            <w:vAlign w:val="center"/>
          </w:tcPr>
          <w:p w14:paraId="7BB0EA5F" w14:textId="612DC5F6" w:rsidR="00172F1D" w:rsidRPr="00D109A4" w:rsidRDefault="003A5C5A" w:rsidP="00DD4389">
            <w:pPr>
              <w:jc w:val="center"/>
              <w:rPr>
                <w:rFonts w:ascii="Calibri" w:eastAsia="Times New Roman" w:hAnsi="Calibri" w:cs="Microsoft Sans Serif"/>
                <w:color w:val="FF0000"/>
                <w:sz w:val="20"/>
                <w:szCs w:val="20"/>
              </w:rPr>
            </w:pPr>
            <w:r w:rsidRPr="00D109A4">
              <w:rPr>
                <w:rFonts w:ascii="Calibri" w:eastAsia="Times New Roman" w:hAnsi="Calibri" w:cs="Microsoft Sans Serif"/>
                <w:color w:val="FF0000"/>
                <w:sz w:val="20"/>
                <w:szCs w:val="20"/>
              </w:rPr>
              <w:t>9.1</w:t>
            </w:r>
          </w:p>
        </w:tc>
        <w:tc>
          <w:tcPr>
            <w:tcW w:w="1971" w:type="dxa"/>
            <w:noWrap/>
            <w:vAlign w:val="center"/>
          </w:tcPr>
          <w:p w14:paraId="4D1C40F6" w14:textId="58E1754D" w:rsidR="00172F1D" w:rsidRPr="00D109A4" w:rsidRDefault="003A5C5A" w:rsidP="00DD4389">
            <w:pPr>
              <w:jc w:val="center"/>
              <w:rPr>
                <w:rFonts w:ascii="Calibri" w:eastAsia="Times New Roman" w:hAnsi="Calibri" w:cs="Microsoft Sans Serif"/>
                <w:color w:val="FF0000"/>
                <w:sz w:val="20"/>
                <w:szCs w:val="20"/>
              </w:rPr>
            </w:pPr>
            <w:r w:rsidRPr="00D109A4">
              <w:rPr>
                <w:rFonts w:ascii="Calibri" w:eastAsia="Times New Roman" w:hAnsi="Calibri" w:cs="Microsoft Sans Serif"/>
                <w:color w:val="FF0000"/>
                <w:sz w:val="20"/>
                <w:szCs w:val="20"/>
              </w:rPr>
              <w:t>1</w:t>
            </w:r>
          </w:p>
        </w:tc>
      </w:tr>
      <w:tr w:rsidR="00172F1D" w:rsidRPr="00D109A4" w14:paraId="188F16FD" w14:textId="77777777" w:rsidTr="003A5C5A">
        <w:trPr>
          <w:trHeight w:val="255"/>
        </w:trPr>
        <w:tc>
          <w:tcPr>
            <w:tcW w:w="5418" w:type="dxa"/>
            <w:hideMark/>
          </w:tcPr>
          <w:p w14:paraId="051B2E27" w14:textId="77777777" w:rsidR="00172F1D" w:rsidRPr="00D109A4" w:rsidRDefault="00172F1D" w:rsidP="00DD4389">
            <w:pPr>
              <w:ind w:left="144"/>
              <w:rPr>
                <w:rFonts w:ascii="Calibri" w:eastAsia="Times New Roman" w:hAnsi="Calibri" w:cs="Microsoft Sans Serif"/>
                <w:color w:val="FF0000"/>
                <w:sz w:val="20"/>
                <w:szCs w:val="20"/>
              </w:rPr>
            </w:pPr>
            <w:r w:rsidRPr="00D109A4">
              <w:rPr>
                <w:rFonts w:ascii="Calibri" w:eastAsia="Times New Roman" w:hAnsi="Calibri" w:cs="Microsoft Sans Serif"/>
                <w:color w:val="FF0000"/>
                <w:sz w:val="20"/>
                <w:szCs w:val="20"/>
              </w:rPr>
              <w:t>Disagree</w:t>
            </w:r>
          </w:p>
        </w:tc>
        <w:tc>
          <w:tcPr>
            <w:tcW w:w="1971" w:type="dxa"/>
            <w:noWrap/>
            <w:vAlign w:val="center"/>
          </w:tcPr>
          <w:p w14:paraId="7EC63D25" w14:textId="34105851" w:rsidR="00172F1D" w:rsidRPr="00D109A4" w:rsidRDefault="003A5C5A" w:rsidP="00DD4389">
            <w:pPr>
              <w:jc w:val="center"/>
              <w:rPr>
                <w:rFonts w:ascii="Calibri" w:eastAsia="Times New Roman" w:hAnsi="Calibri" w:cs="Microsoft Sans Serif"/>
                <w:color w:val="FF0000"/>
                <w:sz w:val="20"/>
                <w:szCs w:val="20"/>
              </w:rPr>
            </w:pPr>
            <w:r w:rsidRPr="00D109A4">
              <w:rPr>
                <w:rFonts w:ascii="Calibri" w:eastAsia="Times New Roman" w:hAnsi="Calibri" w:cs="Microsoft Sans Serif"/>
                <w:color w:val="FF0000"/>
                <w:sz w:val="20"/>
                <w:szCs w:val="20"/>
              </w:rPr>
              <w:t>0.0</w:t>
            </w:r>
          </w:p>
        </w:tc>
        <w:tc>
          <w:tcPr>
            <w:tcW w:w="1971" w:type="dxa"/>
            <w:noWrap/>
            <w:vAlign w:val="center"/>
          </w:tcPr>
          <w:p w14:paraId="1624B060" w14:textId="5C5DEAF4" w:rsidR="00172F1D" w:rsidRPr="00D109A4" w:rsidRDefault="003A5C5A" w:rsidP="00DD4389">
            <w:pPr>
              <w:jc w:val="center"/>
              <w:rPr>
                <w:rFonts w:ascii="Calibri" w:eastAsia="Times New Roman" w:hAnsi="Calibri" w:cs="Microsoft Sans Serif"/>
                <w:color w:val="FF0000"/>
                <w:sz w:val="20"/>
                <w:szCs w:val="20"/>
              </w:rPr>
            </w:pPr>
            <w:r w:rsidRPr="00D109A4">
              <w:rPr>
                <w:rFonts w:ascii="Calibri" w:eastAsia="Times New Roman" w:hAnsi="Calibri" w:cs="Microsoft Sans Serif"/>
                <w:color w:val="FF0000"/>
                <w:sz w:val="20"/>
                <w:szCs w:val="20"/>
              </w:rPr>
              <w:t>0</w:t>
            </w:r>
          </w:p>
        </w:tc>
      </w:tr>
      <w:tr w:rsidR="00172F1D" w:rsidRPr="00D109A4" w14:paraId="60617817" w14:textId="77777777" w:rsidTr="003A5C5A">
        <w:trPr>
          <w:trHeight w:val="255"/>
        </w:trPr>
        <w:tc>
          <w:tcPr>
            <w:tcW w:w="5418" w:type="dxa"/>
            <w:hideMark/>
          </w:tcPr>
          <w:p w14:paraId="44719FA8" w14:textId="77777777" w:rsidR="00172F1D" w:rsidRPr="00D109A4" w:rsidRDefault="00172F1D" w:rsidP="00DD4389">
            <w:pPr>
              <w:ind w:left="144"/>
              <w:rPr>
                <w:rFonts w:ascii="Calibri" w:eastAsia="Times New Roman" w:hAnsi="Calibri" w:cs="Microsoft Sans Serif"/>
                <w:color w:val="FF0000"/>
                <w:sz w:val="20"/>
                <w:szCs w:val="20"/>
              </w:rPr>
            </w:pPr>
            <w:r w:rsidRPr="00D109A4">
              <w:rPr>
                <w:rFonts w:ascii="Calibri" w:eastAsia="Times New Roman" w:hAnsi="Calibri" w:cs="Microsoft Sans Serif"/>
                <w:color w:val="FF0000"/>
                <w:sz w:val="20"/>
                <w:szCs w:val="20"/>
              </w:rPr>
              <w:t>Strongly Disagree</w:t>
            </w:r>
          </w:p>
        </w:tc>
        <w:tc>
          <w:tcPr>
            <w:tcW w:w="1971" w:type="dxa"/>
            <w:noWrap/>
            <w:vAlign w:val="center"/>
          </w:tcPr>
          <w:p w14:paraId="5606CF44" w14:textId="7218EF1E" w:rsidR="00172F1D" w:rsidRPr="00D109A4" w:rsidRDefault="003A5C5A" w:rsidP="00DD4389">
            <w:pPr>
              <w:jc w:val="center"/>
              <w:rPr>
                <w:rFonts w:ascii="Calibri" w:eastAsia="Times New Roman" w:hAnsi="Calibri" w:cs="Microsoft Sans Serif"/>
                <w:color w:val="FF0000"/>
                <w:sz w:val="20"/>
                <w:szCs w:val="20"/>
              </w:rPr>
            </w:pPr>
            <w:r w:rsidRPr="00D109A4">
              <w:rPr>
                <w:rFonts w:ascii="Calibri" w:eastAsia="Times New Roman" w:hAnsi="Calibri" w:cs="Microsoft Sans Serif"/>
                <w:color w:val="FF0000"/>
                <w:sz w:val="20"/>
                <w:szCs w:val="20"/>
              </w:rPr>
              <w:t>0.0</w:t>
            </w:r>
          </w:p>
        </w:tc>
        <w:tc>
          <w:tcPr>
            <w:tcW w:w="1971" w:type="dxa"/>
            <w:noWrap/>
            <w:vAlign w:val="center"/>
          </w:tcPr>
          <w:p w14:paraId="5E4A385F" w14:textId="1A0B86A2" w:rsidR="00172F1D" w:rsidRPr="00D109A4" w:rsidRDefault="003A5C5A" w:rsidP="00DD4389">
            <w:pPr>
              <w:jc w:val="center"/>
              <w:rPr>
                <w:rFonts w:ascii="Calibri" w:eastAsia="Times New Roman" w:hAnsi="Calibri" w:cs="Microsoft Sans Serif"/>
                <w:color w:val="FF0000"/>
                <w:sz w:val="20"/>
                <w:szCs w:val="20"/>
              </w:rPr>
            </w:pPr>
            <w:r w:rsidRPr="00D109A4">
              <w:rPr>
                <w:rFonts w:ascii="Calibri" w:eastAsia="Times New Roman" w:hAnsi="Calibri" w:cs="Microsoft Sans Serif"/>
                <w:color w:val="FF0000"/>
                <w:sz w:val="20"/>
                <w:szCs w:val="20"/>
              </w:rPr>
              <w:t>0</w:t>
            </w:r>
          </w:p>
        </w:tc>
      </w:tr>
      <w:tr w:rsidR="00172F1D" w:rsidRPr="00D109A4" w14:paraId="4932FA25" w14:textId="77777777" w:rsidTr="003A5C5A">
        <w:trPr>
          <w:trHeight w:val="255"/>
        </w:trPr>
        <w:tc>
          <w:tcPr>
            <w:tcW w:w="5418" w:type="dxa"/>
            <w:hideMark/>
          </w:tcPr>
          <w:p w14:paraId="1648F38F" w14:textId="77777777" w:rsidR="00172F1D" w:rsidRPr="00D109A4" w:rsidRDefault="00172F1D" w:rsidP="00DD4389">
            <w:pPr>
              <w:ind w:left="144"/>
              <w:rPr>
                <w:rFonts w:ascii="Calibri" w:eastAsia="Times New Roman" w:hAnsi="Calibri" w:cs="Microsoft Sans Serif"/>
                <w:color w:val="FF0000"/>
                <w:sz w:val="20"/>
                <w:szCs w:val="20"/>
              </w:rPr>
            </w:pPr>
            <w:r w:rsidRPr="00D109A4">
              <w:rPr>
                <w:rFonts w:ascii="Calibri" w:eastAsia="Times New Roman" w:hAnsi="Calibri" w:cs="Microsoft Sans Serif"/>
                <w:color w:val="FF0000"/>
                <w:sz w:val="20"/>
                <w:szCs w:val="20"/>
              </w:rPr>
              <w:t>Do Not Know or Not Applicable</w:t>
            </w:r>
          </w:p>
        </w:tc>
        <w:tc>
          <w:tcPr>
            <w:tcW w:w="1971" w:type="dxa"/>
            <w:noWrap/>
            <w:vAlign w:val="center"/>
          </w:tcPr>
          <w:p w14:paraId="07B46954" w14:textId="419A4DFB" w:rsidR="00172F1D" w:rsidRPr="00D109A4" w:rsidRDefault="003A5C5A" w:rsidP="00DD4389">
            <w:pPr>
              <w:jc w:val="center"/>
              <w:rPr>
                <w:rFonts w:ascii="Calibri" w:eastAsia="Times New Roman" w:hAnsi="Calibri" w:cs="Microsoft Sans Serif"/>
                <w:color w:val="FF0000"/>
                <w:sz w:val="20"/>
                <w:szCs w:val="20"/>
              </w:rPr>
            </w:pPr>
            <w:r w:rsidRPr="00D109A4">
              <w:rPr>
                <w:rFonts w:ascii="Calibri" w:eastAsia="Times New Roman" w:hAnsi="Calibri" w:cs="Microsoft Sans Serif"/>
                <w:color w:val="FF0000"/>
                <w:sz w:val="20"/>
                <w:szCs w:val="20"/>
              </w:rPr>
              <w:t>9.1</w:t>
            </w:r>
          </w:p>
        </w:tc>
        <w:tc>
          <w:tcPr>
            <w:tcW w:w="1971" w:type="dxa"/>
            <w:noWrap/>
            <w:vAlign w:val="center"/>
          </w:tcPr>
          <w:p w14:paraId="2F396DB8" w14:textId="4738AF38" w:rsidR="00172F1D" w:rsidRPr="00D109A4" w:rsidRDefault="003A5C5A" w:rsidP="00DD4389">
            <w:pPr>
              <w:jc w:val="center"/>
              <w:rPr>
                <w:rFonts w:ascii="Calibri" w:eastAsia="Times New Roman" w:hAnsi="Calibri" w:cs="Microsoft Sans Serif"/>
                <w:color w:val="FF0000"/>
                <w:sz w:val="20"/>
                <w:szCs w:val="20"/>
              </w:rPr>
            </w:pPr>
            <w:r w:rsidRPr="00D109A4">
              <w:rPr>
                <w:rFonts w:ascii="Calibri" w:eastAsia="Times New Roman" w:hAnsi="Calibri" w:cs="Microsoft Sans Serif"/>
                <w:color w:val="FF0000"/>
                <w:sz w:val="20"/>
                <w:szCs w:val="20"/>
              </w:rPr>
              <w:t>1</w:t>
            </w:r>
          </w:p>
        </w:tc>
      </w:tr>
    </w:tbl>
    <w:p w14:paraId="1BB38C2B" w14:textId="77777777" w:rsidR="00D75B36" w:rsidRPr="003F0C1F" w:rsidRDefault="00D75B36" w:rsidP="00AE1932">
      <w:pPr>
        <w:autoSpaceDE w:val="0"/>
        <w:autoSpaceDN w:val="0"/>
        <w:adjustRightInd w:val="0"/>
        <w:spacing w:after="0" w:line="240" w:lineRule="auto"/>
        <w:rPr>
          <w:rFonts w:cstheme="minorHAnsi"/>
          <w:bCs/>
          <w:i/>
        </w:rPr>
      </w:pPr>
    </w:p>
    <w:p w14:paraId="4247937C" w14:textId="77777777" w:rsidR="006A35A4" w:rsidRDefault="00092566" w:rsidP="00AE1932">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4F4A6BD9" w14:textId="37FF557F" w:rsidR="00E3506C" w:rsidRDefault="00D109A4" w:rsidP="00AE1932">
      <w:pPr>
        <w:autoSpaceDE w:val="0"/>
        <w:autoSpaceDN w:val="0"/>
        <w:adjustRightInd w:val="0"/>
        <w:spacing w:after="0" w:line="240" w:lineRule="auto"/>
        <w:rPr>
          <w:rFonts w:cstheme="minorHAnsi"/>
          <w:bCs/>
        </w:rPr>
      </w:pPr>
      <w:r>
        <w:rPr>
          <w:rFonts w:cstheme="minorHAnsi"/>
          <w:b/>
          <w:bCs/>
        </w:rPr>
        <w:t>2014 Submission:</w:t>
      </w:r>
    </w:p>
    <w:p w14:paraId="597FB663" w14:textId="6A79397F" w:rsidR="00D109A4" w:rsidRDefault="00D109A4" w:rsidP="00AE1932">
      <w:pPr>
        <w:autoSpaceDE w:val="0"/>
        <w:autoSpaceDN w:val="0"/>
        <w:adjustRightInd w:val="0"/>
        <w:spacing w:after="0" w:line="240" w:lineRule="auto"/>
        <w:rPr>
          <w:rFonts w:cstheme="minorHAnsi"/>
          <w:bCs/>
        </w:rPr>
      </w:pPr>
      <w:r w:rsidRPr="00D109A4">
        <w:rPr>
          <w:rFonts w:cstheme="minorHAnsi"/>
          <w:bCs/>
        </w:rPr>
        <w:t xml:space="preserve">Based on the acceptance of the specifications by facilities in the HOQR Program, the measure </w:t>
      </w:r>
      <w:proofErr w:type="gramStart"/>
      <w:r w:rsidRPr="00D109A4">
        <w:rPr>
          <w:rFonts w:cstheme="minorHAnsi"/>
          <w:bCs/>
        </w:rPr>
        <w:t>is assumed</w:t>
      </w:r>
      <w:proofErr w:type="gramEnd"/>
      <w:r w:rsidRPr="00D109A4">
        <w:rPr>
          <w:rFonts w:cstheme="minorHAnsi"/>
          <w:bCs/>
        </w:rPr>
        <w:t xml:space="preserve"> to have face validity. Additionally, the data </w:t>
      </w:r>
      <w:proofErr w:type="gramStart"/>
      <w:r w:rsidRPr="00D109A4">
        <w:rPr>
          <w:rFonts w:cstheme="minorHAnsi"/>
          <w:bCs/>
        </w:rPr>
        <w:t>were considered</w:t>
      </w:r>
      <w:proofErr w:type="gramEnd"/>
      <w:r w:rsidRPr="00D109A4">
        <w:rPr>
          <w:rFonts w:cstheme="minorHAnsi"/>
          <w:bCs/>
        </w:rPr>
        <w:t xml:space="preserve"> to have face validity as representing services rendered by the hospital.  Additional d</w:t>
      </w:r>
      <w:r>
        <w:rPr>
          <w:rFonts w:cstheme="minorHAnsi"/>
          <w:bCs/>
        </w:rPr>
        <w:t>ata testing was not involved.</w:t>
      </w:r>
    </w:p>
    <w:p w14:paraId="479F9CAC" w14:textId="77777777" w:rsidR="00D109A4" w:rsidRDefault="00D109A4" w:rsidP="00AE1932">
      <w:pPr>
        <w:autoSpaceDE w:val="0"/>
        <w:autoSpaceDN w:val="0"/>
        <w:adjustRightInd w:val="0"/>
        <w:spacing w:after="0" w:line="240" w:lineRule="auto"/>
        <w:rPr>
          <w:rFonts w:cstheme="minorHAnsi"/>
          <w:bCs/>
        </w:rPr>
      </w:pPr>
    </w:p>
    <w:p w14:paraId="1384D839" w14:textId="0CF44DE6" w:rsidR="00D109A4" w:rsidRPr="00D109A4" w:rsidRDefault="00D109A4" w:rsidP="00AE1932">
      <w:pPr>
        <w:autoSpaceDE w:val="0"/>
        <w:autoSpaceDN w:val="0"/>
        <w:adjustRightInd w:val="0"/>
        <w:spacing w:after="0" w:line="240" w:lineRule="auto"/>
        <w:rPr>
          <w:rFonts w:cstheme="minorHAnsi"/>
          <w:bCs/>
          <w:color w:val="FF0000"/>
        </w:rPr>
      </w:pPr>
      <w:r w:rsidRPr="00D109A4">
        <w:rPr>
          <w:rFonts w:cstheme="minorHAnsi"/>
          <w:b/>
          <w:bCs/>
          <w:color w:val="FF0000"/>
        </w:rPr>
        <w:t>2016 Submission:</w:t>
      </w:r>
    </w:p>
    <w:p w14:paraId="374DC504" w14:textId="1A0D5356" w:rsidR="00F368BE" w:rsidRPr="00D109A4" w:rsidRDefault="00E3506C" w:rsidP="00AE1932">
      <w:pPr>
        <w:autoSpaceDE w:val="0"/>
        <w:autoSpaceDN w:val="0"/>
        <w:adjustRightInd w:val="0"/>
        <w:spacing w:after="0" w:line="240" w:lineRule="auto"/>
        <w:rPr>
          <w:rFonts w:cstheme="minorHAnsi"/>
          <w:bCs/>
          <w:color w:val="FF0000"/>
        </w:rPr>
      </w:pPr>
      <w:r w:rsidRPr="00D109A4">
        <w:rPr>
          <w:rFonts w:cstheme="minorHAnsi"/>
          <w:bCs/>
          <w:color w:val="FF0000"/>
        </w:rPr>
        <w:t xml:space="preserve">TEP evaluation demonstrates face validity </w:t>
      </w:r>
      <w:r w:rsidR="00842069" w:rsidRPr="00D109A4">
        <w:rPr>
          <w:rFonts w:cstheme="minorHAnsi"/>
          <w:bCs/>
          <w:color w:val="FF0000"/>
        </w:rPr>
        <w:t xml:space="preserve">of </w:t>
      </w:r>
      <w:r w:rsidR="00061E44" w:rsidRPr="00D109A4">
        <w:rPr>
          <w:rFonts w:cstheme="minorHAnsi"/>
          <w:bCs/>
          <w:color w:val="FF0000"/>
        </w:rPr>
        <w:t>NQF #0514</w:t>
      </w:r>
      <w:r w:rsidR="00D7739D" w:rsidRPr="00D109A4">
        <w:rPr>
          <w:rFonts w:cstheme="minorHAnsi"/>
          <w:bCs/>
          <w:color w:val="FF0000"/>
        </w:rPr>
        <w:t xml:space="preserve"> at the measure-score level</w:t>
      </w:r>
      <w:r w:rsidR="00842069" w:rsidRPr="00D109A4">
        <w:rPr>
          <w:rFonts w:cstheme="minorHAnsi"/>
          <w:bCs/>
          <w:color w:val="FF0000"/>
        </w:rPr>
        <w:t xml:space="preserve">. </w:t>
      </w:r>
      <w:r w:rsidR="00722613" w:rsidRPr="00D109A4">
        <w:rPr>
          <w:rFonts w:cstheme="minorHAnsi"/>
          <w:bCs/>
          <w:color w:val="FF0000"/>
        </w:rPr>
        <w:t>In the primary assessment of face validity of the measure performance score</w:t>
      </w:r>
      <w:r w:rsidR="005E15D4" w:rsidRPr="00D109A4">
        <w:rPr>
          <w:rFonts w:cstheme="minorHAnsi"/>
          <w:bCs/>
          <w:color w:val="FF0000"/>
        </w:rPr>
        <w:t xml:space="preserve"> (face-validity question #2)</w:t>
      </w:r>
      <w:r w:rsidR="00722613" w:rsidRPr="00D109A4">
        <w:rPr>
          <w:rFonts w:cstheme="minorHAnsi"/>
          <w:bCs/>
          <w:color w:val="FF0000"/>
        </w:rPr>
        <w:t>, 81.8% of respondents agree</w:t>
      </w:r>
      <w:r w:rsidR="005E15D4" w:rsidRPr="00D109A4">
        <w:rPr>
          <w:rFonts w:cstheme="minorHAnsi"/>
          <w:bCs/>
          <w:color w:val="FF0000"/>
        </w:rPr>
        <w:t>d</w:t>
      </w:r>
      <w:r w:rsidR="00722613" w:rsidRPr="00D109A4">
        <w:rPr>
          <w:rFonts w:cstheme="minorHAnsi"/>
          <w:bCs/>
          <w:color w:val="FF0000"/>
        </w:rPr>
        <w:t xml:space="preserve"> or strongly agreed with the face validity of the measure calculation and believe that the measure helps assess the inappropriate use of MRI lumbar-spine tests. </w:t>
      </w:r>
      <w:r w:rsidR="003F0C1F" w:rsidRPr="00D109A4">
        <w:rPr>
          <w:rFonts w:cstheme="minorHAnsi"/>
          <w:bCs/>
          <w:color w:val="FF0000"/>
        </w:rPr>
        <w:t xml:space="preserve">As indicated above, TEP members </w:t>
      </w:r>
      <w:r w:rsidR="00722613" w:rsidRPr="00D109A4">
        <w:rPr>
          <w:rFonts w:cstheme="minorHAnsi"/>
          <w:bCs/>
          <w:color w:val="FF0000"/>
        </w:rPr>
        <w:t xml:space="preserve">also </w:t>
      </w:r>
      <w:r w:rsidR="003F0C1F" w:rsidRPr="00D109A4">
        <w:rPr>
          <w:rFonts w:cstheme="minorHAnsi"/>
          <w:bCs/>
          <w:color w:val="FF0000"/>
        </w:rPr>
        <w:t>responded that the measure</w:t>
      </w:r>
      <w:r w:rsidR="00892071" w:rsidRPr="00D109A4">
        <w:rPr>
          <w:rFonts w:cstheme="minorHAnsi"/>
          <w:bCs/>
          <w:color w:val="FF0000"/>
        </w:rPr>
        <w:t xml:space="preserve"> captures the most appropriate and prevalent types of antecedent conservative therapy available through claims data</w:t>
      </w:r>
      <w:r w:rsidR="00712770" w:rsidRPr="00D109A4">
        <w:rPr>
          <w:rFonts w:cstheme="minorHAnsi"/>
          <w:bCs/>
          <w:color w:val="FF0000"/>
        </w:rPr>
        <w:t>.</w:t>
      </w:r>
      <w:r w:rsidR="00892071" w:rsidRPr="00D109A4">
        <w:rPr>
          <w:rFonts w:cstheme="minorHAnsi"/>
          <w:bCs/>
          <w:color w:val="FF0000"/>
        </w:rPr>
        <w:t xml:space="preserve"> </w:t>
      </w:r>
    </w:p>
    <w:p w14:paraId="464C8DEF" w14:textId="77777777" w:rsidR="00814067" w:rsidRPr="00D109A4" w:rsidRDefault="00814067" w:rsidP="00AE1932">
      <w:pPr>
        <w:autoSpaceDE w:val="0"/>
        <w:autoSpaceDN w:val="0"/>
        <w:adjustRightInd w:val="0"/>
        <w:spacing w:after="0" w:line="240" w:lineRule="auto"/>
        <w:rPr>
          <w:rFonts w:cstheme="minorHAnsi"/>
          <w:bCs/>
          <w:color w:val="FF0000"/>
        </w:rPr>
      </w:pPr>
    </w:p>
    <w:p w14:paraId="1F3E99AA" w14:textId="25E2168A" w:rsidR="004778EC" w:rsidRPr="00D109A4" w:rsidRDefault="00814067" w:rsidP="00AE1932">
      <w:pPr>
        <w:autoSpaceDE w:val="0"/>
        <w:autoSpaceDN w:val="0"/>
        <w:adjustRightInd w:val="0"/>
        <w:spacing w:after="0" w:line="240" w:lineRule="auto"/>
        <w:rPr>
          <w:rFonts w:cstheme="minorHAnsi"/>
          <w:bCs/>
          <w:color w:val="FF0000"/>
        </w:rPr>
      </w:pPr>
      <w:r w:rsidRPr="00D109A4">
        <w:rPr>
          <w:rFonts w:cstheme="minorHAnsi"/>
          <w:bCs/>
          <w:color w:val="FF0000"/>
        </w:rPr>
        <w:t>The results of the TEP survey indicate that the measure has strong face validity.</w:t>
      </w:r>
      <w:r w:rsidR="00E6007E" w:rsidRPr="00D109A4">
        <w:rPr>
          <w:rFonts w:cstheme="minorHAnsi"/>
          <w:bCs/>
          <w:color w:val="FF0000"/>
        </w:rPr>
        <w:t xml:space="preserve"> </w:t>
      </w:r>
      <w:r w:rsidR="008E24B6" w:rsidRPr="00D109A4">
        <w:rPr>
          <w:rFonts w:cstheme="minorHAnsi"/>
          <w:bCs/>
          <w:color w:val="FF0000"/>
        </w:rPr>
        <w:t xml:space="preserve">Based on NQF guidance, the strong face validity demonstrated through survey of the TEP merits a rating of “moderate” for the validity criterion. </w:t>
      </w:r>
      <w:r w:rsidR="00E6007E" w:rsidRPr="00D109A4">
        <w:rPr>
          <w:rFonts w:cstheme="minorHAnsi"/>
          <w:bCs/>
          <w:color w:val="FF0000"/>
        </w:rPr>
        <w:t>Additionally</w:t>
      </w:r>
      <w:r w:rsidR="004778EC" w:rsidRPr="00D109A4">
        <w:rPr>
          <w:rFonts w:cstheme="minorHAnsi"/>
          <w:bCs/>
          <w:color w:val="FF0000"/>
        </w:rPr>
        <w:t xml:space="preserve">, </w:t>
      </w:r>
      <w:r w:rsidR="00F368BE" w:rsidRPr="00D109A4">
        <w:rPr>
          <w:rFonts w:cstheme="minorHAnsi"/>
          <w:bCs/>
          <w:color w:val="FF0000"/>
        </w:rPr>
        <w:t>claims data</w:t>
      </w:r>
      <w:r w:rsidR="004778EC" w:rsidRPr="00D109A4">
        <w:rPr>
          <w:rFonts w:cstheme="minorHAnsi"/>
          <w:bCs/>
          <w:color w:val="FF0000"/>
        </w:rPr>
        <w:t xml:space="preserve"> have the advantage of being </w:t>
      </w:r>
      <w:r w:rsidR="00B35F5A" w:rsidRPr="00D109A4">
        <w:rPr>
          <w:rFonts w:cstheme="minorHAnsi"/>
          <w:bCs/>
          <w:color w:val="FF0000"/>
        </w:rPr>
        <w:t>largely</w:t>
      </w:r>
      <w:r w:rsidR="004778EC" w:rsidRPr="00D109A4">
        <w:rPr>
          <w:rFonts w:cstheme="minorHAnsi"/>
          <w:bCs/>
          <w:color w:val="FF0000"/>
        </w:rPr>
        <w:t xml:space="preserve"> error free since CMS audits data fields used in determining payment</w:t>
      </w:r>
      <w:r w:rsidR="003F0C1F" w:rsidRPr="00D109A4">
        <w:rPr>
          <w:rFonts w:cstheme="minorHAnsi"/>
          <w:bCs/>
          <w:color w:val="FF0000"/>
        </w:rPr>
        <w:t>, further supporting the face validity of the measure</w:t>
      </w:r>
      <w:r w:rsidR="00B35F5A" w:rsidRPr="00D109A4">
        <w:rPr>
          <w:rFonts w:cstheme="minorHAnsi"/>
          <w:bCs/>
          <w:color w:val="FF0000"/>
        </w:rPr>
        <w:t xml:space="preserve">. </w:t>
      </w:r>
      <w:r w:rsidR="00E6007E" w:rsidRPr="00D109A4">
        <w:rPr>
          <w:rFonts w:cstheme="minorHAnsi"/>
          <w:bCs/>
          <w:color w:val="FF0000"/>
        </w:rPr>
        <w:t xml:space="preserve">Finally, stakeholders have raised no concerns regarding the face validity of the measure over the six years of public reporting. </w:t>
      </w:r>
    </w:p>
    <w:p w14:paraId="44C5A461" w14:textId="77777777" w:rsidR="008A403A" w:rsidRPr="00A25024" w:rsidRDefault="00483E94" w:rsidP="00AE1932">
      <w:pPr>
        <w:autoSpaceDE w:val="0"/>
        <w:autoSpaceDN w:val="0"/>
        <w:adjustRightInd w:val="0"/>
        <w:spacing w:after="0" w:line="240" w:lineRule="auto"/>
        <w:rPr>
          <w:rFonts w:cstheme="minorHAnsi"/>
          <w:bCs/>
        </w:rPr>
      </w:pPr>
      <w:r>
        <w:rPr>
          <w:rFonts w:cstheme="minorHAnsi"/>
          <w:bCs/>
        </w:rPr>
        <w:t>_________________________</w:t>
      </w:r>
    </w:p>
    <w:p w14:paraId="6D3FE52B" w14:textId="77777777" w:rsidR="00097012" w:rsidRPr="00A25024" w:rsidRDefault="00021170" w:rsidP="00AE1932">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47478AD9" w14:textId="77777777" w:rsidR="00B037BA" w:rsidRPr="00A25024" w:rsidRDefault="001E4DD4" w:rsidP="00AE1932">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Arial Unicode MS"/>
            <w14:uncheckedState w14:val="2610" w14:font="Arial Unicode MS"/>
          </w14:checkbox>
        </w:sdt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1EA673C9" w14:textId="77777777" w:rsidR="00001D73" w:rsidRDefault="00001D73" w:rsidP="00AE1932">
      <w:pPr>
        <w:autoSpaceDE w:val="0"/>
        <w:autoSpaceDN w:val="0"/>
        <w:adjustRightInd w:val="0"/>
        <w:spacing w:after="0" w:line="240" w:lineRule="auto"/>
        <w:rPr>
          <w:rFonts w:cstheme="minorHAnsi"/>
          <w:b/>
          <w:bCs/>
        </w:rPr>
      </w:pPr>
    </w:p>
    <w:p w14:paraId="135D16D9" w14:textId="0A0C1090" w:rsidR="00D109A4" w:rsidRPr="00DD4389" w:rsidRDefault="00092566" w:rsidP="00AE1932">
      <w:pPr>
        <w:autoSpaceDE w:val="0"/>
        <w:autoSpaceDN w:val="0"/>
        <w:adjustRightInd w:val="0"/>
        <w:spacing w:after="0" w:line="240" w:lineRule="auto"/>
        <w:rPr>
          <w:rFonts w:cstheme="minorHAnsi"/>
          <w:bCs/>
          <w:color w:val="000000" w:themeColor="text1"/>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F093C">
        <w:rPr>
          <w:rFonts w:cstheme="minorHAnsi"/>
          <w:bCs/>
        </w:rPr>
        <w:t>.</w:t>
      </w:r>
      <w:r w:rsidR="00833325" w:rsidRPr="00A25024">
        <w:rPr>
          <w:rFonts w:cstheme="minorHAnsi"/>
          <w:bCs/>
        </w:rPr>
        <w:br/>
      </w:r>
      <w:r w:rsidR="00DD4389" w:rsidRPr="00DD4389">
        <w:rPr>
          <w:rFonts w:cstheme="minorHAnsi"/>
          <w:b/>
          <w:bCs/>
          <w:color w:val="000000" w:themeColor="text1"/>
        </w:rPr>
        <w:t>2014 Submission:</w:t>
      </w:r>
    </w:p>
    <w:p w14:paraId="473B0006" w14:textId="77777777" w:rsidR="00DD4389" w:rsidRPr="00DD4389" w:rsidRDefault="00DD4389" w:rsidP="00AE1932">
      <w:pPr>
        <w:autoSpaceDE w:val="0"/>
        <w:autoSpaceDN w:val="0"/>
        <w:adjustRightInd w:val="0"/>
        <w:spacing w:after="0" w:line="240" w:lineRule="auto"/>
        <w:rPr>
          <w:rFonts w:cstheme="minorHAnsi"/>
          <w:bCs/>
          <w:color w:val="000000" w:themeColor="text1"/>
        </w:rPr>
      </w:pPr>
      <w:r w:rsidRPr="00DD4389">
        <w:rPr>
          <w:color w:val="000000" w:themeColor="text1"/>
        </w:rPr>
        <w:t xml:space="preserve">The measure exclusions </w:t>
      </w:r>
      <w:proofErr w:type="gramStart"/>
      <w:r w:rsidRPr="00DD4389">
        <w:rPr>
          <w:color w:val="000000" w:themeColor="text1"/>
        </w:rPr>
        <w:t>were tested</w:t>
      </w:r>
      <w:proofErr w:type="gramEnd"/>
      <w:r w:rsidRPr="00DD4389">
        <w:rPr>
          <w:color w:val="000000" w:themeColor="text1"/>
        </w:rPr>
        <w:t xml:space="preserve"> to determine the prevalence of each exclusion, by facility, and at an aggregate level. Each category of exclusions </w:t>
      </w:r>
      <w:proofErr w:type="gramStart"/>
      <w:r w:rsidRPr="00DD4389">
        <w:rPr>
          <w:color w:val="000000" w:themeColor="text1"/>
        </w:rPr>
        <w:t>was also tested</w:t>
      </w:r>
      <w:proofErr w:type="gramEnd"/>
      <w:r w:rsidRPr="00DD4389">
        <w:rPr>
          <w:color w:val="000000" w:themeColor="text1"/>
        </w:rPr>
        <w:t xml:space="preserve"> to determine the effect on facility performance scores.  The analysis tested the following categories of measure exclusions using data from the Medicare FFS 2011 SAF file: </w:t>
      </w:r>
    </w:p>
    <w:p w14:paraId="3D7CB049" w14:textId="77777777" w:rsidR="00DD4389" w:rsidRPr="00DD4389" w:rsidRDefault="00DD4389" w:rsidP="00AE1932">
      <w:pPr>
        <w:pStyle w:val="ListParagraph"/>
        <w:numPr>
          <w:ilvl w:val="0"/>
          <w:numId w:val="42"/>
        </w:numPr>
        <w:autoSpaceDE w:val="0"/>
        <w:autoSpaceDN w:val="0"/>
        <w:adjustRightInd w:val="0"/>
        <w:spacing w:after="0" w:line="240" w:lineRule="auto"/>
        <w:rPr>
          <w:color w:val="000000" w:themeColor="text1"/>
        </w:rPr>
      </w:pPr>
      <w:r w:rsidRPr="00DD4389">
        <w:rPr>
          <w:color w:val="000000" w:themeColor="text1"/>
        </w:rPr>
        <w:t>Lumbar spine surgery (90 day look back)</w:t>
      </w:r>
    </w:p>
    <w:p w14:paraId="7383ACA5" w14:textId="77777777" w:rsidR="00DD4389" w:rsidRPr="00DD4389" w:rsidRDefault="00DD4389" w:rsidP="00AE1932">
      <w:pPr>
        <w:pStyle w:val="ListParagraph"/>
        <w:numPr>
          <w:ilvl w:val="0"/>
          <w:numId w:val="42"/>
        </w:numPr>
        <w:autoSpaceDE w:val="0"/>
        <w:autoSpaceDN w:val="0"/>
        <w:adjustRightInd w:val="0"/>
        <w:spacing w:after="0" w:line="240" w:lineRule="auto"/>
        <w:rPr>
          <w:color w:val="000000" w:themeColor="text1"/>
        </w:rPr>
      </w:pPr>
      <w:r w:rsidRPr="00DD4389">
        <w:rPr>
          <w:color w:val="000000" w:themeColor="text1"/>
        </w:rPr>
        <w:t>Trauma (45 day look back)</w:t>
      </w:r>
    </w:p>
    <w:p w14:paraId="1D8324C3" w14:textId="77777777" w:rsidR="00DD4389" w:rsidRPr="00DD4389" w:rsidRDefault="00DD4389" w:rsidP="00AE1932">
      <w:pPr>
        <w:pStyle w:val="ListParagraph"/>
        <w:numPr>
          <w:ilvl w:val="0"/>
          <w:numId w:val="42"/>
        </w:numPr>
        <w:autoSpaceDE w:val="0"/>
        <w:autoSpaceDN w:val="0"/>
        <w:adjustRightInd w:val="0"/>
        <w:spacing w:after="0" w:line="240" w:lineRule="auto"/>
        <w:rPr>
          <w:color w:val="000000" w:themeColor="text1"/>
        </w:rPr>
      </w:pPr>
      <w:r w:rsidRPr="00DD4389">
        <w:rPr>
          <w:color w:val="000000" w:themeColor="text1"/>
        </w:rPr>
        <w:t>Cancer (12 month look back)</w:t>
      </w:r>
    </w:p>
    <w:p w14:paraId="4B261931" w14:textId="77777777" w:rsidR="00DD4389" w:rsidRPr="00DD4389" w:rsidRDefault="00DD4389" w:rsidP="00AE1932">
      <w:pPr>
        <w:pStyle w:val="ListParagraph"/>
        <w:numPr>
          <w:ilvl w:val="0"/>
          <w:numId w:val="42"/>
        </w:numPr>
        <w:autoSpaceDE w:val="0"/>
        <w:autoSpaceDN w:val="0"/>
        <w:adjustRightInd w:val="0"/>
        <w:spacing w:after="0" w:line="240" w:lineRule="auto"/>
        <w:rPr>
          <w:color w:val="000000" w:themeColor="text1"/>
        </w:rPr>
      </w:pPr>
      <w:r w:rsidRPr="00DD4389">
        <w:rPr>
          <w:color w:val="000000" w:themeColor="text1"/>
        </w:rPr>
        <w:t>IV drug abuse (12 month look back)</w:t>
      </w:r>
    </w:p>
    <w:p w14:paraId="0FA14A2A" w14:textId="77777777" w:rsidR="00DD4389" w:rsidRPr="00DD4389" w:rsidRDefault="00DD4389" w:rsidP="00AE1932">
      <w:pPr>
        <w:pStyle w:val="ListParagraph"/>
        <w:numPr>
          <w:ilvl w:val="0"/>
          <w:numId w:val="42"/>
        </w:numPr>
        <w:autoSpaceDE w:val="0"/>
        <w:autoSpaceDN w:val="0"/>
        <w:adjustRightInd w:val="0"/>
        <w:spacing w:after="0" w:line="240" w:lineRule="auto"/>
        <w:rPr>
          <w:color w:val="000000" w:themeColor="text1"/>
        </w:rPr>
      </w:pPr>
      <w:r w:rsidRPr="00DD4389">
        <w:rPr>
          <w:color w:val="000000" w:themeColor="text1"/>
        </w:rPr>
        <w:t>Neurologic impairment (12 month look back)</w:t>
      </w:r>
    </w:p>
    <w:p w14:paraId="39A6ED2C" w14:textId="77777777" w:rsidR="00DD4389" w:rsidRPr="00DD4389" w:rsidRDefault="00DD4389" w:rsidP="00AE1932">
      <w:pPr>
        <w:pStyle w:val="ListParagraph"/>
        <w:numPr>
          <w:ilvl w:val="0"/>
          <w:numId w:val="42"/>
        </w:numPr>
        <w:autoSpaceDE w:val="0"/>
        <w:autoSpaceDN w:val="0"/>
        <w:adjustRightInd w:val="0"/>
        <w:spacing w:after="0" w:line="240" w:lineRule="auto"/>
        <w:rPr>
          <w:color w:val="000000" w:themeColor="text1"/>
        </w:rPr>
      </w:pPr>
      <w:r w:rsidRPr="00DD4389">
        <w:rPr>
          <w:color w:val="000000" w:themeColor="text1"/>
        </w:rPr>
        <w:t>HIV (12 month look back)</w:t>
      </w:r>
    </w:p>
    <w:p w14:paraId="53E58880" w14:textId="77777777" w:rsidR="00DD4389" w:rsidRPr="00DD4389" w:rsidRDefault="00DD4389" w:rsidP="00AE1932">
      <w:pPr>
        <w:pStyle w:val="ListParagraph"/>
        <w:numPr>
          <w:ilvl w:val="0"/>
          <w:numId w:val="42"/>
        </w:numPr>
        <w:autoSpaceDE w:val="0"/>
        <w:autoSpaceDN w:val="0"/>
        <w:adjustRightInd w:val="0"/>
        <w:spacing w:after="0" w:line="240" w:lineRule="auto"/>
        <w:rPr>
          <w:color w:val="000000" w:themeColor="text1"/>
        </w:rPr>
      </w:pPr>
      <w:r w:rsidRPr="00DD4389">
        <w:rPr>
          <w:color w:val="000000" w:themeColor="text1"/>
        </w:rPr>
        <w:t>Unspecified immune deficiencies (12 month look back)</w:t>
      </w:r>
    </w:p>
    <w:p w14:paraId="27B27656" w14:textId="77777777" w:rsidR="00DD4389" w:rsidRPr="00DD4389" w:rsidRDefault="00DD4389" w:rsidP="00AE1932">
      <w:pPr>
        <w:pStyle w:val="ListParagraph"/>
        <w:numPr>
          <w:ilvl w:val="0"/>
          <w:numId w:val="42"/>
        </w:numPr>
        <w:autoSpaceDE w:val="0"/>
        <w:autoSpaceDN w:val="0"/>
        <w:adjustRightInd w:val="0"/>
        <w:spacing w:after="0" w:line="240" w:lineRule="auto"/>
        <w:rPr>
          <w:color w:val="000000" w:themeColor="text1"/>
        </w:rPr>
      </w:pPr>
      <w:r w:rsidRPr="00DD4389">
        <w:rPr>
          <w:color w:val="000000" w:themeColor="text1"/>
        </w:rPr>
        <w:t>Intraspinal abscess (No look back)</w:t>
      </w:r>
    </w:p>
    <w:p w14:paraId="071EF267" w14:textId="77777777" w:rsidR="00D109A4" w:rsidRDefault="00D109A4" w:rsidP="00AE1932">
      <w:pPr>
        <w:autoSpaceDE w:val="0"/>
        <w:autoSpaceDN w:val="0"/>
        <w:adjustRightInd w:val="0"/>
        <w:spacing w:after="0" w:line="240" w:lineRule="auto"/>
        <w:rPr>
          <w:rFonts w:cstheme="minorHAnsi"/>
          <w:bCs/>
        </w:rPr>
      </w:pPr>
    </w:p>
    <w:p w14:paraId="047280EF" w14:textId="37C91370" w:rsidR="00DD4389" w:rsidRPr="00DD4389" w:rsidRDefault="00DD4389" w:rsidP="00AE1932">
      <w:pPr>
        <w:autoSpaceDE w:val="0"/>
        <w:autoSpaceDN w:val="0"/>
        <w:adjustRightInd w:val="0"/>
        <w:spacing w:after="0" w:line="240" w:lineRule="auto"/>
        <w:rPr>
          <w:rFonts w:cstheme="minorHAnsi"/>
          <w:b/>
          <w:bCs/>
          <w:color w:val="FF0000"/>
        </w:rPr>
      </w:pPr>
      <w:r w:rsidRPr="00DD4389">
        <w:rPr>
          <w:rFonts w:cstheme="minorHAnsi"/>
          <w:b/>
          <w:bCs/>
          <w:color w:val="FF0000"/>
        </w:rPr>
        <w:t>2016 Submission:</w:t>
      </w:r>
    </w:p>
    <w:p w14:paraId="62DD87CD" w14:textId="75422F56" w:rsidR="00491B99" w:rsidRPr="00DD4389" w:rsidRDefault="00E9106A" w:rsidP="00AE1932">
      <w:pPr>
        <w:autoSpaceDE w:val="0"/>
        <w:autoSpaceDN w:val="0"/>
        <w:adjustRightInd w:val="0"/>
        <w:spacing w:after="0" w:line="240" w:lineRule="auto"/>
        <w:rPr>
          <w:rFonts w:cstheme="minorHAnsi"/>
          <w:bCs/>
          <w:color w:val="FF0000"/>
        </w:rPr>
      </w:pPr>
      <w:r w:rsidRPr="00DD4389">
        <w:rPr>
          <w:rFonts w:cstheme="minorHAnsi"/>
          <w:bCs/>
          <w:color w:val="FF0000"/>
        </w:rPr>
        <w:t>CORE and Lewin</w:t>
      </w:r>
      <w:r w:rsidR="00491B99" w:rsidRPr="00DD4389">
        <w:rPr>
          <w:rFonts w:cstheme="minorHAnsi"/>
          <w:bCs/>
          <w:color w:val="FF0000"/>
        </w:rPr>
        <w:t xml:space="preserve"> tested measure exclusions to determine the prevalence </w:t>
      </w:r>
      <w:proofErr w:type="gramStart"/>
      <w:r w:rsidR="00491B99" w:rsidRPr="00DD4389">
        <w:rPr>
          <w:rFonts w:cstheme="minorHAnsi"/>
          <w:bCs/>
          <w:color w:val="FF0000"/>
        </w:rPr>
        <w:t>of each exclusion</w:t>
      </w:r>
      <w:proofErr w:type="gramEnd"/>
      <w:r w:rsidR="00491B99" w:rsidRPr="00DD4389">
        <w:rPr>
          <w:rFonts w:cstheme="minorHAnsi"/>
          <w:bCs/>
          <w:color w:val="FF0000"/>
        </w:rPr>
        <w:t xml:space="preserve">, by measured entity, and at an aggregate level. We also tested the effect of all exclusions to determine the total effect of measure exclusions on performance, both by reporting summary statistics and by calculating a spearman rank correlation coefficient. The analysis tested the following categories of measure exclusions in 2013 performance data: </w:t>
      </w:r>
    </w:p>
    <w:p w14:paraId="2C0CC042" w14:textId="77777777" w:rsidR="00B35F5A" w:rsidRPr="00DD4389" w:rsidRDefault="00B35F5A" w:rsidP="00AE1932">
      <w:pPr>
        <w:pStyle w:val="ListParagraph"/>
        <w:numPr>
          <w:ilvl w:val="0"/>
          <w:numId w:val="30"/>
        </w:numPr>
        <w:autoSpaceDE w:val="0"/>
        <w:autoSpaceDN w:val="0"/>
        <w:adjustRightInd w:val="0"/>
        <w:spacing w:after="0" w:line="240" w:lineRule="auto"/>
        <w:rPr>
          <w:rFonts w:cstheme="minorHAnsi"/>
          <w:bCs/>
          <w:color w:val="FF0000"/>
        </w:rPr>
        <w:sectPr w:rsidR="00B35F5A" w:rsidRPr="00DD4389" w:rsidSect="008505D1">
          <w:headerReference w:type="default" r:id="rId12"/>
          <w:footerReference w:type="default" r:id="rId13"/>
          <w:pgSz w:w="12240" w:h="15840"/>
          <w:pgMar w:top="1440" w:right="1440" w:bottom="1440" w:left="1440" w:header="720" w:footer="720" w:gutter="0"/>
          <w:cols w:space="720"/>
          <w:docGrid w:linePitch="360"/>
        </w:sectPr>
      </w:pPr>
    </w:p>
    <w:p w14:paraId="6B837D40" w14:textId="5467C566" w:rsidR="00491B99" w:rsidRPr="00DD4389" w:rsidRDefault="00491B99" w:rsidP="00AE1932">
      <w:pPr>
        <w:pStyle w:val="ListParagraph"/>
        <w:numPr>
          <w:ilvl w:val="0"/>
          <w:numId w:val="30"/>
        </w:numPr>
        <w:autoSpaceDE w:val="0"/>
        <w:autoSpaceDN w:val="0"/>
        <w:adjustRightInd w:val="0"/>
        <w:spacing w:after="0" w:line="240" w:lineRule="auto"/>
        <w:ind w:left="360"/>
        <w:rPr>
          <w:rFonts w:cstheme="minorHAnsi"/>
          <w:bCs/>
          <w:color w:val="FF0000"/>
        </w:rPr>
      </w:pPr>
      <w:r w:rsidRPr="00DD4389">
        <w:rPr>
          <w:rFonts w:cstheme="minorHAnsi"/>
          <w:bCs/>
          <w:color w:val="FF0000"/>
        </w:rPr>
        <w:t>C</w:t>
      </w:r>
      <w:r w:rsidR="00E9106A" w:rsidRPr="00DD4389">
        <w:rPr>
          <w:rFonts w:cstheme="minorHAnsi"/>
          <w:bCs/>
          <w:color w:val="FF0000"/>
        </w:rPr>
        <w:t>ancer</w:t>
      </w:r>
    </w:p>
    <w:p w14:paraId="2E68E089" w14:textId="18166E88" w:rsidR="00491B99" w:rsidRPr="00DD4389" w:rsidRDefault="00E9106A" w:rsidP="00AE1932">
      <w:pPr>
        <w:pStyle w:val="ListParagraph"/>
        <w:numPr>
          <w:ilvl w:val="0"/>
          <w:numId w:val="30"/>
        </w:numPr>
        <w:autoSpaceDE w:val="0"/>
        <w:autoSpaceDN w:val="0"/>
        <w:adjustRightInd w:val="0"/>
        <w:spacing w:after="0" w:line="240" w:lineRule="auto"/>
        <w:ind w:left="360"/>
        <w:rPr>
          <w:rFonts w:cstheme="minorHAnsi"/>
          <w:bCs/>
          <w:color w:val="FF0000"/>
        </w:rPr>
      </w:pPr>
      <w:r w:rsidRPr="00DD4389">
        <w:rPr>
          <w:rFonts w:cstheme="minorHAnsi"/>
          <w:bCs/>
          <w:color w:val="FF0000"/>
        </w:rPr>
        <w:t>Congenital spine and spinal cord malformations</w:t>
      </w:r>
    </w:p>
    <w:p w14:paraId="087AAAFC" w14:textId="6D6A0A54" w:rsidR="00491B99" w:rsidRPr="00DD4389" w:rsidRDefault="00E9106A" w:rsidP="00AE1932">
      <w:pPr>
        <w:pStyle w:val="ListParagraph"/>
        <w:numPr>
          <w:ilvl w:val="0"/>
          <w:numId w:val="30"/>
        </w:numPr>
        <w:autoSpaceDE w:val="0"/>
        <w:autoSpaceDN w:val="0"/>
        <w:adjustRightInd w:val="0"/>
        <w:spacing w:after="0" w:line="240" w:lineRule="auto"/>
        <w:ind w:left="360"/>
        <w:rPr>
          <w:rFonts w:cstheme="minorHAnsi"/>
          <w:bCs/>
          <w:color w:val="FF0000"/>
        </w:rPr>
      </w:pPr>
      <w:r w:rsidRPr="00DD4389">
        <w:rPr>
          <w:rFonts w:cstheme="minorHAnsi"/>
          <w:bCs/>
          <w:color w:val="FF0000"/>
        </w:rPr>
        <w:t>Inflammatory and autoimmune diseases</w:t>
      </w:r>
    </w:p>
    <w:p w14:paraId="64FE3666" w14:textId="62E68FDB" w:rsidR="00491B99" w:rsidRPr="00DD4389" w:rsidRDefault="00E9106A" w:rsidP="00AE1932">
      <w:pPr>
        <w:pStyle w:val="ListParagraph"/>
        <w:numPr>
          <w:ilvl w:val="0"/>
          <w:numId w:val="30"/>
        </w:numPr>
        <w:autoSpaceDE w:val="0"/>
        <w:autoSpaceDN w:val="0"/>
        <w:adjustRightInd w:val="0"/>
        <w:spacing w:after="0" w:line="240" w:lineRule="auto"/>
        <w:ind w:left="360"/>
        <w:rPr>
          <w:rFonts w:cstheme="minorHAnsi"/>
          <w:bCs/>
          <w:color w:val="FF0000"/>
        </w:rPr>
      </w:pPr>
      <w:r w:rsidRPr="00DD4389">
        <w:rPr>
          <w:rFonts w:cstheme="minorHAnsi"/>
          <w:bCs/>
          <w:color w:val="FF0000"/>
        </w:rPr>
        <w:t>Infectious conditions</w:t>
      </w:r>
    </w:p>
    <w:p w14:paraId="0779D162" w14:textId="5554B6B2" w:rsidR="00491B99" w:rsidRPr="00DD4389" w:rsidRDefault="00E9106A" w:rsidP="00AE1932">
      <w:pPr>
        <w:pStyle w:val="ListParagraph"/>
        <w:numPr>
          <w:ilvl w:val="0"/>
          <w:numId w:val="30"/>
        </w:numPr>
        <w:autoSpaceDE w:val="0"/>
        <w:autoSpaceDN w:val="0"/>
        <w:adjustRightInd w:val="0"/>
        <w:spacing w:after="0" w:line="240" w:lineRule="auto"/>
        <w:ind w:left="360"/>
        <w:rPr>
          <w:rFonts w:cstheme="minorHAnsi"/>
          <w:bCs/>
          <w:color w:val="FF0000"/>
        </w:rPr>
      </w:pPr>
      <w:r w:rsidRPr="00DD4389">
        <w:rPr>
          <w:rFonts w:cstheme="minorHAnsi"/>
          <w:bCs/>
          <w:color w:val="FF0000"/>
        </w:rPr>
        <w:t>Spinal vascular malformations and/or the cause of occult subarachnoid hemorrhage</w:t>
      </w:r>
    </w:p>
    <w:p w14:paraId="67624669" w14:textId="2AB0D57E" w:rsidR="00491B99" w:rsidRPr="00DD4389" w:rsidRDefault="00E9106A" w:rsidP="00AE1932">
      <w:pPr>
        <w:pStyle w:val="ListParagraph"/>
        <w:numPr>
          <w:ilvl w:val="0"/>
          <w:numId w:val="30"/>
        </w:numPr>
        <w:autoSpaceDE w:val="0"/>
        <w:autoSpaceDN w:val="0"/>
        <w:adjustRightInd w:val="0"/>
        <w:spacing w:after="0" w:line="240" w:lineRule="auto"/>
        <w:ind w:left="360"/>
        <w:rPr>
          <w:rFonts w:cstheme="minorHAnsi"/>
          <w:bCs/>
          <w:color w:val="FF0000"/>
        </w:rPr>
      </w:pPr>
      <w:r w:rsidRPr="00DD4389">
        <w:rPr>
          <w:rFonts w:cstheme="minorHAnsi"/>
          <w:bCs/>
          <w:color w:val="FF0000"/>
        </w:rPr>
        <w:t>Spinal cord infarction</w:t>
      </w:r>
    </w:p>
    <w:p w14:paraId="4034119F" w14:textId="275D7208" w:rsidR="00491B99" w:rsidRPr="00DD4389" w:rsidRDefault="00E9106A" w:rsidP="00AE1932">
      <w:pPr>
        <w:pStyle w:val="ListParagraph"/>
        <w:numPr>
          <w:ilvl w:val="0"/>
          <w:numId w:val="30"/>
        </w:numPr>
        <w:autoSpaceDE w:val="0"/>
        <w:autoSpaceDN w:val="0"/>
        <w:adjustRightInd w:val="0"/>
        <w:spacing w:after="0" w:line="240" w:lineRule="auto"/>
        <w:ind w:left="360"/>
        <w:rPr>
          <w:rFonts w:cstheme="minorHAnsi"/>
          <w:bCs/>
          <w:color w:val="FF0000"/>
        </w:rPr>
      </w:pPr>
      <w:r w:rsidRPr="00DD4389">
        <w:rPr>
          <w:rFonts w:cstheme="minorHAnsi"/>
          <w:bCs/>
          <w:color w:val="FF0000"/>
        </w:rPr>
        <w:t>Neoplastic abnormalities</w:t>
      </w:r>
    </w:p>
    <w:p w14:paraId="2894D4AF" w14:textId="73222DC7" w:rsidR="00491B99" w:rsidRPr="00DD4389" w:rsidRDefault="00E9106A" w:rsidP="00AE1932">
      <w:pPr>
        <w:pStyle w:val="ListParagraph"/>
        <w:numPr>
          <w:ilvl w:val="0"/>
          <w:numId w:val="30"/>
        </w:numPr>
        <w:autoSpaceDE w:val="0"/>
        <w:autoSpaceDN w:val="0"/>
        <w:adjustRightInd w:val="0"/>
        <w:spacing w:after="0" w:line="240" w:lineRule="auto"/>
        <w:ind w:left="360"/>
        <w:rPr>
          <w:rFonts w:cstheme="minorHAnsi"/>
          <w:bCs/>
          <w:color w:val="FF0000"/>
        </w:rPr>
      </w:pPr>
      <w:r w:rsidRPr="00DD4389">
        <w:rPr>
          <w:rFonts w:cstheme="minorHAnsi"/>
          <w:bCs/>
          <w:color w:val="FF0000"/>
        </w:rPr>
        <w:t>Treatment fields for radiation therapy</w:t>
      </w:r>
    </w:p>
    <w:p w14:paraId="70B001D5" w14:textId="0969D2FE" w:rsidR="00491B99" w:rsidRPr="00DD4389" w:rsidRDefault="00E9106A" w:rsidP="00AE1932">
      <w:pPr>
        <w:pStyle w:val="ListParagraph"/>
        <w:numPr>
          <w:ilvl w:val="0"/>
          <w:numId w:val="30"/>
        </w:numPr>
        <w:autoSpaceDE w:val="0"/>
        <w:autoSpaceDN w:val="0"/>
        <w:adjustRightInd w:val="0"/>
        <w:spacing w:after="0" w:line="240" w:lineRule="auto"/>
        <w:ind w:left="360"/>
        <w:rPr>
          <w:rFonts w:cstheme="minorHAnsi"/>
          <w:bCs/>
          <w:color w:val="FF0000"/>
        </w:rPr>
      </w:pPr>
      <w:r w:rsidRPr="00DD4389">
        <w:rPr>
          <w:rFonts w:cstheme="minorHAnsi"/>
          <w:bCs/>
          <w:color w:val="FF0000"/>
        </w:rPr>
        <w:t>Spinal abnormalities associated with scoliosis</w:t>
      </w:r>
    </w:p>
    <w:p w14:paraId="2B43346D" w14:textId="388F71B5" w:rsidR="00491B99" w:rsidRPr="00DD4389" w:rsidRDefault="00E9106A" w:rsidP="00AE1932">
      <w:pPr>
        <w:pStyle w:val="ListParagraph"/>
        <w:numPr>
          <w:ilvl w:val="0"/>
          <w:numId w:val="30"/>
        </w:numPr>
        <w:autoSpaceDE w:val="0"/>
        <w:autoSpaceDN w:val="0"/>
        <w:adjustRightInd w:val="0"/>
        <w:spacing w:after="0" w:line="240" w:lineRule="auto"/>
        <w:ind w:left="360"/>
        <w:rPr>
          <w:rFonts w:cstheme="minorHAnsi"/>
          <w:bCs/>
          <w:color w:val="FF0000"/>
        </w:rPr>
      </w:pPr>
      <w:r w:rsidRPr="00DD4389">
        <w:rPr>
          <w:rFonts w:cstheme="minorHAnsi"/>
          <w:bCs/>
          <w:color w:val="FF0000"/>
        </w:rPr>
        <w:t>Syringohydromyelia</w:t>
      </w:r>
    </w:p>
    <w:p w14:paraId="4C3F1097" w14:textId="05022E86" w:rsidR="00491B99" w:rsidRPr="00DD4389" w:rsidRDefault="00E9106A" w:rsidP="00AE1932">
      <w:pPr>
        <w:pStyle w:val="ListParagraph"/>
        <w:numPr>
          <w:ilvl w:val="0"/>
          <w:numId w:val="30"/>
        </w:numPr>
        <w:autoSpaceDE w:val="0"/>
        <w:autoSpaceDN w:val="0"/>
        <w:adjustRightInd w:val="0"/>
        <w:spacing w:after="0" w:line="240" w:lineRule="auto"/>
        <w:ind w:left="360"/>
        <w:rPr>
          <w:rFonts w:cstheme="minorHAnsi"/>
          <w:bCs/>
          <w:color w:val="FF0000"/>
        </w:rPr>
      </w:pPr>
      <w:r w:rsidRPr="00DD4389">
        <w:rPr>
          <w:rFonts w:cstheme="minorHAnsi"/>
          <w:bCs/>
          <w:color w:val="FF0000"/>
        </w:rPr>
        <w:t>Postoperative fluid collections and soft tissue changes</w:t>
      </w:r>
    </w:p>
    <w:p w14:paraId="2A6C4646" w14:textId="323A807A" w:rsidR="00491B99" w:rsidRPr="00DD4389" w:rsidRDefault="00E9106A" w:rsidP="00AE1932">
      <w:pPr>
        <w:pStyle w:val="ListParagraph"/>
        <w:numPr>
          <w:ilvl w:val="0"/>
          <w:numId w:val="30"/>
        </w:numPr>
        <w:autoSpaceDE w:val="0"/>
        <w:autoSpaceDN w:val="0"/>
        <w:adjustRightInd w:val="0"/>
        <w:spacing w:after="0" w:line="240" w:lineRule="auto"/>
        <w:ind w:left="360"/>
        <w:rPr>
          <w:rFonts w:cstheme="minorHAnsi"/>
          <w:bCs/>
          <w:color w:val="FF0000"/>
        </w:rPr>
      </w:pPr>
      <w:r w:rsidRPr="00DD4389">
        <w:rPr>
          <w:rFonts w:cstheme="minorHAnsi"/>
          <w:bCs/>
          <w:color w:val="FF0000"/>
        </w:rPr>
        <w:t>Trauma</w:t>
      </w:r>
    </w:p>
    <w:p w14:paraId="16D0C7F8" w14:textId="21CA7127" w:rsidR="00491B99" w:rsidRPr="00DD4389" w:rsidRDefault="00E9106A" w:rsidP="00AE1932">
      <w:pPr>
        <w:pStyle w:val="ListParagraph"/>
        <w:numPr>
          <w:ilvl w:val="0"/>
          <w:numId w:val="30"/>
        </w:numPr>
        <w:autoSpaceDE w:val="0"/>
        <w:autoSpaceDN w:val="0"/>
        <w:adjustRightInd w:val="0"/>
        <w:spacing w:after="0" w:line="240" w:lineRule="auto"/>
        <w:ind w:left="360"/>
        <w:rPr>
          <w:rFonts w:cstheme="minorHAnsi"/>
          <w:bCs/>
          <w:color w:val="FF0000"/>
        </w:rPr>
      </w:pPr>
      <w:r w:rsidRPr="00DD4389">
        <w:rPr>
          <w:rFonts w:cstheme="minorHAnsi"/>
          <w:bCs/>
          <w:color w:val="FF0000"/>
        </w:rPr>
        <w:t>IV drug abuse</w:t>
      </w:r>
    </w:p>
    <w:p w14:paraId="62943515" w14:textId="6C950851" w:rsidR="00491B99" w:rsidRPr="00DD4389" w:rsidRDefault="00E9106A" w:rsidP="00AE1932">
      <w:pPr>
        <w:pStyle w:val="ListParagraph"/>
        <w:numPr>
          <w:ilvl w:val="0"/>
          <w:numId w:val="30"/>
        </w:numPr>
        <w:autoSpaceDE w:val="0"/>
        <w:autoSpaceDN w:val="0"/>
        <w:adjustRightInd w:val="0"/>
        <w:spacing w:after="0" w:line="240" w:lineRule="auto"/>
        <w:ind w:left="360"/>
        <w:rPr>
          <w:rFonts w:cstheme="minorHAnsi"/>
          <w:bCs/>
          <w:color w:val="FF0000"/>
        </w:rPr>
      </w:pPr>
      <w:r w:rsidRPr="00DD4389">
        <w:rPr>
          <w:rFonts w:cstheme="minorHAnsi"/>
          <w:bCs/>
          <w:color w:val="FF0000"/>
        </w:rPr>
        <w:t>Neurologic impairment</w:t>
      </w:r>
    </w:p>
    <w:p w14:paraId="6AC5451C" w14:textId="735881EC" w:rsidR="00491B99" w:rsidRPr="00DD4389" w:rsidRDefault="00E9106A" w:rsidP="00AE1932">
      <w:pPr>
        <w:pStyle w:val="ListParagraph"/>
        <w:numPr>
          <w:ilvl w:val="0"/>
          <w:numId w:val="30"/>
        </w:numPr>
        <w:autoSpaceDE w:val="0"/>
        <w:autoSpaceDN w:val="0"/>
        <w:adjustRightInd w:val="0"/>
        <w:spacing w:after="0" w:line="240" w:lineRule="auto"/>
        <w:ind w:left="360"/>
        <w:rPr>
          <w:rFonts w:cstheme="minorHAnsi"/>
          <w:bCs/>
          <w:color w:val="FF0000"/>
        </w:rPr>
      </w:pPr>
      <w:r w:rsidRPr="00DD4389">
        <w:rPr>
          <w:rFonts w:cstheme="minorHAnsi"/>
          <w:bCs/>
          <w:color w:val="FF0000"/>
        </w:rPr>
        <w:t>HIV</w:t>
      </w:r>
    </w:p>
    <w:p w14:paraId="2CF94540" w14:textId="69C347F7" w:rsidR="00491B99" w:rsidRPr="00DD4389" w:rsidRDefault="00E9106A" w:rsidP="00AE1932">
      <w:pPr>
        <w:pStyle w:val="ListParagraph"/>
        <w:numPr>
          <w:ilvl w:val="0"/>
          <w:numId w:val="30"/>
        </w:numPr>
        <w:autoSpaceDE w:val="0"/>
        <w:autoSpaceDN w:val="0"/>
        <w:adjustRightInd w:val="0"/>
        <w:spacing w:after="0" w:line="240" w:lineRule="auto"/>
        <w:ind w:left="360"/>
        <w:rPr>
          <w:rFonts w:cstheme="minorHAnsi"/>
          <w:bCs/>
          <w:color w:val="FF0000"/>
        </w:rPr>
      </w:pPr>
      <w:r w:rsidRPr="00DD4389">
        <w:rPr>
          <w:rFonts w:cstheme="minorHAnsi"/>
          <w:bCs/>
          <w:color w:val="FF0000"/>
        </w:rPr>
        <w:t>Unspecified immune deficiencies</w:t>
      </w:r>
    </w:p>
    <w:p w14:paraId="71E26850" w14:textId="147ABBCE" w:rsidR="00491B99" w:rsidRPr="00DD4389" w:rsidRDefault="00E9106A" w:rsidP="00AE1932">
      <w:pPr>
        <w:pStyle w:val="ListParagraph"/>
        <w:numPr>
          <w:ilvl w:val="0"/>
          <w:numId w:val="30"/>
        </w:numPr>
        <w:autoSpaceDE w:val="0"/>
        <w:autoSpaceDN w:val="0"/>
        <w:adjustRightInd w:val="0"/>
        <w:spacing w:after="0" w:line="240" w:lineRule="auto"/>
        <w:ind w:left="360"/>
        <w:rPr>
          <w:rFonts w:cstheme="minorHAnsi"/>
          <w:bCs/>
          <w:color w:val="FF0000"/>
        </w:rPr>
      </w:pPr>
      <w:r w:rsidRPr="00DD4389">
        <w:rPr>
          <w:rFonts w:cstheme="minorHAnsi"/>
          <w:bCs/>
          <w:color w:val="FF0000"/>
        </w:rPr>
        <w:t>Intraspinal abscess</w:t>
      </w:r>
    </w:p>
    <w:p w14:paraId="72B4AE66" w14:textId="28D376EA" w:rsidR="00833325" w:rsidRPr="00DD4389" w:rsidRDefault="00E9106A" w:rsidP="00AE1932">
      <w:pPr>
        <w:pStyle w:val="ListParagraph"/>
        <w:numPr>
          <w:ilvl w:val="0"/>
          <w:numId w:val="30"/>
        </w:numPr>
        <w:autoSpaceDE w:val="0"/>
        <w:autoSpaceDN w:val="0"/>
        <w:adjustRightInd w:val="0"/>
        <w:spacing w:after="110" w:line="240" w:lineRule="auto"/>
        <w:ind w:left="360"/>
        <w:contextualSpacing w:val="0"/>
        <w:rPr>
          <w:rFonts w:cstheme="minorHAnsi"/>
          <w:bCs/>
          <w:color w:val="FF0000"/>
        </w:rPr>
      </w:pPr>
      <w:r w:rsidRPr="00DD4389">
        <w:rPr>
          <w:rFonts w:cstheme="minorHAnsi"/>
          <w:bCs/>
          <w:color w:val="FF0000"/>
        </w:rPr>
        <w:t>Surgery within last 90 days</w:t>
      </w:r>
    </w:p>
    <w:p w14:paraId="10DB1CA3" w14:textId="77777777" w:rsidR="00B35F5A" w:rsidRPr="00DD4389" w:rsidRDefault="00B35F5A" w:rsidP="00AE1932">
      <w:pPr>
        <w:autoSpaceDE w:val="0"/>
        <w:autoSpaceDN w:val="0"/>
        <w:adjustRightInd w:val="0"/>
        <w:spacing w:after="0" w:line="240" w:lineRule="auto"/>
        <w:rPr>
          <w:rFonts w:cstheme="minorHAnsi"/>
          <w:bCs/>
          <w:color w:val="FF0000"/>
        </w:rPr>
        <w:sectPr w:rsidR="00B35F5A" w:rsidRPr="00DD4389" w:rsidSect="00B35F5A">
          <w:type w:val="continuous"/>
          <w:pgSz w:w="12240" w:h="15840"/>
          <w:pgMar w:top="1440" w:right="1440" w:bottom="1440" w:left="1440" w:header="720" w:footer="720" w:gutter="0"/>
          <w:cols w:num="2" w:space="720"/>
          <w:docGrid w:linePitch="360"/>
        </w:sectPr>
      </w:pPr>
    </w:p>
    <w:p w14:paraId="0D47DD39" w14:textId="00387487" w:rsidR="00491B99" w:rsidRPr="00DD4389" w:rsidRDefault="00491B99" w:rsidP="00AE1932">
      <w:pPr>
        <w:autoSpaceDE w:val="0"/>
        <w:autoSpaceDN w:val="0"/>
        <w:adjustRightInd w:val="0"/>
        <w:spacing w:before="100" w:after="0" w:line="240" w:lineRule="auto"/>
        <w:rPr>
          <w:rFonts w:cstheme="minorHAnsi"/>
          <w:bCs/>
          <w:color w:val="FF0000"/>
        </w:rPr>
      </w:pPr>
      <w:r w:rsidRPr="00DD4389">
        <w:rPr>
          <w:rFonts w:cstheme="minorHAnsi"/>
          <w:bCs/>
          <w:color w:val="FF0000"/>
        </w:rPr>
        <w:t>Currently, the measure excludes patients with any one of the above</w:t>
      </w:r>
      <w:r w:rsidR="00500D61" w:rsidRPr="00DD4389">
        <w:rPr>
          <w:rFonts w:cstheme="minorHAnsi"/>
          <w:bCs/>
          <w:color w:val="FF0000"/>
        </w:rPr>
        <w:t>-</w:t>
      </w:r>
      <w:r w:rsidRPr="00DD4389">
        <w:rPr>
          <w:rFonts w:cstheme="minorHAnsi"/>
          <w:bCs/>
          <w:color w:val="FF0000"/>
        </w:rPr>
        <w:t>list</w:t>
      </w:r>
      <w:r w:rsidR="00500D61" w:rsidRPr="00DD4389">
        <w:rPr>
          <w:rFonts w:cstheme="minorHAnsi"/>
          <w:bCs/>
          <w:color w:val="FF0000"/>
        </w:rPr>
        <w:t>ed conditions.</w:t>
      </w:r>
    </w:p>
    <w:p w14:paraId="2F488CA2" w14:textId="77777777" w:rsidR="00491B99" w:rsidRPr="00A25024" w:rsidRDefault="00491B99" w:rsidP="00AE1932">
      <w:pPr>
        <w:autoSpaceDE w:val="0"/>
        <w:autoSpaceDN w:val="0"/>
        <w:adjustRightInd w:val="0"/>
        <w:spacing w:after="0" w:line="240" w:lineRule="auto"/>
        <w:rPr>
          <w:rFonts w:cstheme="minorHAnsi"/>
          <w:bCs/>
        </w:rPr>
      </w:pPr>
    </w:p>
    <w:p w14:paraId="2F35BD19" w14:textId="2B9FBD31" w:rsidR="00DD4389" w:rsidRPr="00DD4389" w:rsidRDefault="00092566" w:rsidP="00AE1932">
      <w:pPr>
        <w:autoSpaceDE w:val="0"/>
        <w:autoSpaceDN w:val="0"/>
        <w:adjustRightInd w:val="0"/>
        <w:spacing w:after="0" w:line="240" w:lineRule="auto"/>
        <w:rPr>
          <w:rFonts w:cstheme="minorHAnsi"/>
          <w:bCs/>
          <w:color w:val="000000" w:themeColor="text1"/>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DD4389" w:rsidRPr="00DD4389">
        <w:rPr>
          <w:rFonts w:cstheme="minorHAnsi"/>
          <w:b/>
          <w:bCs/>
          <w:color w:val="000000" w:themeColor="text1"/>
        </w:rPr>
        <w:t>2014 Submission:</w:t>
      </w:r>
    </w:p>
    <w:p w14:paraId="3E4A7858" w14:textId="77777777" w:rsidR="00DD4389" w:rsidRPr="00DD4389" w:rsidRDefault="00DD4389" w:rsidP="00AE1932">
      <w:pPr>
        <w:autoSpaceDE w:val="0"/>
        <w:autoSpaceDN w:val="0"/>
        <w:adjustRightInd w:val="0"/>
        <w:spacing w:after="0" w:line="240" w:lineRule="auto"/>
        <w:rPr>
          <w:rFonts w:cstheme="minorHAnsi"/>
          <w:bCs/>
          <w:color w:val="000000" w:themeColor="text1"/>
        </w:rPr>
      </w:pPr>
      <w:r w:rsidRPr="00DD4389">
        <w:rPr>
          <w:color w:val="000000" w:themeColor="text1"/>
        </w:rPr>
        <w:t>The measure contractor examined overall frequencies and proportions of the studies excluded for each exclusion criterion in all MRI lumbar spine studies for a sample of 4,202 facilities from the 2011 Medicare FFS SAF file. The initial cohort included 536,583 MRI lumbar spine studies. The final cohort included 312,671 MRI lumbar spines studies. The total number of exclusion occurrences exceeded the number of studies excluded because a single patient might meet multiple exclusion criteria.</w:t>
      </w:r>
      <w:r w:rsidRPr="00DD4389">
        <w:rPr>
          <w:rFonts w:cstheme="minorHAnsi"/>
          <w:bCs/>
          <w:color w:val="000000" w:themeColor="text1"/>
        </w:rPr>
        <w:t xml:space="preserve"> </w:t>
      </w:r>
    </w:p>
    <w:p w14:paraId="49F7AD0C" w14:textId="77777777" w:rsidR="00DD4389" w:rsidRPr="00DD4389" w:rsidRDefault="00DD4389" w:rsidP="00DD4389">
      <w:pPr>
        <w:autoSpaceDE w:val="0"/>
        <w:autoSpaceDN w:val="0"/>
        <w:adjustRightInd w:val="0"/>
        <w:spacing w:after="0" w:line="240" w:lineRule="auto"/>
        <w:jc w:val="both"/>
        <w:rPr>
          <w:rFonts w:cstheme="minorHAnsi"/>
          <w:bCs/>
          <w:color w:val="000000" w:themeColor="text1"/>
        </w:rPr>
      </w:pPr>
    </w:p>
    <w:tbl>
      <w:tblPr>
        <w:tblStyle w:val="TableGrid"/>
        <w:tblW w:w="0" w:type="auto"/>
        <w:tblLook w:val="04A0" w:firstRow="1" w:lastRow="0" w:firstColumn="1" w:lastColumn="0" w:noHBand="0" w:noVBand="1"/>
      </w:tblPr>
      <w:tblGrid>
        <w:gridCol w:w="2394"/>
        <w:gridCol w:w="2394"/>
        <w:gridCol w:w="2394"/>
        <w:gridCol w:w="2394"/>
      </w:tblGrid>
      <w:tr w:rsidR="00DD4389" w:rsidRPr="00DD4389" w14:paraId="280DF99C" w14:textId="77777777" w:rsidTr="00A264EE">
        <w:tc>
          <w:tcPr>
            <w:tcW w:w="2394" w:type="dxa"/>
            <w:vAlign w:val="center"/>
          </w:tcPr>
          <w:p w14:paraId="3DB68079" w14:textId="77777777" w:rsidR="00DD4389" w:rsidRPr="00DD4389" w:rsidRDefault="00DD4389" w:rsidP="00DD4389">
            <w:pPr>
              <w:autoSpaceDE w:val="0"/>
              <w:autoSpaceDN w:val="0"/>
              <w:adjustRightInd w:val="0"/>
              <w:jc w:val="center"/>
              <w:rPr>
                <w:b/>
                <w:color w:val="000000" w:themeColor="text1"/>
              </w:rPr>
            </w:pPr>
            <w:r w:rsidRPr="00DD4389">
              <w:rPr>
                <w:b/>
                <w:color w:val="000000" w:themeColor="text1"/>
              </w:rPr>
              <w:t>Exclusion</w:t>
            </w:r>
          </w:p>
        </w:tc>
        <w:tc>
          <w:tcPr>
            <w:tcW w:w="2394" w:type="dxa"/>
            <w:vAlign w:val="center"/>
          </w:tcPr>
          <w:p w14:paraId="1D6B7701" w14:textId="77777777" w:rsidR="00DD4389" w:rsidRPr="00DD4389" w:rsidRDefault="00DD4389" w:rsidP="00DD4389">
            <w:pPr>
              <w:autoSpaceDE w:val="0"/>
              <w:autoSpaceDN w:val="0"/>
              <w:adjustRightInd w:val="0"/>
              <w:jc w:val="center"/>
              <w:rPr>
                <w:b/>
                <w:color w:val="000000" w:themeColor="text1"/>
              </w:rPr>
            </w:pPr>
            <w:r w:rsidRPr="00DD4389">
              <w:rPr>
                <w:b/>
                <w:color w:val="000000" w:themeColor="text1"/>
              </w:rPr>
              <w:t>Overall Occurrence (N)</w:t>
            </w:r>
          </w:p>
        </w:tc>
        <w:tc>
          <w:tcPr>
            <w:tcW w:w="2394" w:type="dxa"/>
            <w:vAlign w:val="center"/>
          </w:tcPr>
          <w:p w14:paraId="3EC11B0F" w14:textId="77777777" w:rsidR="00DD4389" w:rsidRPr="00DD4389" w:rsidRDefault="00DD4389" w:rsidP="00DD4389">
            <w:pPr>
              <w:autoSpaceDE w:val="0"/>
              <w:autoSpaceDN w:val="0"/>
              <w:adjustRightInd w:val="0"/>
              <w:jc w:val="center"/>
              <w:rPr>
                <w:b/>
                <w:color w:val="000000" w:themeColor="text1"/>
              </w:rPr>
            </w:pPr>
            <w:r w:rsidRPr="00DD4389">
              <w:rPr>
                <w:b/>
                <w:color w:val="000000" w:themeColor="text1"/>
              </w:rPr>
              <w:t>Overall Occurrence (%)</w:t>
            </w:r>
          </w:p>
        </w:tc>
        <w:tc>
          <w:tcPr>
            <w:tcW w:w="2394" w:type="dxa"/>
            <w:vAlign w:val="center"/>
          </w:tcPr>
          <w:p w14:paraId="1137E30C" w14:textId="77777777" w:rsidR="00DD4389" w:rsidRPr="00DD4389" w:rsidRDefault="00DD4389" w:rsidP="00DD4389">
            <w:pPr>
              <w:autoSpaceDE w:val="0"/>
              <w:autoSpaceDN w:val="0"/>
              <w:adjustRightInd w:val="0"/>
              <w:jc w:val="center"/>
              <w:rPr>
                <w:b/>
                <w:color w:val="000000" w:themeColor="text1"/>
              </w:rPr>
            </w:pPr>
            <w:r w:rsidRPr="00DD4389">
              <w:rPr>
                <w:b/>
                <w:color w:val="000000" w:themeColor="text1"/>
              </w:rPr>
              <w:t>Distribution Across Hospitals, 25th, 50th, 75th Percentile (%)</w:t>
            </w:r>
          </w:p>
        </w:tc>
      </w:tr>
      <w:tr w:rsidR="00DD4389" w:rsidRPr="00DD4389" w14:paraId="45CA4CA9" w14:textId="77777777" w:rsidTr="00A264EE">
        <w:tc>
          <w:tcPr>
            <w:tcW w:w="2394" w:type="dxa"/>
          </w:tcPr>
          <w:p w14:paraId="3B2D9CA1" w14:textId="77777777" w:rsidR="00DD4389" w:rsidRPr="00DD4389" w:rsidRDefault="00DD4389" w:rsidP="00DD4389">
            <w:pPr>
              <w:autoSpaceDE w:val="0"/>
              <w:autoSpaceDN w:val="0"/>
              <w:adjustRightInd w:val="0"/>
              <w:rPr>
                <w:color w:val="000000" w:themeColor="text1"/>
              </w:rPr>
            </w:pPr>
            <w:r w:rsidRPr="00DD4389">
              <w:rPr>
                <w:color w:val="000000" w:themeColor="text1"/>
              </w:rPr>
              <w:t>Lumbar Spine Surgery</w:t>
            </w:r>
          </w:p>
        </w:tc>
        <w:tc>
          <w:tcPr>
            <w:tcW w:w="2394" w:type="dxa"/>
            <w:vAlign w:val="center"/>
          </w:tcPr>
          <w:p w14:paraId="5FDEA6DA"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6,136</w:t>
            </w:r>
          </w:p>
        </w:tc>
        <w:tc>
          <w:tcPr>
            <w:tcW w:w="2394" w:type="dxa"/>
            <w:vAlign w:val="center"/>
          </w:tcPr>
          <w:p w14:paraId="7BB3D547"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1.14%</w:t>
            </w:r>
          </w:p>
        </w:tc>
        <w:tc>
          <w:tcPr>
            <w:tcW w:w="2394" w:type="dxa"/>
            <w:vAlign w:val="center"/>
          </w:tcPr>
          <w:p w14:paraId="3D0A0E10"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0, 0,  1.4</w:t>
            </w:r>
          </w:p>
        </w:tc>
      </w:tr>
      <w:tr w:rsidR="00DD4389" w:rsidRPr="00DD4389" w14:paraId="2D6FD19A" w14:textId="77777777" w:rsidTr="00A264EE">
        <w:tc>
          <w:tcPr>
            <w:tcW w:w="2394" w:type="dxa"/>
          </w:tcPr>
          <w:p w14:paraId="7CEBC8DB" w14:textId="77777777" w:rsidR="00DD4389" w:rsidRPr="00DD4389" w:rsidRDefault="00DD4389" w:rsidP="00DD4389">
            <w:pPr>
              <w:autoSpaceDE w:val="0"/>
              <w:autoSpaceDN w:val="0"/>
              <w:adjustRightInd w:val="0"/>
              <w:rPr>
                <w:color w:val="000000" w:themeColor="text1"/>
              </w:rPr>
            </w:pPr>
            <w:r w:rsidRPr="00DD4389">
              <w:rPr>
                <w:color w:val="000000" w:themeColor="text1"/>
              </w:rPr>
              <w:t>Trauma</w:t>
            </w:r>
          </w:p>
        </w:tc>
        <w:tc>
          <w:tcPr>
            <w:tcW w:w="2394" w:type="dxa"/>
            <w:vAlign w:val="center"/>
          </w:tcPr>
          <w:p w14:paraId="7C85751D"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59,360</w:t>
            </w:r>
          </w:p>
        </w:tc>
        <w:tc>
          <w:tcPr>
            <w:tcW w:w="2394" w:type="dxa"/>
            <w:vAlign w:val="center"/>
          </w:tcPr>
          <w:p w14:paraId="26EAC79B"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11.06%</w:t>
            </w:r>
          </w:p>
        </w:tc>
        <w:tc>
          <w:tcPr>
            <w:tcW w:w="2394" w:type="dxa"/>
            <w:vAlign w:val="center"/>
          </w:tcPr>
          <w:p w14:paraId="17F858B5"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6.8, 10.2, 14.2</w:t>
            </w:r>
          </w:p>
        </w:tc>
      </w:tr>
      <w:tr w:rsidR="00DD4389" w:rsidRPr="00DD4389" w14:paraId="2E2B859F" w14:textId="77777777" w:rsidTr="00A264EE">
        <w:tc>
          <w:tcPr>
            <w:tcW w:w="2394" w:type="dxa"/>
          </w:tcPr>
          <w:p w14:paraId="35C8BD1D" w14:textId="77777777" w:rsidR="00DD4389" w:rsidRPr="00DD4389" w:rsidRDefault="00DD4389" w:rsidP="00DD4389">
            <w:pPr>
              <w:autoSpaceDE w:val="0"/>
              <w:autoSpaceDN w:val="0"/>
              <w:adjustRightInd w:val="0"/>
              <w:rPr>
                <w:color w:val="000000" w:themeColor="text1"/>
              </w:rPr>
            </w:pPr>
            <w:r w:rsidRPr="00DD4389">
              <w:rPr>
                <w:color w:val="000000" w:themeColor="text1"/>
              </w:rPr>
              <w:t>Cancer</w:t>
            </w:r>
          </w:p>
        </w:tc>
        <w:tc>
          <w:tcPr>
            <w:tcW w:w="2394" w:type="dxa"/>
            <w:vAlign w:val="center"/>
          </w:tcPr>
          <w:p w14:paraId="710BD5E7"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142,104</w:t>
            </w:r>
          </w:p>
        </w:tc>
        <w:tc>
          <w:tcPr>
            <w:tcW w:w="2394" w:type="dxa"/>
            <w:vAlign w:val="center"/>
          </w:tcPr>
          <w:p w14:paraId="6E19ECFC"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26.48%</w:t>
            </w:r>
          </w:p>
        </w:tc>
        <w:tc>
          <w:tcPr>
            <w:tcW w:w="2394" w:type="dxa"/>
            <w:vAlign w:val="center"/>
          </w:tcPr>
          <w:p w14:paraId="73A5794D"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17.9, 23.5, 29.5</w:t>
            </w:r>
          </w:p>
        </w:tc>
      </w:tr>
      <w:tr w:rsidR="00DD4389" w:rsidRPr="00DD4389" w14:paraId="439725FE" w14:textId="77777777" w:rsidTr="00A264EE">
        <w:tc>
          <w:tcPr>
            <w:tcW w:w="2394" w:type="dxa"/>
          </w:tcPr>
          <w:p w14:paraId="56B1E7F9" w14:textId="77777777" w:rsidR="00DD4389" w:rsidRPr="00DD4389" w:rsidRDefault="00DD4389" w:rsidP="00DD4389">
            <w:pPr>
              <w:autoSpaceDE w:val="0"/>
              <w:autoSpaceDN w:val="0"/>
              <w:adjustRightInd w:val="0"/>
              <w:rPr>
                <w:color w:val="000000" w:themeColor="text1"/>
              </w:rPr>
            </w:pPr>
            <w:r w:rsidRPr="00DD4389">
              <w:rPr>
                <w:color w:val="000000" w:themeColor="text1"/>
              </w:rPr>
              <w:t>IV Drug Abuse</w:t>
            </w:r>
          </w:p>
        </w:tc>
        <w:tc>
          <w:tcPr>
            <w:tcW w:w="2394" w:type="dxa"/>
            <w:vAlign w:val="center"/>
          </w:tcPr>
          <w:p w14:paraId="021D12AD"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11,185</w:t>
            </w:r>
          </w:p>
        </w:tc>
        <w:tc>
          <w:tcPr>
            <w:tcW w:w="2394" w:type="dxa"/>
            <w:vAlign w:val="center"/>
          </w:tcPr>
          <w:p w14:paraId="30623ACF"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2.08%</w:t>
            </w:r>
          </w:p>
        </w:tc>
        <w:tc>
          <w:tcPr>
            <w:tcW w:w="2394" w:type="dxa"/>
            <w:vAlign w:val="center"/>
          </w:tcPr>
          <w:p w14:paraId="4376E760"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0, 1.3, 3.0</w:t>
            </w:r>
          </w:p>
        </w:tc>
      </w:tr>
      <w:tr w:rsidR="00DD4389" w:rsidRPr="00DD4389" w14:paraId="65A81A93" w14:textId="77777777" w:rsidTr="00A264EE">
        <w:tc>
          <w:tcPr>
            <w:tcW w:w="2394" w:type="dxa"/>
          </w:tcPr>
          <w:p w14:paraId="18994C21" w14:textId="77777777" w:rsidR="00DD4389" w:rsidRPr="00DD4389" w:rsidRDefault="00DD4389" w:rsidP="00DD4389">
            <w:pPr>
              <w:autoSpaceDE w:val="0"/>
              <w:autoSpaceDN w:val="0"/>
              <w:adjustRightInd w:val="0"/>
              <w:rPr>
                <w:color w:val="000000" w:themeColor="text1"/>
              </w:rPr>
            </w:pPr>
            <w:r w:rsidRPr="00DD4389">
              <w:rPr>
                <w:color w:val="000000" w:themeColor="text1"/>
              </w:rPr>
              <w:t>Neurologic Impairment</w:t>
            </w:r>
          </w:p>
        </w:tc>
        <w:tc>
          <w:tcPr>
            <w:tcW w:w="2394" w:type="dxa"/>
            <w:vAlign w:val="center"/>
          </w:tcPr>
          <w:p w14:paraId="4C0A5312"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43,689</w:t>
            </w:r>
          </w:p>
        </w:tc>
        <w:tc>
          <w:tcPr>
            <w:tcW w:w="2394" w:type="dxa"/>
            <w:vAlign w:val="center"/>
          </w:tcPr>
          <w:p w14:paraId="4321C583"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8.14%</w:t>
            </w:r>
          </w:p>
        </w:tc>
        <w:tc>
          <w:tcPr>
            <w:tcW w:w="2394" w:type="dxa"/>
            <w:vAlign w:val="center"/>
          </w:tcPr>
          <w:p w14:paraId="01A3029E"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4.4, 7.3, 10.8</w:t>
            </w:r>
          </w:p>
        </w:tc>
      </w:tr>
      <w:tr w:rsidR="00DD4389" w:rsidRPr="00DD4389" w14:paraId="68FF19A5" w14:textId="77777777" w:rsidTr="00A264EE">
        <w:tc>
          <w:tcPr>
            <w:tcW w:w="2394" w:type="dxa"/>
          </w:tcPr>
          <w:p w14:paraId="7D105590" w14:textId="77777777" w:rsidR="00DD4389" w:rsidRPr="00DD4389" w:rsidRDefault="00DD4389" w:rsidP="00DD4389">
            <w:pPr>
              <w:autoSpaceDE w:val="0"/>
              <w:autoSpaceDN w:val="0"/>
              <w:adjustRightInd w:val="0"/>
              <w:rPr>
                <w:color w:val="000000" w:themeColor="text1"/>
              </w:rPr>
            </w:pPr>
            <w:r w:rsidRPr="00DD4389">
              <w:rPr>
                <w:color w:val="000000" w:themeColor="text1"/>
              </w:rPr>
              <w:t>HIV</w:t>
            </w:r>
          </w:p>
        </w:tc>
        <w:tc>
          <w:tcPr>
            <w:tcW w:w="2394" w:type="dxa"/>
            <w:vAlign w:val="center"/>
          </w:tcPr>
          <w:p w14:paraId="76AF6AA6"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2,278</w:t>
            </w:r>
          </w:p>
        </w:tc>
        <w:tc>
          <w:tcPr>
            <w:tcW w:w="2394" w:type="dxa"/>
            <w:vAlign w:val="center"/>
          </w:tcPr>
          <w:p w14:paraId="429B4D61"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0.42%</w:t>
            </w:r>
          </w:p>
        </w:tc>
        <w:tc>
          <w:tcPr>
            <w:tcW w:w="2394" w:type="dxa"/>
            <w:vAlign w:val="center"/>
          </w:tcPr>
          <w:p w14:paraId="5AF44B71"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0, 0, 0</w:t>
            </w:r>
          </w:p>
        </w:tc>
      </w:tr>
      <w:tr w:rsidR="00DD4389" w:rsidRPr="00DD4389" w14:paraId="22E883C8" w14:textId="77777777" w:rsidTr="00A264EE">
        <w:tc>
          <w:tcPr>
            <w:tcW w:w="2394" w:type="dxa"/>
          </w:tcPr>
          <w:p w14:paraId="1D87C8DA" w14:textId="77777777" w:rsidR="00DD4389" w:rsidRPr="00DD4389" w:rsidRDefault="00DD4389" w:rsidP="00DD4389">
            <w:pPr>
              <w:autoSpaceDE w:val="0"/>
              <w:autoSpaceDN w:val="0"/>
              <w:adjustRightInd w:val="0"/>
              <w:rPr>
                <w:color w:val="000000" w:themeColor="text1"/>
              </w:rPr>
            </w:pPr>
            <w:r w:rsidRPr="00DD4389">
              <w:rPr>
                <w:color w:val="000000" w:themeColor="text1"/>
              </w:rPr>
              <w:t>Unspecified Immune Deficiencies</w:t>
            </w:r>
          </w:p>
        </w:tc>
        <w:tc>
          <w:tcPr>
            <w:tcW w:w="2394" w:type="dxa"/>
            <w:vAlign w:val="center"/>
          </w:tcPr>
          <w:p w14:paraId="7D311AF9"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890</w:t>
            </w:r>
          </w:p>
        </w:tc>
        <w:tc>
          <w:tcPr>
            <w:tcW w:w="2394" w:type="dxa"/>
            <w:vAlign w:val="center"/>
          </w:tcPr>
          <w:p w14:paraId="5FE4C31B"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0.17%</w:t>
            </w:r>
          </w:p>
        </w:tc>
        <w:tc>
          <w:tcPr>
            <w:tcW w:w="2394" w:type="dxa"/>
            <w:vAlign w:val="center"/>
          </w:tcPr>
          <w:p w14:paraId="661DDE5D"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0, 0, 0</w:t>
            </w:r>
          </w:p>
        </w:tc>
      </w:tr>
      <w:tr w:rsidR="00DD4389" w:rsidRPr="00DD4389" w14:paraId="72B919F6" w14:textId="77777777" w:rsidTr="00A264EE">
        <w:tc>
          <w:tcPr>
            <w:tcW w:w="2394" w:type="dxa"/>
          </w:tcPr>
          <w:p w14:paraId="4D145C02" w14:textId="77777777" w:rsidR="00DD4389" w:rsidRPr="00DD4389" w:rsidRDefault="00DD4389" w:rsidP="00DD4389">
            <w:pPr>
              <w:autoSpaceDE w:val="0"/>
              <w:autoSpaceDN w:val="0"/>
              <w:adjustRightInd w:val="0"/>
              <w:rPr>
                <w:color w:val="000000" w:themeColor="text1"/>
              </w:rPr>
            </w:pPr>
            <w:proofErr w:type="spellStart"/>
            <w:r w:rsidRPr="00DD4389">
              <w:rPr>
                <w:color w:val="000000" w:themeColor="text1"/>
              </w:rPr>
              <w:t>Instraspinal</w:t>
            </w:r>
            <w:proofErr w:type="spellEnd"/>
            <w:r w:rsidRPr="00DD4389">
              <w:rPr>
                <w:color w:val="000000" w:themeColor="text1"/>
              </w:rPr>
              <w:t xml:space="preserve"> Abscess</w:t>
            </w:r>
          </w:p>
        </w:tc>
        <w:tc>
          <w:tcPr>
            <w:tcW w:w="2394" w:type="dxa"/>
            <w:vAlign w:val="center"/>
          </w:tcPr>
          <w:p w14:paraId="211A9617"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197</w:t>
            </w:r>
          </w:p>
        </w:tc>
        <w:tc>
          <w:tcPr>
            <w:tcW w:w="2394" w:type="dxa"/>
            <w:vAlign w:val="center"/>
          </w:tcPr>
          <w:p w14:paraId="13FCB046"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0.04%</w:t>
            </w:r>
          </w:p>
        </w:tc>
        <w:tc>
          <w:tcPr>
            <w:tcW w:w="2394" w:type="dxa"/>
            <w:vAlign w:val="center"/>
          </w:tcPr>
          <w:p w14:paraId="60031E95"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0, 0, 0</w:t>
            </w:r>
          </w:p>
        </w:tc>
      </w:tr>
    </w:tbl>
    <w:p w14:paraId="4225D86B" w14:textId="77777777" w:rsidR="00DD4389" w:rsidRPr="00DD4389" w:rsidRDefault="00DD4389" w:rsidP="00DD4389">
      <w:pPr>
        <w:autoSpaceDE w:val="0"/>
        <w:autoSpaceDN w:val="0"/>
        <w:adjustRightInd w:val="0"/>
        <w:spacing w:after="0" w:line="240" w:lineRule="auto"/>
        <w:rPr>
          <w:color w:val="000000" w:themeColor="text1"/>
        </w:rPr>
      </w:pPr>
    </w:p>
    <w:p w14:paraId="40EC69D9" w14:textId="77777777" w:rsidR="00DD4389" w:rsidRPr="00DD4389" w:rsidRDefault="00DD4389" w:rsidP="00AE1932">
      <w:pPr>
        <w:autoSpaceDE w:val="0"/>
        <w:autoSpaceDN w:val="0"/>
        <w:adjustRightInd w:val="0"/>
        <w:spacing w:after="0" w:line="240" w:lineRule="auto"/>
        <w:rPr>
          <w:color w:val="000000" w:themeColor="text1"/>
        </w:rPr>
      </w:pPr>
      <w:r w:rsidRPr="00DD4389">
        <w:rPr>
          <w:color w:val="000000" w:themeColor="text1"/>
        </w:rPr>
        <w:t xml:space="preserve">Additionally, descriptive statistics </w:t>
      </w:r>
      <w:proofErr w:type="gramStart"/>
      <w:r w:rsidRPr="00DD4389">
        <w:rPr>
          <w:color w:val="000000" w:themeColor="text1"/>
        </w:rPr>
        <w:t>were calculated</w:t>
      </w:r>
      <w:proofErr w:type="gramEnd"/>
      <w:r w:rsidRPr="00DD4389">
        <w:rPr>
          <w:color w:val="000000" w:themeColor="text1"/>
        </w:rPr>
        <w:t xml:space="preserve"> for the measure scores of each facility, with and without the exclusion codes, as part of the specifications. Facility scores are noticeably higher without the exclusions, although the standard deviation is smaller. </w:t>
      </w:r>
    </w:p>
    <w:p w14:paraId="48A56FAA" w14:textId="77777777" w:rsidR="00DD4389" w:rsidRPr="00DD4389" w:rsidRDefault="00DD4389" w:rsidP="00DD4389">
      <w:pPr>
        <w:autoSpaceDE w:val="0"/>
        <w:autoSpaceDN w:val="0"/>
        <w:adjustRightInd w:val="0"/>
        <w:spacing w:after="0" w:line="240" w:lineRule="auto"/>
        <w:rPr>
          <w:rFonts w:cstheme="minorHAnsi"/>
          <w:b/>
          <w:bCs/>
          <w:color w:val="000000" w:themeColor="text1"/>
        </w:rPr>
      </w:pPr>
    </w:p>
    <w:tbl>
      <w:tblPr>
        <w:tblStyle w:val="TableGrid"/>
        <w:tblW w:w="0" w:type="auto"/>
        <w:tblLook w:val="04A0" w:firstRow="1" w:lastRow="0" w:firstColumn="1" w:lastColumn="0" w:noHBand="0" w:noVBand="1"/>
      </w:tblPr>
      <w:tblGrid>
        <w:gridCol w:w="3186"/>
        <w:gridCol w:w="3186"/>
        <w:gridCol w:w="3186"/>
      </w:tblGrid>
      <w:tr w:rsidR="00DD4389" w:rsidRPr="00DD4389" w14:paraId="092E629A" w14:textId="77777777" w:rsidTr="00A264EE">
        <w:tc>
          <w:tcPr>
            <w:tcW w:w="3186" w:type="dxa"/>
            <w:vAlign w:val="center"/>
          </w:tcPr>
          <w:p w14:paraId="0DB9B1B1" w14:textId="77777777" w:rsidR="00DD4389" w:rsidRPr="00DD4389" w:rsidRDefault="00DD4389" w:rsidP="00DD4389">
            <w:pPr>
              <w:autoSpaceDE w:val="0"/>
              <w:autoSpaceDN w:val="0"/>
              <w:adjustRightInd w:val="0"/>
              <w:jc w:val="center"/>
              <w:rPr>
                <w:b/>
                <w:color w:val="000000" w:themeColor="text1"/>
              </w:rPr>
            </w:pPr>
            <w:r w:rsidRPr="00DD4389">
              <w:rPr>
                <w:b/>
                <w:color w:val="000000" w:themeColor="text1"/>
              </w:rPr>
              <w:t>Descriptive Statistic</w:t>
            </w:r>
          </w:p>
        </w:tc>
        <w:tc>
          <w:tcPr>
            <w:tcW w:w="3186" w:type="dxa"/>
            <w:vAlign w:val="center"/>
          </w:tcPr>
          <w:p w14:paraId="27E27A1E" w14:textId="77777777" w:rsidR="00DD4389" w:rsidRPr="00DD4389" w:rsidRDefault="00DD4389" w:rsidP="00DD4389">
            <w:pPr>
              <w:autoSpaceDE w:val="0"/>
              <w:autoSpaceDN w:val="0"/>
              <w:adjustRightInd w:val="0"/>
              <w:jc w:val="center"/>
              <w:rPr>
                <w:b/>
                <w:color w:val="000000" w:themeColor="text1"/>
              </w:rPr>
            </w:pPr>
            <w:r w:rsidRPr="00DD4389">
              <w:rPr>
                <w:b/>
                <w:color w:val="000000" w:themeColor="text1"/>
              </w:rPr>
              <w:t>With Exclusions (%)</w:t>
            </w:r>
          </w:p>
        </w:tc>
        <w:tc>
          <w:tcPr>
            <w:tcW w:w="3186" w:type="dxa"/>
            <w:vAlign w:val="center"/>
          </w:tcPr>
          <w:p w14:paraId="367387D2" w14:textId="77777777" w:rsidR="00DD4389" w:rsidRPr="00DD4389" w:rsidRDefault="00DD4389" w:rsidP="00DD4389">
            <w:pPr>
              <w:autoSpaceDE w:val="0"/>
              <w:autoSpaceDN w:val="0"/>
              <w:adjustRightInd w:val="0"/>
              <w:jc w:val="center"/>
              <w:rPr>
                <w:b/>
                <w:color w:val="000000" w:themeColor="text1"/>
              </w:rPr>
            </w:pPr>
            <w:r w:rsidRPr="00DD4389">
              <w:rPr>
                <w:b/>
                <w:color w:val="000000" w:themeColor="text1"/>
              </w:rPr>
              <w:t>Without Exclusions (%)</w:t>
            </w:r>
          </w:p>
        </w:tc>
      </w:tr>
      <w:tr w:rsidR="00DD4389" w:rsidRPr="00DD4389" w14:paraId="77240793" w14:textId="77777777" w:rsidTr="00A264EE">
        <w:tc>
          <w:tcPr>
            <w:tcW w:w="3186" w:type="dxa"/>
          </w:tcPr>
          <w:p w14:paraId="53896338" w14:textId="77777777" w:rsidR="00DD4389" w:rsidRPr="00DD4389" w:rsidRDefault="00DD4389" w:rsidP="00DD4389">
            <w:pPr>
              <w:autoSpaceDE w:val="0"/>
              <w:autoSpaceDN w:val="0"/>
              <w:adjustRightInd w:val="0"/>
              <w:rPr>
                <w:color w:val="000000" w:themeColor="text1"/>
              </w:rPr>
            </w:pPr>
            <w:r w:rsidRPr="00DD4389">
              <w:rPr>
                <w:color w:val="000000" w:themeColor="text1"/>
              </w:rPr>
              <w:t>Min</w:t>
            </w:r>
          </w:p>
        </w:tc>
        <w:tc>
          <w:tcPr>
            <w:tcW w:w="3186" w:type="dxa"/>
          </w:tcPr>
          <w:p w14:paraId="58B03ACD"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0</w:t>
            </w:r>
          </w:p>
        </w:tc>
        <w:tc>
          <w:tcPr>
            <w:tcW w:w="3186" w:type="dxa"/>
          </w:tcPr>
          <w:p w14:paraId="7BCCB40B"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0</w:t>
            </w:r>
          </w:p>
        </w:tc>
      </w:tr>
      <w:tr w:rsidR="00DD4389" w:rsidRPr="00DD4389" w14:paraId="13041F50" w14:textId="77777777" w:rsidTr="00A264EE">
        <w:tc>
          <w:tcPr>
            <w:tcW w:w="3186" w:type="dxa"/>
          </w:tcPr>
          <w:p w14:paraId="3C437CBA" w14:textId="77777777" w:rsidR="00DD4389" w:rsidRPr="00DD4389" w:rsidRDefault="00DD4389" w:rsidP="00DD4389">
            <w:pPr>
              <w:autoSpaceDE w:val="0"/>
              <w:autoSpaceDN w:val="0"/>
              <w:adjustRightInd w:val="0"/>
              <w:rPr>
                <w:color w:val="000000" w:themeColor="text1"/>
              </w:rPr>
            </w:pPr>
            <w:r w:rsidRPr="00DD4389">
              <w:rPr>
                <w:color w:val="000000" w:themeColor="text1"/>
              </w:rPr>
              <w:t>10%</w:t>
            </w:r>
          </w:p>
        </w:tc>
        <w:tc>
          <w:tcPr>
            <w:tcW w:w="3186" w:type="dxa"/>
          </w:tcPr>
          <w:p w14:paraId="0414BBD3"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23.0</w:t>
            </w:r>
          </w:p>
        </w:tc>
        <w:tc>
          <w:tcPr>
            <w:tcW w:w="3186" w:type="dxa"/>
          </w:tcPr>
          <w:p w14:paraId="2A762F5F"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50.9</w:t>
            </w:r>
          </w:p>
        </w:tc>
      </w:tr>
      <w:tr w:rsidR="00DD4389" w:rsidRPr="00DD4389" w14:paraId="236C8BBB" w14:textId="77777777" w:rsidTr="00A264EE">
        <w:tc>
          <w:tcPr>
            <w:tcW w:w="3186" w:type="dxa"/>
          </w:tcPr>
          <w:p w14:paraId="203204B3" w14:textId="77777777" w:rsidR="00DD4389" w:rsidRPr="00DD4389" w:rsidRDefault="00DD4389" w:rsidP="00DD4389">
            <w:pPr>
              <w:autoSpaceDE w:val="0"/>
              <w:autoSpaceDN w:val="0"/>
              <w:adjustRightInd w:val="0"/>
              <w:rPr>
                <w:color w:val="000000" w:themeColor="text1"/>
              </w:rPr>
            </w:pPr>
            <w:r w:rsidRPr="00DD4389">
              <w:rPr>
                <w:color w:val="000000" w:themeColor="text1"/>
              </w:rPr>
              <w:t>25%</w:t>
            </w:r>
          </w:p>
        </w:tc>
        <w:tc>
          <w:tcPr>
            <w:tcW w:w="3186" w:type="dxa"/>
          </w:tcPr>
          <w:p w14:paraId="39EB0931"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30.3</w:t>
            </w:r>
          </w:p>
        </w:tc>
        <w:tc>
          <w:tcPr>
            <w:tcW w:w="3186" w:type="dxa"/>
          </w:tcPr>
          <w:p w14:paraId="08CC5F31"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57.8</w:t>
            </w:r>
          </w:p>
        </w:tc>
      </w:tr>
      <w:tr w:rsidR="00DD4389" w:rsidRPr="00DD4389" w14:paraId="6C366D1D" w14:textId="77777777" w:rsidTr="00A264EE">
        <w:tc>
          <w:tcPr>
            <w:tcW w:w="3186" w:type="dxa"/>
          </w:tcPr>
          <w:p w14:paraId="16394FDD" w14:textId="77777777" w:rsidR="00DD4389" w:rsidRPr="00DD4389" w:rsidRDefault="00DD4389" w:rsidP="00DD4389">
            <w:pPr>
              <w:autoSpaceDE w:val="0"/>
              <w:autoSpaceDN w:val="0"/>
              <w:adjustRightInd w:val="0"/>
              <w:rPr>
                <w:color w:val="000000" w:themeColor="text1"/>
              </w:rPr>
            </w:pPr>
            <w:r w:rsidRPr="00DD4389">
              <w:rPr>
                <w:color w:val="000000" w:themeColor="text1"/>
              </w:rPr>
              <w:t>50%</w:t>
            </w:r>
          </w:p>
        </w:tc>
        <w:tc>
          <w:tcPr>
            <w:tcW w:w="3186" w:type="dxa"/>
          </w:tcPr>
          <w:p w14:paraId="2FB99D57"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36.4</w:t>
            </w:r>
          </w:p>
        </w:tc>
        <w:tc>
          <w:tcPr>
            <w:tcW w:w="3186" w:type="dxa"/>
          </w:tcPr>
          <w:p w14:paraId="7ED5D417"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63.1</w:t>
            </w:r>
          </w:p>
        </w:tc>
      </w:tr>
      <w:tr w:rsidR="00DD4389" w:rsidRPr="00DD4389" w14:paraId="124A3BFE" w14:textId="77777777" w:rsidTr="00A264EE">
        <w:tc>
          <w:tcPr>
            <w:tcW w:w="3186" w:type="dxa"/>
          </w:tcPr>
          <w:p w14:paraId="7F04EDFD" w14:textId="77777777" w:rsidR="00DD4389" w:rsidRPr="00DD4389" w:rsidRDefault="00DD4389" w:rsidP="00DD4389">
            <w:pPr>
              <w:autoSpaceDE w:val="0"/>
              <w:autoSpaceDN w:val="0"/>
              <w:adjustRightInd w:val="0"/>
              <w:rPr>
                <w:color w:val="000000" w:themeColor="text1"/>
              </w:rPr>
            </w:pPr>
            <w:r w:rsidRPr="00DD4389">
              <w:rPr>
                <w:color w:val="000000" w:themeColor="text1"/>
              </w:rPr>
              <w:t>Mean</w:t>
            </w:r>
          </w:p>
        </w:tc>
        <w:tc>
          <w:tcPr>
            <w:tcW w:w="3186" w:type="dxa"/>
          </w:tcPr>
          <w:p w14:paraId="7B2AF7DF"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37.4</w:t>
            </w:r>
          </w:p>
        </w:tc>
        <w:tc>
          <w:tcPr>
            <w:tcW w:w="3186" w:type="dxa"/>
          </w:tcPr>
          <w:p w14:paraId="3A7414AE"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63.5</w:t>
            </w:r>
          </w:p>
        </w:tc>
      </w:tr>
      <w:tr w:rsidR="00DD4389" w:rsidRPr="00DD4389" w14:paraId="107D6930" w14:textId="77777777" w:rsidTr="00A264EE">
        <w:tc>
          <w:tcPr>
            <w:tcW w:w="3186" w:type="dxa"/>
          </w:tcPr>
          <w:p w14:paraId="44EC3E83" w14:textId="77777777" w:rsidR="00DD4389" w:rsidRPr="00DD4389" w:rsidRDefault="00DD4389" w:rsidP="00DD4389">
            <w:pPr>
              <w:autoSpaceDE w:val="0"/>
              <w:autoSpaceDN w:val="0"/>
              <w:adjustRightInd w:val="0"/>
              <w:rPr>
                <w:color w:val="000000" w:themeColor="text1"/>
              </w:rPr>
            </w:pPr>
            <w:r w:rsidRPr="00DD4389">
              <w:rPr>
                <w:color w:val="000000" w:themeColor="text1"/>
              </w:rPr>
              <w:t>75%</w:t>
            </w:r>
          </w:p>
        </w:tc>
        <w:tc>
          <w:tcPr>
            <w:tcW w:w="3186" w:type="dxa"/>
          </w:tcPr>
          <w:p w14:paraId="36270D1E"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43.8</w:t>
            </w:r>
          </w:p>
        </w:tc>
        <w:tc>
          <w:tcPr>
            <w:tcW w:w="3186" w:type="dxa"/>
          </w:tcPr>
          <w:p w14:paraId="132F1676"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68.8</w:t>
            </w:r>
          </w:p>
        </w:tc>
      </w:tr>
      <w:tr w:rsidR="00DD4389" w:rsidRPr="00DD4389" w14:paraId="0D96A416" w14:textId="77777777" w:rsidTr="00A264EE">
        <w:tc>
          <w:tcPr>
            <w:tcW w:w="3186" w:type="dxa"/>
          </w:tcPr>
          <w:p w14:paraId="36391262" w14:textId="77777777" w:rsidR="00DD4389" w:rsidRPr="00DD4389" w:rsidRDefault="00DD4389" w:rsidP="00DD4389">
            <w:pPr>
              <w:autoSpaceDE w:val="0"/>
              <w:autoSpaceDN w:val="0"/>
              <w:adjustRightInd w:val="0"/>
              <w:rPr>
                <w:color w:val="000000" w:themeColor="text1"/>
              </w:rPr>
            </w:pPr>
            <w:r w:rsidRPr="00DD4389">
              <w:rPr>
                <w:color w:val="000000" w:themeColor="text1"/>
              </w:rPr>
              <w:t>90%</w:t>
            </w:r>
          </w:p>
        </w:tc>
        <w:tc>
          <w:tcPr>
            <w:tcW w:w="3186" w:type="dxa"/>
          </w:tcPr>
          <w:p w14:paraId="4682F911"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54.5</w:t>
            </w:r>
          </w:p>
        </w:tc>
        <w:tc>
          <w:tcPr>
            <w:tcW w:w="3186" w:type="dxa"/>
          </w:tcPr>
          <w:p w14:paraId="2999D53F"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76.9</w:t>
            </w:r>
          </w:p>
        </w:tc>
      </w:tr>
      <w:tr w:rsidR="00DD4389" w:rsidRPr="00DD4389" w14:paraId="779887E9" w14:textId="77777777" w:rsidTr="00A264EE">
        <w:tc>
          <w:tcPr>
            <w:tcW w:w="3186" w:type="dxa"/>
          </w:tcPr>
          <w:p w14:paraId="67219D6E" w14:textId="77777777" w:rsidR="00DD4389" w:rsidRPr="00DD4389" w:rsidRDefault="00DD4389" w:rsidP="00DD4389">
            <w:pPr>
              <w:autoSpaceDE w:val="0"/>
              <w:autoSpaceDN w:val="0"/>
              <w:adjustRightInd w:val="0"/>
              <w:rPr>
                <w:color w:val="000000" w:themeColor="text1"/>
              </w:rPr>
            </w:pPr>
            <w:r w:rsidRPr="00DD4389">
              <w:rPr>
                <w:color w:val="000000" w:themeColor="text1"/>
              </w:rPr>
              <w:t>Max</w:t>
            </w:r>
          </w:p>
        </w:tc>
        <w:tc>
          <w:tcPr>
            <w:tcW w:w="3186" w:type="dxa"/>
          </w:tcPr>
          <w:p w14:paraId="0FA18312"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100</w:t>
            </w:r>
          </w:p>
        </w:tc>
        <w:tc>
          <w:tcPr>
            <w:tcW w:w="3186" w:type="dxa"/>
          </w:tcPr>
          <w:p w14:paraId="422DF18D"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100</w:t>
            </w:r>
          </w:p>
        </w:tc>
      </w:tr>
      <w:tr w:rsidR="00DD4389" w:rsidRPr="00DD4389" w14:paraId="1F582506" w14:textId="77777777" w:rsidTr="00A264EE">
        <w:tc>
          <w:tcPr>
            <w:tcW w:w="3186" w:type="dxa"/>
          </w:tcPr>
          <w:p w14:paraId="31A2DFBF" w14:textId="77777777" w:rsidR="00DD4389" w:rsidRPr="00DD4389" w:rsidRDefault="00DD4389" w:rsidP="00DD4389">
            <w:pPr>
              <w:autoSpaceDE w:val="0"/>
              <w:autoSpaceDN w:val="0"/>
              <w:adjustRightInd w:val="0"/>
              <w:rPr>
                <w:color w:val="000000" w:themeColor="text1"/>
              </w:rPr>
            </w:pPr>
            <w:r w:rsidRPr="00DD4389">
              <w:rPr>
                <w:color w:val="000000" w:themeColor="text1"/>
              </w:rPr>
              <w:t xml:space="preserve">Std. Dev. </w:t>
            </w:r>
          </w:p>
        </w:tc>
        <w:tc>
          <w:tcPr>
            <w:tcW w:w="3186" w:type="dxa"/>
          </w:tcPr>
          <w:p w14:paraId="506E5DA8"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15.6</w:t>
            </w:r>
          </w:p>
        </w:tc>
        <w:tc>
          <w:tcPr>
            <w:tcW w:w="3186" w:type="dxa"/>
          </w:tcPr>
          <w:p w14:paraId="350BC382" w14:textId="77777777" w:rsidR="00DD4389" w:rsidRPr="00DD4389" w:rsidRDefault="00DD4389" w:rsidP="00DD4389">
            <w:pPr>
              <w:autoSpaceDE w:val="0"/>
              <w:autoSpaceDN w:val="0"/>
              <w:adjustRightInd w:val="0"/>
              <w:jc w:val="center"/>
              <w:rPr>
                <w:color w:val="000000" w:themeColor="text1"/>
              </w:rPr>
            </w:pPr>
            <w:r w:rsidRPr="00DD4389">
              <w:rPr>
                <w:color w:val="000000" w:themeColor="text1"/>
              </w:rPr>
              <w:t>12.7</w:t>
            </w:r>
          </w:p>
        </w:tc>
      </w:tr>
    </w:tbl>
    <w:p w14:paraId="13912602" w14:textId="77777777" w:rsidR="00DD4389" w:rsidRPr="00DD4389" w:rsidRDefault="00DD4389" w:rsidP="00DD4389">
      <w:pPr>
        <w:autoSpaceDE w:val="0"/>
        <w:autoSpaceDN w:val="0"/>
        <w:adjustRightInd w:val="0"/>
        <w:spacing w:after="0" w:line="240" w:lineRule="auto"/>
        <w:rPr>
          <w:rFonts w:cstheme="minorHAnsi"/>
          <w:bCs/>
          <w:color w:val="000000" w:themeColor="text1"/>
        </w:rPr>
      </w:pPr>
    </w:p>
    <w:p w14:paraId="2A29C403" w14:textId="426BD180" w:rsidR="00DD4389" w:rsidRPr="00DD4389" w:rsidRDefault="00DD4389" w:rsidP="00DD4389">
      <w:pPr>
        <w:autoSpaceDE w:val="0"/>
        <w:autoSpaceDN w:val="0"/>
        <w:adjustRightInd w:val="0"/>
        <w:spacing w:after="0" w:line="240" w:lineRule="auto"/>
        <w:rPr>
          <w:rFonts w:cstheme="minorHAnsi"/>
          <w:bCs/>
          <w:color w:val="000000" w:themeColor="text1"/>
        </w:rPr>
      </w:pPr>
      <w:r w:rsidRPr="00DD4389">
        <w:rPr>
          <w:color w:val="000000" w:themeColor="text1"/>
        </w:rPr>
        <w:t xml:space="preserve">The descriptive statistics reported here differ from the </w:t>
      </w:r>
      <w:proofErr w:type="gramStart"/>
      <w:r w:rsidRPr="00DD4389">
        <w:rPr>
          <w:color w:val="000000" w:themeColor="text1"/>
        </w:rPr>
        <w:t>publicly-reported</w:t>
      </w:r>
      <w:proofErr w:type="gramEnd"/>
      <w:r w:rsidRPr="00DD4389">
        <w:rPr>
          <w:color w:val="000000" w:themeColor="text1"/>
        </w:rPr>
        <w:t xml:space="preserve"> statistics, as the mean calculation is not weighted, and the calculation includes some facilities for whom measure value are not publicly reported.</w:t>
      </w:r>
    </w:p>
    <w:p w14:paraId="2853A2F8" w14:textId="77777777" w:rsidR="00DD4389" w:rsidRDefault="00DD4389" w:rsidP="00DD4389">
      <w:pPr>
        <w:autoSpaceDE w:val="0"/>
        <w:autoSpaceDN w:val="0"/>
        <w:adjustRightInd w:val="0"/>
        <w:spacing w:after="0" w:line="240" w:lineRule="auto"/>
        <w:rPr>
          <w:rFonts w:cstheme="minorHAnsi"/>
          <w:bCs/>
        </w:rPr>
      </w:pPr>
    </w:p>
    <w:p w14:paraId="3D50ECDF" w14:textId="649C0AE4" w:rsidR="00DD4389" w:rsidRPr="00DD4389" w:rsidRDefault="00DD4389" w:rsidP="00DD4389">
      <w:pPr>
        <w:autoSpaceDE w:val="0"/>
        <w:autoSpaceDN w:val="0"/>
        <w:adjustRightInd w:val="0"/>
        <w:spacing w:after="0" w:line="240" w:lineRule="auto"/>
        <w:rPr>
          <w:rFonts w:cstheme="minorHAnsi"/>
          <w:bCs/>
          <w:color w:val="FF0000"/>
        </w:rPr>
      </w:pPr>
      <w:r w:rsidRPr="00DD4389">
        <w:rPr>
          <w:rFonts w:cstheme="minorHAnsi"/>
          <w:b/>
          <w:bCs/>
          <w:color w:val="FF0000"/>
        </w:rPr>
        <w:t>2016 Submission:</w:t>
      </w:r>
    </w:p>
    <w:p w14:paraId="4B907E35" w14:textId="3BA44764" w:rsidR="0049531C" w:rsidRPr="00DD4389" w:rsidRDefault="004C7628" w:rsidP="00DD4389">
      <w:pPr>
        <w:autoSpaceDE w:val="0"/>
        <w:autoSpaceDN w:val="0"/>
        <w:adjustRightInd w:val="0"/>
        <w:spacing w:after="0" w:line="240" w:lineRule="auto"/>
        <w:rPr>
          <w:rFonts w:cstheme="minorHAnsi"/>
          <w:bCs/>
          <w:color w:val="FF0000"/>
        </w:rPr>
      </w:pPr>
      <w:r w:rsidRPr="00DD4389">
        <w:rPr>
          <w:rFonts w:cstheme="minorHAnsi"/>
          <w:bCs/>
          <w:color w:val="FF0000"/>
        </w:rPr>
        <w:t xml:space="preserve">CORE and Lewin examined overall frequencies and proportions of denominator cases excluded for each exclusion, among all MRI lumbar-spine studies, for a sample of 2,569 facilities meeting the minimum case count requirements in 2013, imposing no measure exclusions. The initial patient population included 521,460 MRI lumbar-spine studies. The total number of exclusion occurrences exceeded the </w:t>
      </w:r>
    </w:p>
    <w:p w14:paraId="663A02D2" w14:textId="1182374F" w:rsidR="004C7628" w:rsidRPr="00DD4389" w:rsidRDefault="004C7628" w:rsidP="00DD4389">
      <w:pPr>
        <w:autoSpaceDE w:val="0"/>
        <w:autoSpaceDN w:val="0"/>
        <w:adjustRightInd w:val="0"/>
        <w:spacing w:after="0" w:line="240" w:lineRule="auto"/>
        <w:rPr>
          <w:rFonts w:cstheme="minorHAnsi"/>
          <w:b/>
          <w:bCs/>
          <w:i/>
          <w:color w:val="FF0000"/>
        </w:rPr>
      </w:pPr>
      <w:proofErr w:type="gramStart"/>
      <w:r w:rsidRPr="00DD4389">
        <w:rPr>
          <w:rFonts w:cstheme="minorHAnsi"/>
          <w:bCs/>
          <w:color w:val="FF0000"/>
        </w:rPr>
        <w:t>number</w:t>
      </w:r>
      <w:proofErr w:type="gramEnd"/>
      <w:r w:rsidRPr="00DD4389">
        <w:rPr>
          <w:rFonts w:cstheme="minorHAnsi"/>
          <w:bCs/>
          <w:color w:val="FF0000"/>
        </w:rPr>
        <w:t xml:space="preserve"> of excluded cases because a single beneficiary might meet multiple exclusion criteria. </w:t>
      </w:r>
    </w:p>
    <w:tbl>
      <w:tblPr>
        <w:tblpPr w:leftFromText="180" w:rightFromText="180" w:vertAnchor="text" w:horzAnchor="margin" w:tblpY="217"/>
        <w:tblW w:w="9360" w:type="dxa"/>
        <w:tblBorders>
          <w:top w:val="single" w:sz="12" w:space="0" w:color="auto"/>
          <w:left w:val="single" w:sz="12" w:space="0" w:color="auto"/>
          <w:bottom w:val="single" w:sz="12" w:space="0" w:color="auto"/>
          <w:right w:val="single" w:sz="12" w:space="0" w:color="auto"/>
          <w:insideH w:val="single" w:sz="8" w:space="0" w:color="auto"/>
        </w:tblBorders>
        <w:tblLayout w:type="fixed"/>
        <w:tblLook w:val="04A0" w:firstRow="1" w:lastRow="0" w:firstColumn="1" w:lastColumn="0" w:noHBand="0" w:noVBand="1"/>
      </w:tblPr>
      <w:tblGrid>
        <w:gridCol w:w="3420"/>
        <w:gridCol w:w="1440"/>
        <w:gridCol w:w="1440"/>
        <w:gridCol w:w="1020"/>
        <w:gridCol w:w="1020"/>
        <w:gridCol w:w="1020"/>
      </w:tblGrid>
      <w:tr w:rsidR="00DD4389" w:rsidRPr="00DD4389" w14:paraId="131E1724" w14:textId="77777777" w:rsidTr="00DD4389">
        <w:trPr>
          <w:trHeight w:val="288"/>
          <w:tblHeader/>
        </w:trPr>
        <w:tc>
          <w:tcPr>
            <w:tcW w:w="9360" w:type="dxa"/>
            <w:gridSpan w:val="6"/>
            <w:tcBorders>
              <w:top w:val="single" w:sz="12" w:space="0" w:color="auto"/>
              <w:bottom w:val="nil"/>
            </w:tcBorders>
            <w:shd w:val="clear" w:color="auto" w:fill="808080" w:themeFill="background1" w:themeFillShade="80"/>
            <w:vAlign w:val="center"/>
          </w:tcPr>
          <w:p w14:paraId="0D7D1868" w14:textId="77777777" w:rsidR="0049531C" w:rsidRPr="00DD4389" w:rsidRDefault="0049531C" w:rsidP="00DD4389">
            <w:pPr>
              <w:spacing w:after="0" w:line="240" w:lineRule="auto"/>
              <w:jc w:val="center"/>
              <w:rPr>
                <w:b/>
                <w:color w:val="FF0000"/>
                <w:sz w:val="20"/>
                <w:szCs w:val="20"/>
              </w:rPr>
            </w:pPr>
            <w:r w:rsidRPr="00DD4389">
              <w:rPr>
                <w:b/>
                <w:color w:val="FF0000"/>
                <w:sz w:val="20"/>
                <w:szCs w:val="20"/>
              </w:rPr>
              <w:t>Facilities</w:t>
            </w:r>
          </w:p>
        </w:tc>
      </w:tr>
      <w:tr w:rsidR="00DD4389" w:rsidRPr="00DD4389" w14:paraId="4A8FFEC8" w14:textId="77777777" w:rsidTr="00DD4389">
        <w:trPr>
          <w:trHeight w:val="288"/>
          <w:tblHeader/>
        </w:trPr>
        <w:tc>
          <w:tcPr>
            <w:tcW w:w="3420" w:type="dxa"/>
            <w:vMerge w:val="restart"/>
            <w:tcBorders>
              <w:top w:val="nil"/>
              <w:bottom w:val="nil"/>
              <w:right w:val="single" w:sz="12" w:space="0" w:color="auto"/>
            </w:tcBorders>
            <w:shd w:val="clear" w:color="auto" w:fill="BFBFBF" w:themeFill="background1" w:themeFillShade="BF"/>
            <w:vAlign w:val="center"/>
          </w:tcPr>
          <w:p w14:paraId="046A6CE4" w14:textId="77777777" w:rsidR="0049531C" w:rsidRPr="00DD4389" w:rsidRDefault="0049531C" w:rsidP="00DD4389">
            <w:pPr>
              <w:spacing w:after="0" w:line="240" w:lineRule="auto"/>
              <w:jc w:val="center"/>
              <w:rPr>
                <w:rFonts w:eastAsia="Times New Roman" w:cs="Times New Roman"/>
                <w:i/>
                <w:color w:val="FF0000"/>
                <w:sz w:val="20"/>
                <w:szCs w:val="20"/>
              </w:rPr>
            </w:pPr>
            <w:r w:rsidRPr="00DD4389">
              <w:rPr>
                <w:rFonts w:eastAsia="Times New Roman" w:cs="Times New Roman"/>
                <w:i/>
                <w:color w:val="FF0000"/>
                <w:sz w:val="20"/>
                <w:szCs w:val="20"/>
              </w:rPr>
              <w:t>Exclusion</w:t>
            </w:r>
          </w:p>
        </w:tc>
        <w:tc>
          <w:tcPr>
            <w:tcW w:w="1440" w:type="dxa"/>
            <w:vMerge w:val="restart"/>
            <w:tcBorders>
              <w:top w:val="nil"/>
              <w:left w:val="single" w:sz="12" w:space="0" w:color="auto"/>
              <w:bottom w:val="nil"/>
              <w:right w:val="nil"/>
            </w:tcBorders>
            <w:shd w:val="clear" w:color="auto" w:fill="BFBFBF" w:themeFill="background1" w:themeFillShade="BF"/>
            <w:vAlign w:val="center"/>
          </w:tcPr>
          <w:p w14:paraId="01E00BC6" w14:textId="77777777" w:rsidR="0049531C" w:rsidRPr="00DD4389" w:rsidRDefault="0049531C" w:rsidP="00DD4389">
            <w:pPr>
              <w:spacing w:after="0" w:line="240" w:lineRule="auto"/>
              <w:jc w:val="center"/>
              <w:rPr>
                <w:i/>
                <w:color w:val="FF0000"/>
                <w:sz w:val="20"/>
                <w:szCs w:val="20"/>
              </w:rPr>
            </w:pPr>
            <w:r w:rsidRPr="00DD4389">
              <w:rPr>
                <w:i/>
                <w:color w:val="FF0000"/>
                <w:sz w:val="20"/>
                <w:szCs w:val="20"/>
              </w:rPr>
              <w:t>Overall Occurrence (N)</w:t>
            </w:r>
          </w:p>
        </w:tc>
        <w:tc>
          <w:tcPr>
            <w:tcW w:w="1440" w:type="dxa"/>
            <w:vMerge w:val="restart"/>
            <w:tcBorders>
              <w:top w:val="nil"/>
              <w:left w:val="nil"/>
              <w:bottom w:val="nil"/>
              <w:right w:val="single" w:sz="12" w:space="0" w:color="auto"/>
            </w:tcBorders>
            <w:shd w:val="clear" w:color="auto" w:fill="BFBFBF" w:themeFill="background1" w:themeFillShade="BF"/>
            <w:vAlign w:val="center"/>
          </w:tcPr>
          <w:p w14:paraId="0B304D1A" w14:textId="77777777" w:rsidR="0049531C" w:rsidRPr="00DD4389" w:rsidRDefault="0049531C" w:rsidP="00DD4389">
            <w:pPr>
              <w:spacing w:after="0" w:line="240" w:lineRule="auto"/>
              <w:jc w:val="center"/>
              <w:rPr>
                <w:i/>
                <w:color w:val="FF0000"/>
                <w:sz w:val="20"/>
                <w:szCs w:val="20"/>
              </w:rPr>
            </w:pPr>
            <w:r w:rsidRPr="00DD4389">
              <w:rPr>
                <w:i/>
                <w:color w:val="FF0000"/>
                <w:sz w:val="20"/>
                <w:szCs w:val="20"/>
              </w:rPr>
              <w:t>Overall Occurrence (%)</w:t>
            </w:r>
          </w:p>
        </w:tc>
        <w:tc>
          <w:tcPr>
            <w:tcW w:w="3060" w:type="dxa"/>
            <w:gridSpan w:val="3"/>
            <w:tcBorders>
              <w:top w:val="nil"/>
              <w:left w:val="single" w:sz="12" w:space="0" w:color="auto"/>
              <w:bottom w:val="nil"/>
            </w:tcBorders>
            <w:shd w:val="clear" w:color="auto" w:fill="BFBFBF" w:themeFill="background1" w:themeFillShade="BF"/>
            <w:vAlign w:val="center"/>
          </w:tcPr>
          <w:p w14:paraId="570A8B54" w14:textId="77777777" w:rsidR="0049531C" w:rsidRPr="00DD4389" w:rsidRDefault="0049531C" w:rsidP="00DD4389">
            <w:pPr>
              <w:spacing w:after="0" w:line="240" w:lineRule="auto"/>
              <w:jc w:val="center"/>
              <w:rPr>
                <w:i/>
                <w:color w:val="FF0000"/>
                <w:sz w:val="20"/>
                <w:szCs w:val="20"/>
              </w:rPr>
            </w:pPr>
            <w:r w:rsidRPr="00DD4389">
              <w:rPr>
                <w:i/>
                <w:color w:val="FF0000"/>
                <w:sz w:val="20"/>
                <w:szCs w:val="20"/>
              </w:rPr>
              <w:t>Distribution Across Facilities (%)</w:t>
            </w:r>
          </w:p>
        </w:tc>
      </w:tr>
      <w:tr w:rsidR="00DD4389" w:rsidRPr="00DD4389" w14:paraId="1075B740" w14:textId="77777777" w:rsidTr="00DD4389">
        <w:trPr>
          <w:trHeight w:val="288"/>
          <w:tblHeader/>
        </w:trPr>
        <w:tc>
          <w:tcPr>
            <w:tcW w:w="3420" w:type="dxa"/>
            <w:vMerge/>
            <w:tcBorders>
              <w:top w:val="nil"/>
              <w:bottom w:val="single" w:sz="12" w:space="0" w:color="auto"/>
              <w:right w:val="single" w:sz="12" w:space="0" w:color="auto"/>
            </w:tcBorders>
            <w:shd w:val="clear" w:color="auto" w:fill="BFBFBF" w:themeFill="background1" w:themeFillShade="BF"/>
            <w:vAlign w:val="center"/>
          </w:tcPr>
          <w:p w14:paraId="112E1115" w14:textId="77777777" w:rsidR="0049531C" w:rsidRPr="00DD4389" w:rsidRDefault="0049531C" w:rsidP="00DD4389">
            <w:pPr>
              <w:spacing w:after="0" w:line="240" w:lineRule="auto"/>
              <w:jc w:val="center"/>
              <w:rPr>
                <w:rFonts w:eastAsia="Times New Roman" w:cs="Times New Roman"/>
                <w:i/>
                <w:color w:val="FF0000"/>
                <w:sz w:val="20"/>
                <w:szCs w:val="20"/>
              </w:rPr>
            </w:pPr>
          </w:p>
        </w:tc>
        <w:tc>
          <w:tcPr>
            <w:tcW w:w="1440" w:type="dxa"/>
            <w:vMerge/>
            <w:tcBorders>
              <w:top w:val="nil"/>
              <w:left w:val="single" w:sz="12" w:space="0" w:color="auto"/>
              <w:bottom w:val="single" w:sz="12" w:space="0" w:color="auto"/>
              <w:right w:val="nil"/>
            </w:tcBorders>
            <w:shd w:val="clear" w:color="auto" w:fill="BFBFBF" w:themeFill="background1" w:themeFillShade="BF"/>
            <w:vAlign w:val="center"/>
          </w:tcPr>
          <w:p w14:paraId="2F51FE9D" w14:textId="77777777" w:rsidR="0049531C" w:rsidRPr="00DD4389" w:rsidRDefault="0049531C" w:rsidP="00DD4389">
            <w:pPr>
              <w:spacing w:after="0" w:line="240" w:lineRule="auto"/>
              <w:jc w:val="center"/>
              <w:rPr>
                <w:i/>
                <w:color w:val="FF0000"/>
                <w:sz w:val="20"/>
                <w:szCs w:val="20"/>
              </w:rPr>
            </w:pPr>
          </w:p>
        </w:tc>
        <w:tc>
          <w:tcPr>
            <w:tcW w:w="1440" w:type="dxa"/>
            <w:vMerge/>
            <w:tcBorders>
              <w:top w:val="nil"/>
              <w:left w:val="nil"/>
              <w:bottom w:val="single" w:sz="12" w:space="0" w:color="auto"/>
              <w:right w:val="single" w:sz="12" w:space="0" w:color="auto"/>
            </w:tcBorders>
            <w:shd w:val="clear" w:color="auto" w:fill="BFBFBF" w:themeFill="background1" w:themeFillShade="BF"/>
            <w:vAlign w:val="center"/>
          </w:tcPr>
          <w:p w14:paraId="77A19869" w14:textId="77777777" w:rsidR="0049531C" w:rsidRPr="00DD4389" w:rsidRDefault="0049531C" w:rsidP="00DD4389">
            <w:pPr>
              <w:spacing w:after="0" w:line="240" w:lineRule="auto"/>
              <w:jc w:val="center"/>
              <w:rPr>
                <w:i/>
                <w:color w:val="FF0000"/>
                <w:sz w:val="20"/>
                <w:szCs w:val="20"/>
              </w:rPr>
            </w:pPr>
          </w:p>
        </w:tc>
        <w:tc>
          <w:tcPr>
            <w:tcW w:w="1020" w:type="dxa"/>
            <w:tcBorders>
              <w:top w:val="nil"/>
              <w:left w:val="single" w:sz="12" w:space="0" w:color="auto"/>
              <w:bottom w:val="single" w:sz="12" w:space="0" w:color="auto"/>
              <w:right w:val="nil"/>
            </w:tcBorders>
            <w:shd w:val="clear" w:color="auto" w:fill="BFBFBF" w:themeFill="background1" w:themeFillShade="BF"/>
            <w:vAlign w:val="center"/>
          </w:tcPr>
          <w:p w14:paraId="0D60EA03" w14:textId="77777777" w:rsidR="0049531C" w:rsidRPr="00DD4389" w:rsidRDefault="0049531C" w:rsidP="00DD4389">
            <w:pPr>
              <w:spacing w:after="0" w:line="240" w:lineRule="auto"/>
              <w:jc w:val="center"/>
              <w:rPr>
                <w:i/>
                <w:color w:val="FF0000"/>
                <w:sz w:val="20"/>
                <w:szCs w:val="20"/>
              </w:rPr>
            </w:pPr>
            <w:r w:rsidRPr="00DD4389">
              <w:rPr>
                <w:i/>
                <w:color w:val="FF0000"/>
                <w:sz w:val="20"/>
                <w:szCs w:val="20"/>
              </w:rPr>
              <w:t>25</w:t>
            </w:r>
            <w:r w:rsidRPr="00DD4389">
              <w:rPr>
                <w:i/>
                <w:color w:val="FF0000"/>
                <w:sz w:val="20"/>
                <w:szCs w:val="20"/>
                <w:vertAlign w:val="superscript"/>
              </w:rPr>
              <w:t>th</w:t>
            </w:r>
          </w:p>
        </w:tc>
        <w:tc>
          <w:tcPr>
            <w:tcW w:w="1020" w:type="dxa"/>
            <w:tcBorders>
              <w:top w:val="nil"/>
              <w:left w:val="nil"/>
              <w:bottom w:val="single" w:sz="12" w:space="0" w:color="auto"/>
              <w:right w:val="nil"/>
            </w:tcBorders>
            <w:shd w:val="clear" w:color="auto" w:fill="BFBFBF" w:themeFill="background1" w:themeFillShade="BF"/>
            <w:vAlign w:val="center"/>
          </w:tcPr>
          <w:p w14:paraId="59FE1DED" w14:textId="77777777" w:rsidR="0049531C" w:rsidRPr="00DD4389" w:rsidRDefault="0049531C" w:rsidP="00DD4389">
            <w:pPr>
              <w:spacing w:after="0" w:line="240" w:lineRule="auto"/>
              <w:jc w:val="center"/>
              <w:rPr>
                <w:i/>
                <w:color w:val="FF0000"/>
                <w:sz w:val="20"/>
                <w:szCs w:val="20"/>
              </w:rPr>
            </w:pPr>
            <w:r w:rsidRPr="00DD4389">
              <w:rPr>
                <w:i/>
                <w:color w:val="FF0000"/>
                <w:sz w:val="20"/>
                <w:szCs w:val="20"/>
              </w:rPr>
              <w:t>50</w:t>
            </w:r>
            <w:r w:rsidRPr="00DD4389">
              <w:rPr>
                <w:i/>
                <w:color w:val="FF0000"/>
                <w:sz w:val="20"/>
                <w:szCs w:val="20"/>
                <w:vertAlign w:val="superscript"/>
              </w:rPr>
              <w:t>th</w:t>
            </w:r>
          </w:p>
        </w:tc>
        <w:tc>
          <w:tcPr>
            <w:tcW w:w="1020" w:type="dxa"/>
            <w:tcBorders>
              <w:top w:val="nil"/>
              <w:left w:val="nil"/>
              <w:bottom w:val="single" w:sz="12" w:space="0" w:color="auto"/>
            </w:tcBorders>
            <w:shd w:val="clear" w:color="auto" w:fill="BFBFBF" w:themeFill="background1" w:themeFillShade="BF"/>
            <w:vAlign w:val="center"/>
          </w:tcPr>
          <w:p w14:paraId="04CEE6B7" w14:textId="77777777" w:rsidR="0049531C" w:rsidRPr="00DD4389" w:rsidRDefault="0049531C" w:rsidP="00DD4389">
            <w:pPr>
              <w:spacing w:after="0" w:line="240" w:lineRule="auto"/>
              <w:jc w:val="center"/>
              <w:rPr>
                <w:i/>
                <w:color w:val="FF0000"/>
                <w:sz w:val="20"/>
                <w:szCs w:val="20"/>
              </w:rPr>
            </w:pPr>
            <w:r w:rsidRPr="00DD4389">
              <w:rPr>
                <w:i/>
                <w:color w:val="FF0000"/>
                <w:sz w:val="20"/>
                <w:szCs w:val="20"/>
              </w:rPr>
              <w:t>75</w:t>
            </w:r>
            <w:r w:rsidRPr="00DD4389">
              <w:rPr>
                <w:i/>
                <w:color w:val="FF0000"/>
                <w:sz w:val="20"/>
                <w:szCs w:val="20"/>
                <w:vertAlign w:val="superscript"/>
              </w:rPr>
              <w:t>th</w:t>
            </w:r>
          </w:p>
        </w:tc>
      </w:tr>
      <w:tr w:rsidR="00DD4389" w:rsidRPr="00DD4389" w14:paraId="175DCFF9" w14:textId="77777777" w:rsidTr="00DD4389">
        <w:trPr>
          <w:trHeight w:val="288"/>
        </w:trPr>
        <w:tc>
          <w:tcPr>
            <w:tcW w:w="3420" w:type="dxa"/>
            <w:tcBorders>
              <w:top w:val="single" w:sz="12" w:space="0" w:color="auto"/>
              <w:bottom w:val="single" w:sz="8" w:space="0" w:color="auto"/>
              <w:right w:val="single" w:sz="12" w:space="0" w:color="auto"/>
            </w:tcBorders>
            <w:shd w:val="clear" w:color="auto" w:fill="auto"/>
            <w:vAlign w:val="center"/>
            <w:hideMark/>
          </w:tcPr>
          <w:p w14:paraId="0F03D1A5" w14:textId="77777777" w:rsidR="0049531C" w:rsidRPr="00DD4389" w:rsidRDefault="0049531C" w:rsidP="00DD4389">
            <w:pPr>
              <w:spacing w:after="0" w:line="240" w:lineRule="auto"/>
              <w:rPr>
                <w:rFonts w:eastAsia="Times New Roman" w:cs="Times New Roman"/>
                <w:color w:val="FF0000"/>
                <w:sz w:val="20"/>
                <w:szCs w:val="20"/>
              </w:rPr>
            </w:pPr>
            <w:r w:rsidRPr="00DD4389">
              <w:rPr>
                <w:rFonts w:eastAsia="Times New Roman" w:cs="Times New Roman"/>
                <w:color w:val="FF0000"/>
                <w:sz w:val="20"/>
                <w:szCs w:val="20"/>
              </w:rPr>
              <w:t>Cancer</w:t>
            </w:r>
          </w:p>
        </w:tc>
        <w:tc>
          <w:tcPr>
            <w:tcW w:w="1440" w:type="dxa"/>
            <w:tcBorders>
              <w:top w:val="single" w:sz="12" w:space="0" w:color="auto"/>
              <w:left w:val="single" w:sz="12" w:space="0" w:color="auto"/>
              <w:bottom w:val="single" w:sz="8" w:space="0" w:color="auto"/>
              <w:right w:val="dashed" w:sz="4" w:space="0" w:color="auto"/>
            </w:tcBorders>
            <w:shd w:val="clear" w:color="auto" w:fill="auto"/>
            <w:vAlign w:val="center"/>
          </w:tcPr>
          <w:p w14:paraId="208E4DAE" w14:textId="77777777" w:rsidR="0049531C" w:rsidRPr="00DD4389" w:rsidRDefault="0049531C" w:rsidP="00DD4389">
            <w:pPr>
              <w:spacing w:after="0" w:line="240" w:lineRule="auto"/>
              <w:jc w:val="center"/>
              <w:rPr>
                <w:color w:val="FF0000"/>
                <w:sz w:val="20"/>
                <w:szCs w:val="20"/>
              </w:rPr>
            </w:pPr>
            <w:r w:rsidRPr="00DD4389">
              <w:rPr>
                <w:color w:val="FF0000"/>
                <w:sz w:val="20"/>
                <w:szCs w:val="20"/>
              </w:rPr>
              <w:t xml:space="preserve">139,768 </w:t>
            </w:r>
          </w:p>
        </w:tc>
        <w:tc>
          <w:tcPr>
            <w:tcW w:w="1440" w:type="dxa"/>
            <w:tcBorders>
              <w:top w:val="single" w:sz="12" w:space="0" w:color="auto"/>
              <w:left w:val="dashed" w:sz="4" w:space="0" w:color="auto"/>
              <w:bottom w:val="single" w:sz="8" w:space="0" w:color="auto"/>
              <w:right w:val="single" w:sz="12" w:space="0" w:color="auto"/>
            </w:tcBorders>
            <w:shd w:val="clear" w:color="auto" w:fill="auto"/>
            <w:vAlign w:val="center"/>
          </w:tcPr>
          <w:p w14:paraId="0E46E288"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26.80</w:t>
            </w:r>
          </w:p>
        </w:tc>
        <w:tc>
          <w:tcPr>
            <w:tcW w:w="1020" w:type="dxa"/>
            <w:tcBorders>
              <w:top w:val="single" w:sz="12" w:space="0" w:color="auto"/>
              <w:left w:val="single" w:sz="12" w:space="0" w:color="auto"/>
              <w:bottom w:val="single" w:sz="8" w:space="0" w:color="auto"/>
              <w:right w:val="dashed" w:sz="4" w:space="0" w:color="auto"/>
            </w:tcBorders>
            <w:shd w:val="clear" w:color="auto" w:fill="auto"/>
            <w:vAlign w:val="center"/>
          </w:tcPr>
          <w:p w14:paraId="506D3879"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20.20</w:t>
            </w:r>
          </w:p>
        </w:tc>
        <w:tc>
          <w:tcPr>
            <w:tcW w:w="1020" w:type="dxa"/>
            <w:tcBorders>
              <w:top w:val="single" w:sz="12" w:space="0" w:color="auto"/>
              <w:left w:val="dashed" w:sz="4" w:space="0" w:color="auto"/>
              <w:bottom w:val="single" w:sz="8" w:space="0" w:color="auto"/>
              <w:right w:val="dashed" w:sz="4" w:space="0" w:color="auto"/>
            </w:tcBorders>
            <w:shd w:val="clear" w:color="auto" w:fill="auto"/>
            <w:vAlign w:val="center"/>
          </w:tcPr>
          <w:p w14:paraId="091C5539"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24.56</w:t>
            </w:r>
          </w:p>
        </w:tc>
        <w:tc>
          <w:tcPr>
            <w:tcW w:w="1020" w:type="dxa"/>
            <w:tcBorders>
              <w:top w:val="single" w:sz="12" w:space="0" w:color="auto"/>
              <w:left w:val="dashed" w:sz="4" w:space="0" w:color="auto"/>
              <w:bottom w:val="single" w:sz="8" w:space="0" w:color="auto"/>
            </w:tcBorders>
            <w:shd w:val="clear" w:color="auto" w:fill="auto"/>
            <w:vAlign w:val="center"/>
          </w:tcPr>
          <w:p w14:paraId="1EFE2854"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29.66</w:t>
            </w:r>
          </w:p>
        </w:tc>
      </w:tr>
      <w:tr w:rsidR="00DD4389" w:rsidRPr="00DD4389" w14:paraId="7E14DC98" w14:textId="77777777" w:rsidTr="00DD4389">
        <w:trPr>
          <w:trHeight w:val="288"/>
        </w:trPr>
        <w:tc>
          <w:tcPr>
            <w:tcW w:w="3420" w:type="dxa"/>
            <w:tcBorders>
              <w:top w:val="single" w:sz="8" w:space="0" w:color="auto"/>
              <w:bottom w:val="single" w:sz="8" w:space="0" w:color="auto"/>
              <w:right w:val="single" w:sz="12" w:space="0" w:color="auto"/>
            </w:tcBorders>
            <w:shd w:val="clear" w:color="auto" w:fill="auto"/>
            <w:vAlign w:val="center"/>
            <w:hideMark/>
          </w:tcPr>
          <w:p w14:paraId="05003271" w14:textId="77777777" w:rsidR="0049531C" w:rsidRPr="00DD4389" w:rsidRDefault="0049531C" w:rsidP="00DD4389">
            <w:pPr>
              <w:spacing w:after="0" w:line="240" w:lineRule="auto"/>
              <w:rPr>
                <w:rFonts w:eastAsia="Times New Roman" w:cs="Times New Roman"/>
                <w:color w:val="FF0000"/>
                <w:sz w:val="20"/>
                <w:szCs w:val="20"/>
              </w:rPr>
            </w:pPr>
            <w:r w:rsidRPr="00DD4389">
              <w:rPr>
                <w:rFonts w:eastAsia="Times New Roman" w:cs="Times New Roman"/>
                <w:color w:val="FF0000"/>
                <w:sz w:val="20"/>
                <w:szCs w:val="20"/>
              </w:rPr>
              <w:t>Congenital spine and spinal cord malformations</w:t>
            </w:r>
          </w:p>
        </w:tc>
        <w:tc>
          <w:tcPr>
            <w:tcW w:w="1440" w:type="dxa"/>
            <w:tcBorders>
              <w:top w:val="single" w:sz="8" w:space="0" w:color="auto"/>
              <w:left w:val="single" w:sz="12" w:space="0" w:color="auto"/>
              <w:bottom w:val="single" w:sz="8" w:space="0" w:color="auto"/>
              <w:right w:val="dashed" w:sz="4" w:space="0" w:color="auto"/>
            </w:tcBorders>
            <w:shd w:val="clear" w:color="auto" w:fill="auto"/>
            <w:vAlign w:val="center"/>
          </w:tcPr>
          <w:p w14:paraId="739BC841"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 xml:space="preserve">76,430 </w:t>
            </w:r>
          </w:p>
        </w:tc>
        <w:tc>
          <w:tcPr>
            <w:tcW w:w="1440" w:type="dxa"/>
            <w:tcBorders>
              <w:top w:val="single" w:sz="8" w:space="0" w:color="auto"/>
              <w:left w:val="dashed" w:sz="4" w:space="0" w:color="auto"/>
              <w:bottom w:val="single" w:sz="8" w:space="0" w:color="auto"/>
              <w:right w:val="single" w:sz="12" w:space="0" w:color="auto"/>
            </w:tcBorders>
            <w:shd w:val="clear" w:color="auto" w:fill="auto"/>
            <w:vAlign w:val="center"/>
          </w:tcPr>
          <w:p w14:paraId="3A5E5016"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14.66</w:t>
            </w:r>
          </w:p>
        </w:tc>
        <w:tc>
          <w:tcPr>
            <w:tcW w:w="1020" w:type="dxa"/>
            <w:tcBorders>
              <w:top w:val="single" w:sz="8" w:space="0" w:color="auto"/>
              <w:left w:val="single" w:sz="12" w:space="0" w:color="auto"/>
              <w:bottom w:val="single" w:sz="8" w:space="0" w:color="auto"/>
              <w:right w:val="dashed" w:sz="4" w:space="0" w:color="auto"/>
            </w:tcBorders>
            <w:shd w:val="clear" w:color="auto" w:fill="auto"/>
            <w:noWrap/>
            <w:vAlign w:val="center"/>
          </w:tcPr>
          <w:p w14:paraId="4F333A2D"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8.70</w:t>
            </w:r>
          </w:p>
        </w:tc>
        <w:tc>
          <w:tcPr>
            <w:tcW w:w="1020" w:type="dxa"/>
            <w:tcBorders>
              <w:top w:val="single" w:sz="8" w:space="0" w:color="auto"/>
              <w:left w:val="dashed" w:sz="4" w:space="0" w:color="auto"/>
              <w:bottom w:val="single" w:sz="8" w:space="0" w:color="auto"/>
              <w:right w:val="dashed" w:sz="4" w:space="0" w:color="auto"/>
            </w:tcBorders>
            <w:shd w:val="clear" w:color="auto" w:fill="auto"/>
            <w:noWrap/>
            <w:vAlign w:val="center"/>
          </w:tcPr>
          <w:p w14:paraId="7B4BB68C"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12.43</w:t>
            </w:r>
          </w:p>
        </w:tc>
        <w:tc>
          <w:tcPr>
            <w:tcW w:w="1020" w:type="dxa"/>
            <w:tcBorders>
              <w:top w:val="single" w:sz="8" w:space="0" w:color="auto"/>
              <w:left w:val="dashed" w:sz="4" w:space="0" w:color="auto"/>
              <w:bottom w:val="single" w:sz="8" w:space="0" w:color="auto"/>
            </w:tcBorders>
            <w:shd w:val="clear" w:color="auto" w:fill="auto"/>
            <w:noWrap/>
            <w:vAlign w:val="center"/>
          </w:tcPr>
          <w:p w14:paraId="22A70FC6"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17.50</w:t>
            </w:r>
          </w:p>
        </w:tc>
      </w:tr>
      <w:tr w:rsidR="00DD4389" w:rsidRPr="00DD4389" w14:paraId="53835480" w14:textId="77777777" w:rsidTr="00DD4389">
        <w:trPr>
          <w:trHeight w:val="288"/>
        </w:trPr>
        <w:tc>
          <w:tcPr>
            <w:tcW w:w="3420" w:type="dxa"/>
            <w:tcBorders>
              <w:top w:val="single" w:sz="8" w:space="0" w:color="auto"/>
              <w:bottom w:val="single" w:sz="8" w:space="0" w:color="auto"/>
              <w:right w:val="single" w:sz="12" w:space="0" w:color="auto"/>
            </w:tcBorders>
            <w:shd w:val="clear" w:color="auto" w:fill="auto"/>
            <w:vAlign w:val="center"/>
            <w:hideMark/>
          </w:tcPr>
          <w:p w14:paraId="015F9FDE" w14:textId="77777777" w:rsidR="0049531C" w:rsidRPr="00DD4389" w:rsidRDefault="0049531C" w:rsidP="00DD4389">
            <w:pPr>
              <w:spacing w:after="0" w:line="240" w:lineRule="auto"/>
              <w:rPr>
                <w:rFonts w:eastAsia="Times New Roman" w:cs="Times New Roman"/>
                <w:color w:val="FF0000"/>
                <w:sz w:val="20"/>
                <w:szCs w:val="20"/>
              </w:rPr>
            </w:pPr>
            <w:r w:rsidRPr="00DD4389">
              <w:rPr>
                <w:rFonts w:eastAsia="Times New Roman" w:cs="Times New Roman"/>
                <w:color w:val="FF0000"/>
                <w:sz w:val="20"/>
                <w:szCs w:val="20"/>
              </w:rPr>
              <w:t>Inflammatory and autoimmune diseases</w:t>
            </w:r>
          </w:p>
        </w:tc>
        <w:tc>
          <w:tcPr>
            <w:tcW w:w="1440" w:type="dxa"/>
            <w:tcBorders>
              <w:top w:val="single" w:sz="8" w:space="0" w:color="auto"/>
              <w:left w:val="single" w:sz="12" w:space="0" w:color="auto"/>
              <w:bottom w:val="single" w:sz="8" w:space="0" w:color="auto"/>
              <w:right w:val="dashed" w:sz="4" w:space="0" w:color="auto"/>
            </w:tcBorders>
            <w:shd w:val="clear" w:color="auto" w:fill="auto"/>
            <w:vAlign w:val="center"/>
          </w:tcPr>
          <w:p w14:paraId="4C84C9A9"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 xml:space="preserve">64,483 </w:t>
            </w:r>
          </w:p>
        </w:tc>
        <w:tc>
          <w:tcPr>
            <w:tcW w:w="1440" w:type="dxa"/>
            <w:tcBorders>
              <w:top w:val="single" w:sz="8" w:space="0" w:color="auto"/>
              <w:left w:val="dashed" w:sz="4" w:space="0" w:color="auto"/>
              <w:bottom w:val="single" w:sz="8" w:space="0" w:color="auto"/>
              <w:right w:val="single" w:sz="12" w:space="0" w:color="auto"/>
            </w:tcBorders>
            <w:shd w:val="clear" w:color="auto" w:fill="auto"/>
            <w:vAlign w:val="center"/>
          </w:tcPr>
          <w:p w14:paraId="1D393336"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12.37</w:t>
            </w:r>
          </w:p>
        </w:tc>
        <w:tc>
          <w:tcPr>
            <w:tcW w:w="1020" w:type="dxa"/>
            <w:tcBorders>
              <w:top w:val="single" w:sz="8" w:space="0" w:color="auto"/>
              <w:left w:val="single" w:sz="12" w:space="0" w:color="auto"/>
              <w:bottom w:val="single" w:sz="8" w:space="0" w:color="auto"/>
              <w:right w:val="dashed" w:sz="4" w:space="0" w:color="auto"/>
            </w:tcBorders>
            <w:shd w:val="clear" w:color="auto" w:fill="auto"/>
            <w:vAlign w:val="center"/>
          </w:tcPr>
          <w:p w14:paraId="366E6341"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8.96</w:t>
            </w:r>
          </w:p>
        </w:tc>
        <w:tc>
          <w:tcPr>
            <w:tcW w:w="1020" w:type="dxa"/>
            <w:tcBorders>
              <w:top w:val="single" w:sz="8" w:space="0" w:color="auto"/>
              <w:left w:val="dashed" w:sz="4" w:space="0" w:color="auto"/>
              <w:bottom w:val="single" w:sz="8" w:space="0" w:color="auto"/>
              <w:right w:val="dashed" w:sz="4" w:space="0" w:color="auto"/>
            </w:tcBorders>
            <w:shd w:val="clear" w:color="auto" w:fill="auto"/>
            <w:vAlign w:val="center"/>
          </w:tcPr>
          <w:p w14:paraId="43E276C6"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11.52</w:t>
            </w:r>
          </w:p>
        </w:tc>
        <w:tc>
          <w:tcPr>
            <w:tcW w:w="1020" w:type="dxa"/>
            <w:tcBorders>
              <w:top w:val="single" w:sz="8" w:space="0" w:color="auto"/>
              <w:left w:val="dashed" w:sz="4" w:space="0" w:color="auto"/>
              <w:bottom w:val="single" w:sz="8" w:space="0" w:color="auto"/>
            </w:tcBorders>
            <w:shd w:val="clear" w:color="auto" w:fill="auto"/>
            <w:vAlign w:val="center"/>
          </w:tcPr>
          <w:p w14:paraId="61F372AD"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14.29</w:t>
            </w:r>
          </w:p>
        </w:tc>
      </w:tr>
      <w:tr w:rsidR="00DD4389" w:rsidRPr="00DD4389" w14:paraId="5731EE8C" w14:textId="77777777" w:rsidTr="00DD4389">
        <w:trPr>
          <w:trHeight w:val="288"/>
        </w:trPr>
        <w:tc>
          <w:tcPr>
            <w:tcW w:w="3420" w:type="dxa"/>
            <w:tcBorders>
              <w:top w:val="single" w:sz="8" w:space="0" w:color="auto"/>
              <w:bottom w:val="single" w:sz="8" w:space="0" w:color="auto"/>
              <w:right w:val="single" w:sz="12" w:space="0" w:color="auto"/>
            </w:tcBorders>
            <w:shd w:val="clear" w:color="auto" w:fill="auto"/>
            <w:vAlign w:val="center"/>
            <w:hideMark/>
          </w:tcPr>
          <w:p w14:paraId="704DA3CA" w14:textId="77777777" w:rsidR="0049531C" w:rsidRPr="00DD4389" w:rsidRDefault="0049531C" w:rsidP="00DD4389">
            <w:pPr>
              <w:spacing w:after="0" w:line="240" w:lineRule="auto"/>
              <w:rPr>
                <w:rFonts w:eastAsia="Times New Roman" w:cs="Times New Roman"/>
                <w:color w:val="FF0000"/>
                <w:sz w:val="20"/>
                <w:szCs w:val="20"/>
              </w:rPr>
            </w:pPr>
            <w:r w:rsidRPr="00DD4389">
              <w:rPr>
                <w:rFonts w:eastAsia="Times New Roman" w:cs="Times New Roman"/>
                <w:color w:val="FF0000"/>
                <w:sz w:val="20"/>
                <w:szCs w:val="20"/>
              </w:rPr>
              <w:t>Infectious conditions</w:t>
            </w:r>
          </w:p>
        </w:tc>
        <w:tc>
          <w:tcPr>
            <w:tcW w:w="1440" w:type="dxa"/>
            <w:tcBorders>
              <w:top w:val="single" w:sz="8" w:space="0" w:color="auto"/>
              <w:left w:val="single" w:sz="12" w:space="0" w:color="auto"/>
              <w:bottom w:val="single" w:sz="8" w:space="0" w:color="auto"/>
              <w:right w:val="dashed" w:sz="4" w:space="0" w:color="auto"/>
            </w:tcBorders>
            <w:shd w:val="clear" w:color="auto" w:fill="auto"/>
            <w:vAlign w:val="center"/>
          </w:tcPr>
          <w:p w14:paraId="6D916ECC"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 xml:space="preserve">3,484 </w:t>
            </w:r>
          </w:p>
        </w:tc>
        <w:tc>
          <w:tcPr>
            <w:tcW w:w="1440" w:type="dxa"/>
            <w:tcBorders>
              <w:top w:val="single" w:sz="8" w:space="0" w:color="auto"/>
              <w:left w:val="dashed" w:sz="4" w:space="0" w:color="auto"/>
              <w:bottom w:val="single" w:sz="8" w:space="0" w:color="auto"/>
              <w:right w:val="single" w:sz="12" w:space="0" w:color="auto"/>
            </w:tcBorders>
            <w:shd w:val="clear" w:color="auto" w:fill="auto"/>
            <w:vAlign w:val="center"/>
          </w:tcPr>
          <w:p w14:paraId="7F547008"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0.67</w:t>
            </w:r>
          </w:p>
        </w:tc>
        <w:tc>
          <w:tcPr>
            <w:tcW w:w="1020" w:type="dxa"/>
            <w:tcBorders>
              <w:top w:val="single" w:sz="8" w:space="0" w:color="auto"/>
              <w:left w:val="single" w:sz="12" w:space="0" w:color="auto"/>
              <w:bottom w:val="single" w:sz="8" w:space="0" w:color="auto"/>
              <w:right w:val="dashed" w:sz="4" w:space="0" w:color="auto"/>
            </w:tcBorders>
            <w:shd w:val="clear" w:color="auto" w:fill="auto"/>
            <w:vAlign w:val="center"/>
          </w:tcPr>
          <w:p w14:paraId="655AE0B5"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0.00</w:t>
            </w:r>
          </w:p>
        </w:tc>
        <w:tc>
          <w:tcPr>
            <w:tcW w:w="1020" w:type="dxa"/>
            <w:tcBorders>
              <w:top w:val="single" w:sz="8" w:space="0" w:color="auto"/>
              <w:left w:val="dashed" w:sz="4" w:space="0" w:color="auto"/>
              <w:bottom w:val="single" w:sz="8" w:space="0" w:color="auto"/>
              <w:right w:val="dashed" w:sz="4" w:space="0" w:color="auto"/>
            </w:tcBorders>
            <w:shd w:val="clear" w:color="auto" w:fill="auto"/>
            <w:vAlign w:val="center"/>
          </w:tcPr>
          <w:p w14:paraId="6A6B7F0E"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0.39</w:t>
            </w:r>
          </w:p>
        </w:tc>
        <w:tc>
          <w:tcPr>
            <w:tcW w:w="1020" w:type="dxa"/>
            <w:tcBorders>
              <w:top w:val="single" w:sz="8" w:space="0" w:color="auto"/>
              <w:left w:val="dashed" w:sz="4" w:space="0" w:color="auto"/>
              <w:bottom w:val="single" w:sz="8" w:space="0" w:color="auto"/>
            </w:tcBorders>
            <w:shd w:val="clear" w:color="auto" w:fill="auto"/>
            <w:vAlign w:val="center"/>
          </w:tcPr>
          <w:p w14:paraId="38F62D3A"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1.02</w:t>
            </w:r>
          </w:p>
        </w:tc>
      </w:tr>
      <w:tr w:rsidR="00DD4389" w:rsidRPr="00DD4389" w14:paraId="4E8EB1AD" w14:textId="77777777" w:rsidTr="00DD4389">
        <w:trPr>
          <w:trHeight w:val="288"/>
        </w:trPr>
        <w:tc>
          <w:tcPr>
            <w:tcW w:w="3420" w:type="dxa"/>
            <w:tcBorders>
              <w:top w:val="single" w:sz="8" w:space="0" w:color="auto"/>
              <w:bottom w:val="single" w:sz="8" w:space="0" w:color="auto"/>
              <w:right w:val="single" w:sz="12" w:space="0" w:color="auto"/>
            </w:tcBorders>
            <w:shd w:val="clear" w:color="auto" w:fill="auto"/>
            <w:vAlign w:val="center"/>
            <w:hideMark/>
          </w:tcPr>
          <w:p w14:paraId="319960F4" w14:textId="77777777" w:rsidR="0049531C" w:rsidRPr="00DD4389" w:rsidRDefault="0049531C" w:rsidP="00DD4389">
            <w:pPr>
              <w:spacing w:after="0" w:line="240" w:lineRule="auto"/>
              <w:rPr>
                <w:rFonts w:eastAsia="Times New Roman" w:cs="Times New Roman"/>
                <w:color w:val="FF0000"/>
                <w:sz w:val="20"/>
                <w:szCs w:val="20"/>
              </w:rPr>
            </w:pPr>
            <w:r w:rsidRPr="00DD4389">
              <w:rPr>
                <w:rFonts w:eastAsia="Times New Roman" w:cs="Times New Roman"/>
                <w:color w:val="FF0000"/>
                <w:sz w:val="20"/>
                <w:szCs w:val="20"/>
              </w:rPr>
              <w:t>Spinal vascular malformations and/or the cause of occult subarachnoid hemorrhage</w:t>
            </w:r>
          </w:p>
        </w:tc>
        <w:tc>
          <w:tcPr>
            <w:tcW w:w="1440" w:type="dxa"/>
            <w:tcBorders>
              <w:top w:val="single" w:sz="8" w:space="0" w:color="auto"/>
              <w:left w:val="single" w:sz="12" w:space="0" w:color="auto"/>
              <w:bottom w:val="single" w:sz="8" w:space="0" w:color="auto"/>
              <w:right w:val="dashed" w:sz="4" w:space="0" w:color="auto"/>
            </w:tcBorders>
            <w:shd w:val="clear" w:color="auto" w:fill="auto"/>
            <w:vAlign w:val="center"/>
          </w:tcPr>
          <w:p w14:paraId="6429404A"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 xml:space="preserve">15,028 </w:t>
            </w:r>
          </w:p>
        </w:tc>
        <w:tc>
          <w:tcPr>
            <w:tcW w:w="1440" w:type="dxa"/>
            <w:tcBorders>
              <w:top w:val="single" w:sz="8" w:space="0" w:color="auto"/>
              <w:left w:val="dashed" w:sz="4" w:space="0" w:color="auto"/>
              <w:bottom w:val="single" w:sz="8" w:space="0" w:color="auto"/>
              <w:right w:val="single" w:sz="12" w:space="0" w:color="auto"/>
            </w:tcBorders>
            <w:shd w:val="clear" w:color="auto" w:fill="auto"/>
            <w:vAlign w:val="center"/>
          </w:tcPr>
          <w:p w14:paraId="1D9433F2"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2.88</w:t>
            </w:r>
          </w:p>
        </w:tc>
        <w:tc>
          <w:tcPr>
            <w:tcW w:w="1020" w:type="dxa"/>
            <w:tcBorders>
              <w:top w:val="single" w:sz="8" w:space="0" w:color="auto"/>
              <w:left w:val="single" w:sz="12" w:space="0" w:color="auto"/>
              <w:bottom w:val="single" w:sz="8" w:space="0" w:color="auto"/>
              <w:right w:val="dashed" w:sz="4" w:space="0" w:color="auto"/>
            </w:tcBorders>
            <w:shd w:val="clear" w:color="auto" w:fill="auto"/>
            <w:vAlign w:val="center"/>
          </w:tcPr>
          <w:p w14:paraId="59999551"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1.24</w:t>
            </w:r>
          </w:p>
        </w:tc>
        <w:tc>
          <w:tcPr>
            <w:tcW w:w="1020" w:type="dxa"/>
            <w:tcBorders>
              <w:top w:val="single" w:sz="8" w:space="0" w:color="auto"/>
              <w:left w:val="dashed" w:sz="4" w:space="0" w:color="auto"/>
              <w:bottom w:val="single" w:sz="8" w:space="0" w:color="auto"/>
              <w:right w:val="dashed" w:sz="4" w:space="0" w:color="auto"/>
            </w:tcBorders>
            <w:shd w:val="clear" w:color="auto" w:fill="auto"/>
            <w:vAlign w:val="center"/>
          </w:tcPr>
          <w:p w14:paraId="74022C6C"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2.22</w:t>
            </w:r>
          </w:p>
        </w:tc>
        <w:tc>
          <w:tcPr>
            <w:tcW w:w="1020" w:type="dxa"/>
            <w:tcBorders>
              <w:top w:val="single" w:sz="8" w:space="0" w:color="auto"/>
              <w:left w:val="dashed" w:sz="4" w:space="0" w:color="auto"/>
              <w:bottom w:val="single" w:sz="8" w:space="0" w:color="auto"/>
            </w:tcBorders>
            <w:shd w:val="clear" w:color="auto" w:fill="auto"/>
            <w:vAlign w:val="center"/>
          </w:tcPr>
          <w:p w14:paraId="126F2FEF"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3.59</w:t>
            </w:r>
          </w:p>
        </w:tc>
      </w:tr>
      <w:tr w:rsidR="00DD4389" w:rsidRPr="00DD4389" w14:paraId="7D611EA7" w14:textId="77777777" w:rsidTr="00DD4389">
        <w:trPr>
          <w:trHeight w:val="288"/>
        </w:trPr>
        <w:tc>
          <w:tcPr>
            <w:tcW w:w="3420" w:type="dxa"/>
            <w:tcBorders>
              <w:top w:val="single" w:sz="8" w:space="0" w:color="auto"/>
              <w:bottom w:val="single" w:sz="8" w:space="0" w:color="auto"/>
              <w:right w:val="single" w:sz="12" w:space="0" w:color="auto"/>
            </w:tcBorders>
            <w:shd w:val="clear" w:color="auto" w:fill="auto"/>
            <w:vAlign w:val="center"/>
            <w:hideMark/>
          </w:tcPr>
          <w:p w14:paraId="5343091F" w14:textId="77777777" w:rsidR="0049531C" w:rsidRPr="00DD4389" w:rsidRDefault="0049531C" w:rsidP="00DD4389">
            <w:pPr>
              <w:spacing w:after="0" w:line="240" w:lineRule="auto"/>
              <w:rPr>
                <w:rFonts w:eastAsia="Times New Roman" w:cs="Times New Roman"/>
                <w:color w:val="FF0000"/>
                <w:sz w:val="20"/>
                <w:szCs w:val="20"/>
              </w:rPr>
            </w:pPr>
            <w:r w:rsidRPr="00DD4389">
              <w:rPr>
                <w:rFonts w:eastAsia="Times New Roman" w:cs="Times New Roman"/>
                <w:color w:val="FF0000"/>
                <w:sz w:val="20"/>
                <w:szCs w:val="20"/>
              </w:rPr>
              <w:t>Spinal cord infarction</w:t>
            </w:r>
          </w:p>
        </w:tc>
        <w:tc>
          <w:tcPr>
            <w:tcW w:w="1440" w:type="dxa"/>
            <w:tcBorders>
              <w:top w:val="single" w:sz="8" w:space="0" w:color="auto"/>
              <w:left w:val="single" w:sz="12" w:space="0" w:color="auto"/>
              <w:bottom w:val="single" w:sz="8" w:space="0" w:color="auto"/>
              <w:right w:val="dashed" w:sz="4" w:space="0" w:color="auto"/>
            </w:tcBorders>
            <w:shd w:val="clear" w:color="auto" w:fill="auto"/>
            <w:vAlign w:val="center"/>
          </w:tcPr>
          <w:p w14:paraId="4DC1CAD8"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 xml:space="preserve">1,175 </w:t>
            </w:r>
          </w:p>
        </w:tc>
        <w:tc>
          <w:tcPr>
            <w:tcW w:w="1440" w:type="dxa"/>
            <w:tcBorders>
              <w:top w:val="single" w:sz="8" w:space="0" w:color="auto"/>
              <w:left w:val="dashed" w:sz="4" w:space="0" w:color="auto"/>
              <w:bottom w:val="single" w:sz="8" w:space="0" w:color="auto"/>
              <w:right w:val="single" w:sz="12" w:space="0" w:color="auto"/>
            </w:tcBorders>
            <w:shd w:val="clear" w:color="auto" w:fill="auto"/>
            <w:vAlign w:val="center"/>
          </w:tcPr>
          <w:p w14:paraId="1E8F9F7B"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0.23</w:t>
            </w:r>
          </w:p>
        </w:tc>
        <w:tc>
          <w:tcPr>
            <w:tcW w:w="1020" w:type="dxa"/>
            <w:tcBorders>
              <w:top w:val="single" w:sz="8" w:space="0" w:color="auto"/>
              <w:left w:val="single" w:sz="12" w:space="0" w:color="auto"/>
              <w:bottom w:val="single" w:sz="8" w:space="0" w:color="auto"/>
              <w:right w:val="dashed" w:sz="4" w:space="0" w:color="auto"/>
            </w:tcBorders>
            <w:shd w:val="clear" w:color="auto" w:fill="auto"/>
            <w:vAlign w:val="center"/>
          </w:tcPr>
          <w:p w14:paraId="06E5F174"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0.00</w:t>
            </w:r>
          </w:p>
        </w:tc>
        <w:tc>
          <w:tcPr>
            <w:tcW w:w="1020" w:type="dxa"/>
            <w:tcBorders>
              <w:top w:val="single" w:sz="8" w:space="0" w:color="auto"/>
              <w:left w:val="dashed" w:sz="4" w:space="0" w:color="auto"/>
              <w:bottom w:val="single" w:sz="8" w:space="0" w:color="auto"/>
              <w:right w:val="dashed" w:sz="4" w:space="0" w:color="auto"/>
            </w:tcBorders>
            <w:shd w:val="clear" w:color="auto" w:fill="auto"/>
            <w:vAlign w:val="center"/>
          </w:tcPr>
          <w:p w14:paraId="3E6C925B"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0.00</w:t>
            </w:r>
          </w:p>
        </w:tc>
        <w:tc>
          <w:tcPr>
            <w:tcW w:w="1020" w:type="dxa"/>
            <w:tcBorders>
              <w:top w:val="single" w:sz="8" w:space="0" w:color="auto"/>
              <w:left w:val="dashed" w:sz="4" w:space="0" w:color="auto"/>
              <w:bottom w:val="single" w:sz="8" w:space="0" w:color="auto"/>
            </w:tcBorders>
            <w:shd w:val="clear" w:color="auto" w:fill="auto"/>
            <w:vAlign w:val="center"/>
          </w:tcPr>
          <w:p w14:paraId="66379522"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0.19</w:t>
            </w:r>
          </w:p>
        </w:tc>
      </w:tr>
      <w:tr w:rsidR="00DD4389" w:rsidRPr="00DD4389" w14:paraId="2E177BA5" w14:textId="77777777" w:rsidTr="00DD4389">
        <w:trPr>
          <w:trHeight w:val="288"/>
        </w:trPr>
        <w:tc>
          <w:tcPr>
            <w:tcW w:w="3420" w:type="dxa"/>
            <w:tcBorders>
              <w:top w:val="single" w:sz="8" w:space="0" w:color="auto"/>
              <w:bottom w:val="single" w:sz="8" w:space="0" w:color="auto"/>
              <w:right w:val="single" w:sz="12" w:space="0" w:color="auto"/>
            </w:tcBorders>
            <w:shd w:val="clear" w:color="auto" w:fill="auto"/>
            <w:vAlign w:val="center"/>
            <w:hideMark/>
          </w:tcPr>
          <w:p w14:paraId="11E1DCB0" w14:textId="77777777" w:rsidR="0049531C" w:rsidRPr="00DD4389" w:rsidRDefault="0049531C" w:rsidP="00DD4389">
            <w:pPr>
              <w:spacing w:after="0" w:line="240" w:lineRule="auto"/>
              <w:rPr>
                <w:rFonts w:eastAsia="Times New Roman" w:cs="Times New Roman"/>
                <w:color w:val="FF0000"/>
                <w:sz w:val="20"/>
                <w:szCs w:val="20"/>
              </w:rPr>
            </w:pPr>
            <w:r w:rsidRPr="00DD4389">
              <w:rPr>
                <w:rFonts w:eastAsia="Times New Roman" w:cs="Times New Roman"/>
                <w:color w:val="FF0000"/>
                <w:sz w:val="20"/>
                <w:szCs w:val="20"/>
              </w:rPr>
              <w:t>Neoplastic abnormalities</w:t>
            </w:r>
          </w:p>
        </w:tc>
        <w:tc>
          <w:tcPr>
            <w:tcW w:w="1440" w:type="dxa"/>
            <w:tcBorders>
              <w:top w:val="single" w:sz="8" w:space="0" w:color="auto"/>
              <w:left w:val="single" w:sz="12" w:space="0" w:color="auto"/>
              <w:bottom w:val="single" w:sz="8" w:space="0" w:color="auto"/>
              <w:right w:val="dashed" w:sz="4" w:space="0" w:color="auto"/>
            </w:tcBorders>
            <w:shd w:val="clear" w:color="auto" w:fill="auto"/>
            <w:vAlign w:val="center"/>
          </w:tcPr>
          <w:p w14:paraId="20DC14B2"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 xml:space="preserve">1,957 </w:t>
            </w:r>
          </w:p>
        </w:tc>
        <w:tc>
          <w:tcPr>
            <w:tcW w:w="1440" w:type="dxa"/>
            <w:tcBorders>
              <w:top w:val="single" w:sz="8" w:space="0" w:color="auto"/>
              <w:left w:val="dashed" w:sz="4" w:space="0" w:color="auto"/>
              <w:bottom w:val="single" w:sz="8" w:space="0" w:color="auto"/>
              <w:right w:val="single" w:sz="12" w:space="0" w:color="auto"/>
            </w:tcBorders>
            <w:shd w:val="clear" w:color="auto" w:fill="auto"/>
            <w:vAlign w:val="center"/>
          </w:tcPr>
          <w:p w14:paraId="3612B274"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0.38</w:t>
            </w:r>
          </w:p>
        </w:tc>
        <w:tc>
          <w:tcPr>
            <w:tcW w:w="1020" w:type="dxa"/>
            <w:tcBorders>
              <w:top w:val="single" w:sz="8" w:space="0" w:color="auto"/>
              <w:left w:val="single" w:sz="12" w:space="0" w:color="auto"/>
              <w:bottom w:val="single" w:sz="8" w:space="0" w:color="auto"/>
              <w:right w:val="dashed" w:sz="4" w:space="0" w:color="auto"/>
            </w:tcBorders>
            <w:shd w:val="clear" w:color="auto" w:fill="auto"/>
            <w:vAlign w:val="center"/>
          </w:tcPr>
          <w:p w14:paraId="0654D20D"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0.00</w:t>
            </w:r>
          </w:p>
        </w:tc>
        <w:tc>
          <w:tcPr>
            <w:tcW w:w="1020" w:type="dxa"/>
            <w:tcBorders>
              <w:top w:val="single" w:sz="8" w:space="0" w:color="auto"/>
              <w:left w:val="dashed" w:sz="4" w:space="0" w:color="auto"/>
              <w:bottom w:val="single" w:sz="8" w:space="0" w:color="auto"/>
              <w:right w:val="dashed" w:sz="4" w:space="0" w:color="auto"/>
            </w:tcBorders>
            <w:shd w:val="clear" w:color="auto" w:fill="auto"/>
            <w:vAlign w:val="center"/>
          </w:tcPr>
          <w:p w14:paraId="7F0B0241"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0.00</w:t>
            </w:r>
          </w:p>
        </w:tc>
        <w:tc>
          <w:tcPr>
            <w:tcW w:w="1020" w:type="dxa"/>
            <w:tcBorders>
              <w:top w:val="single" w:sz="8" w:space="0" w:color="auto"/>
              <w:left w:val="dashed" w:sz="4" w:space="0" w:color="auto"/>
              <w:bottom w:val="single" w:sz="8" w:space="0" w:color="auto"/>
            </w:tcBorders>
            <w:shd w:val="clear" w:color="auto" w:fill="auto"/>
            <w:vAlign w:val="center"/>
          </w:tcPr>
          <w:p w14:paraId="64626708"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0.49</w:t>
            </w:r>
          </w:p>
        </w:tc>
      </w:tr>
      <w:tr w:rsidR="00DD4389" w:rsidRPr="00DD4389" w14:paraId="15801114" w14:textId="77777777" w:rsidTr="00DD4389">
        <w:trPr>
          <w:trHeight w:val="288"/>
        </w:trPr>
        <w:tc>
          <w:tcPr>
            <w:tcW w:w="3420" w:type="dxa"/>
            <w:tcBorders>
              <w:top w:val="single" w:sz="8" w:space="0" w:color="auto"/>
              <w:bottom w:val="single" w:sz="8" w:space="0" w:color="auto"/>
              <w:right w:val="single" w:sz="12" w:space="0" w:color="auto"/>
            </w:tcBorders>
            <w:shd w:val="clear" w:color="auto" w:fill="auto"/>
            <w:vAlign w:val="center"/>
            <w:hideMark/>
          </w:tcPr>
          <w:p w14:paraId="55EF2555" w14:textId="77777777" w:rsidR="0049531C" w:rsidRPr="00DD4389" w:rsidRDefault="0049531C" w:rsidP="00DD4389">
            <w:pPr>
              <w:spacing w:after="0" w:line="240" w:lineRule="auto"/>
              <w:rPr>
                <w:rFonts w:eastAsia="Times New Roman" w:cs="Times New Roman"/>
                <w:color w:val="FF0000"/>
                <w:sz w:val="20"/>
                <w:szCs w:val="20"/>
              </w:rPr>
            </w:pPr>
            <w:r w:rsidRPr="00DD4389">
              <w:rPr>
                <w:rFonts w:eastAsia="Times New Roman" w:cs="Times New Roman"/>
                <w:color w:val="FF0000"/>
                <w:sz w:val="20"/>
                <w:szCs w:val="20"/>
              </w:rPr>
              <w:t>Treatment fields for radiation therapy</w:t>
            </w:r>
          </w:p>
        </w:tc>
        <w:tc>
          <w:tcPr>
            <w:tcW w:w="1440" w:type="dxa"/>
            <w:tcBorders>
              <w:top w:val="single" w:sz="8" w:space="0" w:color="auto"/>
              <w:left w:val="single" w:sz="12" w:space="0" w:color="auto"/>
              <w:bottom w:val="single" w:sz="8" w:space="0" w:color="auto"/>
              <w:right w:val="dashed" w:sz="4" w:space="0" w:color="auto"/>
            </w:tcBorders>
            <w:shd w:val="clear" w:color="auto" w:fill="auto"/>
            <w:vAlign w:val="center"/>
          </w:tcPr>
          <w:p w14:paraId="52781727"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 xml:space="preserve">856 </w:t>
            </w:r>
          </w:p>
        </w:tc>
        <w:tc>
          <w:tcPr>
            <w:tcW w:w="1440" w:type="dxa"/>
            <w:tcBorders>
              <w:top w:val="single" w:sz="8" w:space="0" w:color="auto"/>
              <w:left w:val="dashed" w:sz="4" w:space="0" w:color="auto"/>
              <w:bottom w:val="single" w:sz="8" w:space="0" w:color="auto"/>
              <w:right w:val="single" w:sz="12" w:space="0" w:color="auto"/>
            </w:tcBorders>
            <w:shd w:val="clear" w:color="auto" w:fill="auto"/>
            <w:vAlign w:val="center"/>
          </w:tcPr>
          <w:p w14:paraId="641D14DF"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0.16</w:t>
            </w:r>
          </w:p>
        </w:tc>
        <w:tc>
          <w:tcPr>
            <w:tcW w:w="1020" w:type="dxa"/>
            <w:tcBorders>
              <w:top w:val="single" w:sz="8" w:space="0" w:color="auto"/>
              <w:left w:val="single" w:sz="12" w:space="0" w:color="auto"/>
              <w:bottom w:val="single" w:sz="8" w:space="0" w:color="auto"/>
              <w:right w:val="dashed" w:sz="4" w:space="0" w:color="auto"/>
            </w:tcBorders>
            <w:shd w:val="clear" w:color="auto" w:fill="auto"/>
            <w:vAlign w:val="center"/>
          </w:tcPr>
          <w:p w14:paraId="4AB6A9D2"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0.00</w:t>
            </w:r>
          </w:p>
        </w:tc>
        <w:tc>
          <w:tcPr>
            <w:tcW w:w="1020" w:type="dxa"/>
            <w:tcBorders>
              <w:top w:val="single" w:sz="8" w:space="0" w:color="auto"/>
              <w:left w:val="dashed" w:sz="4" w:space="0" w:color="auto"/>
              <w:bottom w:val="single" w:sz="8" w:space="0" w:color="auto"/>
              <w:right w:val="dashed" w:sz="4" w:space="0" w:color="auto"/>
            </w:tcBorders>
            <w:shd w:val="clear" w:color="auto" w:fill="auto"/>
            <w:vAlign w:val="center"/>
          </w:tcPr>
          <w:p w14:paraId="5C9DABF6"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0.00</w:t>
            </w:r>
          </w:p>
        </w:tc>
        <w:tc>
          <w:tcPr>
            <w:tcW w:w="1020" w:type="dxa"/>
            <w:tcBorders>
              <w:top w:val="single" w:sz="8" w:space="0" w:color="auto"/>
              <w:left w:val="dashed" w:sz="4" w:space="0" w:color="auto"/>
              <w:bottom w:val="single" w:sz="8" w:space="0" w:color="auto"/>
            </w:tcBorders>
            <w:shd w:val="clear" w:color="auto" w:fill="auto"/>
            <w:vAlign w:val="center"/>
          </w:tcPr>
          <w:p w14:paraId="27DAF1EE"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0.00</w:t>
            </w:r>
          </w:p>
        </w:tc>
      </w:tr>
      <w:tr w:rsidR="00DD4389" w:rsidRPr="00DD4389" w14:paraId="3D1954F4" w14:textId="77777777" w:rsidTr="00DD4389">
        <w:trPr>
          <w:trHeight w:val="288"/>
        </w:trPr>
        <w:tc>
          <w:tcPr>
            <w:tcW w:w="3420" w:type="dxa"/>
            <w:tcBorders>
              <w:top w:val="single" w:sz="8" w:space="0" w:color="auto"/>
              <w:bottom w:val="single" w:sz="8" w:space="0" w:color="auto"/>
              <w:right w:val="single" w:sz="12" w:space="0" w:color="auto"/>
            </w:tcBorders>
            <w:shd w:val="clear" w:color="auto" w:fill="auto"/>
            <w:vAlign w:val="center"/>
            <w:hideMark/>
          </w:tcPr>
          <w:p w14:paraId="6D1BE908" w14:textId="77777777" w:rsidR="0049531C" w:rsidRPr="00DD4389" w:rsidRDefault="0049531C" w:rsidP="00DD4389">
            <w:pPr>
              <w:spacing w:after="0" w:line="240" w:lineRule="auto"/>
              <w:rPr>
                <w:rFonts w:eastAsia="Times New Roman" w:cs="Times New Roman"/>
                <w:color w:val="FF0000"/>
                <w:sz w:val="20"/>
                <w:szCs w:val="20"/>
              </w:rPr>
            </w:pPr>
            <w:r w:rsidRPr="00DD4389">
              <w:rPr>
                <w:rFonts w:eastAsia="Times New Roman" w:cs="Times New Roman"/>
                <w:color w:val="FF0000"/>
                <w:sz w:val="20"/>
                <w:szCs w:val="20"/>
              </w:rPr>
              <w:t>Spinal abnormalities associated with scoliosis</w:t>
            </w:r>
          </w:p>
        </w:tc>
        <w:tc>
          <w:tcPr>
            <w:tcW w:w="1440" w:type="dxa"/>
            <w:tcBorders>
              <w:top w:val="single" w:sz="8" w:space="0" w:color="auto"/>
              <w:left w:val="single" w:sz="12" w:space="0" w:color="auto"/>
              <w:bottom w:val="single" w:sz="8" w:space="0" w:color="auto"/>
              <w:right w:val="dashed" w:sz="4" w:space="0" w:color="auto"/>
            </w:tcBorders>
            <w:shd w:val="clear" w:color="auto" w:fill="auto"/>
            <w:vAlign w:val="center"/>
          </w:tcPr>
          <w:p w14:paraId="62C7BDA8"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 xml:space="preserve">91,325 </w:t>
            </w:r>
          </w:p>
        </w:tc>
        <w:tc>
          <w:tcPr>
            <w:tcW w:w="1440" w:type="dxa"/>
            <w:tcBorders>
              <w:top w:val="single" w:sz="8" w:space="0" w:color="auto"/>
              <w:left w:val="dashed" w:sz="4" w:space="0" w:color="auto"/>
              <w:bottom w:val="single" w:sz="8" w:space="0" w:color="auto"/>
              <w:right w:val="single" w:sz="12" w:space="0" w:color="auto"/>
            </w:tcBorders>
            <w:shd w:val="clear" w:color="auto" w:fill="auto"/>
            <w:vAlign w:val="center"/>
          </w:tcPr>
          <w:p w14:paraId="23C3C97F"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17.51</w:t>
            </w:r>
          </w:p>
        </w:tc>
        <w:tc>
          <w:tcPr>
            <w:tcW w:w="1020" w:type="dxa"/>
            <w:tcBorders>
              <w:top w:val="single" w:sz="8" w:space="0" w:color="auto"/>
              <w:left w:val="single" w:sz="12" w:space="0" w:color="auto"/>
              <w:bottom w:val="single" w:sz="8" w:space="0" w:color="auto"/>
              <w:right w:val="dashed" w:sz="4" w:space="0" w:color="auto"/>
            </w:tcBorders>
            <w:shd w:val="clear" w:color="auto" w:fill="auto"/>
            <w:vAlign w:val="center"/>
          </w:tcPr>
          <w:p w14:paraId="2915E375"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10.59</w:t>
            </w:r>
          </w:p>
        </w:tc>
        <w:tc>
          <w:tcPr>
            <w:tcW w:w="1020" w:type="dxa"/>
            <w:tcBorders>
              <w:top w:val="single" w:sz="8" w:space="0" w:color="auto"/>
              <w:left w:val="dashed" w:sz="4" w:space="0" w:color="auto"/>
              <w:bottom w:val="single" w:sz="8" w:space="0" w:color="auto"/>
              <w:right w:val="dashed" w:sz="4" w:space="0" w:color="auto"/>
            </w:tcBorders>
            <w:shd w:val="clear" w:color="auto" w:fill="auto"/>
            <w:vAlign w:val="center"/>
          </w:tcPr>
          <w:p w14:paraId="47C3BC92"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15.31</w:t>
            </w:r>
          </w:p>
        </w:tc>
        <w:tc>
          <w:tcPr>
            <w:tcW w:w="1020" w:type="dxa"/>
            <w:tcBorders>
              <w:top w:val="single" w:sz="8" w:space="0" w:color="auto"/>
              <w:left w:val="dashed" w:sz="4" w:space="0" w:color="auto"/>
              <w:bottom w:val="single" w:sz="8" w:space="0" w:color="auto"/>
            </w:tcBorders>
            <w:shd w:val="clear" w:color="auto" w:fill="auto"/>
            <w:vAlign w:val="center"/>
          </w:tcPr>
          <w:p w14:paraId="3B26084D"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20.93</w:t>
            </w:r>
          </w:p>
        </w:tc>
      </w:tr>
      <w:tr w:rsidR="00DD4389" w:rsidRPr="00DD4389" w14:paraId="28E0FE17" w14:textId="77777777" w:rsidTr="00DD4389">
        <w:trPr>
          <w:trHeight w:val="288"/>
        </w:trPr>
        <w:tc>
          <w:tcPr>
            <w:tcW w:w="3420" w:type="dxa"/>
            <w:tcBorders>
              <w:top w:val="single" w:sz="8" w:space="0" w:color="auto"/>
              <w:bottom w:val="single" w:sz="8" w:space="0" w:color="auto"/>
              <w:right w:val="single" w:sz="12" w:space="0" w:color="auto"/>
            </w:tcBorders>
            <w:shd w:val="clear" w:color="auto" w:fill="auto"/>
            <w:vAlign w:val="center"/>
            <w:hideMark/>
          </w:tcPr>
          <w:p w14:paraId="0FDCEC76" w14:textId="77777777" w:rsidR="0049531C" w:rsidRPr="00DD4389" w:rsidRDefault="0049531C" w:rsidP="00DD4389">
            <w:pPr>
              <w:spacing w:after="0" w:line="240" w:lineRule="auto"/>
              <w:rPr>
                <w:rFonts w:eastAsia="Times New Roman" w:cs="Times New Roman"/>
                <w:color w:val="FF0000"/>
                <w:sz w:val="20"/>
                <w:szCs w:val="20"/>
              </w:rPr>
            </w:pPr>
            <w:r w:rsidRPr="00DD4389">
              <w:rPr>
                <w:rFonts w:eastAsia="Times New Roman" w:cs="Times New Roman"/>
                <w:color w:val="FF0000"/>
                <w:sz w:val="20"/>
                <w:szCs w:val="20"/>
              </w:rPr>
              <w:t>Syringohydromyelia</w:t>
            </w:r>
          </w:p>
        </w:tc>
        <w:tc>
          <w:tcPr>
            <w:tcW w:w="1440" w:type="dxa"/>
            <w:tcBorders>
              <w:top w:val="single" w:sz="8" w:space="0" w:color="auto"/>
              <w:left w:val="single" w:sz="12" w:space="0" w:color="auto"/>
              <w:bottom w:val="single" w:sz="8" w:space="0" w:color="auto"/>
              <w:right w:val="dashed" w:sz="4" w:space="0" w:color="auto"/>
            </w:tcBorders>
            <w:shd w:val="clear" w:color="auto" w:fill="auto"/>
            <w:vAlign w:val="center"/>
          </w:tcPr>
          <w:p w14:paraId="296819D9"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 xml:space="preserve">1,086 </w:t>
            </w:r>
          </w:p>
        </w:tc>
        <w:tc>
          <w:tcPr>
            <w:tcW w:w="1440" w:type="dxa"/>
            <w:tcBorders>
              <w:top w:val="single" w:sz="8" w:space="0" w:color="auto"/>
              <w:left w:val="dashed" w:sz="4" w:space="0" w:color="auto"/>
              <w:bottom w:val="single" w:sz="8" w:space="0" w:color="auto"/>
              <w:right w:val="single" w:sz="12" w:space="0" w:color="auto"/>
            </w:tcBorders>
            <w:shd w:val="clear" w:color="auto" w:fill="auto"/>
            <w:vAlign w:val="center"/>
          </w:tcPr>
          <w:p w14:paraId="19B46F67"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0.21</w:t>
            </w:r>
          </w:p>
        </w:tc>
        <w:tc>
          <w:tcPr>
            <w:tcW w:w="1020" w:type="dxa"/>
            <w:tcBorders>
              <w:top w:val="single" w:sz="8" w:space="0" w:color="auto"/>
              <w:left w:val="single" w:sz="12" w:space="0" w:color="auto"/>
              <w:bottom w:val="single" w:sz="8" w:space="0" w:color="auto"/>
              <w:right w:val="dashed" w:sz="4" w:space="0" w:color="auto"/>
            </w:tcBorders>
            <w:shd w:val="clear" w:color="auto" w:fill="auto"/>
            <w:vAlign w:val="center"/>
          </w:tcPr>
          <w:p w14:paraId="3A228687"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0.00</w:t>
            </w:r>
          </w:p>
        </w:tc>
        <w:tc>
          <w:tcPr>
            <w:tcW w:w="1020" w:type="dxa"/>
            <w:tcBorders>
              <w:top w:val="single" w:sz="8" w:space="0" w:color="auto"/>
              <w:left w:val="dashed" w:sz="4" w:space="0" w:color="auto"/>
              <w:bottom w:val="single" w:sz="8" w:space="0" w:color="auto"/>
              <w:right w:val="dashed" w:sz="4" w:space="0" w:color="auto"/>
            </w:tcBorders>
            <w:shd w:val="clear" w:color="auto" w:fill="auto"/>
            <w:vAlign w:val="center"/>
          </w:tcPr>
          <w:p w14:paraId="598FC727"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0.00</w:t>
            </w:r>
          </w:p>
        </w:tc>
        <w:tc>
          <w:tcPr>
            <w:tcW w:w="1020" w:type="dxa"/>
            <w:tcBorders>
              <w:top w:val="single" w:sz="8" w:space="0" w:color="auto"/>
              <w:left w:val="dashed" w:sz="4" w:space="0" w:color="auto"/>
              <w:bottom w:val="single" w:sz="8" w:space="0" w:color="auto"/>
            </w:tcBorders>
            <w:shd w:val="clear" w:color="auto" w:fill="auto"/>
            <w:vAlign w:val="center"/>
          </w:tcPr>
          <w:p w14:paraId="7BD80266"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0.21</w:t>
            </w:r>
          </w:p>
        </w:tc>
      </w:tr>
      <w:tr w:rsidR="00DD4389" w:rsidRPr="00DD4389" w14:paraId="1C301400" w14:textId="77777777" w:rsidTr="00DD4389">
        <w:trPr>
          <w:trHeight w:val="288"/>
        </w:trPr>
        <w:tc>
          <w:tcPr>
            <w:tcW w:w="3420" w:type="dxa"/>
            <w:tcBorders>
              <w:top w:val="single" w:sz="8" w:space="0" w:color="auto"/>
              <w:bottom w:val="single" w:sz="8" w:space="0" w:color="auto"/>
              <w:right w:val="single" w:sz="12" w:space="0" w:color="auto"/>
            </w:tcBorders>
            <w:shd w:val="clear" w:color="auto" w:fill="auto"/>
            <w:vAlign w:val="center"/>
            <w:hideMark/>
          </w:tcPr>
          <w:p w14:paraId="5A807592" w14:textId="77777777" w:rsidR="0049531C" w:rsidRPr="00DD4389" w:rsidRDefault="0049531C" w:rsidP="00DD4389">
            <w:pPr>
              <w:spacing w:after="0" w:line="240" w:lineRule="auto"/>
              <w:rPr>
                <w:rFonts w:eastAsia="Times New Roman" w:cs="Times New Roman"/>
                <w:color w:val="FF0000"/>
                <w:sz w:val="20"/>
                <w:szCs w:val="20"/>
              </w:rPr>
            </w:pPr>
            <w:r w:rsidRPr="00DD4389">
              <w:rPr>
                <w:rFonts w:eastAsia="Times New Roman" w:cs="Times New Roman"/>
                <w:color w:val="FF0000"/>
                <w:sz w:val="20"/>
                <w:szCs w:val="20"/>
              </w:rPr>
              <w:t>Postoperative fluid collections and soft tissue changes</w:t>
            </w:r>
          </w:p>
        </w:tc>
        <w:tc>
          <w:tcPr>
            <w:tcW w:w="1440" w:type="dxa"/>
            <w:tcBorders>
              <w:top w:val="single" w:sz="8" w:space="0" w:color="auto"/>
              <w:left w:val="single" w:sz="12" w:space="0" w:color="auto"/>
              <w:bottom w:val="single" w:sz="8" w:space="0" w:color="auto"/>
              <w:right w:val="dashed" w:sz="4" w:space="0" w:color="auto"/>
            </w:tcBorders>
            <w:shd w:val="clear" w:color="auto" w:fill="auto"/>
            <w:vAlign w:val="center"/>
          </w:tcPr>
          <w:p w14:paraId="0D2B4B3E"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 xml:space="preserve">4,157 </w:t>
            </w:r>
          </w:p>
        </w:tc>
        <w:tc>
          <w:tcPr>
            <w:tcW w:w="1440" w:type="dxa"/>
            <w:tcBorders>
              <w:top w:val="single" w:sz="8" w:space="0" w:color="auto"/>
              <w:left w:val="dashed" w:sz="4" w:space="0" w:color="auto"/>
              <w:bottom w:val="single" w:sz="8" w:space="0" w:color="auto"/>
              <w:right w:val="single" w:sz="12" w:space="0" w:color="auto"/>
            </w:tcBorders>
            <w:shd w:val="clear" w:color="auto" w:fill="auto"/>
            <w:vAlign w:val="center"/>
          </w:tcPr>
          <w:p w14:paraId="50F23DE6"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0.80</w:t>
            </w:r>
          </w:p>
        </w:tc>
        <w:tc>
          <w:tcPr>
            <w:tcW w:w="1020" w:type="dxa"/>
            <w:tcBorders>
              <w:top w:val="single" w:sz="8" w:space="0" w:color="auto"/>
              <w:left w:val="single" w:sz="12" w:space="0" w:color="auto"/>
              <w:bottom w:val="single" w:sz="8" w:space="0" w:color="auto"/>
              <w:right w:val="dashed" w:sz="4" w:space="0" w:color="auto"/>
            </w:tcBorders>
            <w:shd w:val="clear" w:color="auto" w:fill="auto"/>
            <w:vAlign w:val="center"/>
          </w:tcPr>
          <w:p w14:paraId="783D791E"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0.00</w:t>
            </w:r>
          </w:p>
        </w:tc>
        <w:tc>
          <w:tcPr>
            <w:tcW w:w="1020" w:type="dxa"/>
            <w:tcBorders>
              <w:top w:val="single" w:sz="8" w:space="0" w:color="auto"/>
              <w:left w:val="dashed" w:sz="4" w:space="0" w:color="auto"/>
              <w:bottom w:val="single" w:sz="8" w:space="0" w:color="auto"/>
              <w:right w:val="dashed" w:sz="4" w:space="0" w:color="auto"/>
            </w:tcBorders>
            <w:shd w:val="clear" w:color="auto" w:fill="auto"/>
            <w:vAlign w:val="center"/>
          </w:tcPr>
          <w:p w14:paraId="695C688F"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0.58</w:t>
            </w:r>
          </w:p>
        </w:tc>
        <w:tc>
          <w:tcPr>
            <w:tcW w:w="1020" w:type="dxa"/>
            <w:tcBorders>
              <w:top w:val="single" w:sz="8" w:space="0" w:color="auto"/>
              <w:left w:val="dashed" w:sz="4" w:space="0" w:color="auto"/>
              <w:bottom w:val="single" w:sz="8" w:space="0" w:color="auto"/>
            </w:tcBorders>
            <w:shd w:val="clear" w:color="auto" w:fill="auto"/>
            <w:vAlign w:val="center"/>
          </w:tcPr>
          <w:p w14:paraId="19242F1C"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1.20</w:t>
            </w:r>
          </w:p>
        </w:tc>
      </w:tr>
      <w:tr w:rsidR="00DD4389" w:rsidRPr="00DD4389" w14:paraId="65F459F4" w14:textId="77777777" w:rsidTr="00DD4389">
        <w:trPr>
          <w:trHeight w:val="288"/>
        </w:trPr>
        <w:tc>
          <w:tcPr>
            <w:tcW w:w="3420" w:type="dxa"/>
            <w:tcBorders>
              <w:top w:val="single" w:sz="8" w:space="0" w:color="auto"/>
              <w:bottom w:val="single" w:sz="8" w:space="0" w:color="auto"/>
              <w:right w:val="single" w:sz="12" w:space="0" w:color="auto"/>
            </w:tcBorders>
            <w:shd w:val="clear" w:color="auto" w:fill="auto"/>
            <w:vAlign w:val="center"/>
            <w:hideMark/>
          </w:tcPr>
          <w:p w14:paraId="7B7BFAC5" w14:textId="77777777" w:rsidR="0049531C" w:rsidRPr="00DD4389" w:rsidRDefault="0049531C" w:rsidP="00DD4389">
            <w:pPr>
              <w:spacing w:after="0" w:line="240" w:lineRule="auto"/>
              <w:rPr>
                <w:rFonts w:eastAsia="Times New Roman" w:cs="Times New Roman"/>
                <w:color w:val="FF0000"/>
                <w:sz w:val="20"/>
                <w:szCs w:val="20"/>
              </w:rPr>
            </w:pPr>
            <w:r w:rsidRPr="00DD4389">
              <w:rPr>
                <w:rFonts w:eastAsia="Times New Roman" w:cs="Times New Roman"/>
                <w:color w:val="FF0000"/>
                <w:sz w:val="20"/>
                <w:szCs w:val="20"/>
              </w:rPr>
              <w:t>Trauma</w:t>
            </w:r>
          </w:p>
        </w:tc>
        <w:tc>
          <w:tcPr>
            <w:tcW w:w="1440" w:type="dxa"/>
            <w:tcBorders>
              <w:top w:val="single" w:sz="8" w:space="0" w:color="auto"/>
              <w:left w:val="single" w:sz="12" w:space="0" w:color="auto"/>
              <w:bottom w:val="single" w:sz="8" w:space="0" w:color="auto"/>
              <w:right w:val="dashed" w:sz="4" w:space="0" w:color="auto"/>
            </w:tcBorders>
            <w:shd w:val="clear" w:color="auto" w:fill="auto"/>
            <w:vAlign w:val="center"/>
          </w:tcPr>
          <w:p w14:paraId="5E504F4D"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 xml:space="preserve">59,072 </w:t>
            </w:r>
          </w:p>
        </w:tc>
        <w:tc>
          <w:tcPr>
            <w:tcW w:w="1440" w:type="dxa"/>
            <w:tcBorders>
              <w:top w:val="single" w:sz="8" w:space="0" w:color="auto"/>
              <w:left w:val="dashed" w:sz="4" w:space="0" w:color="auto"/>
              <w:bottom w:val="single" w:sz="8" w:space="0" w:color="auto"/>
              <w:right w:val="single" w:sz="12" w:space="0" w:color="auto"/>
            </w:tcBorders>
            <w:shd w:val="clear" w:color="auto" w:fill="auto"/>
            <w:vAlign w:val="center"/>
          </w:tcPr>
          <w:p w14:paraId="49FF20DA"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11.33</w:t>
            </w:r>
          </w:p>
        </w:tc>
        <w:tc>
          <w:tcPr>
            <w:tcW w:w="1020" w:type="dxa"/>
            <w:tcBorders>
              <w:top w:val="single" w:sz="8" w:space="0" w:color="auto"/>
              <w:left w:val="single" w:sz="12" w:space="0" w:color="auto"/>
              <w:bottom w:val="single" w:sz="8" w:space="0" w:color="auto"/>
              <w:right w:val="dashed" w:sz="4" w:space="0" w:color="auto"/>
            </w:tcBorders>
            <w:shd w:val="clear" w:color="auto" w:fill="auto"/>
            <w:vAlign w:val="center"/>
          </w:tcPr>
          <w:p w14:paraId="5B9C29E7"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8.27</w:t>
            </w:r>
          </w:p>
        </w:tc>
        <w:tc>
          <w:tcPr>
            <w:tcW w:w="1020" w:type="dxa"/>
            <w:tcBorders>
              <w:top w:val="single" w:sz="8" w:space="0" w:color="auto"/>
              <w:left w:val="dashed" w:sz="4" w:space="0" w:color="auto"/>
              <w:bottom w:val="single" w:sz="8" w:space="0" w:color="auto"/>
              <w:right w:val="dashed" w:sz="4" w:space="0" w:color="auto"/>
            </w:tcBorders>
            <w:shd w:val="clear" w:color="auto" w:fill="auto"/>
            <w:vAlign w:val="center"/>
          </w:tcPr>
          <w:p w14:paraId="1100738A"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10.79</w:t>
            </w:r>
          </w:p>
        </w:tc>
        <w:tc>
          <w:tcPr>
            <w:tcW w:w="1020" w:type="dxa"/>
            <w:tcBorders>
              <w:top w:val="single" w:sz="8" w:space="0" w:color="auto"/>
              <w:left w:val="dashed" w:sz="4" w:space="0" w:color="auto"/>
              <w:bottom w:val="single" w:sz="8" w:space="0" w:color="auto"/>
            </w:tcBorders>
            <w:shd w:val="clear" w:color="auto" w:fill="auto"/>
            <w:vAlign w:val="center"/>
          </w:tcPr>
          <w:p w14:paraId="595D28D5"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13.89</w:t>
            </w:r>
          </w:p>
        </w:tc>
      </w:tr>
      <w:tr w:rsidR="00DD4389" w:rsidRPr="00DD4389" w14:paraId="0737A002" w14:textId="77777777" w:rsidTr="00DD4389">
        <w:trPr>
          <w:trHeight w:val="288"/>
        </w:trPr>
        <w:tc>
          <w:tcPr>
            <w:tcW w:w="3420" w:type="dxa"/>
            <w:tcBorders>
              <w:top w:val="single" w:sz="8" w:space="0" w:color="auto"/>
              <w:bottom w:val="single" w:sz="8" w:space="0" w:color="auto"/>
              <w:right w:val="single" w:sz="12" w:space="0" w:color="auto"/>
            </w:tcBorders>
            <w:shd w:val="clear" w:color="auto" w:fill="auto"/>
            <w:vAlign w:val="center"/>
            <w:hideMark/>
          </w:tcPr>
          <w:p w14:paraId="6A2BD907" w14:textId="77777777" w:rsidR="0049531C" w:rsidRPr="00DD4389" w:rsidRDefault="0049531C" w:rsidP="00DD4389">
            <w:pPr>
              <w:spacing w:after="0" w:line="240" w:lineRule="auto"/>
              <w:rPr>
                <w:rFonts w:eastAsia="Times New Roman" w:cs="Times New Roman"/>
                <w:color w:val="FF0000"/>
                <w:sz w:val="20"/>
                <w:szCs w:val="20"/>
              </w:rPr>
            </w:pPr>
            <w:r w:rsidRPr="00DD4389">
              <w:rPr>
                <w:rFonts w:eastAsia="Times New Roman" w:cs="Times New Roman"/>
                <w:color w:val="FF0000"/>
                <w:sz w:val="20"/>
                <w:szCs w:val="20"/>
              </w:rPr>
              <w:t>IV drug abuse</w:t>
            </w:r>
          </w:p>
        </w:tc>
        <w:tc>
          <w:tcPr>
            <w:tcW w:w="1440" w:type="dxa"/>
            <w:tcBorders>
              <w:top w:val="single" w:sz="8" w:space="0" w:color="auto"/>
              <w:left w:val="single" w:sz="12" w:space="0" w:color="auto"/>
              <w:bottom w:val="single" w:sz="8" w:space="0" w:color="auto"/>
              <w:right w:val="dashed" w:sz="4" w:space="0" w:color="auto"/>
            </w:tcBorders>
            <w:shd w:val="clear" w:color="auto" w:fill="auto"/>
            <w:vAlign w:val="center"/>
          </w:tcPr>
          <w:p w14:paraId="2F31D742"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 xml:space="preserve">15,193 </w:t>
            </w:r>
          </w:p>
        </w:tc>
        <w:tc>
          <w:tcPr>
            <w:tcW w:w="1440" w:type="dxa"/>
            <w:tcBorders>
              <w:top w:val="single" w:sz="8" w:space="0" w:color="auto"/>
              <w:left w:val="dashed" w:sz="4" w:space="0" w:color="auto"/>
              <w:bottom w:val="single" w:sz="8" w:space="0" w:color="auto"/>
              <w:right w:val="single" w:sz="12" w:space="0" w:color="auto"/>
            </w:tcBorders>
            <w:shd w:val="clear" w:color="auto" w:fill="auto"/>
            <w:vAlign w:val="center"/>
          </w:tcPr>
          <w:p w14:paraId="261BC02B"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2.91</w:t>
            </w:r>
          </w:p>
        </w:tc>
        <w:tc>
          <w:tcPr>
            <w:tcW w:w="1020" w:type="dxa"/>
            <w:tcBorders>
              <w:top w:val="single" w:sz="8" w:space="0" w:color="auto"/>
              <w:left w:val="single" w:sz="12" w:space="0" w:color="auto"/>
              <w:bottom w:val="single" w:sz="8" w:space="0" w:color="auto"/>
              <w:right w:val="dashed" w:sz="4" w:space="0" w:color="auto"/>
            </w:tcBorders>
            <w:shd w:val="clear" w:color="auto" w:fill="auto"/>
            <w:vAlign w:val="center"/>
          </w:tcPr>
          <w:p w14:paraId="11A7E626"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1.22</w:t>
            </w:r>
          </w:p>
        </w:tc>
        <w:tc>
          <w:tcPr>
            <w:tcW w:w="1020" w:type="dxa"/>
            <w:tcBorders>
              <w:top w:val="single" w:sz="8" w:space="0" w:color="auto"/>
              <w:left w:val="dashed" w:sz="4" w:space="0" w:color="auto"/>
              <w:bottom w:val="single" w:sz="8" w:space="0" w:color="auto"/>
              <w:right w:val="dashed" w:sz="4" w:space="0" w:color="auto"/>
            </w:tcBorders>
            <w:shd w:val="clear" w:color="auto" w:fill="auto"/>
            <w:vAlign w:val="center"/>
          </w:tcPr>
          <w:p w14:paraId="7134FFF1"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2.31</w:t>
            </w:r>
          </w:p>
        </w:tc>
        <w:tc>
          <w:tcPr>
            <w:tcW w:w="1020" w:type="dxa"/>
            <w:tcBorders>
              <w:top w:val="single" w:sz="8" w:space="0" w:color="auto"/>
              <w:left w:val="dashed" w:sz="4" w:space="0" w:color="auto"/>
              <w:bottom w:val="single" w:sz="8" w:space="0" w:color="auto"/>
            </w:tcBorders>
            <w:shd w:val="clear" w:color="auto" w:fill="auto"/>
            <w:vAlign w:val="center"/>
          </w:tcPr>
          <w:p w14:paraId="194BACFA"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3.93</w:t>
            </w:r>
          </w:p>
        </w:tc>
      </w:tr>
      <w:tr w:rsidR="00DD4389" w:rsidRPr="00DD4389" w14:paraId="46E11990" w14:textId="77777777" w:rsidTr="00DD4389">
        <w:trPr>
          <w:trHeight w:val="288"/>
        </w:trPr>
        <w:tc>
          <w:tcPr>
            <w:tcW w:w="3420" w:type="dxa"/>
            <w:tcBorders>
              <w:top w:val="single" w:sz="8" w:space="0" w:color="auto"/>
              <w:bottom w:val="single" w:sz="8" w:space="0" w:color="auto"/>
              <w:right w:val="single" w:sz="12" w:space="0" w:color="auto"/>
            </w:tcBorders>
            <w:shd w:val="clear" w:color="auto" w:fill="auto"/>
            <w:vAlign w:val="center"/>
            <w:hideMark/>
          </w:tcPr>
          <w:p w14:paraId="7C020E24" w14:textId="77777777" w:rsidR="0049531C" w:rsidRPr="00DD4389" w:rsidRDefault="0049531C" w:rsidP="00DD4389">
            <w:pPr>
              <w:spacing w:after="0" w:line="240" w:lineRule="auto"/>
              <w:rPr>
                <w:rFonts w:eastAsia="Times New Roman" w:cs="Times New Roman"/>
                <w:color w:val="FF0000"/>
                <w:sz w:val="20"/>
                <w:szCs w:val="20"/>
              </w:rPr>
            </w:pPr>
            <w:r w:rsidRPr="00DD4389">
              <w:rPr>
                <w:rFonts w:eastAsia="Times New Roman" w:cs="Times New Roman"/>
                <w:color w:val="FF0000"/>
                <w:sz w:val="20"/>
                <w:szCs w:val="20"/>
              </w:rPr>
              <w:t>Neurologic impairment</w:t>
            </w:r>
          </w:p>
        </w:tc>
        <w:tc>
          <w:tcPr>
            <w:tcW w:w="1440" w:type="dxa"/>
            <w:tcBorders>
              <w:top w:val="single" w:sz="8" w:space="0" w:color="auto"/>
              <w:left w:val="single" w:sz="12" w:space="0" w:color="auto"/>
              <w:bottom w:val="single" w:sz="8" w:space="0" w:color="auto"/>
              <w:right w:val="dashed" w:sz="4" w:space="0" w:color="auto"/>
            </w:tcBorders>
            <w:shd w:val="clear" w:color="auto" w:fill="auto"/>
            <w:vAlign w:val="center"/>
          </w:tcPr>
          <w:p w14:paraId="75E57BBA"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 xml:space="preserve">40,797 </w:t>
            </w:r>
          </w:p>
        </w:tc>
        <w:tc>
          <w:tcPr>
            <w:tcW w:w="1440" w:type="dxa"/>
            <w:tcBorders>
              <w:top w:val="single" w:sz="8" w:space="0" w:color="auto"/>
              <w:left w:val="dashed" w:sz="4" w:space="0" w:color="auto"/>
              <w:bottom w:val="single" w:sz="8" w:space="0" w:color="auto"/>
              <w:right w:val="single" w:sz="12" w:space="0" w:color="auto"/>
            </w:tcBorders>
            <w:shd w:val="clear" w:color="auto" w:fill="auto"/>
            <w:vAlign w:val="center"/>
          </w:tcPr>
          <w:p w14:paraId="7FC88A20"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7.82</w:t>
            </w:r>
          </w:p>
        </w:tc>
        <w:tc>
          <w:tcPr>
            <w:tcW w:w="1020" w:type="dxa"/>
            <w:tcBorders>
              <w:top w:val="single" w:sz="8" w:space="0" w:color="auto"/>
              <w:left w:val="single" w:sz="12" w:space="0" w:color="auto"/>
              <w:bottom w:val="single" w:sz="8" w:space="0" w:color="auto"/>
              <w:right w:val="dashed" w:sz="4" w:space="0" w:color="auto"/>
            </w:tcBorders>
            <w:shd w:val="clear" w:color="auto" w:fill="auto"/>
            <w:vAlign w:val="center"/>
          </w:tcPr>
          <w:p w14:paraId="4B67DBB2"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5.14</w:t>
            </w:r>
          </w:p>
        </w:tc>
        <w:tc>
          <w:tcPr>
            <w:tcW w:w="1020" w:type="dxa"/>
            <w:tcBorders>
              <w:top w:val="single" w:sz="8" w:space="0" w:color="auto"/>
              <w:left w:val="dashed" w:sz="4" w:space="0" w:color="auto"/>
              <w:bottom w:val="single" w:sz="8" w:space="0" w:color="auto"/>
              <w:right w:val="dashed" w:sz="4" w:space="0" w:color="auto"/>
            </w:tcBorders>
            <w:shd w:val="clear" w:color="auto" w:fill="auto"/>
            <w:vAlign w:val="center"/>
          </w:tcPr>
          <w:p w14:paraId="6A640F0F"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7.14</w:t>
            </w:r>
          </w:p>
        </w:tc>
        <w:tc>
          <w:tcPr>
            <w:tcW w:w="1020" w:type="dxa"/>
            <w:tcBorders>
              <w:top w:val="single" w:sz="8" w:space="0" w:color="auto"/>
              <w:left w:val="dashed" w:sz="4" w:space="0" w:color="auto"/>
              <w:bottom w:val="single" w:sz="8" w:space="0" w:color="auto"/>
            </w:tcBorders>
            <w:shd w:val="clear" w:color="auto" w:fill="auto"/>
            <w:vAlign w:val="center"/>
          </w:tcPr>
          <w:p w14:paraId="1BA292A9"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9.71</w:t>
            </w:r>
          </w:p>
        </w:tc>
      </w:tr>
      <w:tr w:rsidR="00DD4389" w:rsidRPr="00DD4389" w14:paraId="4835CA2A" w14:textId="77777777" w:rsidTr="00DD4389">
        <w:trPr>
          <w:trHeight w:val="288"/>
        </w:trPr>
        <w:tc>
          <w:tcPr>
            <w:tcW w:w="3420" w:type="dxa"/>
            <w:tcBorders>
              <w:top w:val="single" w:sz="8" w:space="0" w:color="auto"/>
              <w:bottom w:val="single" w:sz="8" w:space="0" w:color="auto"/>
              <w:right w:val="single" w:sz="12" w:space="0" w:color="auto"/>
            </w:tcBorders>
            <w:shd w:val="clear" w:color="auto" w:fill="auto"/>
            <w:vAlign w:val="center"/>
            <w:hideMark/>
          </w:tcPr>
          <w:p w14:paraId="449E7DAF" w14:textId="77777777" w:rsidR="0049531C" w:rsidRPr="00DD4389" w:rsidRDefault="0049531C" w:rsidP="00DD4389">
            <w:pPr>
              <w:spacing w:after="0" w:line="240" w:lineRule="auto"/>
              <w:rPr>
                <w:rFonts w:eastAsia="Times New Roman" w:cs="Times New Roman"/>
                <w:color w:val="FF0000"/>
                <w:sz w:val="20"/>
                <w:szCs w:val="20"/>
              </w:rPr>
            </w:pPr>
            <w:r w:rsidRPr="00DD4389">
              <w:rPr>
                <w:rFonts w:eastAsia="Times New Roman" w:cs="Times New Roman"/>
                <w:color w:val="FF0000"/>
                <w:sz w:val="20"/>
                <w:szCs w:val="20"/>
              </w:rPr>
              <w:t>HIV</w:t>
            </w:r>
          </w:p>
        </w:tc>
        <w:tc>
          <w:tcPr>
            <w:tcW w:w="1440" w:type="dxa"/>
            <w:tcBorders>
              <w:top w:val="single" w:sz="8" w:space="0" w:color="auto"/>
              <w:left w:val="single" w:sz="12" w:space="0" w:color="auto"/>
              <w:bottom w:val="single" w:sz="8" w:space="0" w:color="auto"/>
              <w:right w:val="dashed" w:sz="4" w:space="0" w:color="auto"/>
            </w:tcBorders>
            <w:shd w:val="clear" w:color="auto" w:fill="auto"/>
            <w:vAlign w:val="center"/>
          </w:tcPr>
          <w:p w14:paraId="0F486A49"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 xml:space="preserve">2,122 </w:t>
            </w:r>
          </w:p>
        </w:tc>
        <w:tc>
          <w:tcPr>
            <w:tcW w:w="1440" w:type="dxa"/>
            <w:tcBorders>
              <w:top w:val="single" w:sz="8" w:space="0" w:color="auto"/>
              <w:left w:val="dashed" w:sz="4" w:space="0" w:color="auto"/>
              <w:bottom w:val="single" w:sz="8" w:space="0" w:color="auto"/>
              <w:right w:val="single" w:sz="12" w:space="0" w:color="auto"/>
            </w:tcBorders>
            <w:shd w:val="clear" w:color="auto" w:fill="auto"/>
            <w:vAlign w:val="center"/>
          </w:tcPr>
          <w:p w14:paraId="68221F79"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0.41</w:t>
            </w:r>
          </w:p>
        </w:tc>
        <w:tc>
          <w:tcPr>
            <w:tcW w:w="1020" w:type="dxa"/>
            <w:tcBorders>
              <w:top w:val="single" w:sz="8" w:space="0" w:color="auto"/>
              <w:left w:val="single" w:sz="12" w:space="0" w:color="auto"/>
              <w:bottom w:val="single" w:sz="8" w:space="0" w:color="auto"/>
              <w:right w:val="dashed" w:sz="4" w:space="0" w:color="auto"/>
            </w:tcBorders>
            <w:shd w:val="clear" w:color="auto" w:fill="auto"/>
            <w:vAlign w:val="center"/>
          </w:tcPr>
          <w:p w14:paraId="001E6490"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0.00</w:t>
            </w:r>
          </w:p>
        </w:tc>
        <w:tc>
          <w:tcPr>
            <w:tcW w:w="1020" w:type="dxa"/>
            <w:tcBorders>
              <w:top w:val="single" w:sz="8" w:space="0" w:color="auto"/>
              <w:left w:val="dashed" w:sz="4" w:space="0" w:color="auto"/>
              <w:bottom w:val="single" w:sz="8" w:space="0" w:color="auto"/>
              <w:right w:val="dashed" w:sz="4" w:space="0" w:color="auto"/>
            </w:tcBorders>
            <w:shd w:val="clear" w:color="auto" w:fill="auto"/>
            <w:vAlign w:val="center"/>
          </w:tcPr>
          <w:p w14:paraId="2904A89A"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0.00</w:t>
            </w:r>
          </w:p>
        </w:tc>
        <w:tc>
          <w:tcPr>
            <w:tcW w:w="1020" w:type="dxa"/>
            <w:tcBorders>
              <w:top w:val="single" w:sz="8" w:space="0" w:color="auto"/>
              <w:left w:val="dashed" w:sz="4" w:space="0" w:color="auto"/>
              <w:bottom w:val="single" w:sz="8" w:space="0" w:color="auto"/>
            </w:tcBorders>
            <w:shd w:val="clear" w:color="auto" w:fill="auto"/>
            <w:vAlign w:val="center"/>
          </w:tcPr>
          <w:p w14:paraId="32C4EFF1"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0.47</w:t>
            </w:r>
          </w:p>
        </w:tc>
      </w:tr>
      <w:tr w:rsidR="00DD4389" w:rsidRPr="00DD4389" w14:paraId="349FB3D8" w14:textId="77777777" w:rsidTr="00DD4389">
        <w:trPr>
          <w:trHeight w:val="288"/>
        </w:trPr>
        <w:tc>
          <w:tcPr>
            <w:tcW w:w="3420" w:type="dxa"/>
            <w:tcBorders>
              <w:top w:val="single" w:sz="8" w:space="0" w:color="auto"/>
              <w:bottom w:val="single" w:sz="8" w:space="0" w:color="auto"/>
              <w:right w:val="single" w:sz="12" w:space="0" w:color="auto"/>
            </w:tcBorders>
            <w:shd w:val="clear" w:color="auto" w:fill="auto"/>
            <w:vAlign w:val="center"/>
            <w:hideMark/>
          </w:tcPr>
          <w:p w14:paraId="52999063" w14:textId="77777777" w:rsidR="0049531C" w:rsidRPr="00DD4389" w:rsidRDefault="0049531C" w:rsidP="00DD4389">
            <w:pPr>
              <w:spacing w:after="0" w:line="240" w:lineRule="auto"/>
              <w:rPr>
                <w:rFonts w:eastAsia="Times New Roman" w:cs="Times New Roman"/>
                <w:color w:val="FF0000"/>
                <w:sz w:val="20"/>
                <w:szCs w:val="20"/>
              </w:rPr>
            </w:pPr>
            <w:r w:rsidRPr="00DD4389">
              <w:rPr>
                <w:rFonts w:eastAsia="Times New Roman" w:cs="Times New Roman"/>
                <w:color w:val="FF0000"/>
                <w:sz w:val="20"/>
                <w:szCs w:val="20"/>
              </w:rPr>
              <w:t>Unspecified immune deficiencies</w:t>
            </w:r>
          </w:p>
        </w:tc>
        <w:tc>
          <w:tcPr>
            <w:tcW w:w="1440" w:type="dxa"/>
            <w:tcBorders>
              <w:top w:val="single" w:sz="8" w:space="0" w:color="auto"/>
              <w:left w:val="single" w:sz="12" w:space="0" w:color="auto"/>
              <w:bottom w:val="single" w:sz="8" w:space="0" w:color="auto"/>
              <w:right w:val="dashed" w:sz="4" w:space="0" w:color="auto"/>
            </w:tcBorders>
            <w:shd w:val="clear" w:color="auto" w:fill="auto"/>
            <w:vAlign w:val="center"/>
          </w:tcPr>
          <w:p w14:paraId="68450BB7"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 xml:space="preserve">1,063 </w:t>
            </w:r>
          </w:p>
        </w:tc>
        <w:tc>
          <w:tcPr>
            <w:tcW w:w="1440" w:type="dxa"/>
            <w:tcBorders>
              <w:top w:val="single" w:sz="8" w:space="0" w:color="auto"/>
              <w:left w:val="dashed" w:sz="4" w:space="0" w:color="auto"/>
              <w:bottom w:val="single" w:sz="8" w:space="0" w:color="auto"/>
              <w:right w:val="single" w:sz="12" w:space="0" w:color="auto"/>
            </w:tcBorders>
            <w:shd w:val="clear" w:color="auto" w:fill="auto"/>
            <w:vAlign w:val="center"/>
          </w:tcPr>
          <w:p w14:paraId="3BDF5EF2"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0.20</w:t>
            </w:r>
          </w:p>
        </w:tc>
        <w:tc>
          <w:tcPr>
            <w:tcW w:w="1020" w:type="dxa"/>
            <w:tcBorders>
              <w:top w:val="single" w:sz="8" w:space="0" w:color="auto"/>
              <w:left w:val="single" w:sz="12" w:space="0" w:color="auto"/>
              <w:bottom w:val="single" w:sz="8" w:space="0" w:color="auto"/>
              <w:right w:val="dashed" w:sz="4" w:space="0" w:color="auto"/>
            </w:tcBorders>
            <w:shd w:val="clear" w:color="auto" w:fill="auto"/>
            <w:vAlign w:val="center"/>
          </w:tcPr>
          <w:p w14:paraId="034A403C"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0.00</w:t>
            </w:r>
          </w:p>
        </w:tc>
        <w:tc>
          <w:tcPr>
            <w:tcW w:w="1020" w:type="dxa"/>
            <w:tcBorders>
              <w:top w:val="single" w:sz="8" w:space="0" w:color="auto"/>
              <w:left w:val="dashed" w:sz="4" w:space="0" w:color="auto"/>
              <w:bottom w:val="single" w:sz="8" w:space="0" w:color="auto"/>
              <w:right w:val="dashed" w:sz="4" w:space="0" w:color="auto"/>
            </w:tcBorders>
            <w:shd w:val="clear" w:color="auto" w:fill="auto"/>
            <w:vAlign w:val="center"/>
          </w:tcPr>
          <w:p w14:paraId="528EFADD"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0.00</w:t>
            </w:r>
          </w:p>
        </w:tc>
        <w:tc>
          <w:tcPr>
            <w:tcW w:w="1020" w:type="dxa"/>
            <w:tcBorders>
              <w:top w:val="single" w:sz="8" w:space="0" w:color="auto"/>
              <w:left w:val="dashed" w:sz="4" w:space="0" w:color="auto"/>
              <w:bottom w:val="single" w:sz="8" w:space="0" w:color="auto"/>
            </w:tcBorders>
            <w:shd w:val="clear" w:color="auto" w:fill="auto"/>
            <w:vAlign w:val="center"/>
          </w:tcPr>
          <w:p w14:paraId="523ACB8D"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0.18</w:t>
            </w:r>
          </w:p>
        </w:tc>
      </w:tr>
      <w:tr w:rsidR="00DD4389" w:rsidRPr="00DD4389" w14:paraId="3AACA061" w14:textId="77777777" w:rsidTr="00DD4389">
        <w:trPr>
          <w:trHeight w:val="288"/>
        </w:trPr>
        <w:tc>
          <w:tcPr>
            <w:tcW w:w="3420" w:type="dxa"/>
            <w:tcBorders>
              <w:top w:val="single" w:sz="8" w:space="0" w:color="auto"/>
              <w:bottom w:val="single" w:sz="8" w:space="0" w:color="auto"/>
              <w:right w:val="single" w:sz="12" w:space="0" w:color="auto"/>
            </w:tcBorders>
            <w:shd w:val="clear" w:color="auto" w:fill="auto"/>
            <w:vAlign w:val="center"/>
            <w:hideMark/>
          </w:tcPr>
          <w:p w14:paraId="6DC33437" w14:textId="77777777" w:rsidR="0049531C" w:rsidRPr="00DD4389" w:rsidRDefault="0049531C" w:rsidP="00DD4389">
            <w:pPr>
              <w:spacing w:after="0" w:line="240" w:lineRule="auto"/>
              <w:rPr>
                <w:rFonts w:eastAsia="Times New Roman" w:cs="Times New Roman"/>
                <w:color w:val="FF0000"/>
                <w:sz w:val="20"/>
                <w:szCs w:val="20"/>
              </w:rPr>
            </w:pPr>
            <w:r w:rsidRPr="00DD4389">
              <w:rPr>
                <w:rFonts w:eastAsia="Times New Roman" w:cs="Times New Roman"/>
                <w:color w:val="FF0000"/>
                <w:sz w:val="20"/>
                <w:szCs w:val="20"/>
              </w:rPr>
              <w:t>Intraspinal abscess</w:t>
            </w:r>
          </w:p>
        </w:tc>
        <w:tc>
          <w:tcPr>
            <w:tcW w:w="1440" w:type="dxa"/>
            <w:tcBorders>
              <w:top w:val="single" w:sz="8" w:space="0" w:color="auto"/>
              <w:left w:val="single" w:sz="12" w:space="0" w:color="auto"/>
              <w:bottom w:val="single" w:sz="8" w:space="0" w:color="auto"/>
              <w:right w:val="dashed" w:sz="4" w:space="0" w:color="auto"/>
            </w:tcBorders>
            <w:shd w:val="clear" w:color="auto" w:fill="auto"/>
            <w:vAlign w:val="center"/>
          </w:tcPr>
          <w:p w14:paraId="74B71E82"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 xml:space="preserve">428 </w:t>
            </w:r>
          </w:p>
        </w:tc>
        <w:tc>
          <w:tcPr>
            <w:tcW w:w="1440" w:type="dxa"/>
            <w:tcBorders>
              <w:top w:val="single" w:sz="8" w:space="0" w:color="auto"/>
              <w:left w:val="dashed" w:sz="4" w:space="0" w:color="auto"/>
              <w:bottom w:val="single" w:sz="8" w:space="0" w:color="auto"/>
              <w:right w:val="single" w:sz="12" w:space="0" w:color="auto"/>
            </w:tcBorders>
            <w:shd w:val="clear" w:color="auto" w:fill="auto"/>
            <w:vAlign w:val="center"/>
          </w:tcPr>
          <w:p w14:paraId="301A5D16"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0.08</w:t>
            </w:r>
          </w:p>
        </w:tc>
        <w:tc>
          <w:tcPr>
            <w:tcW w:w="1020" w:type="dxa"/>
            <w:tcBorders>
              <w:top w:val="single" w:sz="8" w:space="0" w:color="auto"/>
              <w:left w:val="single" w:sz="12" w:space="0" w:color="auto"/>
              <w:bottom w:val="single" w:sz="8" w:space="0" w:color="auto"/>
              <w:right w:val="dashed" w:sz="4" w:space="0" w:color="auto"/>
            </w:tcBorders>
            <w:shd w:val="clear" w:color="auto" w:fill="auto"/>
            <w:vAlign w:val="center"/>
          </w:tcPr>
          <w:p w14:paraId="7E71D235"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0.00</w:t>
            </w:r>
          </w:p>
        </w:tc>
        <w:tc>
          <w:tcPr>
            <w:tcW w:w="1020" w:type="dxa"/>
            <w:tcBorders>
              <w:top w:val="single" w:sz="8" w:space="0" w:color="auto"/>
              <w:left w:val="dashed" w:sz="4" w:space="0" w:color="auto"/>
              <w:bottom w:val="single" w:sz="8" w:space="0" w:color="auto"/>
              <w:right w:val="dashed" w:sz="4" w:space="0" w:color="auto"/>
            </w:tcBorders>
            <w:shd w:val="clear" w:color="auto" w:fill="auto"/>
            <w:vAlign w:val="center"/>
          </w:tcPr>
          <w:p w14:paraId="6F9A2473"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0.00</w:t>
            </w:r>
          </w:p>
        </w:tc>
        <w:tc>
          <w:tcPr>
            <w:tcW w:w="1020" w:type="dxa"/>
            <w:tcBorders>
              <w:top w:val="single" w:sz="8" w:space="0" w:color="auto"/>
              <w:left w:val="dashed" w:sz="4" w:space="0" w:color="auto"/>
              <w:bottom w:val="single" w:sz="8" w:space="0" w:color="auto"/>
            </w:tcBorders>
            <w:shd w:val="clear" w:color="auto" w:fill="auto"/>
            <w:vAlign w:val="center"/>
          </w:tcPr>
          <w:p w14:paraId="077550E2"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0.00</w:t>
            </w:r>
          </w:p>
        </w:tc>
      </w:tr>
      <w:tr w:rsidR="00DD4389" w:rsidRPr="00DD4389" w14:paraId="3CFB4BC7" w14:textId="77777777" w:rsidTr="00DD4389">
        <w:trPr>
          <w:trHeight w:val="288"/>
        </w:trPr>
        <w:tc>
          <w:tcPr>
            <w:tcW w:w="3420" w:type="dxa"/>
            <w:tcBorders>
              <w:top w:val="single" w:sz="8" w:space="0" w:color="auto"/>
              <w:bottom w:val="single" w:sz="12" w:space="0" w:color="auto"/>
              <w:right w:val="single" w:sz="12" w:space="0" w:color="auto"/>
            </w:tcBorders>
            <w:shd w:val="clear" w:color="auto" w:fill="auto"/>
            <w:vAlign w:val="center"/>
            <w:hideMark/>
          </w:tcPr>
          <w:p w14:paraId="0B917E83" w14:textId="77777777" w:rsidR="0049531C" w:rsidRPr="00DD4389" w:rsidRDefault="0049531C" w:rsidP="00DD4389">
            <w:pPr>
              <w:spacing w:after="0" w:line="240" w:lineRule="auto"/>
              <w:rPr>
                <w:rFonts w:eastAsia="Times New Roman" w:cs="Times New Roman"/>
                <w:color w:val="FF0000"/>
                <w:sz w:val="20"/>
                <w:szCs w:val="20"/>
              </w:rPr>
            </w:pPr>
            <w:r w:rsidRPr="00DD4389">
              <w:rPr>
                <w:rFonts w:eastAsia="Times New Roman" w:cs="Times New Roman"/>
                <w:color w:val="FF0000"/>
                <w:sz w:val="20"/>
                <w:szCs w:val="20"/>
              </w:rPr>
              <w:t>Surgery within last 90 days</w:t>
            </w:r>
          </w:p>
        </w:tc>
        <w:tc>
          <w:tcPr>
            <w:tcW w:w="1440" w:type="dxa"/>
            <w:tcBorders>
              <w:top w:val="single" w:sz="8" w:space="0" w:color="auto"/>
              <w:left w:val="single" w:sz="12" w:space="0" w:color="auto"/>
              <w:bottom w:val="single" w:sz="12" w:space="0" w:color="auto"/>
              <w:right w:val="dashed" w:sz="4" w:space="0" w:color="auto"/>
            </w:tcBorders>
            <w:shd w:val="clear" w:color="auto" w:fill="auto"/>
            <w:vAlign w:val="center"/>
          </w:tcPr>
          <w:p w14:paraId="67AF0FD3"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 xml:space="preserve">6,114 </w:t>
            </w:r>
          </w:p>
        </w:tc>
        <w:tc>
          <w:tcPr>
            <w:tcW w:w="1440" w:type="dxa"/>
            <w:tcBorders>
              <w:top w:val="single" w:sz="8" w:space="0" w:color="auto"/>
              <w:left w:val="dashed" w:sz="4" w:space="0" w:color="auto"/>
              <w:bottom w:val="single" w:sz="12" w:space="0" w:color="auto"/>
              <w:right w:val="single" w:sz="12" w:space="0" w:color="auto"/>
            </w:tcBorders>
            <w:shd w:val="clear" w:color="auto" w:fill="auto"/>
            <w:vAlign w:val="center"/>
          </w:tcPr>
          <w:p w14:paraId="41FF003F"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1.17</w:t>
            </w:r>
          </w:p>
        </w:tc>
        <w:tc>
          <w:tcPr>
            <w:tcW w:w="1020" w:type="dxa"/>
            <w:tcBorders>
              <w:top w:val="single" w:sz="8" w:space="0" w:color="auto"/>
              <w:left w:val="single" w:sz="12" w:space="0" w:color="auto"/>
              <w:bottom w:val="single" w:sz="12" w:space="0" w:color="auto"/>
              <w:right w:val="dashed" w:sz="4" w:space="0" w:color="auto"/>
            </w:tcBorders>
            <w:shd w:val="clear" w:color="auto" w:fill="auto"/>
            <w:vAlign w:val="center"/>
          </w:tcPr>
          <w:p w14:paraId="6EB94E9F"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0.00</w:t>
            </w:r>
          </w:p>
        </w:tc>
        <w:tc>
          <w:tcPr>
            <w:tcW w:w="1020" w:type="dxa"/>
            <w:tcBorders>
              <w:top w:val="single" w:sz="8" w:space="0" w:color="auto"/>
              <w:left w:val="dashed" w:sz="4" w:space="0" w:color="auto"/>
              <w:bottom w:val="single" w:sz="12" w:space="0" w:color="auto"/>
              <w:right w:val="dashed" w:sz="4" w:space="0" w:color="auto"/>
            </w:tcBorders>
            <w:shd w:val="clear" w:color="auto" w:fill="auto"/>
            <w:vAlign w:val="center"/>
          </w:tcPr>
          <w:p w14:paraId="560A0C84"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0.77</w:t>
            </w:r>
          </w:p>
        </w:tc>
        <w:tc>
          <w:tcPr>
            <w:tcW w:w="1020" w:type="dxa"/>
            <w:tcBorders>
              <w:top w:val="single" w:sz="8" w:space="0" w:color="auto"/>
              <w:left w:val="dashed" w:sz="4" w:space="0" w:color="auto"/>
              <w:bottom w:val="single" w:sz="12" w:space="0" w:color="auto"/>
            </w:tcBorders>
            <w:shd w:val="clear" w:color="auto" w:fill="auto"/>
            <w:vAlign w:val="center"/>
          </w:tcPr>
          <w:p w14:paraId="5A8F0D3A"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1.56</w:t>
            </w:r>
          </w:p>
        </w:tc>
      </w:tr>
      <w:tr w:rsidR="00DD4389" w:rsidRPr="00DD4389" w14:paraId="736F9371" w14:textId="77777777" w:rsidTr="00DD4389">
        <w:trPr>
          <w:trHeight w:val="288"/>
        </w:trPr>
        <w:tc>
          <w:tcPr>
            <w:tcW w:w="3420" w:type="dxa"/>
            <w:tcBorders>
              <w:top w:val="single" w:sz="12" w:space="0" w:color="auto"/>
              <w:bottom w:val="single" w:sz="12" w:space="0" w:color="auto"/>
              <w:right w:val="single" w:sz="12" w:space="0" w:color="auto"/>
            </w:tcBorders>
            <w:shd w:val="clear" w:color="auto" w:fill="BFBFBF" w:themeFill="background1" w:themeFillShade="BF"/>
            <w:vAlign w:val="center"/>
            <w:hideMark/>
          </w:tcPr>
          <w:p w14:paraId="0F96E5BE" w14:textId="77777777" w:rsidR="0049531C" w:rsidRPr="00DD4389" w:rsidRDefault="0049531C" w:rsidP="00DD4389">
            <w:pPr>
              <w:spacing w:after="0" w:line="240" w:lineRule="auto"/>
              <w:rPr>
                <w:rFonts w:eastAsia="Times New Roman" w:cs="Times New Roman"/>
                <w:b/>
                <w:bCs/>
                <w:color w:val="FF0000"/>
                <w:sz w:val="20"/>
                <w:szCs w:val="20"/>
              </w:rPr>
            </w:pPr>
            <w:r w:rsidRPr="00DD4389">
              <w:rPr>
                <w:rFonts w:eastAsia="Times New Roman" w:cs="Times New Roman"/>
                <w:b/>
                <w:bCs/>
                <w:color w:val="FF0000"/>
                <w:sz w:val="20"/>
                <w:szCs w:val="20"/>
              </w:rPr>
              <w:t xml:space="preserve">All Current Exclusions </w:t>
            </w:r>
          </w:p>
        </w:tc>
        <w:tc>
          <w:tcPr>
            <w:tcW w:w="1440" w:type="dxa"/>
            <w:tcBorders>
              <w:top w:val="single" w:sz="12" w:space="0" w:color="auto"/>
              <w:left w:val="single" w:sz="12" w:space="0" w:color="auto"/>
              <w:bottom w:val="single" w:sz="12" w:space="0" w:color="auto"/>
              <w:right w:val="dashed" w:sz="4" w:space="0" w:color="auto"/>
            </w:tcBorders>
            <w:shd w:val="clear" w:color="auto" w:fill="BFBFBF" w:themeFill="background1" w:themeFillShade="BF"/>
            <w:vAlign w:val="center"/>
          </w:tcPr>
          <w:p w14:paraId="2AF85256"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 xml:space="preserve">328,901 </w:t>
            </w:r>
          </w:p>
        </w:tc>
        <w:tc>
          <w:tcPr>
            <w:tcW w:w="1440" w:type="dxa"/>
            <w:tcBorders>
              <w:top w:val="single" w:sz="12" w:space="0" w:color="auto"/>
              <w:left w:val="dashed" w:sz="4" w:space="0" w:color="auto"/>
              <w:bottom w:val="single" w:sz="12" w:space="0" w:color="auto"/>
              <w:right w:val="single" w:sz="12" w:space="0" w:color="auto"/>
            </w:tcBorders>
            <w:shd w:val="clear" w:color="auto" w:fill="BFBFBF" w:themeFill="background1" w:themeFillShade="BF"/>
            <w:vAlign w:val="center"/>
          </w:tcPr>
          <w:p w14:paraId="137B7C72"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63.07</w:t>
            </w:r>
          </w:p>
        </w:tc>
        <w:tc>
          <w:tcPr>
            <w:tcW w:w="1020" w:type="dxa"/>
            <w:tcBorders>
              <w:top w:val="single" w:sz="12" w:space="0" w:color="auto"/>
              <w:left w:val="single" w:sz="12" w:space="0" w:color="auto"/>
              <w:bottom w:val="single" w:sz="12" w:space="0" w:color="auto"/>
              <w:right w:val="dashed" w:sz="4" w:space="0" w:color="auto"/>
            </w:tcBorders>
            <w:shd w:val="clear" w:color="auto" w:fill="BFBFBF" w:themeFill="background1" w:themeFillShade="BF"/>
            <w:vAlign w:val="center"/>
          </w:tcPr>
          <w:p w14:paraId="0361D4AB"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55.13</w:t>
            </w:r>
          </w:p>
        </w:tc>
        <w:tc>
          <w:tcPr>
            <w:tcW w:w="1020" w:type="dxa"/>
            <w:tcBorders>
              <w:top w:val="single" w:sz="12" w:space="0" w:color="auto"/>
              <w:left w:val="dashed" w:sz="4" w:space="0" w:color="auto"/>
              <w:bottom w:val="single" w:sz="12" w:space="0" w:color="auto"/>
              <w:right w:val="dashed" w:sz="4" w:space="0" w:color="auto"/>
            </w:tcBorders>
            <w:shd w:val="clear" w:color="auto" w:fill="BFBFBF" w:themeFill="background1" w:themeFillShade="BF"/>
            <w:vAlign w:val="center"/>
          </w:tcPr>
          <w:p w14:paraId="5B2860E3"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61.42</w:t>
            </w:r>
          </w:p>
        </w:tc>
        <w:tc>
          <w:tcPr>
            <w:tcW w:w="1020" w:type="dxa"/>
            <w:tcBorders>
              <w:top w:val="single" w:sz="12" w:space="0" w:color="auto"/>
              <w:left w:val="dashed" w:sz="4" w:space="0" w:color="auto"/>
              <w:bottom w:val="single" w:sz="12" w:space="0" w:color="auto"/>
            </w:tcBorders>
            <w:shd w:val="clear" w:color="auto" w:fill="BFBFBF" w:themeFill="background1" w:themeFillShade="BF"/>
            <w:vAlign w:val="center"/>
          </w:tcPr>
          <w:p w14:paraId="3719CA38" w14:textId="77777777" w:rsidR="0049531C" w:rsidRPr="00DD4389" w:rsidRDefault="0049531C" w:rsidP="00DD4389">
            <w:pPr>
              <w:spacing w:after="0" w:line="240" w:lineRule="auto"/>
              <w:jc w:val="center"/>
              <w:rPr>
                <w:rFonts w:eastAsia="Times New Roman" w:cs="Times New Roman"/>
                <w:color w:val="FF0000"/>
                <w:sz w:val="20"/>
                <w:szCs w:val="20"/>
              </w:rPr>
            </w:pPr>
            <w:r w:rsidRPr="00DD4389">
              <w:rPr>
                <w:color w:val="FF0000"/>
                <w:sz w:val="20"/>
                <w:szCs w:val="20"/>
              </w:rPr>
              <w:t>67.74</w:t>
            </w:r>
          </w:p>
        </w:tc>
      </w:tr>
    </w:tbl>
    <w:p w14:paraId="0A9DFD6A" w14:textId="7D9507EA" w:rsidR="0049531C" w:rsidRPr="00DD4389" w:rsidRDefault="0049531C" w:rsidP="00AE1932">
      <w:pPr>
        <w:autoSpaceDE w:val="0"/>
        <w:autoSpaceDN w:val="0"/>
        <w:adjustRightInd w:val="0"/>
        <w:spacing w:before="110" w:after="110" w:line="240" w:lineRule="auto"/>
        <w:rPr>
          <w:rFonts w:cstheme="minorHAnsi"/>
          <w:bCs/>
          <w:color w:val="FF0000"/>
        </w:rPr>
      </w:pPr>
      <w:r w:rsidRPr="00DD4389">
        <w:rPr>
          <w:rFonts w:cstheme="minorHAnsi"/>
          <w:bCs/>
          <w:color w:val="FF0000"/>
        </w:rPr>
        <w:t>Additionally, we calculated descriptive statistics for the measure scores of each facilit</w:t>
      </w:r>
      <w:r w:rsidR="00AE1932">
        <w:rPr>
          <w:rFonts w:cstheme="minorHAnsi"/>
          <w:bCs/>
          <w:color w:val="FF0000"/>
        </w:rPr>
        <w:t>y, with and without exclusions.</w:t>
      </w:r>
    </w:p>
    <w:tbl>
      <w:tblPr>
        <w:tblStyle w:val="TableGrid"/>
        <w:tblpPr w:leftFromText="180" w:rightFromText="180" w:vertAnchor="text" w:horzAnchor="margin" w:tblpY="222"/>
        <w:tblW w:w="9360"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5414"/>
        <w:gridCol w:w="1973"/>
        <w:gridCol w:w="1973"/>
      </w:tblGrid>
      <w:tr w:rsidR="0049531C" w:rsidRPr="00DD4389" w14:paraId="53F8BD7C" w14:textId="77777777" w:rsidTr="007D045F">
        <w:trPr>
          <w:tblHeader/>
        </w:trPr>
        <w:tc>
          <w:tcPr>
            <w:tcW w:w="9360" w:type="dxa"/>
            <w:gridSpan w:val="3"/>
            <w:tcBorders>
              <w:top w:val="single" w:sz="12" w:space="0" w:color="auto"/>
              <w:bottom w:val="nil"/>
            </w:tcBorders>
            <w:shd w:val="clear" w:color="auto" w:fill="808080" w:themeFill="background1" w:themeFillShade="80"/>
            <w:vAlign w:val="center"/>
          </w:tcPr>
          <w:p w14:paraId="70BE6A16" w14:textId="77777777" w:rsidR="0049531C" w:rsidRPr="00DD4389" w:rsidRDefault="0049531C" w:rsidP="00DD4389">
            <w:pPr>
              <w:autoSpaceDE w:val="0"/>
              <w:autoSpaceDN w:val="0"/>
              <w:adjustRightInd w:val="0"/>
              <w:jc w:val="center"/>
              <w:rPr>
                <w:b/>
                <w:color w:val="FF0000"/>
                <w:sz w:val="20"/>
                <w:szCs w:val="20"/>
              </w:rPr>
            </w:pPr>
            <w:r w:rsidRPr="00DD4389">
              <w:rPr>
                <w:rFonts w:eastAsia="Times New Roman" w:cs="Times New Roman"/>
                <w:b/>
                <w:color w:val="FF0000"/>
                <w:sz w:val="20"/>
                <w:szCs w:val="20"/>
              </w:rPr>
              <w:t>Facilities</w:t>
            </w:r>
          </w:p>
        </w:tc>
      </w:tr>
      <w:tr w:rsidR="0049531C" w:rsidRPr="00DD4389" w14:paraId="128F283C" w14:textId="77777777" w:rsidTr="007D045F">
        <w:trPr>
          <w:tblHeader/>
        </w:trPr>
        <w:tc>
          <w:tcPr>
            <w:tcW w:w="5414" w:type="dxa"/>
            <w:tcBorders>
              <w:top w:val="nil"/>
              <w:bottom w:val="single" w:sz="12" w:space="0" w:color="auto"/>
              <w:right w:val="nil"/>
            </w:tcBorders>
            <w:shd w:val="clear" w:color="auto" w:fill="BFBFBF" w:themeFill="background1" w:themeFillShade="BF"/>
            <w:vAlign w:val="center"/>
          </w:tcPr>
          <w:p w14:paraId="088A22AE" w14:textId="77777777" w:rsidR="0049531C" w:rsidRPr="00DD4389" w:rsidRDefault="0049531C" w:rsidP="00DD4389">
            <w:pPr>
              <w:autoSpaceDE w:val="0"/>
              <w:autoSpaceDN w:val="0"/>
              <w:adjustRightInd w:val="0"/>
              <w:jc w:val="center"/>
              <w:rPr>
                <w:rFonts w:cstheme="minorHAnsi"/>
                <w:bCs/>
                <w:color w:val="FF0000"/>
              </w:rPr>
            </w:pPr>
            <w:r w:rsidRPr="00DD4389">
              <w:rPr>
                <w:rFonts w:eastAsia="Times New Roman" w:cs="Times New Roman"/>
                <w:i/>
                <w:color w:val="FF0000"/>
                <w:sz w:val="20"/>
                <w:szCs w:val="20"/>
              </w:rPr>
              <w:t>Descriptive Statistic</w:t>
            </w:r>
          </w:p>
        </w:tc>
        <w:tc>
          <w:tcPr>
            <w:tcW w:w="1973" w:type="dxa"/>
            <w:tcBorders>
              <w:top w:val="nil"/>
              <w:left w:val="nil"/>
              <w:bottom w:val="single" w:sz="12" w:space="0" w:color="auto"/>
              <w:right w:val="nil"/>
            </w:tcBorders>
            <w:shd w:val="clear" w:color="auto" w:fill="BFBFBF" w:themeFill="background1" w:themeFillShade="BF"/>
            <w:vAlign w:val="center"/>
          </w:tcPr>
          <w:p w14:paraId="36611E84" w14:textId="77777777" w:rsidR="0049531C" w:rsidRPr="00DD4389" w:rsidRDefault="0049531C" w:rsidP="00DD4389">
            <w:pPr>
              <w:autoSpaceDE w:val="0"/>
              <w:autoSpaceDN w:val="0"/>
              <w:adjustRightInd w:val="0"/>
              <w:jc w:val="center"/>
              <w:rPr>
                <w:rFonts w:cstheme="minorHAnsi"/>
                <w:bCs/>
                <w:color w:val="FF0000"/>
              </w:rPr>
            </w:pPr>
            <w:r w:rsidRPr="00DD4389">
              <w:rPr>
                <w:i/>
                <w:color w:val="FF0000"/>
                <w:sz w:val="20"/>
                <w:szCs w:val="20"/>
              </w:rPr>
              <w:t>With Exclusions (%)</w:t>
            </w:r>
          </w:p>
        </w:tc>
        <w:tc>
          <w:tcPr>
            <w:tcW w:w="1973" w:type="dxa"/>
            <w:tcBorders>
              <w:top w:val="nil"/>
              <w:left w:val="nil"/>
              <w:bottom w:val="single" w:sz="12" w:space="0" w:color="auto"/>
            </w:tcBorders>
            <w:shd w:val="clear" w:color="auto" w:fill="BFBFBF" w:themeFill="background1" w:themeFillShade="BF"/>
            <w:vAlign w:val="center"/>
          </w:tcPr>
          <w:p w14:paraId="46DC755C" w14:textId="77777777" w:rsidR="0049531C" w:rsidRPr="00DD4389" w:rsidRDefault="0049531C" w:rsidP="00DD4389">
            <w:pPr>
              <w:autoSpaceDE w:val="0"/>
              <w:autoSpaceDN w:val="0"/>
              <w:adjustRightInd w:val="0"/>
              <w:jc w:val="center"/>
              <w:rPr>
                <w:rFonts w:cstheme="minorHAnsi"/>
                <w:bCs/>
                <w:color w:val="FF0000"/>
              </w:rPr>
            </w:pPr>
            <w:r w:rsidRPr="00DD4389">
              <w:rPr>
                <w:i/>
                <w:color w:val="FF0000"/>
                <w:sz w:val="20"/>
                <w:szCs w:val="20"/>
              </w:rPr>
              <w:t>No Exclusions (%)</w:t>
            </w:r>
          </w:p>
        </w:tc>
      </w:tr>
      <w:tr w:rsidR="0049531C" w:rsidRPr="00DD4389" w14:paraId="2FF474F5" w14:textId="77777777" w:rsidTr="007D045F">
        <w:tc>
          <w:tcPr>
            <w:tcW w:w="5414" w:type="dxa"/>
            <w:tcBorders>
              <w:top w:val="single" w:sz="12" w:space="0" w:color="auto"/>
              <w:bottom w:val="single" w:sz="8" w:space="0" w:color="auto"/>
              <w:right w:val="dashed" w:sz="4" w:space="0" w:color="auto"/>
            </w:tcBorders>
            <w:vAlign w:val="center"/>
          </w:tcPr>
          <w:p w14:paraId="19074929" w14:textId="77777777" w:rsidR="0049531C" w:rsidRPr="00DD4389" w:rsidRDefault="0049531C" w:rsidP="00DD4389">
            <w:pPr>
              <w:autoSpaceDE w:val="0"/>
              <w:autoSpaceDN w:val="0"/>
              <w:adjustRightInd w:val="0"/>
              <w:rPr>
                <w:rFonts w:cstheme="minorHAnsi"/>
                <w:bCs/>
                <w:color w:val="FF0000"/>
                <w:sz w:val="20"/>
                <w:szCs w:val="20"/>
              </w:rPr>
            </w:pPr>
            <w:r w:rsidRPr="00DD4389">
              <w:rPr>
                <w:rFonts w:cstheme="minorHAnsi"/>
                <w:bCs/>
                <w:color w:val="FF0000"/>
                <w:sz w:val="20"/>
                <w:szCs w:val="20"/>
              </w:rPr>
              <w:t>Minimum</w:t>
            </w:r>
          </w:p>
        </w:tc>
        <w:tc>
          <w:tcPr>
            <w:tcW w:w="1973" w:type="dxa"/>
            <w:tcBorders>
              <w:top w:val="single" w:sz="12" w:space="0" w:color="auto"/>
              <w:left w:val="dashed" w:sz="4" w:space="0" w:color="auto"/>
              <w:bottom w:val="single" w:sz="8" w:space="0" w:color="auto"/>
              <w:right w:val="dashed" w:sz="4" w:space="0" w:color="auto"/>
            </w:tcBorders>
            <w:vAlign w:val="center"/>
          </w:tcPr>
          <w:p w14:paraId="478E68AF" w14:textId="77777777" w:rsidR="0049531C" w:rsidRPr="00DD4389" w:rsidRDefault="0049531C" w:rsidP="00DD4389">
            <w:pPr>
              <w:autoSpaceDE w:val="0"/>
              <w:autoSpaceDN w:val="0"/>
              <w:adjustRightInd w:val="0"/>
              <w:jc w:val="center"/>
              <w:rPr>
                <w:rFonts w:cstheme="minorHAnsi"/>
                <w:bCs/>
                <w:color w:val="FF0000"/>
                <w:sz w:val="20"/>
                <w:szCs w:val="20"/>
              </w:rPr>
            </w:pPr>
            <w:r w:rsidRPr="00DD4389">
              <w:rPr>
                <w:rFonts w:cstheme="minorHAnsi"/>
                <w:bCs/>
                <w:color w:val="FF0000"/>
                <w:sz w:val="20"/>
                <w:szCs w:val="20"/>
              </w:rPr>
              <w:t>15.52</w:t>
            </w:r>
          </w:p>
        </w:tc>
        <w:tc>
          <w:tcPr>
            <w:tcW w:w="1973" w:type="dxa"/>
            <w:tcBorders>
              <w:top w:val="single" w:sz="12" w:space="0" w:color="auto"/>
              <w:left w:val="dashed" w:sz="4" w:space="0" w:color="auto"/>
              <w:bottom w:val="single" w:sz="8" w:space="0" w:color="auto"/>
            </w:tcBorders>
            <w:vAlign w:val="center"/>
          </w:tcPr>
          <w:p w14:paraId="3D52E3A8" w14:textId="77777777" w:rsidR="0049531C" w:rsidRPr="00DD4389" w:rsidRDefault="0049531C" w:rsidP="00DD4389">
            <w:pPr>
              <w:autoSpaceDE w:val="0"/>
              <w:autoSpaceDN w:val="0"/>
              <w:adjustRightInd w:val="0"/>
              <w:jc w:val="center"/>
              <w:rPr>
                <w:rFonts w:cstheme="minorHAnsi"/>
                <w:bCs/>
                <w:color w:val="FF0000"/>
                <w:sz w:val="20"/>
                <w:szCs w:val="20"/>
              </w:rPr>
            </w:pPr>
            <w:r w:rsidRPr="00DD4389">
              <w:rPr>
                <w:rFonts w:cstheme="minorHAnsi"/>
                <w:bCs/>
                <w:color w:val="FF0000"/>
                <w:sz w:val="20"/>
                <w:szCs w:val="20"/>
              </w:rPr>
              <w:t>11.11</w:t>
            </w:r>
          </w:p>
        </w:tc>
      </w:tr>
      <w:tr w:rsidR="0049531C" w:rsidRPr="00DD4389" w14:paraId="242FADEC" w14:textId="77777777" w:rsidTr="007D045F">
        <w:tc>
          <w:tcPr>
            <w:tcW w:w="5414" w:type="dxa"/>
            <w:tcBorders>
              <w:top w:val="single" w:sz="8" w:space="0" w:color="auto"/>
              <w:bottom w:val="single" w:sz="8" w:space="0" w:color="auto"/>
              <w:right w:val="dashed" w:sz="4" w:space="0" w:color="auto"/>
            </w:tcBorders>
          </w:tcPr>
          <w:p w14:paraId="50379513" w14:textId="77777777" w:rsidR="0049531C" w:rsidRPr="00DD4389" w:rsidRDefault="0049531C" w:rsidP="00DD4389">
            <w:pPr>
              <w:autoSpaceDE w:val="0"/>
              <w:autoSpaceDN w:val="0"/>
              <w:adjustRightInd w:val="0"/>
              <w:rPr>
                <w:rFonts w:cstheme="minorHAnsi"/>
                <w:bCs/>
                <w:color w:val="FF0000"/>
                <w:sz w:val="20"/>
                <w:szCs w:val="20"/>
              </w:rPr>
            </w:pPr>
            <w:r w:rsidRPr="00DD4389">
              <w:rPr>
                <w:rFonts w:cstheme="minorHAnsi"/>
                <w:bCs/>
                <w:color w:val="FF0000"/>
                <w:sz w:val="20"/>
                <w:szCs w:val="20"/>
              </w:rPr>
              <w:t>Maximum</w:t>
            </w:r>
          </w:p>
        </w:tc>
        <w:tc>
          <w:tcPr>
            <w:tcW w:w="1973" w:type="dxa"/>
            <w:tcBorders>
              <w:top w:val="single" w:sz="8" w:space="0" w:color="auto"/>
              <w:left w:val="dashed" w:sz="4" w:space="0" w:color="auto"/>
              <w:bottom w:val="single" w:sz="8" w:space="0" w:color="auto"/>
              <w:right w:val="dashed" w:sz="4" w:space="0" w:color="auto"/>
            </w:tcBorders>
          </w:tcPr>
          <w:p w14:paraId="7F5ECAF9" w14:textId="77777777" w:rsidR="0049531C" w:rsidRPr="00DD4389" w:rsidRDefault="0049531C" w:rsidP="00DD4389">
            <w:pPr>
              <w:autoSpaceDE w:val="0"/>
              <w:autoSpaceDN w:val="0"/>
              <w:adjustRightInd w:val="0"/>
              <w:jc w:val="center"/>
              <w:rPr>
                <w:rFonts w:cstheme="minorHAnsi"/>
                <w:bCs/>
                <w:color w:val="FF0000"/>
                <w:sz w:val="20"/>
                <w:szCs w:val="20"/>
              </w:rPr>
            </w:pPr>
            <w:r w:rsidRPr="00DD4389">
              <w:rPr>
                <w:rFonts w:cstheme="minorHAnsi"/>
                <w:bCs/>
                <w:color w:val="FF0000"/>
                <w:sz w:val="20"/>
                <w:szCs w:val="20"/>
              </w:rPr>
              <w:t>76.00</w:t>
            </w:r>
          </w:p>
        </w:tc>
        <w:tc>
          <w:tcPr>
            <w:tcW w:w="1973" w:type="dxa"/>
            <w:tcBorders>
              <w:top w:val="single" w:sz="8" w:space="0" w:color="auto"/>
              <w:left w:val="dashed" w:sz="4" w:space="0" w:color="auto"/>
              <w:bottom w:val="single" w:sz="8" w:space="0" w:color="auto"/>
            </w:tcBorders>
          </w:tcPr>
          <w:p w14:paraId="729DA0D3" w14:textId="77777777" w:rsidR="0049531C" w:rsidRPr="00DD4389" w:rsidRDefault="0049531C" w:rsidP="00DD4389">
            <w:pPr>
              <w:autoSpaceDE w:val="0"/>
              <w:autoSpaceDN w:val="0"/>
              <w:adjustRightInd w:val="0"/>
              <w:jc w:val="center"/>
              <w:rPr>
                <w:rFonts w:cstheme="minorHAnsi"/>
                <w:bCs/>
                <w:color w:val="FF0000"/>
                <w:sz w:val="20"/>
                <w:szCs w:val="20"/>
              </w:rPr>
            </w:pPr>
            <w:r w:rsidRPr="00DD4389">
              <w:rPr>
                <w:rFonts w:cstheme="minorHAnsi"/>
                <w:bCs/>
                <w:color w:val="FF0000"/>
                <w:sz w:val="20"/>
                <w:szCs w:val="20"/>
              </w:rPr>
              <w:t>69.23</w:t>
            </w:r>
          </w:p>
        </w:tc>
      </w:tr>
      <w:tr w:rsidR="0049531C" w:rsidRPr="00DD4389" w14:paraId="5B476B4D" w14:textId="77777777" w:rsidTr="007D045F">
        <w:tc>
          <w:tcPr>
            <w:tcW w:w="5414" w:type="dxa"/>
            <w:tcBorders>
              <w:top w:val="single" w:sz="8" w:space="0" w:color="auto"/>
              <w:bottom w:val="single" w:sz="8" w:space="0" w:color="auto"/>
              <w:right w:val="dashed" w:sz="4" w:space="0" w:color="auto"/>
            </w:tcBorders>
          </w:tcPr>
          <w:p w14:paraId="54300688" w14:textId="77777777" w:rsidR="0049531C" w:rsidRPr="00DD4389" w:rsidRDefault="0049531C" w:rsidP="00DD4389">
            <w:pPr>
              <w:autoSpaceDE w:val="0"/>
              <w:autoSpaceDN w:val="0"/>
              <w:adjustRightInd w:val="0"/>
              <w:rPr>
                <w:rFonts w:cstheme="minorHAnsi"/>
                <w:bCs/>
                <w:color w:val="FF0000"/>
                <w:sz w:val="20"/>
                <w:szCs w:val="20"/>
              </w:rPr>
            </w:pPr>
            <w:r w:rsidRPr="00DD4389">
              <w:rPr>
                <w:rFonts w:cstheme="minorHAnsi"/>
                <w:bCs/>
                <w:color w:val="FF0000"/>
                <w:sz w:val="20"/>
                <w:szCs w:val="20"/>
              </w:rPr>
              <w:t>Mean</w:t>
            </w:r>
          </w:p>
        </w:tc>
        <w:tc>
          <w:tcPr>
            <w:tcW w:w="1973" w:type="dxa"/>
            <w:tcBorders>
              <w:top w:val="single" w:sz="8" w:space="0" w:color="auto"/>
              <w:left w:val="dashed" w:sz="4" w:space="0" w:color="auto"/>
              <w:bottom w:val="single" w:sz="8" w:space="0" w:color="auto"/>
              <w:right w:val="dashed" w:sz="4" w:space="0" w:color="auto"/>
            </w:tcBorders>
          </w:tcPr>
          <w:p w14:paraId="51777A67" w14:textId="77777777" w:rsidR="0049531C" w:rsidRPr="00DD4389" w:rsidRDefault="0049531C" w:rsidP="00DD4389">
            <w:pPr>
              <w:autoSpaceDE w:val="0"/>
              <w:autoSpaceDN w:val="0"/>
              <w:adjustRightInd w:val="0"/>
              <w:jc w:val="center"/>
              <w:rPr>
                <w:rFonts w:cstheme="minorHAnsi"/>
                <w:bCs/>
                <w:color w:val="FF0000"/>
                <w:sz w:val="20"/>
                <w:szCs w:val="20"/>
              </w:rPr>
            </w:pPr>
            <w:r w:rsidRPr="00DD4389">
              <w:rPr>
                <w:rFonts w:cstheme="minorHAnsi"/>
                <w:bCs/>
                <w:color w:val="FF0000"/>
                <w:sz w:val="20"/>
                <w:szCs w:val="20"/>
              </w:rPr>
              <w:t>37.35</w:t>
            </w:r>
          </w:p>
        </w:tc>
        <w:tc>
          <w:tcPr>
            <w:tcW w:w="1973" w:type="dxa"/>
            <w:tcBorders>
              <w:top w:val="single" w:sz="8" w:space="0" w:color="auto"/>
              <w:left w:val="dashed" w:sz="4" w:space="0" w:color="auto"/>
              <w:bottom w:val="single" w:sz="8" w:space="0" w:color="auto"/>
            </w:tcBorders>
          </w:tcPr>
          <w:p w14:paraId="6F9FA9F1" w14:textId="77777777" w:rsidR="0049531C" w:rsidRPr="00DD4389" w:rsidRDefault="0049531C" w:rsidP="00DD4389">
            <w:pPr>
              <w:autoSpaceDE w:val="0"/>
              <w:autoSpaceDN w:val="0"/>
              <w:adjustRightInd w:val="0"/>
              <w:jc w:val="center"/>
              <w:rPr>
                <w:rFonts w:cstheme="minorHAnsi"/>
                <w:bCs/>
                <w:color w:val="FF0000"/>
                <w:sz w:val="20"/>
                <w:szCs w:val="20"/>
              </w:rPr>
            </w:pPr>
            <w:r w:rsidRPr="00DD4389">
              <w:rPr>
                <w:rFonts w:cstheme="minorHAnsi"/>
                <w:bCs/>
                <w:color w:val="FF0000"/>
                <w:sz w:val="20"/>
                <w:szCs w:val="20"/>
              </w:rPr>
              <w:t>32.54</w:t>
            </w:r>
          </w:p>
        </w:tc>
      </w:tr>
      <w:tr w:rsidR="0049531C" w:rsidRPr="00DD4389" w14:paraId="214A62C5" w14:textId="77777777" w:rsidTr="007D045F">
        <w:tc>
          <w:tcPr>
            <w:tcW w:w="5414" w:type="dxa"/>
            <w:tcBorders>
              <w:top w:val="single" w:sz="8" w:space="0" w:color="auto"/>
              <w:bottom w:val="single" w:sz="8" w:space="0" w:color="auto"/>
              <w:right w:val="dashed" w:sz="4" w:space="0" w:color="auto"/>
            </w:tcBorders>
          </w:tcPr>
          <w:p w14:paraId="5DEC4043" w14:textId="77777777" w:rsidR="0049531C" w:rsidRPr="00DD4389" w:rsidRDefault="0049531C" w:rsidP="00DD4389">
            <w:pPr>
              <w:autoSpaceDE w:val="0"/>
              <w:autoSpaceDN w:val="0"/>
              <w:adjustRightInd w:val="0"/>
              <w:rPr>
                <w:rFonts w:cstheme="minorHAnsi"/>
                <w:bCs/>
                <w:color w:val="FF0000"/>
                <w:sz w:val="20"/>
                <w:szCs w:val="20"/>
              </w:rPr>
            </w:pPr>
            <w:r w:rsidRPr="00DD4389">
              <w:rPr>
                <w:rFonts w:cstheme="minorHAnsi"/>
                <w:bCs/>
                <w:color w:val="FF0000"/>
                <w:sz w:val="20"/>
                <w:szCs w:val="20"/>
              </w:rPr>
              <w:t>Standard Deviation</w:t>
            </w:r>
          </w:p>
        </w:tc>
        <w:tc>
          <w:tcPr>
            <w:tcW w:w="1973" w:type="dxa"/>
            <w:tcBorders>
              <w:top w:val="single" w:sz="8" w:space="0" w:color="auto"/>
              <w:left w:val="dashed" w:sz="4" w:space="0" w:color="auto"/>
              <w:bottom w:val="single" w:sz="8" w:space="0" w:color="auto"/>
              <w:right w:val="dashed" w:sz="4" w:space="0" w:color="auto"/>
            </w:tcBorders>
          </w:tcPr>
          <w:p w14:paraId="4B6A3BA2" w14:textId="77777777" w:rsidR="0049531C" w:rsidRPr="00DD4389" w:rsidRDefault="0049531C" w:rsidP="00DD4389">
            <w:pPr>
              <w:autoSpaceDE w:val="0"/>
              <w:autoSpaceDN w:val="0"/>
              <w:adjustRightInd w:val="0"/>
              <w:jc w:val="center"/>
              <w:rPr>
                <w:rFonts w:cstheme="minorHAnsi"/>
                <w:bCs/>
                <w:color w:val="FF0000"/>
                <w:sz w:val="20"/>
                <w:szCs w:val="20"/>
              </w:rPr>
            </w:pPr>
            <w:r w:rsidRPr="00DD4389">
              <w:rPr>
                <w:rFonts w:cstheme="minorHAnsi"/>
                <w:bCs/>
                <w:color w:val="FF0000"/>
                <w:sz w:val="20"/>
                <w:szCs w:val="20"/>
              </w:rPr>
              <w:t>7.34</w:t>
            </w:r>
          </w:p>
        </w:tc>
        <w:tc>
          <w:tcPr>
            <w:tcW w:w="1973" w:type="dxa"/>
            <w:tcBorders>
              <w:top w:val="single" w:sz="8" w:space="0" w:color="auto"/>
              <w:left w:val="dashed" w:sz="4" w:space="0" w:color="auto"/>
              <w:bottom w:val="single" w:sz="8" w:space="0" w:color="auto"/>
            </w:tcBorders>
          </w:tcPr>
          <w:p w14:paraId="457E81E7" w14:textId="77777777" w:rsidR="0049531C" w:rsidRPr="00DD4389" w:rsidRDefault="0049531C" w:rsidP="00DD4389">
            <w:pPr>
              <w:autoSpaceDE w:val="0"/>
              <w:autoSpaceDN w:val="0"/>
              <w:adjustRightInd w:val="0"/>
              <w:jc w:val="center"/>
              <w:rPr>
                <w:rFonts w:cstheme="minorHAnsi"/>
                <w:bCs/>
                <w:color w:val="FF0000"/>
                <w:sz w:val="20"/>
                <w:szCs w:val="20"/>
              </w:rPr>
            </w:pPr>
            <w:r w:rsidRPr="00DD4389">
              <w:rPr>
                <w:rFonts w:cstheme="minorHAnsi"/>
                <w:bCs/>
                <w:color w:val="FF0000"/>
                <w:sz w:val="20"/>
                <w:szCs w:val="20"/>
              </w:rPr>
              <w:t>6.91</w:t>
            </w:r>
          </w:p>
        </w:tc>
      </w:tr>
      <w:tr w:rsidR="0049531C" w:rsidRPr="00DD4389" w14:paraId="36DAE129" w14:textId="77777777" w:rsidTr="007D045F">
        <w:tc>
          <w:tcPr>
            <w:tcW w:w="5414" w:type="dxa"/>
            <w:tcBorders>
              <w:top w:val="single" w:sz="8" w:space="0" w:color="auto"/>
              <w:bottom w:val="single" w:sz="8" w:space="0" w:color="auto"/>
              <w:right w:val="dashed" w:sz="4" w:space="0" w:color="auto"/>
            </w:tcBorders>
          </w:tcPr>
          <w:p w14:paraId="3DBBEFF7" w14:textId="77777777" w:rsidR="0049531C" w:rsidRPr="00DD4389" w:rsidRDefault="0049531C" w:rsidP="00DD4389">
            <w:pPr>
              <w:autoSpaceDE w:val="0"/>
              <w:autoSpaceDN w:val="0"/>
              <w:adjustRightInd w:val="0"/>
              <w:rPr>
                <w:rFonts w:cstheme="minorHAnsi"/>
                <w:bCs/>
                <w:color w:val="FF0000"/>
                <w:sz w:val="20"/>
                <w:szCs w:val="20"/>
              </w:rPr>
            </w:pPr>
            <w:r w:rsidRPr="00DD4389">
              <w:rPr>
                <w:rFonts w:cstheme="minorHAnsi"/>
                <w:bCs/>
                <w:color w:val="FF0000"/>
                <w:sz w:val="20"/>
                <w:szCs w:val="20"/>
              </w:rPr>
              <w:t>25</w:t>
            </w:r>
            <w:r w:rsidRPr="00DD4389">
              <w:rPr>
                <w:rFonts w:cstheme="minorHAnsi"/>
                <w:bCs/>
                <w:color w:val="FF0000"/>
                <w:sz w:val="20"/>
                <w:szCs w:val="20"/>
                <w:vertAlign w:val="superscript"/>
              </w:rPr>
              <w:t>th</w:t>
            </w:r>
            <w:r w:rsidRPr="00DD4389">
              <w:rPr>
                <w:rFonts w:cstheme="minorHAnsi"/>
                <w:bCs/>
                <w:color w:val="FF0000"/>
                <w:sz w:val="20"/>
                <w:szCs w:val="20"/>
              </w:rPr>
              <w:t xml:space="preserve"> Percentile</w:t>
            </w:r>
          </w:p>
        </w:tc>
        <w:tc>
          <w:tcPr>
            <w:tcW w:w="1973" w:type="dxa"/>
            <w:tcBorders>
              <w:top w:val="single" w:sz="8" w:space="0" w:color="auto"/>
              <w:left w:val="dashed" w:sz="4" w:space="0" w:color="auto"/>
              <w:bottom w:val="single" w:sz="8" w:space="0" w:color="auto"/>
              <w:right w:val="dashed" w:sz="4" w:space="0" w:color="auto"/>
            </w:tcBorders>
          </w:tcPr>
          <w:p w14:paraId="6DF1ACBF" w14:textId="77777777" w:rsidR="0049531C" w:rsidRPr="00DD4389" w:rsidRDefault="0049531C" w:rsidP="00DD4389">
            <w:pPr>
              <w:autoSpaceDE w:val="0"/>
              <w:autoSpaceDN w:val="0"/>
              <w:adjustRightInd w:val="0"/>
              <w:jc w:val="center"/>
              <w:rPr>
                <w:rFonts w:cstheme="minorHAnsi"/>
                <w:bCs/>
                <w:color w:val="FF0000"/>
                <w:sz w:val="20"/>
                <w:szCs w:val="20"/>
              </w:rPr>
            </w:pPr>
            <w:r w:rsidRPr="00DD4389">
              <w:rPr>
                <w:rFonts w:cstheme="minorHAnsi"/>
                <w:bCs/>
                <w:color w:val="FF0000"/>
                <w:sz w:val="20"/>
                <w:szCs w:val="20"/>
              </w:rPr>
              <w:t>32.53</w:t>
            </w:r>
          </w:p>
        </w:tc>
        <w:tc>
          <w:tcPr>
            <w:tcW w:w="1973" w:type="dxa"/>
            <w:tcBorders>
              <w:top w:val="single" w:sz="8" w:space="0" w:color="auto"/>
              <w:left w:val="dashed" w:sz="4" w:space="0" w:color="auto"/>
              <w:bottom w:val="single" w:sz="8" w:space="0" w:color="auto"/>
            </w:tcBorders>
          </w:tcPr>
          <w:p w14:paraId="6B7D094E" w14:textId="77777777" w:rsidR="0049531C" w:rsidRPr="00DD4389" w:rsidRDefault="0049531C" w:rsidP="00DD4389">
            <w:pPr>
              <w:autoSpaceDE w:val="0"/>
              <w:autoSpaceDN w:val="0"/>
              <w:adjustRightInd w:val="0"/>
              <w:jc w:val="center"/>
              <w:rPr>
                <w:rFonts w:cstheme="minorHAnsi"/>
                <w:bCs/>
                <w:color w:val="FF0000"/>
                <w:sz w:val="20"/>
                <w:szCs w:val="20"/>
              </w:rPr>
            </w:pPr>
            <w:r w:rsidRPr="00DD4389">
              <w:rPr>
                <w:rFonts w:cstheme="minorHAnsi"/>
                <w:bCs/>
                <w:color w:val="FF0000"/>
                <w:sz w:val="20"/>
                <w:szCs w:val="20"/>
              </w:rPr>
              <w:t>28.02</w:t>
            </w:r>
          </w:p>
        </w:tc>
      </w:tr>
      <w:tr w:rsidR="0049531C" w:rsidRPr="00DD4389" w14:paraId="6088C632" w14:textId="77777777" w:rsidTr="007D045F">
        <w:tc>
          <w:tcPr>
            <w:tcW w:w="5414" w:type="dxa"/>
            <w:tcBorders>
              <w:top w:val="single" w:sz="8" w:space="0" w:color="auto"/>
              <w:bottom w:val="single" w:sz="8" w:space="0" w:color="auto"/>
              <w:right w:val="dashed" w:sz="4" w:space="0" w:color="auto"/>
            </w:tcBorders>
          </w:tcPr>
          <w:p w14:paraId="05FCA40F" w14:textId="77777777" w:rsidR="0049531C" w:rsidRPr="00DD4389" w:rsidRDefault="0049531C" w:rsidP="00DD4389">
            <w:pPr>
              <w:autoSpaceDE w:val="0"/>
              <w:autoSpaceDN w:val="0"/>
              <w:adjustRightInd w:val="0"/>
              <w:rPr>
                <w:rFonts w:cstheme="minorHAnsi"/>
                <w:bCs/>
                <w:color w:val="FF0000"/>
                <w:sz w:val="20"/>
                <w:szCs w:val="20"/>
              </w:rPr>
            </w:pPr>
            <w:r w:rsidRPr="00DD4389">
              <w:rPr>
                <w:rFonts w:cstheme="minorHAnsi"/>
                <w:bCs/>
                <w:color w:val="FF0000"/>
                <w:sz w:val="20"/>
                <w:szCs w:val="20"/>
              </w:rPr>
              <w:t>50</w:t>
            </w:r>
            <w:r w:rsidRPr="00DD4389">
              <w:rPr>
                <w:rFonts w:cstheme="minorHAnsi"/>
                <w:bCs/>
                <w:color w:val="FF0000"/>
                <w:sz w:val="20"/>
                <w:szCs w:val="20"/>
                <w:vertAlign w:val="superscript"/>
              </w:rPr>
              <w:t>th</w:t>
            </w:r>
            <w:r w:rsidRPr="00DD4389">
              <w:rPr>
                <w:rFonts w:cstheme="minorHAnsi"/>
                <w:bCs/>
                <w:color w:val="FF0000"/>
                <w:sz w:val="20"/>
                <w:szCs w:val="20"/>
              </w:rPr>
              <w:t xml:space="preserve"> Percentile</w:t>
            </w:r>
          </w:p>
        </w:tc>
        <w:tc>
          <w:tcPr>
            <w:tcW w:w="1973" w:type="dxa"/>
            <w:tcBorders>
              <w:top w:val="single" w:sz="8" w:space="0" w:color="auto"/>
              <w:left w:val="dashed" w:sz="4" w:space="0" w:color="auto"/>
              <w:bottom w:val="single" w:sz="8" w:space="0" w:color="auto"/>
              <w:right w:val="dashed" w:sz="4" w:space="0" w:color="auto"/>
            </w:tcBorders>
          </w:tcPr>
          <w:p w14:paraId="482E95D6" w14:textId="77777777" w:rsidR="0049531C" w:rsidRPr="00DD4389" w:rsidRDefault="0049531C" w:rsidP="00DD4389">
            <w:pPr>
              <w:autoSpaceDE w:val="0"/>
              <w:autoSpaceDN w:val="0"/>
              <w:adjustRightInd w:val="0"/>
              <w:jc w:val="center"/>
              <w:rPr>
                <w:rFonts w:cstheme="minorHAnsi"/>
                <w:bCs/>
                <w:color w:val="FF0000"/>
                <w:sz w:val="20"/>
                <w:szCs w:val="20"/>
              </w:rPr>
            </w:pPr>
            <w:r w:rsidRPr="00DD4389">
              <w:rPr>
                <w:rFonts w:cstheme="minorHAnsi"/>
                <w:bCs/>
                <w:color w:val="FF0000"/>
                <w:sz w:val="20"/>
                <w:szCs w:val="20"/>
              </w:rPr>
              <w:t>36.84</w:t>
            </w:r>
          </w:p>
        </w:tc>
        <w:tc>
          <w:tcPr>
            <w:tcW w:w="1973" w:type="dxa"/>
            <w:tcBorders>
              <w:top w:val="single" w:sz="8" w:space="0" w:color="auto"/>
              <w:left w:val="dashed" w:sz="4" w:space="0" w:color="auto"/>
              <w:bottom w:val="single" w:sz="8" w:space="0" w:color="auto"/>
            </w:tcBorders>
          </w:tcPr>
          <w:p w14:paraId="3E370A09" w14:textId="77777777" w:rsidR="0049531C" w:rsidRPr="00DD4389" w:rsidRDefault="0049531C" w:rsidP="00DD4389">
            <w:pPr>
              <w:autoSpaceDE w:val="0"/>
              <w:autoSpaceDN w:val="0"/>
              <w:adjustRightInd w:val="0"/>
              <w:jc w:val="center"/>
              <w:rPr>
                <w:rFonts w:cstheme="minorHAnsi"/>
                <w:bCs/>
                <w:color w:val="FF0000"/>
                <w:sz w:val="20"/>
                <w:szCs w:val="20"/>
              </w:rPr>
            </w:pPr>
            <w:r w:rsidRPr="00DD4389">
              <w:rPr>
                <w:rFonts w:cstheme="minorHAnsi"/>
                <w:bCs/>
                <w:color w:val="FF0000"/>
                <w:sz w:val="20"/>
                <w:szCs w:val="20"/>
              </w:rPr>
              <w:t>31.69</w:t>
            </w:r>
          </w:p>
        </w:tc>
      </w:tr>
      <w:tr w:rsidR="0049531C" w:rsidRPr="00DD4389" w14:paraId="28412434" w14:textId="77777777" w:rsidTr="007D045F">
        <w:tc>
          <w:tcPr>
            <w:tcW w:w="5414" w:type="dxa"/>
            <w:tcBorders>
              <w:top w:val="single" w:sz="8" w:space="0" w:color="auto"/>
              <w:bottom w:val="single" w:sz="12" w:space="0" w:color="auto"/>
              <w:right w:val="dashed" w:sz="4" w:space="0" w:color="auto"/>
            </w:tcBorders>
          </w:tcPr>
          <w:p w14:paraId="7A285E94" w14:textId="77777777" w:rsidR="0049531C" w:rsidRPr="00DD4389" w:rsidRDefault="0049531C" w:rsidP="00DD4389">
            <w:pPr>
              <w:autoSpaceDE w:val="0"/>
              <w:autoSpaceDN w:val="0"/>
              <w:adjustRightInd w:val="0"/>
              <w:rPr>
                <w:rFonts w:cstheme="minorHAnsi"/>
                <w:bCs/>
                <w:color w:val="FF0000"/>
                <w:sz w:val="20"/>
                <w:szCs w:val="20"/>
              </w:rPr>
            </w:pPr>
            <w:r w:rsidRPr="00DD4389">
              <w:rPr>
                <w:rFonts w:cstheme="minorHAnsi"/>
                <w:bCs/>
                <w:color w:val="FF0000"/>
                <w:sz w:val="20"/>
                <w:szCs w:val="20"/>
              </w:rPr>
              <w:t>75</w:t>
            </w:r>
            <w:r w:rsidRPr="00DD4389">
              <w:rPr>
                <w:rFonts w:cstheme="minorHAnsi"/>
                <w:bCs/>
                <w:color w:val="FF0000"/>
                <w:sz w:val="20"/>
                <w:szCs w:val="20"/>
                <w:vertAlign w:val="superscript"/>
              </w:rPr>
              <w:t>th</w:t>
            </w:r>
            <w:r w:rsidRPr="00DD4389">
              <w:rPr>
                <w:rFonts w:cstheme="minorHAnsi"/>
                <w:bCs/>
                <w:color w:val="FF0000"/>
                <w:sz w:val="20"/>
                <w:szCs w:val="20"/>
              </w:rPr>
              <w:t xml:space="preserve"> Percentile</w:t>
            </w:r>
          </w:p>
        </w:tc>
        <w:tc>
          <w:tcPr>
            <w:tcW w:w="1973" w:type="dxa"/>
            <w:tcBorders>
              <w:top w:val="single" w:sz="8" w:space="0" w:color="auto"/>
              <w:left w:val="dashed" w:sz="4" w:space="0" w:color="auto"/>
              <w:bottom w:val="single" w:sz="12" w:space="0" w:color="auto"/>
              <w:right w:val="dashed" w:sz="4" w:space="0" w:color="auto"/>
            </w:tcBorders>
          </w:tcPr>
          <w:p w14:paraId="79C13B9D" w14:textId="77777777" w:rsidR="0049531C" w:rsidRPr="00DD4389" w:rsidRDefault="0049531C" w:rsidP="00DD4389">
            <w:pPr>
              <w:autoSpaceDE w:val="0"/>
              <w:autoSpaceDN w:val="0"/>
              <w:adjustRightInd w:val="0"/>
              <w:jc w:val="center"/>
              <w:rPr>
                <w:rFonts w:cstheme="minorHAnsi"/>
                <w:bCs/>
                <w:color w:val="FF0000"/>
                <w:sz w:val="20"/>
                <w:szCs w:val="20"/>
              </w:rPr>
            </w:pPr>
            <w:r w:rsidRPr="00DD4389">
              <w:rPr>
                <w:rFonts w:cstheme="minorHAnsi"/>
                <w:bCs/>
                <w:color w:val="FF0000"/>
                <w:sz w:val="20"/>
                <w:szCs w:val="20"/>
              </w:rPr>
              <w:t>41.27</w:t>
            </w:r>
          </w:p>
        </w:tc>
        <w:tc>
          <w:tcPr>
            <w:tcW w:w="1973" w:type="dxa"/>
            <w:tcBorders>
              <w:top w:val="single" w:sz="8" w:space="0" w:color="auto"/>
              <w:left w:val="dashed" w:sz="4" w:space="0" w:color="auto"/>
              <w:bottom w:val="single" w:sz="12" w:space="0" w:color="auto"/>
            </w:tcBorders>
          </w:tcPr>
          <w:p w14:paraId="0518ECCD" w14:textId="77777777" w:rsidR="0049531C" w:rsidRPr="00DD4389" w:rsidRDefault="0049531C" w:rsidP="00DD4389">
            <w:pPr>
              <w:autoSpaceDE w:val="0"/>
              <w:autoSpaceDN w:val="0"/>
              <w:adjustRightInd w:val="0"/>
              <w:jc w:val="center"/>
              <w:rPr>
                <w:rFonts w:cstheme="minorHAnsi"/>
                <w:bCs/>
                <w:color w:val="FF0000"/>
                <w:sz w:val="20"/>
                <w:szCs w:val="20"/>
              </w:rPr>
            </w:pPr>
            <w:r w:rsidRPr="00DD4389">
              <w:rPr>
                <w:rFonts w:cstheme="minorHAnsi"/>
                <w:bCs/>
                <w:color w:val="FF0000"/>
                <w:sz w:val="20"/>
                <w:szCs w:val="20"/>
              </w:rPr>
              <w:t>35.85</w:t>
            </w:r>
          </w:p>
        </w:tc>
      </w:tr>
    </w:tbl>
    <w:p w14:paraId="545D11AE" w14:textId="77777777" w:rsidR="00890718" w:rsidRPr="00DD4389" w:rsidRDefault="00890718" w:rsidP="00DD4389">
      <w:pPr>
        <w:spacing w:after="0" w:line="240" w:lineRule="auto"/>
        <w:rPr>
          <w:b/>
          <w:bCs/>
          <w:color w:val="FF0000"/>
        </w:rPr>
      </w:pPr>
    </w:p>
    <w:p w14:paraId="3113C24D" w14:textId="3B12B6DD" w:rsidR="00DD4389" w:rsidRPr="00DD4389" w:rsidRDefault="0049531C" w:rsidP="00AE1932">
      <w:pPr>
        <w:spacing w:after="0" w:line="240" w:lineRule="auto"/>
        <w:rPr>
          <w:bCs/>
          <w:color w:val="000000" w:themeColor="text1"/>
        </w:rPr>
      </w:pPr>
      <w:r w:rsidRPr="0049531C">
        <w:rPr>
          <w:b/>
          <w:bCs/>
        </w:rPr>
        <w:t xml:space="preserve">2b3.3. </w:t>
      </w:r>
      <w:proofErr w:type="gramStart"/>
      <w:r w:rsidRPr="0049531C">
        <w:rPr>
          <w:b/>
          <w:bCs/>
        </w:rPr>
        <w:t>What</w:t>
      </w:r>
      <w:proofErr w:type="gramEnd"/>
      <w:r w:rsidRPr="0049531C">
        <w:rPr>
          <w:b/>
          <w:bCs/>
        </w:rPr>
        <w:t xml:space="preserve"> is your interpretation of the results in terms of demonstrating that exclusions are needed to prevent unfair distortion of performance results?</w:t>
      </w:r>
      <w:r w:rsidRPr="0049531C">
        <w:rPr>
          <w:bCs/>
        </w:rPr>
        <w:t xml:space="preserve"> (</w:t>
      </w:r>
      <w:r w:rsidRPr="0049531C">
        <w:rPr>
          <w:bCs/>
          <w:i/>
        </w:rPr>
        <w:t xml:space="preserve">i.e., the value outweighs the burden of increased data collection and analysis. </w:t>
      </w:r>
      <w:r w:rsidRPr="0049531C">
        <w:rPr>
          <w:bCs/>
          <w:i/>
          <w:u w:val="single"/>
        </w:rPr>
        <w:t>Note</w:t>
      </w:r>
      <w:r w:rsidRPr="0049531C">
        <w:rPr>
          <w:bCs/>
          <w:i/>
        </w:rPr>
        <w:t xml:space="preserve">: </w:t>
      </w:r>
      <w:r w:rsidRPr="0049531C">
        <w:rPr>
          <w:b/>
          <w:bCs/>
          <w:i/>
        </w:rPr>
        <w:t>If patient preference is an exclusion</w:t>
      </w:r>
      <w:r w:rsidRPr="0049531C">
        <w:rPr>
          <w:bCs/>
          <w:i/>
        </w:rPr>
        <w:t>, the measure must be specified so that the effect on the performance score is transparent, e.g., scores with and without exclusion</w:t>
      </w:r>
      <w:proofErr w:type="gramStart"/>
      <w:r w:rsidRPr="0049531C">
        <w:rPr>
          <w:bCs/>
        </w:rPr>
        <w:t>)</w:t>
      </w:r>
      <w:proofErr w:type="gramEnd"/>
      <w:r w:rsidRPr="0049531C">
        <w:rPr>
          <w:bCs/>
        </w:rPr>
        <w:br/>
      </w:r>
      <w:r w:rsidR="00DD4389" w:rsidRPr="00DD4389">
        <w:rPr>
          <w:b/>
          <w:bCs/>
          <w:color w:val="000000" w:themeColor="text1"/>
        </w:rPr>
        <w:t>2014 Submission:</w:t>
      </w:r>
    </w:p>
    <w:p w14:paraId="4A4773ED" w14:textId="77777777" w:rsidR="00DD4389" w:rsidRPr="00DD4389" w:rsidRDefault="00DD4389" w:rsidP="00AE1932">
      <w:pPr>
        <w:autoSpaceDE w:val="0"/>
        <w:autoSpaceDN w:val="0"/>
        <w:adjustRightInd w:val="0"/>
        <w:spacing w:after="0" w:line="240" w:lineRule="auto"/>
        <w:rPr>
          <w:color w:val="000000" w:themeColor="text1"/>
        </w:rPr>
      </w:pPr>
      <w:r w:rsidRPr="00DD4389">
        <w:rPr>
          <w:color w:val="000000" w:themeColor="text1"/>
        </w:rPr>
        <w:t xml:space="preserve">The overall frequency </w:t>
      </w:r>
      <w:proofErr w:type="gramStart"/>
      <w:r w:rsidRPr="00DD4389">
        <w:rPr>
          <w:color w:val="000000" w:themeColor="text1"/>
        </w:rPr>
        <w:t>of each exclusion</w:t>
      </w:r>
      <w:proofErr w:type="gramEnd"/>
      <w:r w:rsidRPr="00DD4389">
        <w:rPr>
          <w:color w:val="000000" w:themeColor="text1"/>
        </w:rPr>
        <w:t xml:space="preserve"> varies. The frequency of trauma, cancer, and neurologic impairment is high (each &gt;8%), and there is a substantial range of frequencies for these exclusions across facilities. Exclusion of these procedures is necessary, as inclusion would noticeably bias facility scores. </w:t>
      </w:r>
    </w:p>
    <w:p w14:paraId="32371FC5" w14:textId="77777777" w:rsidR="00DD4389" w:rsidRPr="00DD4389" w:rsidRDefault="00DD4389" w:rsidP="00AE1932">
      <w:pPr>
        <w:autoSpaceDE w:val="0"/>
        <w:autoSpaceDN w:val="0"/>
        <w:adjustRightInd w:val="0"/>
        <w:spacing w:after="0" w:line="240" w:lineRule="auto"/>
        <w:rPr>
          <w:color w:val="000000" w:themeColor="text1"/>
        </w:rPr>
      </w:pPr>
      <w:r w:rsidRPr="00DD4389">
        <w:rPr>
          <w:color w:val="000000" w:themeColor="text1"/>
        </w:rPr>
        <w:t xml:space="preserve">The distribution across hospitals is narrower and prevalence is lower for the other exclusions (including lumbar spine surgery, drug abuse, HIV, intraspinal abscess, and unspecified immune deficiency), suggesting that the occurrence is more random, and likely would not bias performance results. The measure contractor believes, however, that these exclusions </w:t>
      </w:r>
      <w:proofErr w:type="gramStart"/>
      <w:r w:rsidRPr="00DD4389">
        <w:rPr>
          <w:color w:val="000000" w:themeColor="text1"/>
        </w:rPr>
        <w:t>should be retained</w:t>
      </w:r>
      <w:proofErr w:type="gramEnd"/>
      <w:r w:rsidRPr="00DD4389">
        <w:rPr>
          <w:color w:val="000000" w:themeColor="text1"/>
        </w:rPr>
        <w:t xml:space="preserve"> for the following reasons: </w:t>
      </w:r>
    </w:p>
    <w:p w14:paraId="07CA85C9" w14:textId="77777777" w:rsidR="00DD4389" w:rsidRPr="00DD4389" w:rsidRDefault="00DD4389" w:rsidP="00AE1932">
      <w:pPr>
        <w:pStyle w:val="ListParagraph"/>
        <w:numPr>
          <w:ilvl w:val="0"/>
          <w:numId w:val="43"/>
        </w:numPr>
        <w:autoSpaceDE w:val="0"/>
        <w:autoSpaceDN w:val="0"/>
        <w:adjustRightInd w:val="0"/>
        <w:spacing w:after="0" w:line="240" w:lineRule="auto"/>
        <w:rPr>
          <w:color w:val="000000" w:themeColor="text1"/>
        </w:rPr>
      </w:pPr>
      <w:r w:rsidRPr="00DD4389">
        <w:rPr>
          <w:color w:val="000000" w:themeColor="text1"/>
        </w:rPr>
        <w:t xml:space="preserve">Lumbar Spine Surgery: The 2011 ACR appropriateness criteria on low back pain finds the use of MRI lumbar spine to be appropriate for candidates for surgery to address low back pain or radiculopathy, and for patients with prior lumbar surgery (Davis, 2011). The measure contractor has included lumbar spine surgery as an exclusion to align the measure specifications with the ACR guideline. </w:t>
      </w:r>
    </w:p>
    <w:p w14:paraId="7F7B32DA" w14:textId="77777777" w:rsidR="00DD4389" w:rsidRPr="00DD4389" w:rsidRDefault="00DD4389" w:rsidP="00AE1932">
      <w:pPr>
        <w:pStyle w:val="ListParagraph"/>
        <w:numPr>
          <w:ilvl w:val="0"/>
          <w:numId w:val="43"/>
        </w:numPr>
        <w:autoSpaceDE w:val="0"/>
        <w:autoSpaceDN w:val="0"/>
        <w:adjustRightInd w:val="0"/>
        <w:spacing w:after="0" w:line="240" w:lineRule="auto"/>
        <w:rPr>
          <w:color w:val="000000" w:themeColor="text1"/>
        </w:rPr>
      </w:pPr>
      <w:proofErr w:type="gramStart"/>
      <w:r w:rsidRPr="00DD4389">
        <w:rPr>
          <w:color w:val="000000" w:themeColor="text1"/>
        </w:rPr>
        <w:t>Drug Abuse: This measure exclusion is supported by the Institute for Clinical Systems Improvement 2012 guideline on adult acute and sub-acute low back pain, the Michigan Quality Improvement Consortium 2012 guideline on the management of acute low back pain, and the 2010 University of Michigan Health Systems guideline on acute low back pain, all of which list drug abuse as a red flag condition for which a MRI lumbar spine study may be appropriate (</w:t>
      </w:r>
      <w:proofErr w:type="spellStart"/>
      <w:r w:rsidRPr="00DD4389">
        <w:rPr>
          <w:color w:val="000000" w:themeColor="text1"/>
        </w:rPr>
        <w:t>Goertz</w:t>
      </w:r>
      <w:proofErr w:type="spellEnd"/>
      <w:r w:rsidRPr="00DD4389">
        <w:rPr>
          <w:color w:val="000000" w:themeColor="text1"/>
        </w:rPr>
        <w:t>, 2012; Michigan Quality Improvement Consortium, 2012; University of Michigan Health System, 2010).</w:t>
      </w:r>
      <w:proofErr w:type="gramEnd"/>
      <w:r w:rsidRPr="00DD4389">
        <w:rPr>
          <w:color w:val="000000" w:themeColor="text1"/>
        </w:rPr>
        <w:t xml:space="preserve"> </w:t>
      </w:r>
    </w:p>
    <w:p w14:paraId="345AD64C" w14:textId="77777777" w:rsidR="00DD4389" w:rsidRPr="00DD4389" w:rsidRDefault="00DD4389" w:rsidP="00AE1932">
      <w:pPr>
        <w:pStyle w:val="ListParagraph"/>
        <w:numPr>
          <w:ilvl w:val="0"/>
          <w:numId w:val="43"/>
        </w:numPr>
        <w:autoSpaceDE w:val="0"/>
        <w:autoSpaceDN w:val="0"/>
        <w:adjustRightInd w:val="0"/>
        <w:spacing w:after="0" w:line="240" w:lineRule="auto"/>
        <w:rPr>
          <w:color w:val="000000" w:themeColor="text1"/>
        </w:rPr>
      </w:pPr>
      <w:r w:rsidRPr="00DD4389">
        <w:rPr>
          <w:color w:val="000000" w:themeColor="text1"/>
        </w:rPr>
        <w:t xml:space="preserve">HIV: The 2012 Michigan Quality Improvement Consortium guideline on acute low back pain and the 2010 University of Michigan Health Systems guideline on acute low back pain list HIV as a red flag condition for which a MRI lumbar spine study may be appropriate (Michigan Quality Improvement Consortium, 2012; University of Michigan Health System, 2010). Four additional guidelines list infection or immunosuppression as a red flag condition (American Academy of Neurology, 2013; Davis, 2012; </w:t>
      </w:r>
      <w:proofErr w:type="spellStart"/>
      <w:r w:rsidRPr="00DD4389">
        <w:rPr>
          <w:color w:val="000000" w:themeColor="text1"/>
        </w:rPr>
        <w:t>Goertz</w:t>
      </w:r>
      <w:proofErr w:type="spellEnd"/>
      <w:r w:rsidRPr="00DD4389">
        <w:rPr>
          <w:color w:val="000000" w:themeColor="text1"/>
        </w:rPr>
        <w:t xml:space="preserve">, 2012; Work Loss Data Institute, 2011). The measure contractor has maintained HIV as </w:t>
      </w:r>
      <w:proofErr w:type="gramStart"/>
      <w:r w:rsidRPr="00DD4389">
        <w:rPr>
          <w:color w:val="000000" w:themeColor="text1"/>
        </w:rPr>
        <w:t>an exclusion</w:t>
      </w:r>
      <w:proofErr w:type="gramEnd"/>
      <w:r w:rsidRPr="00DD4389">
        <w:rPr>
          <w:color w:val="000000" w:themeColor="text1"/>
        </w:rPr>
        <w:t xml:space="preserve"> to align the measure specifications with these clinical guidelines.</w:t>
      </w:r>
    </w:p>
    <w:p w14:paraId="1BDBFA41" w14:textId="77777777" w:rsidR="00DD4389" w:rsidRPr="00DD4389" w:rsidRDefault="00DD4389" w:rsidP="00AE1932">
      <w:pPr>
        <w:pStyle w:val="ListParagraph"/>
        <w:numPr>
          <w:ilvl w:val="0"/>
          <w:numId w:val="43"/>
        </w:numPr>
        <w:autoSpaceDE w:val="0"/>
        <w:autoSpaceDN w:val="0"/>
        <w:adjustRightInd w:val="0"/>
        <w:spacing w:after="0" w:line="240" w:lineRule="auto"/>
        <w:rPr>
          <w:color w:val="000000" w:themeColor="text1"/>
        </w:rPr>
      </w:pPr>
      <w:r w:rsidRPr="00DD4389">
        <w:rPr>
          <w:color w:val="000000" w:themeColor="text1"/>
        </w:rPr>
        <w:t xml:space="preserve">Intraspinal Abscess: Inclusion of intraspinal abscess as a measure exclusion is in accordance with the 2012 ACR Practice Guideline for the performance of MRI of the adult spine (American Academy of Radiology, 2012). </w:t>
      </w:r>
    </w:p>
    <w:p w14:paraId="611C3E84" w14:textId="77777777" w:rsidR="00DD4389" w:rsidRPr="00DD4389" w:rsidRDefault="00DD4389" w:rsidP="00AE1932">
      <w:pPr>
        <w:pStyle w:val="ListParagraph"/>
        <w:numPr>
          <w:ilvl w:val="0"/>
          <w:numId w:val="43"/>
        </w:numPr>
        <w:autoSpaceDE w:val="0"/>
        <w:autoSpaceDN w:val="0"/>
        <w:adjustRightInd w:val="0"/>
        <w:spacing w:after="0" w:line="240" w:lineRule="auto"/>
        <w:rPr>
          <w:color w:val="000000" w:themeColor="text1"/>
        </w:rPr>
      </w:pPr>
      <w:proofErr w:type="gramStart"/>
      <w:r w:rsidRPr="00DD4389">
        <w:rPr>
          <w:color w:val="000000" w:themeColor="text1"/>
        </w:rPr>
        <w:t>Unspecified Immune Deficiency: Immune suppression is listed as a red flag condition for which MRI of the lumbar spine may be appropriate, according to the following guidelines: 2012 Michigan Quality Improvement Consortium Guideline on the management of acute low back pain, 2010 University of Michigan Health Systems guideline on acute low back pain, 2011 ACR Appropriateness Criteria for low back pain (</w:t>
      </w:r>
      <w:proofErr w:type="spellStart"/>
      <w:r w:rsidRPr="00DD4389">
        <w:rPr>
          <w:color w:val="000000" w:themeColor="text1"/>
        </w:rPr>
        <w:t>Goertz</w:t>
      </w:r>
      <w:proofErr w:type="spellEnd"/>
      <w:r w:rsidRPr="00DD4389">
        <w:rPr>
          <w:color w:val="000000" w:themeColor="text1"/>
        </w:rPr>
        <w:t>, 2012; Michigan Quality Improvement Consortium, 2012; University of Michigan Health System, 2010).</w:t>
      </w:r>
      <w:proofErr w:type="gramEnd"/>
      <w:r w:rsidRPr="00DD4389">
        <w:rPr>
          <w:color w:val="000000" w:themeColor="text1"/>
        </w:rPr>
        <w:t xml:space="preserve"> The measure contractor has retained unspecified immune deficiency as an exclusion category, in accordance with these guidelines. </w:t>
      </w:r>
    </w:p>
    <w:p w14:paraId="139742EB" w14:textId="77777777" w:rsidR="00DD4389" w:rsidRPr="00DD4389" w:rsidRDefault="00DD4389" w:rsidP="00AE1932">
      <w:pPr>
        <w:autoSpaceDE w:val="0"/>
        <w:autoSpaceDN w:val="0"/>
        <w:adjustRightInd w:val="0"/>
        <w:spacing w:after="0" w:line="240" w:lineRule="auto"/>
        <w:rPr>
          <w:rFonts w:cstheme="minorHAnsi"/>
          <w:bCs/>
          <w:color w:val="000000" w:themeColor="text1"/>
        </w:rPr>
      </w:pPr>
    </w:p>
    <w:p w14:paraId="2CEEF99A" w14:textId="77777777" w:rsidR="00DD4389" w:rsidRPr="00DD4389" w:rsidRDefault="00DD4389" w:rsidP="00AE1932">
      <w:pPr>
        <w:autoSpaceDE w:val="0"/>
        <w:autoSpaceDN w:val="0"/>
        <w:adjustRightInd w:val="0"/>
        <w:spacing w:after="0" w:line="240" w:lineRule="auto"/>
        <w:rPr>
          <w:color w:val="000000" w:themeColor="text1"/>
        </w:rPr>
      </w:pPr>
      <w:r w:rsidRPr="00DD4389">
        <w:rPr>
          <w:color w:val="000000" w:themeColor="text1"/>
        </w:rPr>
        <w:t xml:space="preserve">The necessity of the exclusion codes </w:t>
      </w:r>
      <w:proofErr w:type="gramStart"/>
      <w:r w:rsidRPr="00DD4389">
        <w:rPr>
          <w:color w:val="000000" w:themeColor="text1"/>
        </w:rPr>
        <w:t>is further indicated</w:t>
      </w:r>
      <w:proofErr w:type="gramEnd"/>
      <w:r w:rsidRPr="00DD4389">
        <w:rPr>
          <w:color w:val="000000" w:themeColor="text1"/>
        </w:rPr>
        <w:t xml:space="preserve"> by the comparison of the descriptive statistics for the facility performance, with and without the exclusion codes. The introduction of the exclusion codes reduced the mean facility score by 26.1%. </w:t>
      </w:r>
    </w:p>
    <w:p w14:paraId="66EA66AE" w14:textId="77777777" w:rsidR="00DD4389" w:rsidRPr="00DD4389" w:rsidRDefault="00DD4389" w:rsidP="00AE1932">
      <w:pPr>
        <w:autoSpaceDE w:val="0"/>
        <w:autoSpaceDN w:val="0"/>
        <w:adjustRightInd w:val="0"/>
        <w:spacing w:after="0" w:line="240" w:lineRule="auto"/>
        <w:rPr>
          <w:color w:val="000000" w:themeColor="text1"/>
        </w:rPr>
      </w:pPr>
    </w:p>
    <w:p w14:paraId="497203F7" w14:textId="77777777" w:rsidR="00DD4389" w:rsidRPr="00DD4389" w:rsidRDefault="00DD4389" w:rsidP="00AE1932">
      <w:pPr>
        <w:autoSpaceDE w:val="0"/>
        <w:autoSpaceDN w:val="0"/>
        <w:adjustRightInd w:val="0"/>
        <w:spacing w:after="0" w:line="240" w:lineRule="auto"/>
        <w:rPr>
          <w:i/>
          <w:color w:val="000000" w:themeColor="text1"/>
        </w:rPr>
      </w:pPr>
      <w:r w:rsidRPr="00DD4389">
        <w:rPr>
          <w:i/>
          <w:color w:val="000000" w:themeColor="text1"/>
        </w:rPr>
        <w:t>References</w:t>
      </w:r>
    </w:p>
    <w:p w14:paraId="360F0401" w14:textId="77777777" w:rsidR="00DD4389" w:rsidRPr="00DD4389" w:rsidRDefault="00DD4389" w:rsidP="00AE1932">
      <w:pPr>
        <w:autoSpaceDE w:val="0"/>
        <w:autoSpaceDN w:val="0"/>
        <w:adjustRightInd w:val="0"/>
        <w:spacing w:after="0" w:line="240" w:lineRule="auto"/>
        <w:ind w:left="720" w:hanging="720"/>
        <w:rPr>
          <w:color w:val="000000" w:themeColor="text1"/>
        </w:rPr>
      </w:pPr>
      <w:proofErr w:type="gramStart"/>
      <w:r w:rsidRPr="00DD4389">
        <w:rPr>
          <w:color w:val="000000" w:themeColor="text1"/>
        </w:rPr>
        <w:t>American Academy of Neurology.</w:t>
      </w:r>
      <w:proofErr w:type="gramEnd"/>
      <w:r w:rsidRPr="00DD4389">
        <w:rPr>
          <w:color w:val="000000" w:themeColor="text1"/>
        </w:rPr>
        <w:t xml:space="preserve"> Practice parameters: Magnetic resonance imaging in the evaluation of low back syndrome (Summary statement). </w:t>
      </w:r>
      <w:proofErr w:type="gramStart"/>
      <w:r w:rsidRPr="00DD4389">
        <w:rPr>
          <w:color w:val="000000" w:themeColor="text1"/>
        </w:rPr>
        <w:t>Neurology.</w:t>
      </w:r>
      <w:proofErr w:type="gramEnd"/>
      <w:r w:rsidRPr="00DD4389">
        <w:rPr>
          <w:color w:val="000000" w:themeColor="text1"/>
        </w:rPr>
        <w:t xml:space="preserve"> </w:t>
      </w:r>
      <w:proofErr w:type="gramStart"/>
      <w:r w:rsidRPr="00DD4389">
        <w:rPr>
          <w:color w:val="000000" w:themeColor="text1"/>
        </w:rPr>
        <w:t>2013; 44:767-770.</w:t>
      </w:r>
      <w:proofErr w:type="gramEnd"/>
      <w:r w:rsidRPr="00DD4389">
        <w:rPr>
          <w:color w:val="000000" w:themeColor="text1"/>
        </w:rPr>
        <w:t xml:space="preserve"> </w:t>
      </w:r>
    </w:p>
    <w:p w14:paraId="79197C11" w14:textId="77777777" w:rsidR="00DD4389" w:rsidRPr="00DD4389" w:rsidRDefault="00DD4389" w:rsidP="00AE1932">
      <w:pPr>
        <w:autoSpaceDE w:val="0"/>
        <w:autoSpaceDN w:val="0"/>
        <w:adjustRightInd w:val="0"/>
        <w:spacing w:after="0" w:line="240" w:lineRule="auto"/>
        <w:ind w:left="720" w:hanging="720"/>
        <w:rPr>
          <w:color w:val="000000" w:themeColor="text1"/>
        </w:rPr>
      </w:pPr>
      <w:proofErr w:type="gramStart"/>
      <w:r w:rsidRPr="00DD4389">
        <w:rPr>
          <w:color w:val="000000" w:themeColor="text1"/>
        </w:rPr>
        <w:t>American Academy of Radiology.</w:t>
      </w:r>
      <w:proofErr w:type="gramEnd"/>
      <w:r w:rsidRPr="00DD4389">
        <w:rPr>
          <w:color w:val="000000" w:themeColor="text1"/>
        </w:rPr>
        <w:t xml:space="preserve"> Practice Guideline for the Performance of MRI of the Adult Spine. Reston (VA): American College of Radiology (ACR). 2012. </w:t>
      </w:r>
    </w:p>
    <w:p w14:paraId="61B992FB" w14:textId="77777777" w:rsidR="00DD4389" w:rsidRPr="00DD4389" w:rsidRDefault="00DD4389" w:rsidP="00AE1932">
      <w:pPr>
        <w:autoSpaceDE w:val="0"/>
        <w:autoSpaceDN w:val="0"/>
        <w:adjustRightInd w:val="0"/>
        <w:spacing w:after="0" w:line="240" w:lineRule="auto"/>
        <w:ind w:left="720" w:hanging="720"/>
        <w:rPr>
          <w:color w:val="000000" w:themeColor="text1"/>
        </w:rPr>
      </w:pPr>
      <w:proofErr w:type="gramStart"/>
      <w:r w:rsidRPr="00DD4389">
        <w:rPr>
          <w:color w:val="000000" w:themeColor="text1"/>
        </w:rPr>
        <w:t>Davis PC, Wippold FJ II, Cornelius RS.</w:t>
      </w:r>
      <w:proofErr w:type="gramEnd"/>
      <w:r w:rsidRPr="00DD4389">
        <w:rPr>
          <w:color w:val="000000" w:themeColor="text1"/>
        </w:rPr>
        <w:t xml:space="preserve"> </w:t>
      </w:r>
      <w:proofErr w:type="gramStart"/>
      <w:r w:rsidRPr="00DD4389">
        <w:rPr>
          <w:color w:val="000000" w:themeColor="text1"/>
        </w:rPr>
        <w:t>Expert Panel on Neurologic Imaging.</w:t>
      </w:r>
      <w:proofErr w:type="gramEnd"/>
      <w:r w:rsidRPr="00DD4389">
        <w:rPr>
          <w:color w:val="000000" w:themeColor="text1"/>
        </w:rPr>
        <w:t xml:space="preserve"> </w:t>
      </w:r>
      <w:proofErr w:type="gramStart"/>
      <w:r w:rsidRPr="00DD4389">
        <w:rPr>
          <w:color w:val="000000" w:themeColor="text1"/>
        </w:rPr>
        <w:t>ACR Appropriateness Criteria® low back pain.</w:t>
      </w:r>
      <w:proofErr w:type="gramEnd"/>
      <w:r w:rsidRPr="00DD4389">
        <w:rPr>
          <w:color w:val="000000" w:themeColor="text1"/>
        </w:rPr>
        <w:t xml:space="preserve"> [</w:t>
      </w:r>
      <w:proofErr w:type="gramStart"/>
      <w:r w:rsidRPr="00DD4389">
        <w:rPr>
          <w:color w:val="000000" w:themeColor="text1"/>
        </w:rPr>
        <w:t>online</w:t>
      </w:r>
      <w:proofErr w:type="gramEnd"/>
      <w:r w:rsidRPr="00DD4389">
        <w:rPr>
          <w:color w:val="000000" w:themeColor="text1"/>
        </w:rPr>
        <w:t xml:space="preserve"> publication]. Reston (VA): American College of Radiology (ACR). 2011.</w:t>
      </w:r>
    </w:p>
    <w:p w14:paraId="27489C4C" w14:textId="77777777" w:rsidR="00DD4389" w:rsidRPr="00DD4389" w:rsidRDefault="00DD4389" w:rsidP="00AE1932">
      <w:pPr>
        <w:autoSpaceDE w:val="0"/>
        <w:autoSpaceDN w:val="0"/>
        <w:adjustRightInd w:val="0"/>
        <w:spacing w:after="0" w:line="240" w:lineRule="auto"/>
        <w:ind w:left="720" w:hanging="720"/>
        <w:rPr>
          <w:color w:val="000000" w:themeColor="text1"/>
        </w:rPr>
      </w:pPr>
      <w:proofErr w:type="spellStart"/>
      <w:r w:rsidRPr="00DD4389">
        <w:rPr>
          <w:color w:val="000000" w:themeColor="text1"/>
        </w:rPr>
        <w:t>Goertz</w:t>
      </w:r>
      <w:proofErr w:type="spellEnd"/>
      <w:r w:rsidRPr="00DD4389">
        <w:rPr>
          <w:color w:val="000000" w:themeColor="text1"/>
        </w:rPr>
        <w:t xml:space="preserve"> M, Thorson D, </w:t>
      </w:r>
      <w:proofErr w:type="spellStart"/>
      <w:r w:rsidRPr="00DD4389">
        <w:rPr>
          <w:color w:val="000000" w:themeColor="text1"/>
        </w:rPr>
        <w:t>Bonsell</w:t>
      </w:r>
      <w:proofErr w:type="spellEnd"/>
      <w:r w:rsidRPr="00DD4389">
        <w:rPr>
          <w:color w:val="000000" w:themeColor="text1"/>
        </w:rPr>
        <w:t xml:space="preserve"> J, et al. Institute for Clinical Systems Improvement (ICSI). </w:t>
      </w:r>
      <w:proofErr w:type="gramStart"/>
      <w:r w:rsidRPr="00DD4389">
        <w:rPr>
          <w:color w:val="000000" w:themeColor="text1"/>
        </w:rPr>
        <w:t>Adult acute and subacute low back pain.</w:t>
      </w:r>
      <w:proofErr w:type="gramEnd"/>
      <w:r w:rsidRPr="00DD4389">
        <w:rPr>
          <w:color w:val="000000" w:themeColor="text1"/>
        </w:rPr>
        <w:t xml:space="preserve"> Bloomington (MN): ICSI. 2012</w:t>
      </w:r>
    </w:p>
    <w:p w14:paraId="27A0E5C7" w14:textId="77777777" w:rsidR="00DD4389" w:rsidRPr="00DD4389" w:rsidRDefault="00DD4389" w:rsidP="00AE1932">
      <w:pPr>
        <w:autoSpaceDE w:val="0"/>
        <w:autoSpaceDN w:val="0"/>
        <w:adjustRightInd w:val="0"/>
        <w:spacing w:after="0" w:line="240" w:lineRule="auto"/>
        <w:ind w:left="720" w:hanging="720"/>
        <w:rPr>
          <w:color w:val="000000" w:themeColor="text1"/>
        </w:rPr>
      </w:pPr>
      <w:proofErr w:type="gramStart"/>
      <w:r w:rsidRPr="00DD4389">
        <w:rPr>
          <w:color w:val="000000" w:themeColor="text1"/>
        </w:rPr>
        <w:t>Michigan Quality Improvement Consortium.</w:t>
      </w:r>
      <w:proofErr w:type="gramEnd"/>
      <w:r w:rsidRPr="00DD4389">
        <w:rPr>
          <w:color w:val="000000" w:themeColor="text1"/>
        </w:rPr>
        <w:t xml:space="preserve"> </w:t>
      </w:r>
      <w:proofErr w:type="gramStart"/>
      <w:r w:rsidRPr="00DD4389">
        <w:rPr>
          <w:color w:val="000000" w:themeColor="text1"/>
        </w:rPr>
        <w:t>Management of acute low back pain.</w:t>
      </w:r>
      <w:proofErr w:type="gramEnd"/>
      <w:r w:rsidRPr="00DD4389">
        <w:rPr>
          <w:color w:val="000000" w:themeColor="text1"/>
        </w:rPr>
        <w:t xml:space="preserve"> Southfield (MI): Michigan Quality Improvement Consortium. 2012.</w:t>
      </w:r>
    </w:p>
    <w:p w14:paraId="629BD8C9" w14:textId="77777777" w:rsidR="00DD4389" w:rsidRPr="00DD4389" w:rsidRDefault="00DD4389" w:rsidP="00AE1932">
      <w:pPr>
        <w:autoSpaceDE w:val="0"/>
        <w:autoSpaceDN w:val="0"/>
        <w:adjustRightInd w:val="0"/>
        <w:spacing w:after="0" w:line="240" w:lineRule="auto"/>
        <w:ind w:left="720" w:hanging="720"/>
        <w:rPr>
          <w:color w:val="000000" w:themeColor="text1"/>
        </w:rPr>
      </w:pPr>
      <w:proofErr w:type="gramStart"/>
      <w:r w:rsidRPr="00DD4389">
        <w:rPr>
          <w:color w:val="000000" w:themeColor="text1"/>
        </w:rPr>
        <w:t>University of Michigan Health System.</w:t>
      </w:r>
      <w:proofErr w:type="gramEnd"/>
      <w:r w:rsidRPr="00DD4389">
        <w:rPr>
          <w:color w:val="000000" w:themeColor="text1"/>
        </w:rPr>
        <w:t xml:space="preserve"> </w:t>
      </w:r>
      <w:proofErr w:type="gramStart"/>
      <w:r w:rsidRPr="00DD4389">
        <w:rPr>
          <w:color w:val="000000" w:themeColor="text1"/>
        </w:rPr>
        <w:t>Acute low back pain.</w:t>
      </w:r>
      <w:proofErr w:type="gramEnd"/>
      <w:r w:rsidRPr="00DD4389">
        <w:rPr>
          <w:color w:val="000000" w:themeColor="text1"/>
        </w:rPr>
        <w:t xml:space="preserve"> Ann Arbor (MI): University of Michigan Health System. 2010.</w:t>
      </w:r>
    </w:p>
    <w:p w14:paraId="0FD87A87" w14:textId="77777777" w:rsidR="00DD4389" w:rsidRPr="00DD4389" w:rsidRDefault="00DD4389" w:rsidP="00AE1932">
      <w:pPr>
        <w:autoSpaceDE w:val="0"/>
        <w:autoSpaceDN w:val="0"/>
        <w:adjustRightInd w:val="0"/>
        <w:spacing w:after="0" w:line="240" w:lineRule="auto"/>
        <w:ind w:left="720" w:hanging="720"/>
        <w:rPr>
          <w:color w:val="000000" w:themeColor="text1"/>
        </w:rPr>
      </w:pPr>
      <w:r w:rsidRPr="00DD4389">
        <w:rPr>
          <w:color w:val="000000" w:themeColor="text1"/>
        </w:rPr>
        <w:t xml:space="preserve">Work Loss Data Institute. </w:t>
      </w:r>
      <w:proofErr w:type="gramStart"/>
      <w:r w:rsidRPr="00DD4389">
        <w:rPr>
          <w:color w:val="000000" w:themeColor="text1"/>
        </w:rPr>
        <w:t>Low back - lumbar &amp; thoracic (acute &amp; chronic).</w:t>
      </w:r>
      <w:proofErr w:type="gramEnd"/>
      <w:r w:rsidRPr="00DD4389">
        <w:rPr>
          <w:color w:val="000000" w:themeColor="text1"/>
        </w:rPr>
        <w:t xml:space="preserve"> Corpus Christi (TX): Work Loss Data Institute. 2011.</w:t>
      </w:r>
    </w:p>
    <w:p w14:paraId="6D3274D9" w14:textId="77777777" w:rsidR="00DD4389" w:rsidRDefault="00DD4389" w:rsidP="00AE1932">
      <w:pPr>
        <w:spacing w:after="0" w:line="240" w:lineRule="auto"/>
        <w:rPr>
          <w:bCs/>
        </w:rPr>
      </w:pPr>
    </w:p>
    <w:p w14:paraId="7EE148E8" w14:textId="23B6F181" w:rsidR="00DD4389" w:rsidRPr="00DD4389" w:rsidRDefault="00DD4389" w:rsidP="00AE1932">
      <w:pPr>
        <w:spacing w:after="0" w:line="240" w:lineRule="auto"/>
        <w:rPr>
          <w:bCs/>
          <w:color w:val="FF0000"/>
        </w:rPr>
      </w:pPr>
      <w:r w:rsidRPr="00DD4389">
        <w:rPr>
          <w:b/>
          <w:bCs/>
          <w:color w:val="FF0000"/>
        </w:rPr>
        <w:t>2016 Submission:</w:t>
      </w:r>
    </w:p>
    <w:p w14:paraId="5EB66E79" w14:textId="5E11D558" w:rsidR="0049531C" w:rsidRPr="00DD4389" w:rsidRDefault="0049531C" w:rsidP="00AE1932">
      <w:pPr>
        <w:spacing w:after="0" w:line="240" w:lineRule="auto"/>
        <w:rPr>
          <w:bCs/>
          <w:color w:val="FF0000"/>
        </w:rPr>
      </w:pPr>
      <w:r w:rsidRPr="00DD4389">
        <w:rPr>
          <w:bCs/>
          <w:color w:val="FF0000"/>
        </w:rPr>
        <w:t xml:space="preserve">The frequency of excluded cases varied substantially across facilities (IQR: 12.61%). Median performance also changes substantially by applying the exclusion conditions. Median performance increases by 5.15% for facilities after applying measure exclusions. Based on the variance in frequency of measure exclusions, as well as the effect on performance scores, measure exclusions are necessary to prevent unfair distortion of facility results. </w:t>
      </w:r>
    </w:p>
    <w:p w14:paraId="17B906C7" w14:textId="77777777" w:rsidR="0049531C" w:rsidRPr="0049531C" w:rsidRDefault="0049531C" w:rsidP="00AE1932">
      <w:pPr>
        <w:spacing w:line="240" w:lineRule="auto"/>
        <w:rPr>
          <w:bCs/>
        </w:rPr>
      </w:pPr>
      <w:r w:rsidRPr="0049531C">
        <w:rPr>
          <w:bCs/>
        </w:rPr>
        <w:t>____________________________</w:t>
      </w:r>
    </w:p>
    <w:p w14:paraId="00C5D370" w14:textId="7820468D" w:rsidR="0049531C" w:rsidRPr="0059435B" w:rsidRDefault="0049531C" w:rsidP="00AE1932">
      <w:pPr>
        <w:spacing w:after="0" w:line="240" w:lineRule="auto"/>
        <w:rPr>
          <w:b/>
          <w:bCs/>
          <w:i/>
        </w:rPr>
      </w:pPr>
      <w:r w:rsidRPr="0049531C">
        <w:rPr>
          <w:b/>
          <w:bCs/>
        </w:rPr>
        <w:t>2b4. RISK ADJUSTMENT/STRATIFICATION FOR OUTCOME OR RESOURCE USE MEASURES</w:t>
      </w:r>
      <w:r w:rsidRPr="0049531C">
        <w:rPr>
          <w:bCs/>
        </w:rPr>
        <w:br/>
      </w:r>
      <w:r w:rsidRPr="0059435B">
        <w:rPr>
          <w:b/>
          <w:bCs/>
          <w:i/>
          <w:highlight w:val="green"/>
        </w:rPr>
        <w:t xml:space="preserve">If not an intermediate or health outcome, or PRO-PM, or resource use measure, skip to section </w:t>
      </w:r>
      <w:hyperlink w:anchor="section2b5" w:history="1">
        <w:r w:rsidRPr="0059435B">
          <w:rPr>
            <w:rStyle w:val="Hyperlink"/>
            <w:b/>
            <w:bCs/>
            <w:i/>
            <w:highlight w:val="green"/>
          </w:rPr>
          <w:t>2b5</w:t>
        </w:r>
      </w:hyperlink>
      <w:r w:rsidRPr="0059435B">
        <w:rPr>
          <w:b/>
          <w:bCs/>
          <w:i/>
          <w:highlight w:val="green"/>
        </w:rPr>
        <w:t>.</w:t>
      </w:r>
    </w:p>
    <w:p w14:paraId="20369D62" w14:textId="77777777" w:rsidR="0059435B" w:rsidRDefault="0059435B" w:rsidP="00AE1932">
      <w:pPr>
        <w:spacing w:after="0" w:line="240" w:lineRule="auto"/>
        <w:rPr>
          <w:b/>
          <w:bCs/>
        </w:rPr>
      </w:pPr>
    </w:p>
    <w:p w14:paraId="404D0D5C" w14:textId="77777777" w:rsidR="0049531C" w:rsidRPr="0049531C" w:rsidRDefault="0049531C" w:rsidP="00AE1932">
      <w:pPr>
        <w:spacing w:after="0" w:line="240" w:lineRule="auto"/>
        <w:rPr>
          <w:b/>
          <w:bCs/>
        </w:rPr>
      </w:pPr>
      <w:r w:rsidRPr="0049531C">
        <w:rPr>
          <w:b/>
          <w:bCs/>
        </w:rPr>
        <w:t xml:space="preserve">2b4.1. </w:t>
      </w:r>
      <w:proofErr w:type="gramStart"/>
      <w:r w:rsidRPr="0049531C">
        <w:rPr>
          <w:b/>
          <w:bCs/>
        </w:rPr>
        <w:t>What</w:t>
      </w:r>
      <w:proofErr w:type="gramEnd"/>
      <w:r w:rsidRPr="0049531C">
        <w:rPr>
          <w:b/>
          <w:bCs/>
        </w:rPr>
        <w:t xml:space="preserve"> method of controlling for differences in case mix is used?</w:t>
      </w:r>
    </w:p>
    <w:p w14:paraId="67065990" w14:textId="28B184BE" w:rsidR="0049531C" w:rsidRPr="0049531C" w:rsidRDefault="00F90EF3" w:rsidP="00AE1932">
      <w:pPr>
        <w:spacing w:after="0" w:line="240" w:lineRule="auto"/>
        <w:rPr>
          <w:b/>
          <w:bCs/>
        </w:rPr>
      </w:pPr>
      <w:sdt>
        <w:sdtPr>
          <w:rPr>
            <w:rFonts w:cstheme="minorHAnsi"/>
            <w:bCs/>
            <w:color w:val="000000" w:themeColor="text1"/>
          </w:rPr>
          <w:id w:val="-1602492144"/>
          <w14:checkbox>
            <w14:checked w14:val="1"/>
            <w14:checkedState w14:val="2612" w14:font="Arial Unicode MS"/>
            <w14:uncheckedState w14:val="2610" w14:font="Arial Unicode MS"/>
          </w14:checkbox>
        </w:sdtPr>
        <w:sdtContent>
          <w:r w:rsidRPr="00AF6521">
            <w:rPr>
              <w:rFonts w:ascii="MS Gothic" w:eastAsia="MS Gothic" w:hAnsi="MS Gothic" w:cstheme="minorHAnsi" w:hint="eastAsia"/>
              <w:bCs/>
              <w:color w:val="000000" w:themeColor="text1"/>
            </w:rPr>
            <w:t>☒</w:t>
          </w:r>
        </w:sdtContent>
      </w:sdt>
      <w:r w:rsidRPr="00AF6521">
        <w:rPr>
          <w:rFonts w:cstheme="minorHAnsi"/>
          <w:bCs/>
          <w:color w:val="FF0000"/>
        </w:rPr>
        <w:t xml:space="preserve"> </w:t>
      </w:r>
      <w:sdt>
        <w:sdtPr>
          <w:rPr>
            <w:rFonts w:eastAsia="MS Gothic" w:cstheme="minorHAnsi"/>
            <w:bCs/>
            <w:color w:val="FF0000"/>
          </w:rPr>
          <w:id w:val="1807893392"/>
          <w14:checkbox>
            <w14:checked w14:val="1"/>
            <w14:checkedState w14:val="2612" w14:font="Arial Unicode MS"/>
            <w14:uncheckedState w14:val="2610" w14:font="Arial Unicode MS"/>
          </w14:checkbox>
        </w:sdtPr>
        <w:sdtContent>
          <w:r w:rsidRPr="00AF6521">
            <w:rPr>
              <w:rFonts w:ascii="MS Gothic" w:eastAsia="MS Gothic" w:hAnsi="MS Gothic" w:cstheme="minorHAnsi" w:hint="eastAsia"/>
              <w:bCs/>
              <w:color w:val="FF0000"/>
            </w:rPr>
            <w:t>☒</w:t>
          </w:r>
        </w:sdtContent>
      </w:sdt>
      <w:r w:rsidRPr="00A25024">
        <w:rPr>
          <w:rFonts w:eastAsia="MS Mincho" w:cstheme="minorHAnsi"/>
          <w:b/>
          <w:bCs/>
          <w:color w:val="0000FF"/>
        </w:rPr>
        <w:t xml:space="preserve"> </w:t>
      </w:r>
      <w:r w:rsidR="0049531C" w:rsidRPr="0049531C">
        <w:rPr>
          <w:b/>
          <w:bCs/>
        </w:rPr>
        <w:t>No risk adjustment or stratification</w:t>
      </w:r>
    </w:p>
    <w:p w14:paraId="79A6D821" w14:textId="77777777" w:rsidR="0049531C" w:rsidRPr="0049531C" w:rsidRDefault="007D0E80" w:rsidP="00AE1932">
      <w:pPr>
        <w:spacing w:after="0" w:line="240" w:lineRule="auto"/>
        <w:rPr>
          <w:b/>
          <w:bCs/>
        </w:rPr>
      </w:pPr>
      <w:sdt>
        <w:sdtPr>
          <w:rPr>
            <w:bCs/>
          </w:rPr>
          <w:id w:val="139164670"/>
          <w14:checkbox>
            <w14:checked w14:val="0"/>
            <w14:checkedState w14:val="2612" w14:font="Arial Unicode MS"/>
            <w14:uncheckedState w14:val="2610" w14:font="Arial Unicode MS"/>
          </w14:checkbox>
        </w:sdtPr>
        <w:sdtContent>
          <w:r w:rsidR="0049531C" w:rsidRPr="0049531C">
            <w:rPr>
              <w:rFonts w:hint="eastAsia"/>
              <w:bCs/>
            </w:rPr>
            <w:t>☐</w:t>
          </w:r>
        </w:sdtContent>
      </w:sdt>
      <w:r w:rsidR="0049531C" w:rsidRPr="0049531C">
        <w:rPr>
          <w:bCs/>
        </w:rPr>
        <w:t xml:space="preserve"> </w:t>
      </w:r>
      <w:r w:rsidR="0049531C" w:rsidRPr="0049531C">
        <w:rPr>
          <w:b/>
          <w:bCs/>
        </w:rPr>
        <w:t xml:space="preserve">Statistical risk model with </w:t>
      </w:r>
      <w:sdt>
        <w:sdtPr>
          <w:rPr>
            <w:b/>
          </w:rPr>
          <w:id w:val="559451505"/>
          <w:showingPlcHdr/>
          <w:text/>
        </w:sdtPr>
        <w:sdtEndPr>
          <w:rPr>
            <w:b w:val="0"/>
            <w:bCs/>
          </w:rPr>
        </w:sdtEndPr>
        <w:sdtContent>
          <w:r w:rsidR="0049531C" w:rsidRPr="0049531C">
            <w:t>Click here to enter number of factors</w:t>
          </w:r>
        </w:sdtContent>
      </w:sdt>
      <w:r w:rsidR="0049531C" w:rsidRPr="0049531C">
        <w:rPr>
          <w:b/>
        </w:rPr>
        <w:t xml:space="preserve"> </w:t>
      </w:r>
      <w:r w:rsidR="0049531C" w:rsidRPr="0049531C">
        <w:rPr>
          <w:b/>
          <w:bCs/>
        </w:rPr>
        <w:t>risk factors</w:t>
      </w:r>
    </w:p>
    <w:p w14:paraId="10BE5CA2" w14:textId="77777777" w:rsidR="0049531C" w:rsidRPr="0049531C" w:rsidRDefault="007D0E80" w:rsidP="00AE1932">
      <w:pPr>
        <w:spacing w:after="0" w:line="240" w:lineRule="auto"/>
        <w:rPr>
          <w:b/>
          <w:bCs/>
        </w:rPr>
      </w:pPr>
      <w:sdt>
        <w:sdtPr>
          <w:rPr>
            <w:bCs/>
          </w:rPr>
          <w:id w:val="2072684455"/>
          <w14:checkbox>
            <w14:checked w14:val="0"/>
            <w14:checkedState w14:val="2612" w14:font="Arial Unicode MS"/>
            <w14:uncheckedState w14:val="2610" w14:font="Arial Unicode MS"/>
          </w14:checkbox>
        </w:sdtPr>
        <w:sdtContent>
          <w:r w:rsidR="0049531C" w:rsidRPr="0049531C">
            <w:rPr>
              <w:rFonts w:hint="eastAsia"/>
              <w:bCs/>
            </w:rPr>
            <w:t>☐</w:t>
          </w:r>
        </w:sdtContent>
      </w:sdt>
      <w:r w:rsidR="0049531C" w:rsidRPr="0049531C">
        <w:rPr>
          <w:b/>
          <w:bCs/>
        </w:rPr>
        <w:t xml:space="preserve"> Stratification by </w:t>
      </w:r>
      <w:sdt>
        <w:sdtPr>
          <w:rPr>
            <w:b/>
          </w:rPr>
          <w:id w:val="490765906"/>
          <w:showingPlcHdr/>
          <w:text/>
        </w:sdtPr>
        <w:sdtEndPr>
          <w:rPr>
            <w:b w:val="0"/>
            <w:bCs/>
          </w:rPr>
        </w:sdtEndPr>
        <w:sdtContent>
          <w:r w:rsidR="0049531C" w:rsidRPr="0049531C">
            <w:t>Click here to enter number of categories</w:t>
          </w:r>
        </w:sdtContent>
      </w:sdt>
      <w:r w:rsidR="0049531C" w:rsidRPr="0049531C">
        <w:rPr>
          <w:b/>
        </w:rPr>
        <w:t xml:space="preserve"> </w:t>
      </w:r>
      <w:r w:rsidR="0049531C" w:rsidRPr="0049531C">
        <w:rPr>
          <w:b/>
          <w:bCs/>
        </w:rPr>
        <w:t>risk categories</w:t>
      </w:r>
    </w:p>
    <w:p w14:paraId="71F462E1" w14:textId="77777777" w:rsidR="0049531C" w:rsidRPr="0049531C" w:rsidRDefault="007D0E80" w:rsidP="00AE1932">
      <w:pPr>
        <w:spacing w:after="0" w:line="240" w:lineRule="auto"/>
        <w:rPr>
          <w:b/>
          <w:bCs/>
        </w:rPr>
      </w:pPr>
      <w:sdt>
        <w:sdtPr>
          <w:rPr>
            <w:bCs/>
          </w:rPr>
          <w:id w:val="1864781190"/>
          <w14:checkbox>
            <w14:checked w14:val="0"/>
            <w14:checkedState w14:val="2612" w14:font="Arial Unicode MS"/>
            <w14:uncheckedState w14:val="2610" w14:font="Arial Unicode MS"/>
          </w14:checkbox>
        </w:sdtPr>
        <w:sdtContent>
          <w:r w:rsidR="0049531C" w:rsidRPr="0049531C">
            <w:rPr>
              <w:rFonts w:hint="eastAsia"/>
              <w:bCs/>
            </w:rPr>
            <w:t>☐</w:t>
          </w:r>
        </w:sdtContent>
      </w:sdt>
      <w:r w:rsidR="0049531C" w:rsidRPr="0049531C">
        <w:rPr>
          <w:b/>
          <w:bCs/>
        </w:rPr>
        <w:t xml:space="preserve"> Other, </w:t>
      </w:r>
      <w:sdt>
        <w:sdtPr>
          <w:id w:val="1893694319"/>
          <w:showingPlcHdr/>
          <w:text/>
        </w:sdtPr>
        <w:sdtEndPr>
          <w:rPr>
            <w:b/>
            <w:bCs/>
          </w:rPr>
        </w:sdtEndPr>
        <w:sdtContent>
          <w:r w:rsidR="0049531C" w:rsidRPr="0049531C">
            <w:t>Click here to enter description</w:t>
          </w:r>
        </w:sdtContent>
      </w:sdt>
    </w:p>
    <w:p w14:paraId="4B5A1983" w14:textId="77777777" w:rsidR="0059435B" w:rsidRDefault="0059435B" w:rsidP="00AE1932">
      <w:pPr>
        <w:spacing w:after="0" w:line="240" w:lineRule="auto"/>
        <w:rPr>
          <w:b/>
          <w:bCs/>
        </w:rPr>
      </w:pPr>
    </w:p>
    <w:p w14:paraId="109B88F5" w14:textId="3F92A63B" w:rsidR="00DD4389" w:rsidRPr="00F90EF3" w:rsidRDefault="0049531C" w:rsidP="00AE1932">
      <w:pPr>
        <w:spacing w:after="0" w:line="240" w:lineRule="auto"/>
        <w:rPr>
          <w:bCs/>
          <w:color w:val="000000" w:themeColor="text1"/>
        </w:rPr>
      </w:pPr>
      <w:r w:rsidRPr="0049531C">
        <w:rPr>
          <w:b/>
          <w:bCs/>
        </w:rPr>
        <w:t xml:space="preserve">2b4.2. </w:t>
      </w:r>
      <w:proofErr w:type="gramStart"/>
      <w:r w:rsidRPr="0049531C">
        <w:rPr>
          <w:b/>
          <w:bCs/>
        </w:rPr>
        <w:t>If</w:t>
      </w:r>
      <w:proofErr w:type="gramEnd"/>
      <w:r w:rsidRPr="0049531C">
        <w:rPr>
          <w:b/>
          <w:bCs/>
        </w:rPr>
        <w:t xml:space="preserve"> an outcome or resource use measure is </w:t>
      </w:r>
      <w:r w:rsidRPr="0049531C">
        <w:rPr>
          <w:b/>
          <w:bCs/>
          <w:u w:val="single"/>
        </w:rPr>
        <w:t>not risk adjusted or stratified</w:t>
      </w:r>
      <w:r w:rsidRPr="0049531C">
        <w:rPr>
          <w:b/>
          <w:bCs/>
        </w:rPr>
        <w:t xml:space="preserve">, provide </w:t>
      </w:r>
      <w:r w:rsidRPr="0049531C">
        <w:rPr>
          <w:b/>
          <w:bCs/>
          <w:u w:val="single"/>
        </w:rPr>
        <w:t>rationale and analyses</w:t>
      </w:r>
      <w:r w:rsidRPr="0049531C">
        <w:rPr>
          <w:b/>
          <w:bCs/>
        </w:rPr>
        <w:t xml:space="preserve"> to demonstrate that controlling for differences in patient characteristics (case mix) is not needed to achieve fair comparisons across measured entities</w:t>
      </w:r>
      <w:r w:rsidRPr="0049531C">
        <w:rPr>
          <w:bCs/>
        </w:rPr>
        <w:t xml:space="preserve">. </w:t>
      </w:r>
      <w:r w:rsidRPr="0049531C">
        <w:rPr>
          <w:bCs/>
        </w:rPr>
        <w:br/>
      </w:r>
      <w:r w:rsidR="00F90EF3" w:rsidRPr="00F90EF3">
        <w:rPr>
          <w:b/>
          <w:bCs/>
          <w:color w:val="000000" w:themeColor="text1"/>
        </w:rPr>
        <w:t>2014 Submission:</w:t>
      </w:r>
    </w:p>
    <w:p w14:paraId="340D854D" w14:textId="77777777" w:rsidR="00F90EF3" w:rsidRPr="00F90EF3" w:rsidRDefault="00F90EF3" w:rsidP="00AE1932">
      <w:pPr>
        <w:autoSpaceDE w:val="0"/>
        <w:autoSpaceDN w:val="0"/>
        <w:adjustRightInd w:val="0"/>
        <w:spacing w:after="0" w:line="240" w:lineRule="auto"/>
        <w:rPr>
          <w:color w:val="000000" w:themeColor="text1"/>
        </w:rPr>
      </w:pPr>
      <w:r w:rsidRPr="00F90EF3">
        <w:rPr>
          <w:color w:val="000000" w:themeColor="text1"/>
        </w:rPr>
        <w:t>Risk adjustment was determined not to be necessary during measure specification development, as guidelines did not indicate further need for case mix adjustments. During the five years of public reporting for this measure, neither risk-adjustment nor case mix adjustment have been considered or requested.</w:t>
      </w:r>
    </w:p>
    <w:p w14:paraId="274BEABF" w14:textId="77777777" w:rsidR="00DD4389" w:rsidRDefault="00DD4389" w:rsidP="00AE1932">
      <w:pPr>
        <w:spacing w:after="0" w:line="240" w:lineRule="auto"/>
        <w:rPr>
          <w:bCs/>
        </w:rPr>
      </w:pPr>
    </w:p>
    <w:p w14:paraId="05BF9C17" w14:textId="22D3CBEA" w:rsidR="00F90EF3" w:rsidRPr="00F90EF3" w:rsidRDefault="00F90EF3" w:rsidP="00AE1932">
      <w:pPr>
        <w:spacing w:after="0" w:line="240" w:lineRule="auto"/>
        <w:rPr>
          <w:bCs/>
          <w:color w:val="FF0000"/>
        </w:rPr>
      </w:pPr>
      <w:r w:rsidRPr="00F90EF3">
        <w:rPr>
          <w:b/>
          <w:bCs/>
          <w:color w:val="FF0000"/>
        </w:rPr>
        <w:t>2016 Submission:</w:t>
      </w:r>
    </w:p>
    <w:p w14:paraId="6A49E1DB" w14:textId="39E1D241" w:rsidR="0049531C" w:rsidRPr="00F90EF3" w:rsidRDefault="0049531C" w:rsidP="00AE1932">
      <w:pPr>
        <w:spacing w:after="0" w:line="240" w:lineRule="auto"/>
        <w:rPr>
          <w:bCs/>
          <w:color w:val="FF0000"/>
        </w:rPr>
      </w:pPr>
      <w:r w:rsidRPr="00F90EF3">
        <w:rPr>
          <w:bCs/>
          <w:color w:val="FF0000"/>
        </w:rPr>
        <w:t xml:space="preserve">This measure is a process measure for which risk adjustment or risk stratification are not necessary. We determined risk adjustment and risk stratification were not appropriate based on the measure evidence base and the measure construct. </w:t>
      </w:r>
      <w:proofErr w:type="gramStart"/>
      <w:r w:rsidRPr="00F90EF3">
        <w:rPr>
          <w:bCs/>
          <w:color w:val="FF0000"/>
        </w:rPr>
        <w:t>During the measure development and maintenance process, we performed an annual review of the literature, which included a scan for potential patient subpopulations for which there are differences in the clinical decision to perform MRI lumbar-spine studies for patients with low back pain absent red flag conditions; this review identified no clear evidence of an empirical relationship between SDS and facility-level measure performance.</w:t>
      </w:r>
      <w:proofErr w:type="gramEnd"/>
    </w:p>
    <w:p w14:paraId="21A0F24E" w14:textId="77777777" w:rsidR="0049531C" w:rsidRPr="00F90EF3" w:rsidRDefault="0049531C" w:rsidP="00AE1932">
      <w:pPr>
        <w:spacing w:after="0" w:line="240" w:lineRule="auto"/>
        <w:rPr>
          <w:bCs/>
          <w:color w:val="FF0000"/>
        </w:rPr>
      </w:pPr>
      <w:r w:rsidRPr="00F90EF3">
        <w:rPr>
          <w:bCs/>
          <w:color w:val="FF0000"/>
        </w:rPr>
        <w:t>In addition to the evidence gathered from the literature, stakeholder feedback obtained during implementation and public reporting has not identified concerns related to SDS factors or the need for risk adjustment. This supports the conceptual model upon which the measure is based. As a process-of-care measure, SDS factors should not influence the decision to image a patient with low back pain; rather, adjustment would risk masking such important inequities in care delivery. Variation across patient populations is reflective of differences in the quality of care provided to the disparate patient population included in the measure’s denominator.</w:t>
      </w:r>
    </w:p>
    <w:p w14:paraId="367C5B13" w14:textId="77777777" w:rsidR="0049531C" w:rsidRPr="0049531C" w:rsidRDefault="0049531C" w:rsidP="00AE1932">
      <w:pPr>
        <w:spacing w:after="0" w:line="240" w:lineRule="auto"/>
        <w:rPr>
          <w:bCs/>
        </w:rPr>
      </w:pPr>
    </w:p>
    <w:p w14:paraId="47AF896D" w14:textId="77777777" w:rsidR="00F90EF3" w:rsidRDefault="0049531C" w:rsidP="00AE1932">
      <w:pPr>
        <w:spacing w:after="0" w:line="240" w:lineRule="auto"/>
        <w:rPr>
          <w:bCs/>
        </w:rPr>
      </w:pPr>
      <w:proofErr w:type="gramStart"/>
      <w:r w:rsidRPr="0049531C">
        <w:rPr>
          <w:b/>
          <w:bCs/>
        </w:rPr>
        <w:t xml:space="preserve">2b4.3. Describe the conceptual/clinical </w:t>
      </w:r>
      <w:r w:rsidRPr="0049531C">
        <w:rPr>
          <w:b/>
          <w:bCs/>
          <w:u w:val="single"/>
        </w:rPr>
        <w:t>and</w:t>
      </w:r>
      <w:r w:rsidRPr="0049531C">
        <w:rPr>
          <w:b/>
          <w:bCs/>
        </w:rPr>
        <w:t xml:space="preserve"> statistical methods and criteria used to select patient factors (clinical factors or sociodemographic factors) used in the statistical risk model or for stratification by risk </w:t>
      </w:r>
      <w:r w:rsidRPr="0049531C">
        <w:rPr>
          <w:bCs/>
        </w:rPr>
        <w:t>(</w:t>
      </w:r>
      <w:r w:rsidRPr="0049531C">
        <w:rPr>
          <w:bCs/>
          <w:i/>
        </w:rPr>
        <w:t>e.g., potential factors identified in the literature and/or expert panel; regression analysis; statistical significance of p&lt;0.10; correlation of x or higher; patient factors should be present at the start of care</w:t>
      </w:r>
      <w:r w:rsidRPr="0049531C">
        <w:rPr>
          <w:bCs/>
        </w:rPr>
        <w:t>).</w:t>
      </w:r>
      <w:proofErr w:type="gramEnd"/>
    </w:p>
    <w:p w14:paraId="649A5C79" w14:textId="2AA696EA" w:rsidR="00F90EF3" w:rsidRPr="00F90EF3" w:rsidRDefault="00F90EF3" w:rsidP="00AE1932">
      <w:pPr>
        <w:spacing w:after="0" w:line="240" w:lineRule="auto"/>
        <w:rPr>
          <w:bCs/>
          <w:color w:val="000000" w:themeColor="text1"/>
        </w:rPr>
      </w:pPr>
      <w:r>
        <w:rPr>
          <w:b/>
          <w:bCs/>
        </w:rPr>
        <w:t>2</w:t>
      </w:r>
      <w:r w:rsidRPr="00F90EF3">
        <w:rPr>
          <w:b/>
          <w:bCs/>
          <w:color w:val="000000" w:themeColor="text1"/>
        </w:rPr>
        <w:t>014 Submission:</w:t>
      </w:r>
    </w:p>
    <w:p w14:paraId="71518FA6" w14:textId="77777777" w:rsidR="00F90EF3" w:rsidRPr="00F90EF3" w:rsidRDefault="00F90EF3" w:rsidP="00AE1932">
      <w:pPr>
        <w:autoSpaceDE w:val="0"/>
        <w:autoSpaceDN w:val="0"/>
        <w:adjustRightInd w:val="0"/>
        <w:spacing w:after="0" w:line="240" w:lineRule="auto"/>
        <w:rPr>
          <w:color w:val="000000" w:themeColor="text1"/>
        </w:rPr>
      </w:pPr>
      <w:r w:rsidRPr="00F90EF3">
        <w:rPr>
          <w:color w:val="000000" w:themeColor="text1"/>
        </w:rPr>
        <w:t>Risk adjustment was determined not to be necessary, as guidelines did not indicate further need for case mix adjustment.</w:t>
      </w:r>
    </w:p>
    <w:p w14:paraId="10DA882B" w14:textId="77777777" w:rsidR="00F90EF3" w:rsidRDefault="00F90EF3" w:rsidP="00AE1932">
      <w:pPr>
        <w:spacing w:after="0" w:line="240" w:lineRule="auto"/>
        <w:rPr>
          <w:bCs/>
        </w:rPr>
      </w:pPr>
    </w:p>
    <w:p w14:paraId="6100C485" w14:textId="75800DD6" w:rsidR="00F90EF3" w:rsidRPr="00F90EF3" w:rsidRDefault="00F90EF3" w:rsidP="00AE1932">
      <w:pPr>
        <w:spacing w:after="0" w:line="240" w:lineRule="auto"/>
        <w:rPr>
          <w:b/>
          <w:bCs/>
          <w:color w:val="FF0000"/>
        </w:rPr>
      </w:pPr>
      <w:r w:rsidRPr="00F90EF3">
        <w:rPr>
          <w:b/>
          <w:bCs/>
          <w:color w:val="FF0000"/>
        </w:rPr>
        <w:t>2016 Submission:</w:t>
      </w:r>
    </w:p>
    <w:p w14:paraId="3FBF6BD6" w14:textId="34380812" w:rsidR="0049531C" w:rsidRPr="00F90EF3" w:rsidRDefault="0049531C" w:rsidP="00AE1932">
      <w:pPr>
        <w:spacing w:after="0" w:line="240" w:lineRule="auto"/>
        <w:rPr>
          <w:bCs/>
          <w:color w:val="FF0000"/>
        </w:rPr>
      </w:pPr>
      <w:r w:rsidRPr="00F90EF3">
        <w:rPr>
          <w:bCs/>
          <w:color w:val="FF0000"/>
        </w:rPr>
        <w:t>This measure is a process measure for which risk adjustment or risk stratification are not necessary. We determined risk adjustment and risk stratification were not appropriate based on the measure evidence base and the measure construct.</w:t>
      </w:r>
    </w:p>
    <w:p w14:paraId="457CA7F8" w14:textId="77777777" w:rsidR="0059435B" w:rsidRDefault="0059435B" w:rsidP="00AE1932">
      <w:pPr>
        <w:spacing w:after="0" w:line="240" w:lineRule="auto"/>
        <w:rPr>
          <w:b/>
          <w:bCs/>
        </w:rPr>
      </w:pPr>
    </w:p>
    <w:p w14:paraId="56536DD2" w14:textId="7760ADB1" w:rsidR="0049531C" w:rsidRDefault="0049531C" w:rsidP="00AE1932">
      <w:pPr>
        <w:spacing w:after="0" w:line="240" w:lineRule="auto"/>
        <w:rPr>
          <w:bCs/>
        </w:rPr>
      </w:pPr>
      <w:r w:rsidRPr="0049531C">
        <w:rPr>
          <w:b/>
          <w:bCs/>
        </w:rPr>
        <w:t xml:space="preserve">2b4.4a. </w:t>
      </w:r>
      <w:proofErr w:type="gramStart"/>
      <w:r w:rsidRPr="0049531C">
        <w:rPr>
          <w:b/>
          <w:bCs/>
        </w:rPr>
        <w:t>What</w:t>
      </w:r>
      <w:proofErr w:type="gramEnd"/>
      <w:r w:rsidRPr="0049531C">
        <w:rPr>
          <w:b/>
          <w:bCs/>
        </w:rPr>
        <w:t xml:space="preserve"> were the statistical results of the analyses used to select risk factors?</w:t>
      </w:r>
      <w:r w:rsidRPr="0049531C">
        <w:rPr>
          <w:b/>
          <w:bCs/>
        </w:rPr>
        <w:br/>
      </w:r>
      <w:r w:rsidR="00F90EF3">
        <w:rPr>
          <w:b/>
          <w:bCs/>
        </w:rPr>
        <w:t>2014 Submission:</w:t>
      </w:r>
    </w:p>
    <w:p w14:paraId="52F444AE" w14:textId="5AA64115" w:rsidR="00F90EF3" w:rsidRPr="00F90EF3" w:rsidRDefault="00F90EF3" w:rsidP="00AE1932">
      <w:pPr>
        <w:spacing w:after="0" w:line="240" w:lineRule="auto"/>
        <w:rPr>
          <w:bCs/>
        </w:rPr>
      </w:pPr>
      <w:r w:rsidRPr="00F90EF3">
        <w:rPr>
          <w:bCs/>
        </w:rPr>
        <w:t>This measure does not use risk adjustment or stratification.</w:t>
      </w:r>
    </w:p>
    <w:p w14:paraId="788C2DEA" w14:textId="77777777" w:rsidR="00F90EF3" w:rsidRDefault="00F90EF3" w:rsidP="00AE1932">
      <w:pPr>
        <w:spacing w:after="0" w:line="240" w:lineRule="auto"/>
        <w:rPr>
          <w:bCs/>
        </w:rPr>
      </w:pPr>
    </w:p>
    <w:p w14:paraId="5076D81C" w14:textId="77777777" w:rsidR="00F90EF3" w:rsidRPr="00F90EF3" w:rsidRDefault="00F90EF3" w:rsidP="00AE1932">
      <w:pPr>
        <w:spacing w:after="0" w:line="240" w:lineRule="auto"/>
        <w:rPr>
          <w:b/>
          <w:bCs/>
          <w:color w:val="FF0000"/>
        </w:rPr>
      </w:pPr>
      <w:r w:rsidRPr="00F90EF3">
        <w:rPr>
          <w:b/>
          <w:bCs/>
          <w:color w:val="FF0000"/>
        </w:rPr>
        <w:t>2016 Submission:</w:t>
      </w:r>
    </w:p>
    <w:p w14:paraId="7A4D90F8" w14:textId="77777777" w:rsidR="00F90EF3" w:rsidRPr="00F90EF3" w:rsidRDefault="00F90EF3" w:rsidP="00AE1932">
      <w:pPr>
        <w:spacing w:after="0" w:line="240" w:lineRule="auto"/>
        <w:rPr>
          <w:bCs/>
          <w:color w:val="FF0000"/>
        </w:rPr>
      </w:pPr>
      <w:r w:rsidRPr="00F90EF3">
        <w:rPr>
          <w:bCs/>
          <w:color w:val="FF0000"/>
        </w:rPr>
        <w:t>This measure is a process measure for which risk adjustment or risk stratification are not necessary. We determined risk adjustment and risk stratification were not appropriate based on the measure evidence base and the measure construct.</w:t>
      </w:r>
    </w:p>
    <w:p w14:paraId="5A44B30D" w14:textId="77777777" w:rsidR="0059435B" w:rsidRDefault="0059435B" w:rsidP="00AE1932">
      <w:pPr>
        <w:spacing w:after="0" w:line="240" w:lineRule="auto"/>
        <w:rPr>
          <w:b/>
          <w:bCs/>
        </w:rPr>
      </w:pPr>
    </w:p>
    <w:p w14:paraId="59A90102" w14:textId="77777777" w:rsidR="0049531C" w:rsidRPr="0049531C" w:rsidRDefault="0049531C" w:rsidP="00AE1932">
      <w:pPr>
        <w:spacing w:after="0" w:line="240" w:lineRule="auto"/>
        <w:rPr>
          <w:b/>
          <w:bCs/>
        </w:rPr>
      </w:pPr>
      <w:r w:rsidRPr="0049531C">
        <w:rPr>
          <w:b/>
          <w:bCs/>
        </w:rPr>
        <w:t>2b4.4b. Describe the analyses and interpretation resulting in the decision to select SDS factors (e.g. prevalence of the factor across measured entities, empirical association with the outcome, contribution of unique variation in the outcome, assessment of between-unit effects and within-unit effects)</w:t>
      </w:r>
    </w:p>
    <w:p w14:paraId="5C81258E" w14:textId="77777777" w:rsidR="00F90EF3" w:rsidRDefault="00F90EF3" w:rsidP="00AE1932">
      <w:pPr>
        <w:spacing w:after="0" w:line="240" w:lineRule="auto"/>
        <w:rPr>
          <w:bCs/>
        </w:rPr>
      </w:pPr>
      <w:r>
        <w:rPr>
          <w:b/>
          <w:bCs/>
        </w:rPr>
        <w:t>2014 Submission:</w:t>
      </w:r>
    </w:p>
    <w:p w14:paraId="618AAB26" w14:textId="77777777" w:rsidR="00F90EF3" w:rsidRPr="00F90EF3" w:rsidRDefault="00F90EF3" w:rsidP="00AE1932">
      <w:pPr>
        <w:spacing w:after="0" w:line="240" w:lineRule="auto"/>
        <w:rPr>
          <w:bCs/>
        </w:rPr>
      </w:pPr>
      <w:r w:rsidRPr="00F90EF3">
        <w:rPr>
          <w:bCs/>
        </w:rPr>
        <w:t>This measure does not use risk adjustment or stratification.</w:t>
      </w:r>
    </w:p>
    <w:p w14:paraId="376C9AF3" w14:textId="77777777" w:rsidR="00F90EF3" w:rsidRDefault="00F90EF3" w:rsidP="00AE1932">
      <w:pPr>
        <w:spacing w:after="0" w:line="240" w:lineRule="auto"/>
        <w:rPr>
          <w:b/>
          <w:bCs/>
        </w:rPr>
      </w:pPr>
    </w:p>
    <w:p w14:paraId="75E13A9B" w14:textId="77777777" w:rsidR="00F90EF3" w:rsidRPr="00F90EF3" w:rsidRDefault="00F90EF3" w:rsidP="00AE1932">
      <w:pPr>
        <w:spacing w:after="0" w:line="240" w:lineRule="auto"/>
        <w:rPr>
          <w:b/>
          <w:bCs/>
          <w:color w:val="FF0000"/>
        </w:rPr>
      </w:pPr>
      <w:r w:rsidRPr="00F90EF3">
        <w:rPr>
          <w:b/>
          <w:bCs/>
          <w:color w:val="FF0000"/>
        </w:rPr>
        <w:t>2016 Submission:</w:t>
      </w:r>
    </w:p>
    <w:p w14:paraId="5C923EDF" w14:textId="77777777" w:rsidR="00F90EF3" w:rsidRPr="00F90EF3" w:rsidRDefault="00F90EF3" w:rsidP="00AE1932">
      <w:pPr>
        <w:spacing w:after="0" w:line="240" w:lineRule="auto"/>
        <w:rPr>
          <w:bCs/>
          <w:color w:val="FF0000"/>
        </w:rPr>
      </w:pPr>
      <w:r w:rsidRPr="00F90EF3">
        <w:rPr>
          <w:bCs/>
          <w:color w:val="FF0000"/>
        </w:rPr>
        <w:t>This measure is a process measure for which risk adjustment or risk stratification are not necessary. We determined risk adjustment and risk stratification were not appropriate based on the measure evidence base and the measure construct.</w:t>
      </w:r>
    </w:p>
    <w:p w14:paraId="29F9F964" w14:textId="77777777" w:rsidR="00F90EF3" w:rsidRDefault="00F90EF3" w:rsidP="00AE1932">
      <w:pPr>
        <w:spacing w:after="0" w:line="240" w:lineRule="auto"/>
        <w:rPr>
          <w:b/>
          <w:bCs/>
        </w:rPr>
      </w:pPr>
    </w:p>
    <w:p w14:paraId="65EC3362" w14:textId="1FD4C698" w:rsidR="0049531C" w:rsidRPr="0049531C" w:rsidRDefault="0049531C" w:rsidP="00AE1932">
      <w:pPr>
        <w:spacing w:after="0" w:line="240" w:lineRule="auto"/>
        <w:rPr>
          <w:b/>
          <w:bCs/>
        </w:rPr>
      </w:pPr>
      <w:r w:rsidRPr="0049531C">
        <w:rPr>
          <w:b/>
          <w:bCs/>
        </w:rPr>
        <w:t xml:space="preserve">2b4.5. Describe the method of testing/analysis used to develop and validate the adequacy of the statistical model </w:t>
      </w:r>
      <w:r w:rsidRPr="0049531C">
        <w:rPr>
          <w:b/>
          <w:bCs/>
          <w:u w:val="single"/>
        </w:rPr>
        <w:t>or</w:t>
      </w:r>
      <w:r w:rsidRPr="0049531C">
        <w:rPr>
          <w:b/>
          <w:bCs/>
        </w:rPr>
        <w:t xml:space="preserve"> stratification approach</w:t>
      </w:r>
      <w:r w:rsidRPr="0049531C">
        <w:rPr>
          <w:bCs/>
        </w:rPr>
        <w:t xml:space="preserve"> (</w:t>
      </w:r>
      <w:r w:rsidRPr="0049531C">
        <w:rPr>
          <w:bCs/>
          <w:i/>
        </w:rPr>
        <w:t>describe the steps―do not just name a method; what statistical analysis was used</w:t>
      </w:r>
      <w:proofErr w:type="gramStart"/>
      <w:r w:rsidRPr="0049531C">
        <w:rPr>
          <w:bCs/>
        </w:rPr>
        <w:t>)</w:t>
      </w:r>
      <w:proofErr w:type="gramEnd"/>
      <w:r w:rsidRPr="0049531C">
        <w:rPr>
          <w:bCs/>
        </w:rPr>
        <w:br/>
      </w:r>
      <w:r w:rsidRPr="0049531C">
        <w:rPr>
          <w:bCs/>
          <w:i/>
        </w:rPr>
        <w:t>Provide the statistical results from testing the approach to controlling for differences in patient characteristics (case mix) below</w:t>
      </w:r>
      <w:r w:rsidRPr="0049531C">
        <w:rPr>
          <w:bCs/>
        </w:rPr>
        <w:t>.</w:t>
      </w:r>
      <w:r w:rsidRPr="0049531C">
        <w:rPr>
          <w:bCs/>
        </w:rPr>
        <w:br/>
      </w:r>
      <w:r w:rsidRPr="0059435B">
        <w:rPr>
          <w:b/>
          <w:bCs/>
          <w:i/>
          <w:highlight w:val="green"/>
        </w:rPr>
        <w:t xml:space="preserve">If stratified, skip to </w:t>
      </w:r>
      <w:hyperlink w:anchor="question2b49" w:history="1">
        <w:r w:rsidRPr="0059435B">
          <w:rPr>
            <w:rStyle w:val="Hyperlink"/>
            <w:b/>
            <w:bCs/>
            <w:i/>
            <w:highlight w:val="green"/>
          </w:rPr>
          <w:t>2b4.9</w:t>
        </w:r>
      </w:hyperlink>
    </w:p>
    <w:p w14:paraId="4AD55474" w14:textId="77777777" w:rsidR="00F90EF3" w:rsidRDefault="00F90EF3" w:rsidP="00AE1932">
      <w:pPr>
        <w:spacing w:after="0" w:line="240" w:lineRule="auto"/>
        <w:rPr>
          <w:bCs/>
        </w:rPr>
      </w:pPr>
      <w:r>
        <w:rPr>
          <w:b/>
          <w:bCs/>
        </w:rPr>
        <w:t>2014 Submission:</w:t>
      </w:r>
    </w:p>
    <w:p w14:paraId="7515CF0A" w14:textId="77777777" w:rsidR="00F90EF3" w:rsidRPr="00F90EF3" w:rsidRDefault="00F90EF3" w:rsidP="00AE1932">
      <w:pPr>
        <w:spacing w:after="0" w:line="240" w:lineRule="auto"/>
        <w:rPr>
          <w:bCs/>
        </w:rPr>
      </w:pPr>
      <w:r w:rsidRPr="00F90EF3">
        <w:rPr>
          <w:bCs/>
        </w:rPr>
        <w:t>This measure does not use risk adjustment or stratification.</w:t>
      </w:r>
    </w:p>
    <w:p w14:paraId="0C7DA2A5" w14:textId="77777777" w:rsidR="00F90EF3" w:rsidRDefault="00F90EF3" w:rsidP="00AE1932">
      <w:pPr>
        <w:spacing w:after="0" w:line="240" w:lineRule="auto"/>
        <w:rPr>
          <w:bCs/>
        </w:rPr>
      </w:pPr>
    </w:p>
    <w:p w14:paraId="60B497DC" w14:textId="0B32BC0D" w:rsidR="00F90EF3" w:rsidRPr="00F90EF3" w:rsidRDefault="00F90EF3" w:rsidP="00AE1932">
      <w:pPr>
        <w:spacing w:after="0" w:line="240" w:lineRule="auto"/>
        <w:rPr>
          <w:b/>
          <w:bCs/>
          <w:color w:val="FF0000"/>
        </w:rPr>
      </w:pPr>
      <w:r w:rsidRPr="00F90EF3">
        <w:rPr>
          <w:b/>
          <w:bCs/>
          <w:color w:val="FF0000"/>
        </w:rPr>
        <w:t>2016 Submission:</w:t>
      </w:r>
    </w:p>
    <w:p w14:paraId="317C2F3D" w14:textId="77777777" w:rsidR="0049531C" w:rsidRPr="00F90EF3" w:rsidRDefault="0049531C" w:rsidP="00AE1932">
      <w:pPr>
        <w:spacing w:after="0" w:line="240" w:lineRule="auto"/>
        <w:rPr>
          <w:bCs/>
          <w:color w:val="FF0000"/>
        </w:rPr>
      </w:pPr>
      <w:r w:rsidRPr="00F90EF3">
        <w:rPr>
          <w:bCs/>
          <w:color w:val="FF0000"/>
        </w:rPr>
        <w:t>CORE and Lewin did not perform risk adjustment or stratification.</w:t>
      </w:r>
    </w:p>
    <w:p w14:paraId="042CFB93" w14:textId="77777777" w:rsidR="0049531C" w:rsidRPr="0049531C" w:rsidRDefault="0049531C" w:rsidP="00AE1932">
      <w:pPr>
        <w:spacing w:after="0" w:line="240" w:lineRule="auto"/>
        <w:rPr>
          <w:b/>
          <w:bCs/>
        </w:rPr>
      </w:pPr>
    </w:p>
    <w:p w14:paraId="1ED04358" w14:textId="77777777" w:rsidR="00F90EF3" w:rsidRDefault="0049531C" w:rsidP="00AE1932">
      <w:pPr>
        <w:spacing w:after="0" w:line="240" w:lineRule="auto"/>
        <w:rPr>
          <w:bCs/>
        </w:rPr>
      </w:pPr>
      <w:r w:rsidRPr="0049531C">
        <w:rPr>
          <w:b/>
          <w:bCs/>
        </w:rPr>
        <w:t>2b4.6. Statistical Risk Model Discrimination Statistics</w:t>
      </w:r>
      <w:r w:rsidRPr="0049531C">
        <w:rPr>
          <w:bCs/>
        </w:rPr>
        <w:t xml:space="preserve"> (</w:t>
      </w:r>
      <w:r w:rsidRPr="0049531C">
        <w:rPr>
          <w:bCs/>
          <w:i/>
        </w:rPr>
        <w:t>e.g., c-statistic, R-squared</w:t>
      </w:r>
      <w:r w:rsidRPr="0049531C">
        <w:rPr>
          <w:bCs/>
        </w:rPr>
        <w:t>)</w:t>
      </w:r>
      <w:r w:rsidRPr="0049531C">
        <w:rPr>
          <w:b/>
          <w:bCs/>
        </w:rPr>
        <w:t xml:space="preserve">: </w:t>
      </w:r>
      <w:r w:rsidRPr="0049531C">
        <w:rPr>
          <w:b/>
        </w:rPr>
        <w:br/>
      </w:r>
      <w:r w:rsidR="00F90EF3">
        <w:rPr>
          <w:b/>
          <w:bCs/>
        </w:rPr>
        <w:t>2014 Submission:</w:t>
      </w:r>
    </w:p>
    <w:p w14:paraId="36B454AC" w14:textId="77777777" w:rsidR="00F90EF3" w:rsidRDefault="00F90EF3" w:rsidP="00AE1932">
      <w:pPr>
        <w:spacing w:after="0" w:line="240" w:lineRule="auto"/>
        <w:rPr>
          <w:bCs/>
        </w:rPr>
      </w:pPr>
      <w:r>
        <w:rPr>
          <w:bCs/>
        </w:rPr>
        <w:t>This measure does not use risk adjustment or stratification.</w:t>
      </w:r>
    </w:p>
    <w:p w14:paraId="4CBBE3A9" w14:textId="6EA0830C" w:rsidR="0049531C" w:rsidRDefault="0049531C" w:rsidP="00AE1932">
      <w:pPr>
        <w:spacing w:after="0" w:line="240" w:lineRule="auto"/>
        <w:rPr>
          <w:bCs/>
        </w:rPr>
      </w:pPr>
    </w:p>
    <w:p w14:paraId="5557E35C" w14:textId="77777777" w:rsidR="00F90EF3" w:rsidRDefault="00F90EF3" w:rsidP="00AE1932">
      <w:pPr>
        <w:spacing w:after="0" w:line="240" w:lineRule="auto"/>
        <w:rPr>
          <w:b/>
          <w:bCs/>
          <w:color w:val="FF0000"/>
        </w:rPr>
      </w:pPr>
      <w:r>
        <w:rPr>
          <w:b/>
          <w:bCs/>
          <w:color w:val="FF0000"/>
        </w:rPr>
        <w:t>2016 Submission:</w:t>
      </w:r>
    </w:p>
    <w:p w14:paraId="27BA1CBC" w14:textId="77777777" w:rsidR="00F90EF3" w:rsidRDefault="00F90EF3" w:rsidP="00AE1932">
      <w:pPr>
        <w:spacing w:after="0" w:line="240" w:lineRule="auto"/>
        <w:rPr>
          <w:bCs/>
          <w:color w:val="FF0000"/>
        </w:rPr>
      </w:pPr>
      <w:r>
        <w:rPr>
          <w:bCs/>
          <w:color w:val="FF0000"/>
        </w:rPr>
        <w:t>CORE and Lewin did not perform risk adjustment or stratification.</w:t>
      </w:r>
    </w:p>
    <w:p w14:paraId="5F199925" w14:textId="77777777" w:rsidR="0049531C" w:rsidRPr="0049531C" w:rsidRDefault="0049531C" w:rsidP="00AE1932">
      <w:pPr>
        <w:spacing w:after="0" w:line="240" w:lineRule="auto"/>
        <w:rPr>
          <w:b/>
          <w:bCs/>
        </w:rPr>
      </w:pPr>
    </w:p>
    <w:p w14:paraId="13D72C3D" w14:textId="77777777" w:rsidR="00F90EF3" w:rsidRDefault="0049531C" w:rsidP="00AE1932">
      <w:pPr>
        <w:spacing w:after="0" w:line="240" w:lineRule="auto"/>
        <w:rPr>
          <w:bCs/>
        </w:rPr>
      </w:pPr>
      <w:r w:rsidRPr="0049531C">
        <w:rPr>
          <w:b/>
          <w:bCs/>
        </w:rPr>
        <w:t xml:space="preserve">2b4.7. Statistical Risk Model Calibration Statistics </w:t>
      </w:r>
      <w:r w:rsidRPr="0049531C">
        <w:rPr>
          <w:bCs/>
        </w:rPr>
        <w:t>(</w:t>
      </w:r>
      <w:r w:rsidRPr="0049531C">
        <w:rPr>
          <w:bCs/>
          <w:i/>
        </w:rPr>
        <w:t>e.g., Hosmer-</w:t>
      </w:r>
      <w:proofErr w:type="spellStart"/>
      <w:r w:rsidRPr="0049531C">
        <w:rPr>
          <w:bCs/>
          <w:i/>
        </w:rPr>
        <w:t>Lemeshow</w:t>
      </w:r>
      <w:proofErr w:type="spellEnd"/>
      <w:r w:rsidRPr="0049531C">
        <w:rPr>
          <w:bCs/>
          <w:i/>
        </w:rPr>
        <w:t xml:space="preserve"> statistic</w:t>
      </w:r>
      <w:r w:rsidRPr="0049531C">
        <w:rPr>
          <w:bCs/>
        </w:rPr>
        <w:t xml:space="preserve">): </w:t>
      </w:r>
      <w:r w:rsidRPr="0049531C">
        <w:rPr>
          <w:bCs/>
        </w:rPr>
        <w:br/>
      </w:r>
      <w:r w:rsidR="00F90EF3">
        <w:rPr>
          <w:b/>
          <w:bCs/>
        </w:rPr>
        <w:t>2014 Submission:</w:t>
      </w:r>
    </w:p>
    <w:p w14:paraId="40C8E548" w14:textId="77777777" w:rsidR="00F90EF3" w:rsidRDefault="00F90EF3" w:rsidP="00AE1932">
      <w:pPr>
        <w:spacing w:after="0" w:line="240" w:lineRule="auto"/>
        <w:rPr>
          <w:bCs/>
        </w:rPr>
      </w:pPr>
      <w:r>
        <w:rPr>
          <w:bCs/>
        </w:rPr>
        <w:t>This measure does not use risk adjustment or stratification.</w:t>
      </w:r>
    </w:p>
    <w:p w14:paraId="7610D76D" w14:textId="77777777" w:rsidR="00F90EF3" w:rsidRDefault="00F90EF3" w:rsidP="00AE1932">
      <w:pPr>
        <w:spacing w:after="0" w:line="240" w:lineRule="auto"/>
        <w:rPr>
          <w:bCs/>
        </w:rPr>
      </w:pPr>
    </w:p>
    <w:p w14:paraId="7F257824" w14:textId="77777777" w:rsidR="00F90EF3" w:rsidRDefault="00F90EF3" w:rsidP="00AE1932">
      <w:pPr>
        <w:spacing w:after="0" w:line="240" w:lineRule="auto"/>
        <w:rPr>
          <w:b/>
          <w:bCs/>
          <w:color w:val="FF0000"/>
        </w:rPr>
      </w:pPr>
      <w:r>
        <w:rPr>
          <w:b/>
          <w:bCs/>
          <w:color w:val="FF0000"/>
        </w:rPr>
        <w:t>2016 Submission:</w:t>
      </w:r>
    </w:p>
    <w:p w14:paraId="5B7EED8B" w14:textId="77777777" w:rsidR="00F90EF3" w:rsidRDefault="00F90EF3" w:rsidP="00AE1932">
      <w:pPr>
        <w:spacing w:after="0" w:line="240" w:lineRule="auto"/>
        <w:rPr>
          <w:bCs/>
          <w:color w:val="FF0000"/>
        </w:rPr>
      </w:pPr>
      <w:r>
        <w:rPr>
          <w:bCs/>
          <w:color w:val="FF0000"/>
        </w:rPr>
        <w:t>CORE and Lewin did not perform risk adjustment or stratification.</w:t>
      </w:r>
    </w:p>
    <w:p w14:paraId="6345942A" w14:textId="77777777" w:rsidR="0049531C" w:rsidRPr="0049531C" w:rsidRDefault="0049531C" w:rsidP="00AE1932">
      <w:pPr>
        <w:spacing w:after="0" w:line="240" w:lineRule="auto"/>
        <w:rPr>
          <w:b/>
          <w:bCs/>
        </w:rPr>
      </w:pPr>
    </w:p>
    <w:p w14:paraId="55F4288F" w14:textId="77777777" w:rsidR="00FA6256" w:rsidRDefault="0049531C" w:rsidP="00AE1932">
      <w:pPr>
        <w:spacing w:after="0" w:line="240" w:lineRule="auto"/>
        <w:rPr>
          <w:bCs/>
        </w:rPr>
      </w:pPr>
      <w:r w:rsidRPr="0049531C">
        <w:rPr>
          <w:b/>
          <w:bCs/>
        </w:rPr>
        <w:t>2b4.8. Statistical Risk Model Calibration-Risk decile plots or calibration curves</w:t>
      </w:r>
      <w:proofErr w:type="gramStart"/>
      <w:r w:rsidRPr="0049531C">
        <w:rPr>
          <w:bCs/>
        </w:rPr>
        <w:t>:</w:t>
      </w:r>
      <w:proofErr w:type="gramEnd"/>
      <w:r w:rsidRPr="0049531C">
        <w:rPr>
          <w:bCs/>
        </w:rPr>
        <w:br/>
      </w:r>
      <w:r w:rsidR="00FA6256">
        <w:rPr>
          <w:b/>
          <w:bCs/>
        </w:rPr>
        <w:t>2014 Submission:</w:t>
      </w:r>
    </w:p>
    <w:p w14:paraId="12C4D4F6" w14:textId="77777777" w:rsidR="00FA6256" w:rsidRDefault="00FA6256" w:rsidP="00AE1932">
      <w:pPr>
        <w:spacing w:after="0" w:line="240" w:lineRule="auto"/>
        <w:rPr>
          <w:bCs/>
        </w:rPr>
      </w:pPr>
      <w:r>
        <w:rPr>
          <w:bCs/>
        </w:rPr>
        <w:t>This measure does not use risk adjustment or stratification.</w:t>
      </w:r>
    </w:p>
    <w:p w14:paraId="242AA122" w14:textId="77777777" w:rsidR="00FA6256" w:rsidRDefault="00FA6256" w:rsidP="00AE1932">
      <w:pPr>
        <w:spacing w:after="0" w:line="240" w:lineRule="auto"/>
        <w:rPr>
          <w:bCs/>
        </w:rPr>
      </w:pPr>
    </w:p>
    <w:p w14:paraId="12745EEF" w14:textId="77777777" w:rsidR="00FA6256" w:rsidRDefault="00FA6256" w:rsidP="00AE1932">
      <w:pPr>
        <w:spacing w:after="0" w:line="240" w:lineRule="auto"/>
        <w:rPr>
          <w:b/>
          <w:bCs/>
          <w:color w:val="FF0000"/>
        </w:rPr>
      </w:pPr>
      <w:r>
        <w:rPr>
          <w:b/>
          <w:bCs/>
          <w:color w:val="FF0000"/>
        </w:rPr>
        <w:t>2016 Submission:</w:t>
      </w:r>
    </w:p>
    <w:p w14:paraId="156AB88A" w14:textId="77777777" w:rsidR="00FA6256" w:rsidRDefault="00FA6256" w:rsidP="00AE1932">
      <w:pPr>
        <w:spacing w:after="0" w:line="240" w:lineRule="auto"/>
        <w:rPr>
          <w:bCs/>
          <w:color w:val="FF0000"/>
        </w:rPr>
      </w:pPr>
      <w:r>
        <w:rPr>
          <w:bCs/>
          <w:color w:val="FF0000"/>
        </w:rPr>
        <w:t>CORE and Lewin did not perform risk adjustment or stratification.</w:t>
      </w:r>
    </w:p>
    <w:p w14:paraId="05DDE4F2" w14:textId="77777777" w:rsidR="0049531C" w:rsidRPr="0049531C" w:rsidRDefault="0049531C" w:rsidP="00AE1932">
      <w:pPr>
        <w:spacing w:after="0" w:line="240" w:lineRule="auto"/>
        <w:rPr>
          <w:b/>
        </w:rPr>
      </w:pPr>
    </w:p>
    <w:p w14:paraId="2CA4CC4A" w14:textId="77777777" w:rsidR="0049531C" w:rsidRPr="0049531C" w:rsidRDefault="0049531C" w:rsidP="00AE1932">
      <w:pPr>
        <w:spacing w:after="0" w:line="240" w:lineRule="auto"/>
        <w:rPr>
          <w:bCs/>
        </w:rPr>
      </w:pPr>
      <w:r w:rsidRPr="0049531C">
        <w:rPr>
          <w:b/>
        </w:rPr>
        <w:t>2b4.9. Results of Risk Stratification Analysis</w:t>
      </w:r>
      <w:r w:rsidRPr="0049531C">
        <w:t xml:space="preserve">: </w:t>
      </w:r>
    </w:p>
    <w:p w14:paraId="3A364513" w14:textId="77777777" w:rsidR="00FA6256" w:rsidRDefault="00FA6256" w:rsidP="00AE1932">
      <w:pPr>
        <w:spacing w:after="0" w:line="240" w:lineRule="auto"/>
        <w:rPr>
          <w:bCs/>
        </w:rPr>
      </w:pPr>
      <w:r>
        <w:rPr>
          <w:b/>
          <w:bCs/>
        </w:rPr>
        <w:t>2014 Submission:</w:t>
      </w:r>
    </w:p>
    <w:p w14:paraId="4F04B38E" w14:textId="77777777" w:rsidR="00FA6256" w:rsidRDefault="00FA6256" w:rsidP="00AE1932">
      <w:pPr>
        <w:spacing w:after="0" w:line="240" w:lineRule="auto"/>
        <w:rPr>
          <w:bCs/>
        </w:rPr>
      </w:pPr>
      <w:r>
        <w:rPr>
          <w:bCs/>
        </w:rPr>
        <w:t>This measure does not use risk adjustment or stratification.</w:t>
      </w:r>
    </w:p>
    <w:p w14:paraId="02693DA2" w14:textId="77777777" w:rsidR="00FA6256" w:rsidRDefault="00FA6256" w:rsidP="00AE1932">
      <w:pPr>
        <w:spacing w:after="0" w:line="240" w:lineRule="auto"/>
        <w:rPr>
          <w:bCs/>
        </w:rPr>
      </w:pPr>
    </w:p>
    <w:p w14:paraId="1A6E2AAC" w14:textId="77777777" w:rsidR="00FA6256" w:rsidRDefault="00FA6256" w:rsidP="00AE1932">
      <w:pPr>
        <w:spacing w:after="0" w:line="240" w:lineRule="auto"/>
        <w:rPr>
          <w:b/>
          <w:bCs/>
          <w:color w:val="FF0000"/>
        </w:rPr>
      </w:pPr>
      <w:r>
        <w:rPr>
          <w:b/>
          <w:bCs/>
          <w:color w:val="FF0000"/>
        </w:rPr>
        <w:t>2016 Submission:</w:t>
      </w:r>
    </w:p>
    <w:p w14:paraId="0F67D285" w14:textId="77777777" w:rsidR="00FA6256" w:rsidRDefault="00FA6256" w:rsidP="00AE1932">
      <w:pPr>
        <w:spacing w:after="0" w:line="240" w:lineRule="auto"/>
        <w:rPr>
          <w:bCs/>
          <w:color w:val="FF0000"/>
        </w:rPr>
      </w:pPr>
      <w:r>
        <w:rPr>
          <w:bCs/>
          <w:color w:val="FF0000"/>
        </w:rPr>
        <w:t>CORE and Lewin did not perform risk adjustment or stratification.</w:t>
      </w:r>
    </w:p>
    <w:p w14:paraId="6C4A0913" w14:textId="77777777" w:rsidR="0049531C" w:rsidRPr="0049531C" w:rsidRDefault="0049531C" w:rsidP="00AE1932">
      <w:pPr>
        <w:spacing w:after="0" w:line="240" w:lineRule="auto"/>
        <w:rPr>
          <w:bCs/>
        </w:rPr>
      </w:pPr>
    </w:p>
    <w:p w14:paraId="3AD2B869" w14:textId="77777777" w:rsidR="00FA6256" w:rsidRDefault="0049531C" w:rsidP="00AE1932">
      <w:pPr>
        <w:spacing w:after="0" w:line="240" w:lineRule="auto"/>
        <w:rPr>
          <w:bCs/>
        </w:rPr>
      </w:pPr>
      <w:r w:rsidRPr="0049531C">
        <w:rPr>
          <w:b/>
          <w:bCs/>
        </w:rPr>
        <w:t xml:space="preserve">2b4.10. </w:t>
      </w:r>
      <w:proofErr w:type="gramStart"/>
      <w:r w:rsidRPr="0049531C">
        <w:rPr>
          <w:b/>
          <w:bCs/>
        </w:rPr>
        <w:t>What</w:t>
      </w:r>
      <w:proofErr w:type="gramEnd"/>
      <w:r w:rsidRPr="0049531C">
        <w:rPr>
          <w:b/>
          <w:bCs/>
        </w:rPr>
        <w:t xml:space="preserve"> is your interpretation of the results in terms of demonstrating adequacy of controlling for differences in patient characteristics (case mix)?</w:t>
      </w:r>
      <w:r w:rsidRPr="0049531C">
        <w:rPr>
          <w:bCs/>
        </w:rPr>
        <w:t xml:space="preserve"> (i</w:t>
      </w:r>
      <w:r w:rsidRPr="0049531C">
        <w:rPr>
          <w:bCs/>
          <w:i/>
        </w:rPr>
        <w:t>.e., what do the results mean and what are the norms for the test conducted</w:t>
      </w:r>
      <w:proofErr w:type="gramStart"/>
      <w:r w:rsidRPr="0049531C">
        <w:rPr>
          <w:bCs/>
        </w:rPr>
        <w:t>)</w:t>
      </w:r>
      <w:proofErr w:type="gramEnd"/>
      <w:r w:rsidRPr="0049531C">
        <w:rPr>
          <w:bCs/>
        </w:rPr>
        <w:br/>
      </w:r>
      <w:r w:rsidR="00FA6256">
        <w:rPr>
          <w:b/>
          <w:bCs/>
        </w:rPr>
        <w:t>2014 Submission:</w:t>
      </w:r>
    </w:p>
    <w:p w14:paraId="40F960DF" w14:textId="77777777" w:rsidR="00FA6256" w:rsidRDefault="00FA6256" w:rsidP="00AE1932">
      <w:pPr>
        <w:spacing w:after="0" w:line="240" w:lineRule="auto"/>
        <w:rPr>
          <w:bCs/>
        </w:rPr>
      </w:pPr>
      <w:r>
        <w:rPr>
          <w:bCs/>
        </w:rPr>
        <w:t>This measure does not use risk adjustment or stratification.</w:t>
      </w:r>
    </w:p>
    <w:p w14:paraId="3A0624DA" w14:textId="77777777" w:rsidR="00FA6256" w:rsidRDefault="00FA6256" w:rsidP="00AE1932">
      <w:pPr>
        <w:spacing w:after="0" w:line="240" w:lineRule="auto"/>
        <w:rPr>
          <w:bCs/>
        </w:rPr>
      </w:pPr>
    </w:p>
    <w:p w14:paraId="18C090DF" w14:textId="77777777" w:rsidR="00FA6256" w:rsidRDefault="00FA6256" w:rsidP="00AE1932">
      <w:pPr>
        <w:spacing w:after="0" w:line="240" w:lineRule="auto"/>
        <w:rPr>
          <w:b/>
          <w:bCs/>
          <w:color w:val="FF0000"/>
        </w:rPr>
      </w:pPr>
      <w:r>
        <w:rPr>
          <w:b/>
          <w:bCs/>
          <w:color w:val="FF0000"/>
        </w:rPr>
        <w:t>2016 Submission:</w:t>
      </w:r>
    </w:p>
    <w:p w14:paraId="2E826E0A" w14:textId="77777777" w:rsidR="00FA6256" w:rsidRDefault="00FA6256" w:rsidP="00AE1932">
      <w:pPr>
        <w:spacing w:after="0" w:line="240" w:lineRule="auto"/>
        <w:rPr>
          <w:bCs/>
          <w:color w:val="FF0000"/>
        </w:rPr>
      </w:pPr>
      <w:r>
        <w:rPr>
          <w:bCs/>
          <w:color w:val="FF0000"/>
        </w:rPr>
        <w:t>CORE and Lewin did not perform risk adjustment or stratification.</w:t>
      </w:r>
    </w:p>
    <w:p w14:paraId="6F4B16FC" w14:textId="1D03EE1E" w:rsidR="0049531C" w:rsidRPr="0049531C" w:rsidRDefault="0049531C" w:rsidP="00AE1932">
      <w:pPr>
        <w:spacing w:after="0" w:line="240" w:lineRule="auto"/>
        <w:rPr>
          <w:bCs/>
        </w:rPr>
      </w:pPr>
    </w:p>
    <w:p w14:paraId="2EBDAFC5" w14:textId="77777777" w:rsidR="0049531C" w:rsidRPr="0049531C" w:rsidRDefault="0049531C" w:rsidP="00AE1932">
      <w:pPr>
        <w:spacing w:after="0" w:line="240" w:lineRule="auto"/>
      </w:pPr>
    </w:p>
    <w:p w14:paraId="3E0CD389" w14:textId="77777777" w:rsidR="0049531C" w:rsidRPr="0049531C" w:rsidRDefault="0049531C" w:rsidP="00AE1932">
      <w:pPr>
        <w:spacing w:after="0" w:line="240" w:lineRule="auto"/>
      </w:pPr>
      <w:r w:rsidRPr="0059435B">
        <w:rPr>
          <w:b/>
          <w:highlight w:val="green"/>
        </w:rPr>
        <w:t>2b4.11.</w:t>
      </w:r>
      <w:r w:rsidRPr="0059435B">
        <w:rPr>
          <w:highlight w:val="green"/>
        </w:rPr>
        <w:t xml:space="preserve"> </w:t>
      </w:r>
      <w:r w:rsidRPr="0059435B">
        <w:rPr>
          <w:b/>
          <w:highlight w:val="green"/>
        </w:rPr>
        <w:t>Optional Additional Testing for Risk Adjustment</w:t>
      </w:r>
      <w:r w:rsidRPr="0049531C">
        <w:rPr>
          <w:b/>
        </w:rPr>
        <w:t xml:space="preserve"> </w:t>
      </w:r>
      <w:r w:rsidRPr="0049531C">
        <w:t>(</w:t>
      </w:r>
      <w:r w:rsidRPr="0049531C">
        <w:rPr>
          <w:i/>
          <w:u w:val="single"/>
        </w:rPr>
        <w:t>not required</w:t>
      </w:r>
      <w:r w:rsidRPr="0049531C">
        <w:rPr>
          <w:i/>
        </w:rPr>
        <w:t>, but would provide additional support of adequacy of risk model, e.g., testing of risk model in another data set; sensitivity analysis for missing data; other methods that were assessed</w:t>
      </w:r>
      <w:r w:rsidRPr="0049531C">
        <w:t>)</w:t>
      </w:r>
    </w:p>
    <w:p w14:paraId="706C1AAC" w14:textId="77777777" w:rsidR="00FA6256" w:rsidRDefault="00FA6256" w:rsidP="00AE1932">
      <w:pPr>
        <w:spacing w:after="0" w:line="240" w:lineRule="auto"/>
        <w:rPr>
          <w:bCs/>
        </w:rPr>
      </w:pPr>
      <w:r>
        <w:rPr>
          <w:b/>
          <w:bCs/>
        </w:rPr>
        <w:t>2014 Submission:</w:t>
      </w:r>
    </w:p>
    <w:p w14:paraId="7E482AD2" w14:textId="77777777" w:rsidR="00FA6256" w:rsidRDefault="00FA6256" w:rsidP="00AE1932">
      <w:pPr>
        <w:spacing w:after="0" w:line="240" w:lineRule="auto"/>
        <w:rPr>
          <w:bCs/>
        </w:rPr>
      </w:pPr>
      <w:r>
        <w:rPr>
          <w:bCs/>
        </w:rPr>
        <w:t>This measure does not use risk adjustment or stratification.</w:t>
      </w:r>
    </w:p>
    <w:p w14:paraId="319FC189" w14:textId="77777777" w:rsidR="00FA6256" w:rsidRDefault="00FA6256" w:rsidP="00AE1932">
      <w:pPr>
        <w:spacing w:after="0" w:line="240" w:lineRule="auto"/>
        <w:rPr>
          <w:bCs/>
        </w:rPr>
      </w:pPr>
    </w:p>
    <w:p w14:paraId="58D0795D" w14:textId="77777777" w:rsidR="00FA6256" w:rsidRDefault="00FA6256" w:rsidP="00AE1932">
      <w:pPr>
        <w:spacing w:after="0" w:line="240" w:lineRule="auto"/>
        <w:rPr>
          <w:b/>
          <w:bCs/>
          <w:color w:val="FF0000"/>
        </w:rPr>
      </w:pPr>
      <w:r>
        <w:rPr>
          <w:b/>
          <w:bCs/>
          <w:color w:val="FF0000"/>
        </w:rPr>
        <w:t>2016 Submission:</w:t>
      </w:r>
    </w:p>
    <w:p w14:paraId="50CCC165" w14:textId="77777777" w:rsidR="00FA6256" w:rsidRDefault="00FA6256" w:rsidP="00AE1932">
      <w:pPr>
        <w:spacing w:after="0" w:line="240" w:lineRule="auto"/>
        <w:rPr>
          <w:bCs/>
          <w:color w:val="FF0000"/>
        </w:rPr>
      </w:pPr>
      <w:r>
        <w:rPr>
          <w:bCs/>
          <w:color w:val="FF0000"/>
        </w:rPr>
        <w:t>CORE and Lewin did not perform risk adjustment or stratification.</w:t>
      </w:r>
    </w:p>
    <w:p w14:paraId="38DFA674" w14:textId="77777777" w:rsidR="00FA6256" w:rsidRDefault="00FA6256" w:rsidP="00AE1932">
      <w:pPr>
        <w:spacing w:line="240" w:lineRule="auto"/>
        <w:rPr>
          <w:bCs/>
        </w:rPr>
      </w:pPr>
      <w:r>
        <w:rPr>
          <w:bCs/>
        </w:rPr>
        <w:br w:type="page"/>
      </w:r>
    </w:p>
    <w:p w14:paraId="06B62418" w14:textId="77777777" w:rsidR="0049531C" w:rsidRPr="0049531C" w:rsidRDefault="0049531C" w:rsidP="00AE1932">
      <w:pPr>
        <w:spacing w:after="0" w:line="240" w:lineRule="auto"/>
        <w:rPr>
          <w:b/>
          <w:bCs/>
        </w:rPr>
      </w:pPr>
      <w:r w:rsidRPr="0049531C">
        <w:rPr>
          <w:b/>
          <w:bCs/>
        </w:rPr>
        <w:t>2b5. IDENTIFICATION OF STATISTICALLY SIGNIFICANT &amp; MEANINGFUL DIFFERENCES IN PERFORMANCE</w:t>
      </w:r>
    </w:p>
    <w:p w14:paraId="4B2AC7F7" w14:textId="0150D59E" w:rsidR="00FA6256" w:rsidRPr="00FA6256" w:rsidRDefault="0049531C" w:rsidP="00AE1932">
      <w:pPr>
        <w:spacing w:after="0" w:line="240" w:lineRule="auto"/>
        <w:rPr>
          <w:bCs/>
          <w:color w:val="000000" w:themeColor="text1"/>
        </w:rPr>
      </w:pPr>
      <w:r w:rsidRPr="0049531C">
        <w:rPr>
          <w:b/>
          <w:bCs/>
        </w:rPr>
        <w:t>2b5.1. Describe the method for determining if statistically significant and clinically/practically meaningful differences in performance measure scores among the measured entities can be identified</w:t>
      </w:r>
      <w:r w:rsidRPr="0049531C">
        <w:rPr>
          <w:bCs/>
        </w:rPr>
        <w:t xml:space="preserve"> (</w:t>
      </w:r>
      <w:r w:rsidRPr="0049531C">
        <w:rPr>
          <w:bCs/>
          <w:i/>
        </w:rPr>
        <w:t xml:space="preserve">describe the steps―do not just name a method; what statistical analysis was used? Do not just repeat the information provided related to performance gap in 1b). </w:t>
      </w:r>
      <w:r w:rsidRPr="0049531C">
        <w:rPr>
          <w:bCs/>
        </w:rPr>
        <w:br/>
      </w:r>
      <w:r w:rsidR="00FA6256" w:rsidRPr="00FA6256">
        <w:rPr>
          <w:b/>
          <w:bCs/>
          <w:color w:val="000000" w:themeColor="text1"/>
        </w:rPr>
        <w:t>2014 Submission:</w:t>
      </w:r>
    </w:p>
    <w:p w14:paraId="54CF10BD" w14:textId="77777777" w:rsidR="00FA6256" w:rsidRPr="00FA6256" w:rsidRDefault="00FA6256" w:rsidP="00AE1932">
      <w:pPr>
        <w:autoSpaceDE w:val="0"/>
        <w:autoSpaceDN w:val="0"/>
        <w:adjustRightInd w:val="0"/>
        <w:spacing w:after="0" w:line="240" w:lineRule="auto"/>
        <w:rPr>
          <w:color w:val="000000" w:themeColor="text1"/>
        </w:rPr>
      </w:pPr>
      <w:r w:rsidRPr="00FA6256">
        <w:rPr>
          <w:color w:val="000000" w:themeColor="text1"/>
        </w:rPr>
        <w:t xml:space="preserve">One impediment to achieving high levels of precision and accuracy at the facility level is small case counts. This is an issue for many facilities identified in the data, as they do not perform a high volume of services contained within the measure’s specifications. In the situation where a facility provides only a handful of the relevant services that are eligible for this measure, the results of the measure </w:t>
      </w:r>
      <w:proofErr w:type="gramStart"/>
      <w:r w:rsidRPr="00FA6256">
        <w:rPr>
          <w:color w:val="000000" w:themeColor="text1"/>
        </w:rPr>
        <w:t>may be significantly impacted and skewed by one or two cases</w:t>
      </w:r>
      <w:proofErr w:type="gramEnd"/>
      <w:r w:rsidRPr="00FA6256">
        <w:rPr>
          <w:color w:val="000000" w:themeColor="text1"/>
        </w:rPr>
        <w:t xml:space="preserve">. Minimum case count requirements </w:t>
      </w:r>
      <w:proofErr w:type="gramStart"/>
      <w:r w:rsidRPr="00FA6256">
        <w:rPr>
          <w:color w:val="000000" w:themeColor="text1"/>
        </w:rPr>
        <w:t>were developed</w:t>
      </w:r>
      <w:proofErr w:type="gramEnd"/>
      <w:r w:rsidRPr="00FA6256">
        <w:rPr>
          <w:color w:val="000000" w:themeColor="text1"/>
        </w:rPr>
        <w:t xml:space="preserve"> for each facility in order to assure a 90% confidence level for the observed facility rate. </w:t>
      </w:r>
    </w:p>
    <w:p w14:paraId="26C206B1" w14:textId="77777777" w:rsidR="00FA6256" w:rsidRPr="00FA6256" w:rsidRDefault="00FA6256" w:rsidP="00AE1932">
      <w:pPr>
        <w:spacing w:after="0" w:line="240" w:lineRule="auto"/>
        <w:rPr>
          <w:color w:val="000000" w:themeColor="text1"/>
        </w:rPr>
      </w:pPr>
      <w:r w:rsidRPr="00FA6256">
        <w:rPr>
          <w:color w:val="000000" w:themeColor="text1"/>
        </w:rPr>
        <w:t>There are two different processes for determining required case counts depending on whether the facility rate is less than 0.05 or greater than 0.95 (i.e., towards the end of the range of possible rate values), or somewhere between 0.05 and 0.95 (inclusive). Each process has three steps: (1) determine reasonable levels of precision; (2) determine the level of confidence to be required for the measures; and, (3) calculate the case counts needed to meet the precision requirements. For facility rates less than 0.05 or greater than 0.95, the case count needed to attain the required precision was calculated to be 45 cases. For facility rates between 0.05 and 0.95, the case count needed to attain the required precision ranges from 31 to 67 cases. For more details on the minimum case count requirements determinations, please see the supplemental materials.</w:t>
      </w:r>
    </w:p>
    <w:p w14:paraId="7C877A95" w14:textId="77777777" w:rsidR="00FA6256" w:rsidRPr="00FA6256" w:rsidRDefault="00FA6256" w:rsidP="00AE1932">
      <w:pPr>
        <w:spacing w:after="0" w:line="240" w:lineRule="auto"/>
        <w:rPr>
          <w:color w:val="000000" w:themeColor="text1"/>
        </w:rPr>
      </w:pPr>
      <w:r w:rsidRPr="00FA6256">
        <w:rPr>
          <w:color w:val="000000" w:themeColor="text1"/>
        </w:rPr>
        <w:t>Prior to the application of the minimum case count and additional public reporting requirements, the measure contractor also tested the statistical significance of the difference between facility performance scores and the mean performance value. For the 2010 data, 18,429 facilities had more than one denominator procedure in the FFS outpatient SAF file.</w:t>
      </w:r>
      <w:r w:rsidRPr="00FA6256">
        <w:rPr>
          <w:color w:val="000000" w:themeColor="text1"/>
          <w:vertAlign w:val="superscript"/>
        </w:rPr>
        <w:footnoteReference w:id="1"/>
      </w:r>
      <w:r w:rsidRPr="00FA6256">
        <w:rPr>
          <w:color w:val="000000" w:themeColor="text1"/>
        </w:rPr>
        <w:t xml:space="preserve"> For each facility, the facility performance score and standard deviation was calculated. The same process </w:t>
      </w:r>
      <w:proofErr w:type="gramStart"/>
      <w:r w:rsidRPr="00FA6256">
        <w:rPr>
          <w:color w:val="000000" w:themeColor="text1"/>
        </w:rPr>
        <w:t>was performed</w:t>
      </w:r>
      <w:proofErr w:type="gramEnd"/>
      <w:r w:rsidRPr="00FA6256">
        <w:rPr>
          <w:color w:val="000000" w:themeColor="text1"/>
        </w:rPr>
        <w:t xml:space="preserve"> for the 2011 data, which included 18,560 facilities. </w:t>
      </w:r>
    </w:p>
    <w:p w14:paraId="74768E80" w14:textId="77777777" w:rsidR="00FA6256" w:rsidRPr="00FA6256" w:rsidRDefault="00FA6256" w:rsidP="00AE1932">
      <w:pPr>
        <w:spacing w:after="0" w:line="240" w:lineRule="auto"/>
        <w:rPr>
          <w:color w:val="000000" w:themeColor="text1"/>
        </w:rPr>
      </w:pPr>
      <w:r w:rsidRPr="00FA6256">
        <w:rPr>
          <w:color w:val="000000" w:themeColor="text1"/>
        </w:rPr>
        <w:t xml:space="preserve">Methodology explaining the minimum case count calculations for this measure can be found at </w:t>
      </w:r>
      <w:hyperlink r:id="rId14" w:history="1">
        <w:r w:rsidRPr="00FA6256">
          <w:rPr>
            <w:rStyle w:val="Hyperlink"/>
            <w:color w:val="000000" w:themeColor="text1"/>
          </w:rPr>
          <w:t>https://www.qualitynet.org/dcs/BlobServer?blobkey=id&amp;blobnocache=true&amp;blobwhere=1228889854907&amp;blobheader=multipart%2Foctet-stream&amp;blobheadername1=Content-Disposition&amp;blobheadervalue1=attachment%3Bfilename%3D2012_OIE_MCC.pdf&amp;blobcol=urldata&amp;blobtable=MungoBlobs</w:t>
        </w:r>
      </w:hyperlink>
      <w:r w:rsidRPr="00FA6256">
        <w:rPr>
          <w:color w:val="000000" w:themeColor="text1"/>
        </w:rPr>
        <w:t>.</w:t>
      </w:r>
    </w:p>
    <w:p w14:paraId="741C6B64" w14:textId="77777777" w:rsidR="00FA6256" w:rsidRDefault="00FA6256" w:rsidP="00AE1932">
      <w:pPr>
        <w:spacing w:after="0" w:line="240" w:lineRule="auto"/>
        <w:rPr>
          <w:bCs/>
        </w:rPr>
      </w:pPr>
    </w:p>
    <w:p w14:paraId="755D867F" w14:textId="1FFDBE0F" w:rsidR="00FA6256" w:rsidRPr="00FA6256" w:rsidRDefault="00FA6256" w:rsidP="00AE1932">
      <w:pPr>
        <w:spacing w:after="0" w:line="240" w:lineRule="auto"/>
        <w:rPr>
          <w:b/>
          <w:bCs/>
          <w:color w:val="FF0000"/>
        </w:rPr>
      </w:pPr>
      <w:r w:rsidRPr="00FA6256">
        <w:rPr>
          <w:b/>
          <w:bCs/>
          <w:color w:val="FF0000"/>
        </w:rPr>
        <w:t>2016 Submission:</w:t>
      </w:r>
    </w:p>
    <w:p w14:paraId="14937195" w14:textId="43461EE7" w:rsidR="0049531C" w:rsidRPr="00FA6256" w:rsidRDefault="0049531C" w:rsidP="00AE1932">
      <w:pPr>
        <w:spacing w:after="0" w:line="240" w:lineRule="auto"/>
        <w:rPr>
          <w:bCs/>
          <w:color w:val="FF0000"/>
        </w:rPr>
      </w:pPr>
      <w:r w:rsidRPr="00FA6256">
        <w:rPr>
          <w:bCs/>
          <w:color w:val="FF0000"/>
        </w:rPr>
        <w:t>Among measured entities that perform only a handful of MRIs for patients with low back pain, one or two cases could significantly influence and/or skew the results of the measure. Therefore, CMS applies minimum case count requirements before reporting performance scores for facilities. The minimum case count requirements applied for this measure and other imaging efficiency measures assure a 90% confidence level for the observed rate. We applied this approach to OP-8 in the facility settings.</w:t>
      </w:r>
    </w:p>
    <w:p w14:paraId="777911D4" w14:textId="77777777" w:rsidR="0049531C" w:rsidRPr="00FA6256" w:rsidRDefault="0049531C" w:rsidP="00AE1932">
      <w:pPr>
        <w:spacing w:after="0" w:line="240" w:lineRule="auto"/>
        <w:rPr>
          <w:bCs/>
          <w:color w:val="FF0000"/>
        </w:rPr>
      </w:pPr>
    </w:p>
    <w:p w14:paraId="7AADF4C3" w14:textId="77777777" w:rsidR="0049531C" w:rsidRPr="00FA6256" w:rsidRDefault="0049531C" w:rsidP="00AE1932">
      <w:pPr>
        <w:spacing w:after="0" w:line="240" w:lineRule="auto"/>
        <w:rPr>
          <w:bCs/>
          <w:color w:val="FF0000"/>
        </w:rPr>
      </w:pPr>
      <w:r w:rsidRPr="00FA6256">
        <w:rPr>
          <w:bCs/>
          <w:color w:val="FF0000"/>
        </w:rPr>
        <w:t xml:space="preserve">For OP-8, we use two different processes for determining required case counts depending on whether the performance rate is less than 0.05 or greater than 0.95 (i.e., towards the end of the range of possible rate values), or somewhere between 0.05 and 0.95 (inclusive). Each process has three steps: (1) determine reasonable levels of precision; (2) determine the level of confidence to be required for the measures; and, (3) calculate the case counts needed to meet the precision requirements. For performance rates less than 0.05 or greater than 0.95, we calculated the case count needed to attain the required precision to be 45 cases. For performance rates between 0.05 and 0.95, the case count needed to attain the required precision ranges from 31 to 67 cases. This composite process for setting the minimum case count requirements optimizes precision while also maximizing the number of reporting hospitals. </w:t>
      </w:r>
    </w:p>
    <w:p w14:paraId="7E93DBB1" w14:textId="77777777" w:rsidR="0049531C" w:rsidRPr="00FA6256" w:rsidRDefault="0049531C" w:rsidP="00AE1932">
      <w:pPr>
        <w:spacing w:after="0" w:line="240" w:lineRule="auto"/>
        <w:rPr>
          <w:bCs/>
          <w:color w:val="FF0000"/>
        </w:rPr>
      </w:pPr>
    </w:p>
    <w:p w14:paraId="4362A76D" w14:textId="11BA3B05" w:rsidR="0049531C" w:rsidRPr="00FA6256" w:rsidRDefault="0049531C" w:rsidP="00AE1932">
      <w:pPr>
        <w:spacing w:after="0" w:line="240" w:lineRule="auto"/>
        <w:rPr>
          <w:color w:val="FF0000"/>
        </w:rPr>
      </w:pPr>
      <w:r w:rsidRPr="00FA6256">
        <w:rPr>
          <w:bCs/>
          <w:color w:val="FF0000"/>
        </w:rPr>
        <w:t xml:space="preserve">A more detailed presentation of the methodology explaining the minimum case count calculations for this measure is included in the NQF #0514 (OP-8) measure </w:t>
      </w:r>
      <w:proofErr w:type="gramStart"/>
      <w:r w:rsidRPr="00FA6256">
        <w:rPr>
          <w:bCs/>
          <w:color w:val="FF0000"/>
        </w:rPr>
        <w:t>report</w:t>
      </w:r>
      <w:proofErr w:type="gramEnd"/>
      <w:r w:rsidRPr="00FA6256">
        <w:rPr>
          <w:bCs/>
          <w:color w:val="FF0000"/>
        </w:rPr>
        <w:t xml:space="preserve"> posted at </w:t>
      </w:r>
      <w:hyperlink r:id="rId15" w:history="1">
        <w:r w:rsidRPr="00FA6256">
          <w:rPr>
            <w:rStyle w:val="Hyperlink"/>
            <w:color w:val="FF0000"/>
          </w:rPr>
          <w:t>http://qualitynet.org/dcs/ContentServer?c=Page&amp;pagename=QnetPublic%2FPage%2FQnetTier2&amp;cid=1228695266120</w:t>
        </w:r>
      </w:hyperlink>
      <w:r w:rsidRPr="00FA6256">
        <w:rPr>
          <w:color w:val="FF0000"/>
        </w:rPr>
        <w:t xml:space="preserve"> on page 24. </w:t>
      </w:r>
    </w:p>
    <w:p w14:paraId="3076F40D" w14:textId="77777777" w:rsidR="0059435B" w:rsidRPr="00FA6256" w:rsidRDefault="0059435B" w:rsidP="00AE1932">
      <w:pPr>
        <w:spacing w:after="0" w:line="240" w:lineRule="auto"/>
        <w:rPr>
          <w:color w:val="FF0000"/>
        </w:rPr>
      </w:pPr>
    </w:p>
    <w:p w14:paraId="3ABDCAED" w14:textId="77777777" w:rsidR="0049531C" w:rsidRPr="0049531C" w:rsidRDefault="0049531C" w:rsidP="00AE1932">
      <w:pPr>
        <w:spacing w:after="0" w:line="240" w:lineRule="auto"/>
        <w:rPr>
          <w:bCs/>
        </w:rPr>
      </w:pPr>
      <w:r w:rsidRPr="00FA6256">
        <w:rPr>
          <w:bCs/>
          <w:color w:val="FF0000"/>
        </w:rPr>
        <w:t>Following the application of the minimum case count, CORE and Lewin examined differences in performance, calculating results (performance scores) for 1,616 facilities. CORE and Lewin computed a 95% confidence interval for each provider’s score; if it did not contain the mean facility, the facility is identified as better than or worse than average.</w:t>
      </w:r>
      <w:r w:rsidRPr="0049531C">
        <w:rPr>
          <w:bCs/>
        </w:rPr>
        <w:t xml:space="preserve"> </w:t>
      </w:r>
    </w:p>
    <w:p w14:paraId="1E1EC722" w14:textId="77777777" w:rsidR="0049531C" w:rsidRPr="0049531C" w:rsidRDefault="0049531C" w:rsidP="00AE1932">
      <w:pPr>
        <w:spacing w:after="0" w:line="240" w:lineRule="auto"/>
        <w:rPr>
          <w:bCs/>
        </w:rPr>
      </w:pPr>
    </w:p>
    <w:p w14:paraId="5E7D6A44" w14:textId="044CD6A8" w:rsidR="0059435B" w:rsidRDefault="0049531C" w:rsidP="00AE1932">
      <w:pPr>
        <w:spacing w:after="0" w:line="240" w:lineRule="auto"/>
        <w:rPr>
          <w:bCs/>
        </w:rPr>
      </w:pPr>
      <w:r w:rsidRPr="0049531C">
        <w:rPr>
          <w:b/>
          <w:bCs/>
        </w:rPr>
        <w:t xml:space="preserve">2b5.2. </w:t>
      </w:r>
      <w:proofErr w:type="gramStart"/>
      <w:r w:rsidRPr="0049531C">
        <w:rPr>
          <w:b/>
          <w:bCs/>
        </w:rPr>
        <w:t>What</w:t>
      </w:r>
      <w:proofErr w:type="gramEnd"/>
      <w:r w:rsidRPr="0049531C">
        <w:rPr>
          <w:b/>
          <w:bCs/>
        </w:rPr>
        <w:t xml:space="preserve"> were the statistical results from testing the ability to identify statistically significant and/or clinically/practically meaningful differences in performance measure scores across measured entities?</w:t>
      </w:r>
      <w:r w:rsidRPr="0049531C">
        <w:rPr>
          <w:bCs/>
        </w:rPr>
        <w:t xml:space="preserve"> (e.g., </w:t>
      </w:r>
      <w:r w:rsidRPr="0049531C">
        <w:rPr>
          <w:bCs/>
          <w:i/>
        </w:rPr>
        <w:t>number and percentage of entities with scores that were statistically significantly different from mean or some benchmark, different from expected; how was meaningful difference defined</w:t>
      </w:r>
      <w:proofErr w:type="gramStart"/>
      <w:r w:rsidRPr="0049531C">
        <w:rPr>
          <w:bCs/>
        </w:rPr>
        <w:t>)</w:t>
      </w:r>
      <w:proofErr w:type="gramEnd"/>
      <w:r w:rsidRPr="0049531C">
        <w:rPr>
          <w:bCs/>
        </w:rPr>
        <w:br/>
      </w:r>
      <w:r w:rsidR="00FA6256">
        <w:rPr>
          <w:b/>
          <w:bCs/>
        </w:rPr>
        <w:t>2014 Submission:</w:t>
      </w:r>
    </w:p>
    <w:p w14:paraId="395DC7DB" w14:textId="5DC8F054" w:rsidR="00FA6256" w:rsidRDefault="00FA6256" w:rsidP="00AE1932">
      <w:pPr>
        <w:spacing w:after="0" w:line="240" w:lineRule="auto"/>
        <w:rPr>
          <w:bCs/>
        </w:rPr>
      </w:pPr>
      <w:r w:rsidRPr="00FA6256">
        <w:rPr>
          <w:bCs/>
        </w:rPr>
        <w:t xml:space="preserve">Of the 18,429 facilities in 2010 with more than one denominator procedure, 9,385 (50.93%) had a performance value that was statistically significantly different from the weighted </w:t>
      </w:r>
      <w:proofErr w:type="gramStart"/>
      <w:r w:rsidRPr="00FA6256">
        <w:rPr>
          <w:bCs/>
        </w:rPr>
        <w:t>mean  (</w:t>
      </w:r>
      <w:proofErr w:type="gramEnd"/>
      <w:r w:rsidRPr="00FA6256">
        <w:rPr>
          <w:bCs/>
        </w:rPr>
        <w:t xml:space="preserve">or benchmark value). Statistically meaningful difference </w:t>
      </w:r>
      <w:proofErr w:type="gramStart"/>
      <w:r w:rsidRPr="00FA6256">
        <w:rPr>
          <w:bCs/>
        </w:rPr>
        <w:t>was defined</w:t>
      </w:r>
      <w:proofErr w:type="gramEnd"/>
      <w:r w:rsidRPr="00FA6256">
        <w:rPr>
          <w:bCs/>
        </w:rPr>
        <w:t xml:space="preserve"> as when the measure mean (or benchmark value) fell outside of the confidence interval (± 1.96 standard deviations) for the facility score. In 2011, 4,047 (21.80%) of facilities had a performance value that was statistically significantly different from the weighted mean (or benchmark value).</w:t>
      </w:r>
    </w:p>
    <w:p w14:paraId="00B8A335" w14:textId="77777777" w:rsidR="00FA6256" w:rsidRDefault="00FA6256" w:rsidP="00AE1932">
      <w:pPr>
        <w:spacing w:after="0" w:line="240" w:lineRule="auto"/>
        <w:rPr>
          <w:bCs/>
        </w:rPr>
      </w:pPr>
    </w:p>
    <w:p w14:paraId="746C92E8" w14:textId="7E865B2A" w:rsidR="00FA6256" w:rsidRPr="00FA6256" w:rsidRDefault="00FA6256" w:rsidP="00AE1932">
      <w:pPr>
        <w:spacing w:after="0" w:line="240" w:lineRule="auto"/>
        <w:rPr>
          <w:bCs/>
          <w:color w:val="FF0000"/>
        </w:rPr>
      </w:pPr>
      <w:r w:rsidRPr="00FA6256">
        <w:rPr>
          <w:b/>
          <w:bCs/>
          <w:color w:val="FF0000"/>
        </w:rPr>
        <w:t>2016 Submission:</w:t>
      </w:r>
    </w:p>
    <w:p w14:paraId="0583EF6E" w14:textId="0C62A0DA" w:rsidR="0049531C" w:rsidRPr="00FA6256" w:rsidRDefault="0049531C" w:rsidP="00AE1932">
      <w:pPr>
        <w:spacing w:after="0" w:line="240" w:lineRule="auto"/>
        <w:rPr>
          <w:bCs/>
          <w:color w:val="FF0000"/>
        </w:rPr>
      </w:pPr>
      <w:r w:rsidRPr="00FA6256">
        <w:rPr>
          <w:bCs/>
          <w:color w:val="FF0000"/>
        </w:rPr>
        <w:t xml:space="preserve">Below is a distribution of 2013 performance scores for facilities. </w:t>
      </w:r>
    </w:p>
    <w:tbl>
      <w:tblPr>
        <w:tblW w:w="9360" w:type="dxa"/>
        <w:tblInd w:w="93" w:type="dxa"/>
        <w:tblBorders>
          <w:top w:val="single" w:sz="12" w:space="0" w:color="auto"/>
          <w:left w:val="single" w:sz="12" w:space="0" w:color="auto"/>
          <w:bottom w:val="single" w:sz="12" w:space="0" w:color="auto"/>
          <w:right w:val="single" w:sz="12" w:space="0" w:color="auto"/>
          <w:insideH w:val="single" w:sz="12" w:space="0" w:color="auto"/>
        </w:tblBorders>
        <w:tblLayout w:type="fixed"/>
        <w:tblLook w:val="04A0" w:firstRow="1" w:lastRow="0" w:firstColumn="1" w:lastColumn="0" w:noHBand="0" w:noVBand="1"/>
      </w:tblPr>
      <w:tblGrid>
        <w:gridCol w:w="1040"/>
        <w:gridCol w:w="1040"/>
        <w:gridCol w:w="1040"/>
        <w:gridCol w:w="1040"/>
        <w:gridCol w:w="1040"/>
        <w:gridCol w:w="1040"/>
        <w:gridCol w:w="1040"/>
        <w:gridCol w:w="1040"/>
        <w:gridCol w:w="1040"/>
      </w:tblGrid>
      <w:tr w:rsidR="0049531C" w:rsidRPr="00FA6256" w14:paraId="3AE4E37A" w14:textId="77777777" w:rsidTr="007D045F">
        <w:trPr>
          <w:trHeight w:val="465"/>
        </w:trPr>
        <w:tc>
          <w:tcPr>
            <w:tcW w:w="1040" w:type="dxa"/>
            <w:tcBorders>
              <w:bottom w:val="single" w:sz="12" w:space="0" w:color="auto"/>
            </w:tcBorders>
            <w:shd w:val="clear" w:color="auto" w:fill="808080" w:themeFill="background1" w:themeFillShade="80"/>
            <w:vAlign w:val="center"/>
            <w:hideMark/>
          </w:tcPr>
          <w:p w14:paraId="22288EC1" w14:textId="77777777" w:rsidR="0049531C" w:rsidRPr="00FA6256" w:rsidRDefault="0049531C" w:rsidP="00DD4389">
            <w:pPr>
              <w:spacing w:after="0" w:line="240" w:lineRule="auto"/>
              <w:jc w:val="center"/>
              <w:rPr>
                <w:i/>
                <w:iCs/>
                <w:color w:val="FF0000"/>
                <w:sz w:val="20"/>
                <w:szCs w:val="20"/>
              </w:rPr>
            </w:pPr>
            <w:r w:rsidRPr="00FA6256">
              <w:rPr>
                <w:b/>
                <w:iCs/>
                <w:color w:val="FF0000"/>
                <w:sz w:val="20"/>
                <w:szCs w:val="20"/>
              </w:rPr>
              <w:t>Mean</w:t>
            </w:r>
          </w:p>
        </w:tc>
        <w:tc>
          <w:tcPr>
            <w:tcW w:w="1040" w:type="dxa"/>
            <w:tcBorders>
              <w:bottom w:val="single" w:sz="12" w:space="0" w:color="auto"/>
            </w:tcBorders>
            <w:shd w:val="clear" w:color="auto" w:fill="808080" w:themeFill="background1" w:themeFillShade="80"/>
            <w:vAlign w:val="center"/>
            <w:hideMark/>
          </w:tcPr>
          <w:p w14:paraId="08F95510" w14:textId="77777777" w:rsidR="0049531C" w:rsidRPr="00FA6256" w:rsidRDefault="0049531C" w:rsidP="00DD4389">
            <w:pPr>
              <w:spacing w:after="0" w:line="240" w:lineRule="auto"/>
              <w:jc w:val="center"/>
              <w:rPr>
                <w:i/>
                <w:iCs/>
                <w:color w:val="FF0000"/>
                <w:sz w:val="20"/>
                <w:szCs w:val="20"/>
              </w:rPr>
            </w:pPr>
            <w:r w:rsidRPr="00FA6256">
              <w:rPr>
                <w:b/>
                <w:iCs/>
                <w:color w:val="FF0000"/>
                <w:sz w:val="20"/>
                <w:szCs w:val="20"/>
              </w:rPr>
              <w:t>Std. Dev.</w:t>
            </w:r>
          </w:p>
        </w:tc>
        <w:tc>
          <w:tcPr>
            <w:tcW w:w="1040" w:type="dxa"/>
            <w:tcBorders>
              <w:bottom w:val="single" w:sz="12" w:space="0" w:color="auto"/>
            </w:tcBorders>
            <w:shd w:val="clear" w:color="auto" w:fill="808080" w:themeFill="background1" w:themeFillShade="80"/>
            <w:vAlign w:val="center"/>
            <w:hideMark/>
          </w:tcPr>
          <w:p w14:paraId="6040FD35" w14:textId="77777777" w:rsidR="0049531C" w:rsidRPr="00FA6256" w:rsidRDefault="0049531C" w:rsidP="00DD4389">
            <w:pPr>
              <w:spacing w:after="0" w:line="240" w:lineRule="auto"/>
              <w:jc w:val="center"/>
              <w:rPr>
                <w:i/>
                <w:iCs/>
                <w:color w:val="FF0000"/>
                <w:sz w:val="20"/>
                <w:szCs w:val="20"/>
              </w:rPr>
            </w:pPr>
            <w:r w:rsidRPr="00FA6256">
              <w:rPr>
                <w:b/>
                <w:iCs/>
                <w:color w:val="FF0000"/>
                <w:sz w:val="20"/>
                <w:szCs w:val="20"/>
              </w:rPr>
              <w:t>Min.</w:t>
            </w:r>
          </w:p>
        </w:tc>
        <w:tc>
          <w:tcPr>
            <w:tcW w:w="1040" w:type="dxa"/>
            <w:tcBorders>
              <w:bottom w:val="single" w:sz="12" w:space="0" w:color="auto"/>
            </w:tcBorders>
            <w:shd w:val="clear" w:color="auto" w:fill="808080" w:themeFill="background1" w:themeFillShade="80"/>
            <w:vAlign w:val="center"/>
            <w:hideMark/>
          </w:tcPr>
          <w:p w14:paraId="383ED583" w14:textId="77777777" w:rsidR="0049531C" w:rsidRPr="00FA6256" w:rsidRDefault="0049531C" w:rsidP="00DD4389">
            <w:pPr>
              <w:spacing w:after="0" w:line="240" w:lineRule="auto"/>
              <w:jc w:val="center"/>
              <w:rPr>
                <w:i/>
                <w:iCs/>
                <w:color w:val="FF0000"/>
                <w:sz w:val="20"/>
                <w:szCs w:val="20"/>
              </w:rPr>
            </w:pPr>
            <w:r w:rsidRPr="00FA6256">
              <w:rPr>
                <w:b/>
                <w:iCs/>
                <w:color w:val="FF0000"/>
                <w:sz w:val="20"/>
                <w:szCs w:val="20"/>
              </w:rPr>
              <w:t>10</w:t>
            </w:r>
            <w:r w:rsidRPr="00FA6256">
              <w:rPr>
                <w:b/>
                <w:iCs/>
                <w:color w:val="FF0000"/>
                <w:sz w:val="20"/>
                <w:szCs w:val="20"/>
                <w:vertAlign w:val="superscript"/>
              </w:rPr>
              <w:t>th</w:t>
            </w:r>
            <w:r w:rsidRPr="00FA6256">
              <w:rPr>
                <w:b/>
                <w:iCs/>
                <w:color w:val="FF0000"/>
                <w:sz w:val="20"/>
                <w:szCs w:val="20"/>
              </w:rPr>
              <w:t xml:space="preserve"> Percent</w:t>
            </w:r>
          </w:p>
        </w:tc>
        <w:tc>
          <w:tcPr>
            <w:tcW w:w="1040" w:type="dxa"/>
            <w:tcBorders>
              <w:bottom w:val="single" w:sz="12" w:space="0" w:color="auto"/>
            </w:tcBorders>
            <w:shd w:val="clear" w:color="auto" w:fill="808080" w:themeFill="background1" w:themeFillShade="80"/>
            <w:vAlign w:val="center"/>
            <w:hideMark/>
          </w:tcPr>
          <w:p w14:paraId="5D91D4B6" w14:textId="77777777" w:rsidR="0049531C" w:rsidRPr="00FA6256" w:rsidRDefault="0049531C" w:rsidP="00DD4389">
            <w:pPr>
              <w:spacing w:after="0" w:line="240" w:lineRule="auto"/>
              <w:jc w:val="center"/>
              <w:rPr>
                <w:i/>
                <w:iCs/>
                <w:color w:val="FF0000"/>
                <w:sz w:val="20"/>
                <w:szCs w:val="20"/>
              </w:rPr>
            </w:pPr>
            <w:r w:rsidRPr="00FA6256">
              <w:rPr>
                <w:b/>
                <w:iCs/>
                <w:color w:val="FF0000"/>
                <w:sz w:val="20"/>
                <w:szCs w:val="20"/>
              </w:rPr>
              <w:t>Lower Quartile</w:t>
            </w:r>
          </w:p>
        </w:tc>
        <w:tc>
          <w:tcPr>
            <w:tcW w:w="1040" w:type="dxa"/>
            <w:tcBorders>
              <w:bottom w:val="single" w:sz="12" w:space="0" w:color="auto"/>
            </w:tcBorders>
            <w:shd w:val="clear" w:color="auto" w:fill="808080" w:themeFill="background1" w:themeFillShade="80"/>
            <w:vAlign w:val="center"/>
            <w:hideMark/>
          </w:tcPr>
          <w:p w14:paraId="3E9A26F4" w14:textId="77777777" w:rsidR="0049531C" w:rsidRPr="00FA6256" w:rsidRDefault="0049531C" w:rsidP="00DD4389">
            <w:pPr>
              <w:spacing w:after="0" w:line="240" w:lineRule="auto"/>
              <w:jc w:val="center"/>
              <w:rPr>
                <w:i/>
                <w:iCs/>
                <w:color w:val="FF0000"/>
                <w:sz w:val="20"/>
                <w:szCs w:val="20"/>
              </w:rPr>
            </w:pPr>
            <w:r w:rsidRPr="00FA6256">
              <w:rPr>
                <w:b/>
                <w:iCs/>
                <w:color w:val="FF0000"/>
                <w:sz w:val="20"/>
                <w:szCs w:val="20"/>
              </w:rPr>
              <w:t>Median</w:t>
            </w:r>
          </w:p>
        </w:tc>
        <w:tc>
          <w:tcPr>
            <w:tcW w:w="1040" w:type="dxa"/>
            <w:tcBorders>
              <w:bottom w:val="single" w:sz="12" w:space="0" w:color="auto"/>
            </w:tcBorders>
            <w:shd w:val="clear" w:color="auto" w:fill="808080" w:themeFill="background1" w:themeFillShade="80"/>
            <w:vAlign w:val="center"/>
            <w:hideMark/>
          </w:tcPr>
          <w:p w14:paraId="3AD53A81" w14:textId="77777777" w:rsidR="0049531C" w:rsidRPr="00FA6256" w:rsidRDefault="0049531C" w:rsidP="00DD4389">
            <w:pPr>
              <w:spacing w:after="0" w:line="240" w:lineRule="auto"/>
              <w:jc w:val="center"/>
              <w:rPr>
                <w:i/>
                <w:iCs/>
                <w:color w:val="FF0000"/>
                <w:sz w:val="20"/>
                <w:szCs w:val="20"/>
              </w:rPr>
            </w:pPr>
            <w:r w:rsidRPr="00FA6256">
              <w:rPr>
                <w:b/>
                <w:iCs/>
                <w:color w:val="FF0000"/>
                <w:sz w:val="20"/>
                <w:szCs w:val="20"/>
              </w:rPr>
              <w:t>Upper Quartile</w:t>
            </w:r>
          </w:p>
        </w:tc>
        <w:tc>
          <w:tcPr>
            <w:tcW w:w="1040" w:type="dxa"/>
            <w:tcBorders>
              <w:bottom w:val="single" w:sz="12" w:space="0" w:color="auto"/>
            </w:tcBorders>
            <w:shd w:val="clear" w:color="auto" w:fill="808080" w:themeFill="background1" w:themeFillShade="80"/>
            <w:vAlign w:val="center"/>
            <w:hideMark/>
          </w:tcPr>
          <w:p w14:paraId="213234DE" w14:textId="77777777" w:rsidR="0049531C" w:rsidRPr="00FA6256" w:rsidRDefault="0049531C" w:rsidP="00DD4389">
            <w:pPr>
              <w:spacing w:after="0" w:line="240" w:lineRule="auto"/>
              <w:jc w:val="center"/>
              <w:rPr>
                <w:i/>
                <w:iCs/>
                <w:color w:val="FF0000"/>
                <w:sz w:val="20"/>
                <w:szCs w:val="20"/>
              </w:rPr>
            </w:pPr>
            <w:r w:rsidRPr="00FA6256">
              <w:rPr>
                <w:b/>
                <w:iCs/>
                <w:color w:val="FF0000"/>
                <w:sz w:val="20"/>
                <w:szCs w:val="20"/>
              </w:rPr>
              <w:t>90</w:t>
            </w:r>
            <w:r w:rsidRPr="00FA6256">
              <w:rPr>
                <w:b/>
                <w:iCs/>
                <w:color w:val="FF0000"/>
                <w:sz w:val="20"/>
                <w:szCs w:val="20"/>
                <w:vertAlign w:val="superscript"/>
              </w:rPr>
              <w:t>th</w:t>
            </w:r>
            <w:r w:rsidRPr="00FA6256">
              <w:rPr>
                <w:b/>
                <w:iCs/>
                <w:color w:val="FF0000"/>
                <w:sz w:val="20"/>
                <w:szCs w:val="20"/>
              </w:rPr>
              <w:t xml:space="preserve"> Percent</w:t>
            </w:r>
          </w:p>
        </w:tc>
        <w:tc>
          <w:tcPr>
            <w:tcW w:w="1040" w:type="dxa"/>
            <w:tcBorders>
              <w:bottom w:val="single" w:sz="12" w:space="0" w:color="auto"/>
            </w:tcBorders>
            <w:shd w:val="clear" w:color="auto" w:fill="808080" w:themeFill="background1" w:themeFillShade="80"/>
            <w:vAlign w:val="center"/>
            <w:hideMark/>
          </w:tcPr>
          <w:p w14:paraId="1E22DF80" w14:textId="77777777" w:rsidR="0049531C" w:rsidRPr="00FA6256" w:rsidRDefault="0049531C" w:rsidP="00DD4389">
            <w:pPr>
              <w:spacing w:after="0" w:line="240" w:lineRule="auto"/>
              <w:jc w:val="center"/>
              <w:rPr>
                <w:i/>
                <w:iCs/>
                <w:color w:val="FF0000"/>
                <w:sz w:val="20"/>
                <w:szCs w:val="20"/>
              </w:rPr>
            </w:pPr>
            <w:r w:rsidRPr="00FA6256">
              <w:rPr>
                <w:b/>
                <w:iCs/>
                <w:color w:val="FF0000"/>
                <w:sz w:val="20"/>
                <w:szCs w:val="20"/>
              </w:rPr>
              <w:t>Max.</w:t>
            </w:r>
          </w:p>
        </w:tc>
      </w:tr>
      <w:tr w:rsidR="0049531C" w:rsidRPr="00FA6256" w14:paraId="1DA1BD12" w14:textId="77777777" w:rsidTr="007D045F">
        <w:trPr>
          <w:trHeight w:val="435"/>
        </w:trPr>
        <w:tc>
          <w:tcPr>
            <w:tcW w:w="1040" w:type="dxa"/>
            <w:tcBorders>
              <w:left w:val="single" w:sz="12" w:space="0" w:color="auto"/>
              <w:right w:val="dashed" w:sz="4" w:space="0" w:color="auto"/>
            </w:tcBorders>
            <w:shd w:val="clear" w:color="auto" w:fill="auto"/>
            <w:vAlign w:val="center"/>
          </w:tcPr>
          <w:p w14:paraId="79F79F13" w14:textId="77777777" w:rsidR="0049531C" w:rsidRPr="00FA6256" w:rsidRDefault="0049531C" w:rsidP="00DD4389">
            <w:pPr>
              <w:spacing w:after="0" w:line="240" w:lineRule="auto"/>
              <w:jc w:val="center"/>
              <w:rPr>
                <w:color w:val="FF0000"/>
                <w:sz w:val="20"/>
                <w:szCs w:val="20"/>
              </w:rPr>
            </w:pPr>
            <w:r w:rsidRPr="00FA6256">
              <w:rPr>
                <w:color w:val="FF0000"/>
                <w:sz w:val="20"/>
                <w:szCs w:val="20"/>
              </w:rPr>
              <w:t>38.57</w:t>
            </w:r>
          </w:p>
        </w:tc>
        <w:tc>
          <w:tcPr>
            <w:tcW w:w="1040" w:type="dxa"/>
            <w:tcBorders>
              <w:left w:val="dashed" w:sz="4" w:space="0" w:color="auto"/>
              <w:right w:val="dashed" w:sz="4" w:space="0" w:color="auto"/>
            </w:tcBorders>
            <w:shd w:val="clear" w:color="auto" w:fill="auto"/>
            <w:vAlign w:val="center"/>
          </w:tcPr>
          <w:p w14:paraId="2B9EA15A" w14:textId="77777777" w:rsidR="0049531C" w:rsidRPr="00FA6256" w:rsidRDefault="0049531C" w:rsidP="00DD4389">
            <w:pPr>
              <w:spacing w:after="0" w:line="240" w:lineRule="auto"/>
              <w:jc w:val="center"/>
              <w:rPr>
                <w:color w:val="FF0000"/>
                <w:sz w:val="20"/>
                <w:szCs w:val="20"/>
              </w:rPr>
            </w:pPr>
            <w:r w:rsidRPr="00FA6256">
              <w:rPr>
                <w:color w:val="FF0000"/>
                <w:sz w:val="20"/>
                <w:szCs w:val="20"/>
              </w:rPr>
              <w:t>7.39</w:t>
            </w:r>
          </w:p>
        </w:tc>
        <w:tc>
          <w:tcPr>
            <w:tcW w:w="1040" w:type="dxa"/>
            <w:tcBorders>
              <w:left w:val="dashed" w:sz="4" w:space="0" w:color="auto"/>
              <w:right w:val="dashed" w:sz="4" w:space="0" w:color="auto"/>
            </w:tcBorders>
            <w:shd w:val="clear" w:color="auto" w:fill="auto"/>
            <w:vAlign w:val="center"/>
          </w:tcPr>
          <w:p w14:paraId="7FA0C080" w14:textId="77777777" w:rsidR="0049531C" w:rsidRPr="00FA6256" w:rsidRDefault="0049531C" w:rsidP="00DD4389">
            <w:pPr>
              <w:spacing w:after="0" w:line="240" w:lineRule="auto"/>
              <w:jc w:val="center"/>
              <w:rPr>
                <w:color w:val="FF0000"/>
                <w:sz w:val="20"/>
                <w:szCs w:val="20"/>
              </w:rPr>
            </w:pPr>
            <w:r w:rsidRPr="00FA6256">
              <w:rPr>
                <w:color w:val="FF0000"/>
                <w:sz w:val="20"/>
                <w:szCs w:val="20"/>
              </w:rPr>
              <w:t>18.18</w:t>
            </w:r>
          </w:p>
        </w:tc>
        <w:tc>
          <w:tcPr>
            <w:tcW w:w="1040" w:type="dxa"/>
            <w:tcBorders>
              <w:left w:val="dashed" w:sz="4" w:space="0" w:color="auto"/>
              <w:right w:val="dashed" w:sz="4" w:space="0" w:color="auto"/>
            </w:tcBorders>
            <w:shd w:val="clear" w:color="auto" w:fill="auto"/>
            <w:vAlign w:val="center"/>
          </w:tcPr>
          <w:p w14:paraId="5505E14A" w14:textId="77777777" w:rsidR="0049531C" w:rsidRPr="00FA6256" w:rsidRDefault="0049531C" w:rsidP="00DD4389">
            <w:pPr>
              <w:spacing w:after="0" w:line="240" w:lineRule="auto"/>
              <w:jc w:val="center"/>
              <w:rPr>
                <w:color w:val="FF0000"/>
                <w:sz w:val="20"/>
                <w:szCs w:val="20"/>
              </w:rPr>
            </w:pPr>
            <w:r w:rsidRPr="00FA6256">
              <w:rPr>
                <w:color w:val="FF0000"/>
                <w:sz w:val="20"/>
                <w:szCs w:val="20"/>
              </w:rPr>
              <w:t>30.06</w:t>
            </w:r>
          </w:p>
        </w:tc>
        <w:tc>
          <w:tcPr>
            <w:tcW w:w="1040" w:type="dxa"/>
            <w:tcBorders>
              <w:left w:val="dashed" w:sz="4" w:space="0" w:color="auto"/>
              <w:right w:val="dashed" w:sz="4" w:space="0" w:color="auto"/>
            </w:tcBorders>
            <w:shd w:val="clear" w:color="auto" w:fill="auto"/>
            <w:vAlign w:val="center"/>
          </w:tcPr>
          <w:p w14:paraId="5DA0B836" w14:textId="77777777" w:rsidR="0049531C" w:rsidRPr="00FA6256" w:rsidRDefault="0049531C" w:rsidP="00DD4389">
            <w:pPr>
              <w:spacing w:after="0" w:line="240" w:lineRule="auto"/>
              <w:jc w:val="center"/>
              <w:rPr>
                <w:color w:val="FF0000"/>
                <w:sz w:val="20"/>
                <w:szCs w:val="20"/>
              </w:rPr>
            </w:pPr>
            <w:r w:rsidRPr="00FA6256">
              <w:rPr>
                <w:color w:val="FF0000"/>
                <w:sz w:val="20"/>
                <w:szCs w:val="20"/>
              </w:rPr>
              <w:t>33.33</w:t>
            </w:r>
          </w:p>
        </w:tc>
        <w:tc>
          <w:tcPr>
            <w:tcW w:w="1040" w:type="dxa"/>
            <w:tcBorders>
              <w:left w:val="dashed" w:sz="4" w:space="0" w:color="auto"/>
              <w:right w:val="dashed" w:sz="4" w:space="0" w:color="auto"/>
            </w:tcBorders>
            <w:shd w:val="clear" w:color="auto" w:fill="auto"/>
            <w:vAlign w:val="center"/>
          </w:tcPr>
          <w:p w14:paraId="79C7D1C5" w14:textId="77777777" w:rsidR="0049531C" w:rsidRPr="00FA6256" w:rsidRDefault="0049531C" w:rsidP="00DD4389">
            <w:pPr>
              <w:spacing w:after="0" w:line="240" w:lineRule="auto"/>
              <w:jc w:val="center"/>
              <w:rPr>
                <w:color w:val="FF0000"/>
                <w:sz w:val="20"/>
                <w:szCs w:val="20"/>
              </w:rPr>
            </w:pPr>
            <w:r w:rsidRPr="00FA6256">
              <w:rPr>
                <w:color w:val="FF0000"/>
                <w:sz w:val="20"/>
                <w:szCs w:val="20"/>
              </w:rPr>
              <w:t>37.93</w:t>
            </w:r>
          </w:p>
        </w:tc>
        <w:tc>
          <w:tcPr>
            <w:tcW w:w="1040" w:type="dxa"/>
            <w:tcBorders>
              <w:left w:val="dashed" w:sz="4" w:space="0" w:color="auto"/>
              <w:right w:val="dashed" w:sz="4" w:space="0" w:color="auto"/>
            </w:tcBorders>
            <w:shd w:val="clear" w:color="auto" w:fill="auto"/>
            <w:vAlign w:val="center"/>
          </w:tcPr>
          <w:p w14:paraId="01C770D3" w14:textId="77777777" w:rsidR="0049531C" w:rsidRPr="00FA6256" w:rsidRDefault="0049531C" w:rsidP="00DD4389">
            <w:pPr>
              <w:spacing w:after="0" w:line="240" w:lineRule="auto"/>
              <w:jc w:val="center"/>
              <w:rPr>
                <w:color w:val="FF0000"/>
                <w:sz w:val="20"/>
                <w:szCs w:val="20"/>
              </w:rPr>
            </w:pPr>
            <w:r w:rsidRPr="00FA6256">
              <w:rPr>
                <w:color w:val="FF0000"/>
                <w:sz w:val="20"/>
                <w:szCs w:val="20"/>
              </w:rPr>
              <w:t>42.66</w:t>
            </w:r>
          </w:p>
        </w:tc>
        <w:tc>
          <w:tcPr>
            <w:tcW w:w="1040" w:type="dxa"/>
            <w:tcBorders>
              <w:left w:val="dashed" w:sz="4" w:space="0" w:color="auto"/>
              <w:right w:val="dashed" w:sz="4" w:space="0" w:color="auto"/>
            </w:tcBorders>
            <w:shd w:val="clear" w:color="auto" w:fill="auto"/>
            <w:vAlign w:val="center"/>
          </w:tcPr>
          <w:p w14:paraId="5B4004AD" w14:textId="77777777" w:rsidR="0049531C" w:rsidRPr="00FA6256" w:rsidRDefault="0049531C" w:rsidP="00DD4389">
            <w:pPr>
              <w:spacing w:after="0" w:line="240" w:lineRule="auto"/>
              <w:jc w:val="center"/>
              <w:rPr>
                <w:color w:val="FF0000"/>
                <w:sz w:val="20"/>
                <w:szCs w:val="20"/>
              </w:rPr>
            </w:pPr>
            <w:r w:rsidRPr="00FA6256">
              <w:rPr>
                <w:color w:val="FF0000"/>
                <w:sz w:val="20"/>
                <w:szCs w:val="20"/>
              </w:rPr>
              <w:t>48.35</w:t>
            </w:r>
          </w:p>
        </w:tc>
        <w:tc>
          <w:tcPr>
            <w:tcW w:w="1040" w:type="dxa"/>
            <w:tcBorders>
              <w:left w:val="dashed" w:sz="4" w:space="0" w:color="auto"/>
            </w:tcBorders>
            <w:shd w:val="clear" w:color="auto" w:fill="auto"/>
            <w:vAlign w:val="center"/>
          </w:tcPr>
          <w:p w14:paraId="42003944" w14:textId="77777777" w:rsidR="0049531C" w:rsidRPr="00FA6256" w:rsidRDefault="0049531C" w:rsidP="00DD4389">
            <w:pPr>
              <w:spacing w:after="0" w:line="240" w:lineRule="auto"/>
              <w:jc w:val="center"/>
              <w:rPr>
                <w:color w:val="FF0000"/>
                <w:sz w:val="20"/>
                <w:szCs w:val="20"/>
              </w:rPr>
            </w:pPr>
            <w:r w:rsidRPr="00FA6256">
              <w:rPr>
                <w:color w:val="FF0000"/>
                <w:sz w:val="20"/>
                <w:szCs w:val="20"/>
              </w:rPr>
              <w:t>72.60</w:t>
            </w:r>
          </w:p>
        </w:tc>
      </w:tr>
    </w:tbl>
    <w:p w14:paraId="2B2F141B" w14:textId="77777777" w:rsidR="00890718" w:rsidRPr="00FA6256" w:rsidRDefault="00890718" w:rsidP="00DD4389">
      <w:pPr>
        <w:spacing w:after="0" w:line="240" w:lineRule="auto"/>
        <w:rPr>
          <w:b/>
          <w:bCs/>
          <w:color w:val="FF0000"/>
        </w:rPr>
      </w:pPr>
    </w:p>
    <w:p w14:paraId="5E2B54D6" w14:textId="57A05607" w:rsidR="00FA6256" w:rsidRPr="00FA6256" w:rsidRDefault="0049531C" w:rsidP="00AE1932">
      <w:pPr>
        <w:spacing w:after="0" w:line="240" w:lineRule="auto"/>
        <w:rPr>
          <w:bCs/>
          <w:color w:val="000000" w:themeColor="text1"/>
        </w:rPr>
      </w:pPr>
      <w:r w:rsidRPr="0049531C">
        <w:rPr>
          <w:b/>
          <w:bCs/>
        </w:rPr>
        <w:t xml:space="preserve">2b5.3. </w:t>
      </w:r>
      <w:proofErr w:type="gramStart"/>
      <w:r w:rsidRPr="0049531C">
        <w:rPr>
          <w:b/>
          <w:bCs/>
        </w:rPr>
        <w:t>What</w:t>
      </w:r>
      <w:proofErr w:type="gramEnd"/>
      <w:r w:rsidRPr="0049531C">
        <w:rPr>
          <w:b/>
          <w:bCs/>
        </w:rPr>
        <w:t xml:space="preserve"> is your interpretation of the results in terms of demonstrating the ability to identify statistically significant and/or clinically/practically meaningful differences in performance across measured entities?</w:t>
      </w:r>
      <w:r w:rsidRPr="0049531C">
        <w:rPr>
          <w:bCs/>
        </w:rPr>
        <w:t xml:space="preserve"> (i</w:t>
      </w:r>
      <w:r w:rsidRPr="0049531C">
        <w:rPr>
          <w:bCs/>
          <w:i/>
        </w:rPr>
        <w:t>.e., what do the results mean in terms of statistical and meaningful differences?</w:t>
      </w:r>
      <w:r w:rsidRPr="0049531C">
        <w:rPr>
          <w:bCs/>
        </w:rPr>
        <w:t>)</w:t>
      </w:r>
      <w:r w:rsidRPr="0049531C">
        <w:rPr>
          <w:bCs/>
        </w:rPr>
        <w:br/>
      </w:r>
      <w:r w:rsidR="00FA6256" w:rsidRPr="00FA6256">
        <w:rPr>
          <w:b/>
          <w:bCs/>
          <w:color w:val="000000" w:themeColor="text1"/>
        </w:rPr>
        <w:t>2014 Submission:</w:t>
      </w:r>
    </w:p>
    <w:p w14:paraId="28C9A78D" w14:textId="3FA82E64" w:rsidR="00FA6256" w:rsidRPr="00FA6256" w:rsidRDefault="00FA6256" w:rsidP="00AE1932">
      <w:pPr>
        <w:autoSpaceDE w:val="0"/>
        <w:autoSpaceDN w:val="0"/>
        <w:adjustRightInd w:val="0"/>
        <w:spacing w:after="0" w:line="240" w:lineRule="auto"/>
        <w:rPr>
          <w:color w:val="000000" w:themeColor="text1"/>
        </w:rPr>
      </w:pPr>
      <w:r w:rsidRPr="00FA6256">
        <w:rPr>
          <w:color w:val="000000" w:themeColor="text1"/>
        </w:rPr>
        <w:t xml:space="preserve">Analysis of the 2010 data, and the subsequent rate of identification of statistically different performance for 50.93% of measured entities, demonstrates the ability of the measure specifications to identify a statistically significant difference in performance from the mean value. The measure contractor purports that the reduced rate of </w:t>
      </w:r>
      <w:r w:rsidRPr="00FA6256">
        <w:rPr>
          <w:color w:val="000000" w:themeColor="text1"/>
        </w:rPr>
        <w:t xml:space="preserve">identification of statistically </w:t>
      </w:r>
      <w:r w:rsidRPr="00FA6256">
        <w:rPr>
          <w:color w:val="000000" w:themeColor="text1"/>
        </w:rPr>
        <w:t>different performance than the mean in 2011 (in contrast to the weighted mean</w:t>
      </w:r>
      <w:r w:rsidR="00A6207F">
        <w:rPr>
          <w:rStyle w:val="FootnoteReference"/>
          <w:color w:val="000000" w:themeColor="text1"/>
        </w:rPr>
        <w:footnoteReference w:id="2"/>
      </w:r>
      <w:r w:rsidRPr="00FA6256">
        <w:rPr>
          <w:color w:val="000000" w:themeColor="text1"/>
        </w:rPr>
        <w:t xml:space="preserve"> value, which has remained relatively constant), is indicative of the effectiveness of the measure as a benchmarking tool. The reduced rate of identification may be reflective of a convergence on the mean (or benchmark) value. </w:t>
      </w:r>
    </w:p>
    <w:p w14:paraId="40D21C9C" w14:textId="77777777" w:rsidR="00FA6256" w:rsidRDefault="00FA6256" w:rsidP="00AE1932">
      <w:pPr>
        <w:spacing w:after="0" w:line="240" w:lineRule="auto"/>
        <w:rPr>
          <w:bCs/>
        </w:rPr>
      </w:pPr>
    </w:p>
    <w:p w14:paraId="5B2D9F77" w14:textId="004B90DF" w:rsidR="00FA6256" w:rsidRPr="00FA6256" w:rsidRDefault="00FA6256" w:rsidP="00AE1932">
      <w:pPr>
        <w:spacing w:after="0" w:line="240" w:lineRule="auto"/>
        <w:rPr>
          <w:bCs/>
          <w:color w:val="FF0000"/>
        </w:rPr>
      </w:pPr>
      <w:r w:rsidRPr="00FA6256">
        <w:rPr>
          <w:b/>
          <w:bCs/>
          <w:color w:val="FF0000"/>
        </w:rPr>
        <w:t>2016 Submission:</w:t>
      </w:r>
    </w:p>
    <w:p w14:paraId="6CDEE99E" w14:textId="3F627FEA" w:rsidR="0049531C" w:rsidRPr="00FA6256" w:rsidRDefault="0049531C" w:rsidP="00AE1932">
      <w:pPr>
        <w:spacing w:after="0" w:line="240" w:lineRule="auto"/>
        <w:rPr>
          <w:bCs/>
          <w:color w:val="FF0000"/>
        </w:rPr>
      </w:pPr>
      <w:r w:rsidRPr="00FA6256">
        <w:rPr>
          <w:bCs/>
          <w:color w:val="FF0000"/>
        </w:rPr>
        <w:t xml:space="preserve">The measure is able to detect statistically better and worse performance between facilities. The facility performance scores ranged from 18.18% to 72.60%, with a median of 37.93%. Fifty percent of facilities fell within the interquartile range of 33.33% to 42.66%. The mean ± SD facility performance score was 38.57% ± 7.39%.This analysis indicated that the measure is able to identify statistically significant and clinically meaningful differences in performance for facilities. </w:t>
      </w:r>
    </w:p>
    <w:p w14:paraId="3EB53AA0" w14:textId="77777777" w:rsidR="0049531C" w:rsidRPr="0049531C" w:rsidRDefault="0049531C" w:rsidP="00AE1932">
      <w:pPr>
        <w:spacing w:after="0" w:line="240" w:lineRule="auto"/>
        <w:rPr>
          <w:b/>
          <w:bCs/>
        </w:rPr>
      </w:pPr>
      <w:r w:rsidRPr="0049531C">
        <w:rPr>
          <w:b/>
          <w:bCs/>
        </w:rPr>
        <w:t>_______________________________________</w:t>
      </w:r>
    </w:p>
    <w:p w14:paraId="7B126668" w14:textId="77777777" w:rsidR="0059435B" w:rsidRDefault="0049531C" w:rsidP="00AE1932">
      <w:pPr>
        <w:spacing w:after="0" w:line="240" w:lineRule="auto"/>
        <w:rPr>
          <w:b/>
          <w:bCs/>
        </w:rPr>
      </w:pPr>
      <w:r w:rsidRPr="0049531C">
        <w:rPr>
          <w:b/>
          <w:bCs/>
        </w:rPr>
        <w:t xml:space="preserve">2b6. COMPARABILITY OF PERFORMANCE SCORES WHEN MORE THAN ONE SET OF SPECIFICATIONS </w:t>
      </w:r>
    </w:p>
    <w:p w14:paraId="3B129CA6" w14:textId="0BEFA8C8" w:rsidR="0049531C" w:rsidRPr="0049531C" w:rsidRDefault="0049531C" w:rsidP="00AE1932">
      <w:pPr>
        <w:spacing w:after="0" w:line="240" w:lineRule="auto"/>
        <w:rPr>
          <w:b/>
          <w:bCs/>
        </w:rPr>
      </w:pPr>
      <w:r w:rsidRPr="0059435B">
        <w:rPr>
          <w:b/>
          <w:bCs/>
          <w:i/>
          <w:highlight w:val="green"/>
        </w:rPr>
        <w:t xml:space="preserve">If only one set of specifications, this section </w:t>
      </w:r>
      <w:proofErr w:type="gramStart"/>
      <w:r w:rsidRPr="0059435B">
        <w:rPr>
          <w:b/>
          <w:bCs/>
          <w:i/>
          <w:highlight w:val="green"/>
        </w:rPr>
        <w:t>can be skipped</w:t>
      </w:r>
      <w:proofErr w:type="gramEnd"/>
      <w:r w:rsidRPr="0059435B">
        <w:rPr>
          <w:b/>
          <w:bCs/>
          <w:i/>
          <w:highlight w:val="green"/>
        </w:rPr>
        <w:t>.</w:t>
      </w:r>
    </w:p>
    <w:p w14:paraId="5410519D" w14:textId="77777777" w:rsidR="0049531C" w:rsidRPr="0049531C" w:rsidRDefault="0049531C" w:rsidP="00AE1932">
      <w:pPr>
        <w:spacing w:after="0" w:line="240" w:lineRule="auto"/>
        <w:rPr>
          <w:b/>
          <w:bCs/>
        </w:rPr>
      </w:pPr>
    </w:p>
    <w:p w14:paraId="1117CE8D" w14:textId="77777777" w:rsidR="0049531C" w:rsidRPr="0049531C" w:rsidRDefault="0049531C" w:rsidP="00AE1932">
      <w:pPr>
        <w:spacing w:after="0" w:line="240" w:lineRule="auto"/>
        <w:rPr>
          <w:bCs/>
          <w:i/>
        </w:rPr>
      </w:pPr>
      <w:r w:rsidRPr="0049531C">
        <w:rPr>
          <w:b/>
          <w:bCs/>
          <w:u w:val="single"/>
        </w:rPr>
        <w:t>Note</w:t>
      </w:r>
      <w:r w:rsidRPr="0049531C">
        <w:rPr>
          <w:bCs/>
          <w:i/>
        </w:rPr>
        <w:t xml:space="preserve">: This criterion </w:t>
      </w:r>
      <w:proofErr w:type="gramStart"/>
      <w:r w:rsidRPr="0049531C">
        <w:rPr>
          <w:bCs/>
          <w:i/>
        </w:rPr>
        <w:t>is directed</w:t>
      </w:r>
      <w:proofErr w:type="gramEnd"/>
      <w:r w:rsidRPr="0049531C">
        <w:rPr>
          <w:bCs/>
          <w:i/>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Pr="0049531C">
        <w:rPr>
          <w:bCs/>
          <w:i/>
        </w:rPr>
        <w:t>eMeasures</w:t>
      </w:r>
      <w:proofErr w:type="spellEnd"/>
      <w:r w:rsidRPr="0049531C">
        <w:rPr>
          <w:bCs/>
          <w:i/>
        </w:rPr>
        <w:t xml:space="preserve">). It does not apply to measures that use more than one source of data in one set of specifications/instructions (e.g., claims data to identify the denominator and medical record abstraction for the numerator). </w:t>
      </w:r>
      <w:r w:rsidRPr="0049531C">
        <w:rPr>
          <w:b/>
          <w:bCs/>
          <w:i/>
        </w:rPr>
        <w:t xml:space="preserve">If comparability </w:t>
      </w:r>
      <w:proofErr w:type="gramStart"/>
      <w:r w:rsidRPr="0049531C">
        <w:rPr>
          <w:b/>
          <w:bCs/>
          <w:i/>
        </w:rPr>
        <w:t>is not demonstrated</w:t>
      </w:r>
      <w:proofErr w:type="gramEnd"/>
      <w:r w:rsidRPr="0049531C">
        <w:rPr>
          <w:b/>
          <w:bCs/>
          <w:i/>
        </w:rPr>
        <w:t>, the different specifications should be submitted as separate measures.</w:t>
      </w:r>
    </w:p>
    <w:p w14:paraId="595BBAE2" w14:textId="77777777" w:rsidR="0049531C" w:rsidRPr="0049531C" w:rsidRDefault="0049531C" w:rsidP="00AE1932">
      <w:pPr>
        <w:spacing w:after="0" w:line="240" w:lineRule="auto"/>
        <w:rPr>
          <w:bCs/>
        </w:rPr>
      </w:pPr>
    </w:p>
    <w:p w14:paraId="2F1D4AC4" w14:textId="77777777" w:rsidR="0049531C" w:rsidRPr="0049531C" w:rsidRDefault="0049531C" w:rsidP="00AE1932">
      <w:pPr>
        <w:spacing w:after="0" w:line="240" w:lineRule="auto"/>
        <w:rPr>
          <w:bCs/>
        </w:rPr>
      </w:pPr>
      <w:r w:rsidRPr="0049531C">
        <w:rPr>
          <w:b/>
          <w:bCs/>
        </w:rPr>
        <w:t>2b6.1. Describe the method of testing conducted to demonstrate comparability of performance scores for the same entities across the different data sources/specifications</w:t>
      </w:r>
      <w:r w:rsidRPr="0049531C">
        <w:rPr>
          <w:bCs/>
        </w:rPr>
        <w:t xml:space="preserve"> (</w:t>
      </w:r>
      <w:r w:rsidRPr="0049531C">
        <w:rPr>
          <w:bCs/>
          <w:i/>
        </w:rPr>
        <w:t>describe the steps―do not just name a method; what statistical analysis was used</w:t>
      </w:r>
      <w:r w:rsidRPr="0049531C">
        <w:rPr>
          <w:bCs/>
        </w:rPr>
        <w:t>)</w:t>
      </w:r>
    </w:p>
    <w:p w14:paraId="15CF804A" w14:textId="4D48D008" w:rsidR="00A6207F" w:rsidRDefault="00A6207F" w:rsidP="00AE1932">
      <w:pPr>
        <w:spacing w:after="0" w:line="240" w:lineRule="auto"/>
        <w:rPr>
          <w:bCs/>
        </w:rPr>
      </w:pPr>
      <w:r>
        <w:rPr>
          <w:b/>
          <w:bCs/>
        </w:rPr>
        <w:t>2014 Submission:</w:t>
      </w:r>
    </w:p>
    <w:p w14:paraId="11CA12CE" w14:textId="77777777" w:rsidR="0049531C" w:rsidRPr="0049531C" w:rsidRDefault="0049531C" w:rsidP="00AE1932">
      <w:pPr>
        <w:spacing w:after="0" w:line="240" w:lineRule="auto"/>
        <w:rPr>
          <w:bCs/>
        </w:rPr>
      </w:pPr>
      <w:r w:rsidRPr="0049531C">
        <w:rPr>
          <w:bCs/>
        </w:rPr>
        <w:t>This measure only uses one set of specifications.</w:t>
      </w:r>
    </w:p>
    <w:p w14:paraId="104014E6" w14:textId="77777777" w:rsidR="0049531C" w:rsidRPr="00A6207F" w:rsidRDefault="0049531C" w:rsidP="00AE1932">
      <w:pPr>
        <w:spacing w:after="0" w:line="240" w:lineRule="auto"/>
        <w:rPr>
          <w:bCs/>
          <w:color w:val="FF0000"/>
        </w:rPr>
      </w:pPr>
    </w:p>
    <w:p w14:paraId="7D61A210" w14:textId="1B24A19A" w:rsidR="00A6207F" w:rsidRPr="00A6207F" w:rsidRDefault="00A6207F" w:rsidP="00AE1932">
      <w:pPr>
        <w:spacing w:after="0" w:line="240" w:lineRule="auto"/>
        <w:rPr>
          <w:b/>
          <w:bCs/>
          <w:color w:val="FF0000"/>
        </w:rPr>
      </w:pPr>
      <w:r w:rsidRPr="00A6207F">
        <w:rPr>
          <w:b/>
          <w:bCs/>
          <w:color w:val="FF0000"/>
        </w:rPr>
        <w:t>2016 Submission:</w:t>
      </w:r>
    </w:p>
    <w:p w14:paraId="1B3A0027" w14:textId="40513464" w:rsidR="00A6207F" w:rsidRPr="00A6207F" w:rsidRDefault="00A6207F" w:rsidP="00AE1932">
      <w:pPr>
        <w:spacing w:after="0" w:line="240" w:lineRule="auto"/>
        <w:rPr>
          <w:bCs/>
          <w:color w:val="FF0000"/>
        </w:rPr>
      </w:pPr>
      <w:r w:rsidRPr="00A6207F">
        <w:rPr>
          <w:bCs/>
          <w:color w:val="FF0000"/>
        </w:rPr>
        <w:t>This measure only uses one set of specifications.</w:t>
      </w:r>
    </w:p>
    <w:p w14:paraId="259333E1" w14:textId="77777777" w:rsidR="00A6207F" w:rsidRPr="0049531C" w:rsidRDefault="00A6207F" w:rsidP="00AE1932">
      <w:pPr>
        <w:spacing w:after="0" w:line="240" w:lineRule="auto"/>
        <w:rPr>
          <w:bCs/>
        </w:rPr>
      </w:pPr>
    </w:p>
    <w:p w14:paraId="0C78AA72" w14:textId="77777777" w:rsidR="00A6207F" w:rsidRDefault="0049531C" w:rsidP="00AE1932">
      <w:pPr>
        <w:spacing w:after="0" w:line="240" w:lineRule="auto"/>
        <w:rPr>
          <w:bCs/>
        </w:rPr>
      </w:pPr>
      <w:r w:rsidRPr="0049531C">
        <w:rPr>
          <w:b/>
          <w:bCs/>
        </w:rPr>
        <w:t xml:space="preserve">2b6.2. </w:t>
      </w:r>
      <w:proofErr w:type="gramStart"/>
      <w:r w:rsidRPr="0049531C">
        <w:rPr>
          <w:b/>
          <w:bCs/>
        </w:rPr>
        <w:t>What</w:t>
      </w:r>
      <w:proofErr w:type="gramEnd"/>
      <w:r w:rsidRPr="0049531C">
        <w:rPr>
          <w:b/>
          <w:bCs/>
        </w:rPr>
        <w:t xml:space="preserve"> were the statistical results from testing comparability of performance scores for the same entities when using different data sources/specifications?</w:t>
      </w:r>
      <w:r w:rsidRPr="0049531C">
        <w:rPr>
          <w:bCs/>
        </w:rPr>
        <w:t xml:space="preserve"> (</w:t>
      </w:r>
      <w:r w:rsidRPr="0049531C">
        <w:rPr>
          <w:bCs/>
          <w:i/>
        </w:rPr>
        <w:t>e.g., correlation, rank order</w:t>
      </w:r>
      <w:proofErr w:type="gramStart"/>
      <w:r w:rsidRPr="0049531C">
        <w:rPr>
          <w:bCs/>
        </w:rPr>
        <w:t>)</w:t>
      </w:r>
      <w:proofErr w:type="gramEnd"/>
      <w:r w:rsidRPr="0049531C">
        <w:rPr>
          <w:bCs/>
        </w:rPr>
        <w:br/>
      </w:r>
      <w:r w:rsidR="00A6207F">
        <w:rPr>
          <w:b/>
          <w:bCs/>
        </w:rPr>
        <w:t>2014 Submission:</w:t>
      </w:r>
    </w:p>
    <w:p w14:paraId="0C2F8114" w14:textId="77777777" w:rsidR="00A6207F" w:rsidRPr="0049531C" w:rsidRDefault="00A6207F" w:rsidP="00AE1932">
      <w:pPr>
        <w:spacing w:after="0" w:line="240" w:lineRule="auto"/>
        <w:rPr>
          <w:bCs/>
        </w:rPr>
      </w:pPr>
      <w:r w:rsidRPr="0049531C">
        <w:rPr>
          <w:bCs/>
        </w:rPr>
        <w:t>This measure only uses one set of specifications.</w:t>
      </w:r>
    </w:p>
    <w:p w14:paraId="15778F72" w14:textId="77777777" w:rsidR="00A6207F" w:rsidRPr="00A6207F" w:rsidRDefault="00A6207F" w:rsidP="00AE1932">
      <w:pPr>
        <w:spacing w:after="0" w:line="240" w:lineRule="auto"/>
        <w:rPr>
          <w:bCs/>
          <w:color w:val="FF0000"/>
        </w:rPr>
      </w:pPr>
    </w:p>
    <w:p w14:paraId="26C6BE37" w14:textId="77777777" w:rsidR="00A6207F" w:rsidRPr="00A6207F" w:rsidRDefault="00A6207F" w:rsidP="00AE1932">
      <w:pPr>
        <w:spacing w:after="0" w:line="240" w:lineRule="auto"/>
        <w:rPr>
          <w:b/>
          <w:bCs/>
          <w:color w:val="FF0000"/>
        </w:rPr>
      </w:pPr>
      <w:r w:rsidRPr="00A6207F">
        <w:rPr>
          <w:b/>
          <w:bCs/>
          <w:color w:val="FF0000"/>
        </w:rPr>
        <w:t>2016 Submission:</w:t>
      </w:r>
    </w:p>
    <w:p w14:paraId="317C077E" w14:textId="77777777" w:rsidR="00A6207F" w:rsidRPr="00A6207F" w:rsidRDefault="00A6207F" w:rsidP="00AE1932">
      <w:pPr>
        <w:spacing w:after="0" w:line="240" w:lineRule="auto"/>
        <w:rPr>
          <w:bCs/>
          <w:color w:val="FF0000"/>
        </w:rPr>
      </w:pPr>
      <w:r w:rsidRPr="00A6207F">
        <w:rPr>
          <w:bCs/>
          <w:color w:val="FF0000"/>
        </w:rPr>
        <w:t>This measure only uses one set of specifications.</w:t>
      </w:r>
    </w:p>
    <w:p w14:paraId="7786E482" w14:textId="77777777" w:rsidR="0049531C" w:rsidRPr="0049531C" w:rsidRDefault="0049531C" w:rsidP="00AE1932">
      <w:pPr>
        <w:spacing w:after="0" w:line="240" w:lineRule="auto"/>
        <w:rPr>
          <w:bCs/>
        </w:rPr>
      </w:pPr>
    </w:p>
    <w:p w14:paraId="4E02BD57" w14:textId="77777777" w:rsidR="00A6207F" w:rsidRDefault="0049531C" w:rsidP="00AE1932">
      <w:pPr>
        <w:spacing w:after="0" w:line="240" w:lineRule="auto"/>
        <w:rPr>
          <w:bCs/>
        </w:rPr>
      </w:pPr>
      <w:r w:rsidRPr="0049531C">
        <w:rPr>
          <w:b/>
          <w:bCs/>
        </w:rPr>
        <w:t xml:space="preserve">2b6.3. </w:t>
      </w:r>
      <w:proofErr w:type="gramStart"/>
      <w:r w:rsidRPr="0049531C">
        <w:rPr>
          <w:b/>
          <w:bCs/>
        </w:rPr>
        <w:t>What</w:t>
      </w:r>
      <w:proofErr w:type="gramEnd"/>
      <w:r w:rsidRPr="0049531C">
        <w:rPr>
          <w:b/>
          <w:bCs/>
        </w:rPr>
        <w:t xml:space="preserve"> is your interpretation of the results in terms of demonstrating comparability of performance measure scores for the same entities across the different data sources/specifications?</w:t>
      </w:r>
      <w:r w:rsidRPr="0049531C">
        <w:rPr>
          <w:bCs/>
        </w:rPr>
        <w:t xml:space="preserve"> (i</w:t>
      </w:r>
      <w:r w:rsidRPr="0049531C">
        <w:rPr>
          <w:bCs/>
          <w:i/>
        </w:rPr>
        <w:t>.e., what do the results mean and what are the norms for the test conducted</w:t>
      </w:r>
      <w:proofErr w:type="gramStart"/>
      <w:r w:rsidRPr="0049531C">
        <w:rPr>
          <w:bCs/>
        </w:rPr>
        <w:t>)</w:t>
      </w:r>
      <w:proofErr w:type="gramEnd"/>
      <w:r w:rsidRPr="0049531C">
        <w:rPr>
          <w:bCs/>
        </w:rPr>
        <w:br/>
      </w:r>
      <w:r w:rsidR="00A6207F">
        <w:rPr>
          <w:b/>
          <w:bCs/>
        </w:rPr>
        <w:t>2014 Submission:</w:t>
      </w:r>
    </w:p>
    <w:p w14:paraId="5A26845A" w14:textId="77777777" w:rsidR="00A6207F" w:rsidRPr="0049531C" w:rsidRDefault="00A6207F" w:rsidP="00AE1932">
      <w:pPr>
        <w:spacing w:after="0" w:line="240" w:lineRule="auto"/>
        <w:rPr>
          <w:bCs/>
        </w:rPr>
      </w:pPr>
      <w:r w:rsidRPr="0049531C">
        <w:rPr>
          <w:bCs/>
        </w:rPr>
        <w:t>This measure only uses one set of specifications.</w:t>
      </w:r>
    </w:p>
    <w:p w14:paraId="12B0510E" w14:textId="77777777" w:rsidR="00A6207F" w:rsidRPr="00A6207F" w:rsidRDefault="00A6207F" w:rsidP="00AE1932">
      <w:pPr>
        <w:spacing w:after="0" w:line="240" w:lineRule="auto"/>
        <w:rPr>
          <w:bCs/>
          <w:color w:val="FF0000"/>
        </w:rPr>
      </w:pPr>
    </w:p>
    <w:p w14:paraId="11225031" w14:textId="77777777" w:rsidR="00A6207F" w:rsidRPr="00A6207F" w:rsidRDefault="00A6207F" w:rsidP="00AE1932">
      <w:pPr>
        <w:spacing w:after="0" w:line="240" w:lineRule="auto"/>
        <w:rPr>
          <w:b/>
          <w:bCs/>
          <w:color w:val="FF0000"/>
        </w:rPr>
      </w:pPr>
      <w:r w:rsidRPr="00A6207F">
        <w:rPr>
          <w:b/>
          <w:bCs/>
          <w:color w:val="FF0000"/>
        </w:rPr>
        <w:t>2016 Submission:</w:t>
      </w:r>
    </w:p>
    <w:p w14:paraId="6C6B33ED" w14:textId="77777777" w:rsidR="00A6207F" w:rsidRPr="00A6207F" w:rsidRDefault="00A6207F" w:rsidP="00AE1932">
      <w:pPr>
        <w:spacing w:after="0" w:line="240" w:lineRule="auto"/>
        <w:rPr>
          <w:bCs/>
          <w:color w:val="FF0000"/>
        </w:rPr>
      </w:pPr>
      <w:r w:rsidRPr="00A6207F">
        <w:rPr>
          <w:bCs/>
          <w:color w:val="FF0000"/>
        </w:rPr>
        <w:t>This measure only uses one set of specifications.</w:t>
      </w:r>
    </w:p>
    <w:p w14:paraId="51DC528E" w14:textId="67B3F9EA" w:rsidR="0049531C" w:rsidRPr="0049531C" w:rsidRDefault="0049531C" w:rsidP="00AE1932">
      <w:pPr>
        <w:spacing w:after="0" w:line="240" w:lineRule="auto"/>
        <w:rPr>
          <w:b/>
          <w:bCs/>
        </w:rPr>
      </w:pPr>
    </w:p>
    <w:p w14:paraId="0C57EB34" w14:textId="77777777" w:rsidR="0049531C" w:rsidRPr="0049531C" w:rsidRDefault="0049531C" w:rsidP="00AE1932">
      <w:pPr>
        <w:spacing w:after="0" w:line="240" w:lineRule="auto"/>
        <w:rPr>
          <w:b/>
          <w:bCs/>
        </w:rPr>
      </w:pPr>
      <w:r w:rsidRPr="0049531C">
        <w:rPr>
          <w:b/>
          <w:bCs/>
        </w:rPr>
        <w:t xml:space="preserve">2b7. MISSING DATA ANALYSIS AND MINIMIZING BIAS </w:t>
      </w:r>
    </w:p>
    <w:p w14:paraId="23E6E6A9" w14:textId="77777777" w:rsidR="0049531C" w:rsidRPr="0049531C" w:rsidRDefault="0049531C" w:rsidP="00AE1932">
      <w:pPr>
        <w:spacing w:after="0" w:line="240" w:lineRule="auto"/>
        <w:rPr>
          <w:bCs/>
        </w:rPr>
      </w:pPr>
    </w:p>
    <w:p w14:paraId="7E8778B8" w14:textId="3CA12C5D" w:rsidR="00A6207F" w:rsidRPr="00A6207F" w:rsidRDefault="0049531C" w:rsidP="00AE1932">
      <w:pPr>
        <w:spacing w:after="0" w:line="240" w:lineRule="auto"/>
        <w:rPr>
          <w:bCs/>
          <w:color w:val="000000" w:themeColor="text1"/>
        </w:rPr>
      </w:pPr>
      <w:proofErr w:type="gramStart"/>
      <w:r w:rsidRPr="0049531C">
        <w:rPr>
          <w:b/>
          <w:bCs/>
        </w:rPr>
        <w:t xml:space="preserve">2b7.1. Describe the method of testing conducted to </w:t>
      </w:r>
      <w:r w:rsidRPr="0049531C">
        <w:rPr>
          <w:b/>
        </w:rPr>
        <w:t>identify the extent and distribution of missing data (or nonresponse) and demonstrate that performance results are not biased</w:t>
      </w:r>
      <w:r w:rsidRPr="0049531C">
        <w:t xml:space="preserve"> due to systematic missing data (or differences between responders and </w:t>
      </w:r>
      <w:proofErr w:type="spellStart"/>
      <w:r w:rsidRPr="0049531C">
        <w:t>nonresponders</w:t>
      </w:r>
      <w:proofErr w:type="spellEnd"/>
      <w:r w:rsidRPr="0049531C">
        <w:t>) and how the specified handling of missing data minimizes bias</w:t>
      </w:r>
      <w:r w:rsidRPr="0049531C">
        <w:rPr>
          <w:bCs/>
        </w:rPr>
        <w:t xml:space="preserve"> (</w:t>
      </w:r>
      <w:r w:rsidRPr="0049531C">
        <w:rPr>
          <w:bCs/>
          <w:i/>
        </w:rPr>
        <w:t>describe the steps―do not just name a method; what statistical analysis was used</w:t>
      </w:r>
      <w:r w:rsidRPr="0049531C">
        <w:rPr>
          <w:bCs/>
        </w:rPr>
        <w:t>).</w:t>
      </w:r>
      <w:r w:rsidRPr="0049531C">
        <w:rPr>
          <w:bCs/>
        </w:rPr>
        <w:br/>
      </w:r>
      <w:proofErr w:type="gramEnd"/>
      <w:r w:rsidR="00A6207F" w:rsidRPr="00A6207F">
        <w:rPr>
          <w:b/>
          <w:bCs/>
          <w:color w:val="000000" w:themeColor="text1"/>
        </w:rPr>
        <w:t>2014 Submission:</w:t>
      </w:r>
    </w:p>
    <w:p w14:paraId="5B91E7B7" w14:textId="77777777" w:rsidR="00A6207F" w:rsidRPr="00A6207F" w:rsidRDefault="00A6207F" w:rsidP="00AE1932">
      <w:pPr>
        <w:autoSpaceDE w:val="0"/>
        <w:autoSpaceDN w:val="0"/>
        <w:adjustRightInd w:val="0"/>
        <w:spacing w:after="0" w:line="240" w:lineRule="auto"/>
        <w:rPr>
          <w:rFonts w:cstheme="minorHAnsi"/>
          <w:bCs/>
          <w:color w:val="000000" w:themeColor="text1"/>
        </w:rPr>
      </w:pPr>
      <w:r w:rsidRPr="00A6207F">
        <w:rPr>
          <w:color w:val="000000" w:themeColor="text1"/>
        </w:rPr>
        <w:t xml:space="preserve">The measure contractor does not make any adjustments for missing data. The measure relies on Medicare claims data, which </w:t>
      </w:r>
      <w:proofErr w:type="gramStart"/>
      <w:r w:rsidRPr="00A6207F">
        <w:rPr>
          <w:color w:val="000000" w:themeColor="text1"/>
        </w:rPr>
        <w:t>are used</w:t>
      </w:r>
      <w:proofErr w:type="gramEnd"/>
      <w:r w:rsidRPr="00A6207F">
        <w:rPr>
          <w:color w:val="000000" w:themeColor="text1"/>
        </w:rPr>
        <w:t xml:space="preserve"> for payment purposes for services rendered by a provider. The data undergo prepayment claims analysis and post payment audits, as part of the CMS administrative process. The analytic files used by the measure developer </w:t>
      </w:r>
      <w:proofErr w:type="gramStart"/>
      <w:r w:rsidRPr="00A6207F">
        <w:rPr>
          <w:color w:val="000000" w:themeColor="text1"/>
        </w:rPr>
        <w:t>are post-adjudicated</w:t>
      </w:r>
      <w:proofErr w:type="gramEnd"/>
      <w:r w:rsidRPr="00A6207F">
        <w:rPr>
          <w:color w:val="000000" w:themeColor="text1"/>
        </w:rPr>
        <w:t xml:space="preserve"> claims.</w:t>
      </w:r>
    </w:p>
    <w:p w14:paraId="631A56F3" w14:textId="77777777" w:rsidR="00A6207F" w:rsidRDefault="00A6207F" w:rsidP="00AE1932">
      <w:pPr>
        <w:spacing w:after="0" w:line="240" w:lineRule="auto"/>
        <w:rPr>
          <w:bCs/>
        </w:rPr>
      </w:pPr>
    </w:p>
    <w:p w14:paraId="077343AE" w14:textId="6BF828C6" w:rsidR="00A6207F" w:rsidRPr="00A6207F" w:rsidRDefault="00A6207F" w:rsidP="00AE1932">
      <w:pPr>
        <w:spacing w:after="0" w:line="240" w:lineRule="auto"/>
        <w:rPr>
          <w:bCs/>
          <w:color w:val="FF0000"/>
        </w:rPr>
      </w:pPr>
      <w:r w:rsidRPr="00A6207F">
        <w:rPr>
          <w:b/>
          <w:bCs/>
          <w:color w:val="FF0000"/>
        </w:rPr>
        <w:t>2016 Submission:</w:t>
      </w:r>
    </w:p>
    <w:p w14:paraId="6C2BA0C8" w14:textId="2E2F2E92" w:rsidR="0049531C" w:rsidRPr="00A6207F" w:rsidRDefault="0049531C" w:rsidP="00AE1932">
      <w:pPr>
        <w:spacing w:after="0" w:line="240" w:lineRule="auto"/>
        <w:rPr>
          <w:bCs/>
          <w:color w:val="FF0000"/>
        </w:rPr>
      </w:pPr>
      <w:r w:rsidRPr="00A6207F">
        <w:rPr>
          <w:bCs/>
          <w:color w:val="FF0000"/>
        </w:rPr>
        <w:t xml:space="preserve">This measure </w:t>
      </w:r>
      <w:proofErr w:type="gramStart"/>
      <w:r w:rsidRPr="00A6207F">
        <w:rPr>
          <w:bCs/>
          <w:color w:val="FF0000"/>
        </w:rPr>
        <w:t>is calculated</w:t>
      </w:r>
      <w:proofErr w:type="gramEnd"/>
      <w:r w:rsidRPr="00A6207F">
        <w:rPr>
          <w:bCs/>
          <w:color w:val="FF0000"/>
        </w:rPr>
        <w:t xml:space="preserve"> from claims data submitted by measured entities for purposes of payment. </w:t>
      </w:r>
      <w:proofErr w:type="gramStart"/>
      <w:r w:rsidRPr="00A6207F">
        <w:rPr>
          <w:bCs/>
          <w:color w:val="FF0000"/>
        </w:rPr>
        <w:t>The administrative claims data used to calculate the measure are maintained by CMS’s Office of Information Services</w:t>
      </w:r>
      <w:proofErr w:type="gramEnd"/>
      <w:r w:rsidRPr="00A6207F">
        <w:rPr>
          <w:bCs/>
          <w:color w:val="FF0000"/>
        </w:rPr>
        <w:t xml:space="preserve">; these data undergo additional quality assurance checks during measure development and maintenance. Thus, the analytic files used for measure testing and measure calculation include post-adjudicated claims, and do not include known missing data. </w:t>
      </w:r>
    </w:p>
    <w:p w14:paraId="60C40C1E" w14:textId="77777777" w:rsidR="0049531C" w:rsidRPr="0049531C" w:rsidRDefault="0049531C" w:rsidP="00AE1932">
      <w:pPr>
        <w:spacing w:after="0" w:line="240" w:lineRule="auto"/>
        <w:rPr>
          <w:bCs/>
        </w:rPr>
      </w:pPr>
    </w:p>
    <w:p w14:paraId="409B5F18" w14:textId="6606CA30" w:rsidR="00A6207F" w:rsidRPr="00A6207F" w:rsidRDefault="0049531C" w:rsidP="00AE1932">
      <w:pPr>
        <w:spacing w:after="0" w:line="240" w:lineRule="auto"/>
        <w:rPr>
          <w:bCs/>
          <w:color w:val="000000" w:themeColor="text1"/>
        </w:rPr>
      </w:pPr>
      <w:r w:rsidRPr="0049531C">
        <w:rPr>
          <w:b/>
          <w:bCs/>
        </w:rPr>
        <w:t xml:space="preserve">2b7.2. </w:t>
      </w:r>
      <w:proofErr w:type="gramStart"/>
      <w:r w:rsidRPr="0049531C">
        <w:rPr>
          <w:b/>
          <w:bCs/>
        </w:rPr>
        <w:t>What</w:t>
      </w:r>
      <w:proofErr w:type="gramEnd"/>
      <w:r w:rsidRPr="0049531C">
        <w:rPr>
          <w:b/>
          <w:bCs/>
        </w:rPr>
        <w:t xml:space="preserve"> is the overall frequency of missing data, the distribution of missing data across providers, and the results from testing related to missing data?</w:t>
      </w:r>
      <w:r w:rsidRPr="0049531C">
        <w:rPr>
          <w:bCs/>
        </w:rPr>
        <w:t xml:space="preserve"> (</w:t>
      </w:r>
      <w:r w:rsidRPr="0049531C">
        <w:rPr>
          <w:bCs/>
          <w:i/>
        </w:rPr>
        <w:t>e.g.,</w:t>
      </w:r>
      <w:r w:rsidRPr="0049531C">
        <w:rPr>
          <w:b/>
          <w:bCs/>
        </w:rPr>
        <w:t xml:space="preserve"> </w:t>
      </w:r>
      <w:r w:rsidRPr="0049531C">
        <w:rPr>
          <w:bCs/>
          <w:i/>
        </w:rPr>
        <w:t xml:space="preserve">results of sensitivity analysis of the effect of various rules for missing data/nonresponse; </w:t>
      </w:r>
      <w:r w:rsidRPr="0049531C">
        <w:rPr>
          <w:bCs/>
          <w:i/>
          <w:u w:val="single"/>
        </w:rPr>
        <w:t>if no empirical sensitivity analysis</w:t>
      </w:r>
      <w:r w:rsidRPr="0049531C">
        <w:rPr>
          <w:bCs/>
          <w:i/>
        </w:rPr>
        <w:t>, identify the approaches for handling missing data that were considered and pros and cons of each</w:t>
      </w:r>
      <w:r w:rsidRPr="0049531C">
        <w:rPr>
          <w:bCs/>
        </w:rPr>
        <w:t>)</w:t>
      </w:r>
      <w:r w:rsidRPr="0049531C">
        <w:rPr>
          <w:bCs/>
        </w:rPr>
        <w:br/>
      </w:r>
      <w:r w:rsidR="00A6207F" w:rsidRPr="00A6207F">
        <w:rPr>
          <w:b/>
          <w:bCs/>
          <w:color w:val="000000" w:themeColor="text1"/>
        </w:rPr>
        <w:t>2014 Submission:</w:t>
      </w:r>
    </w:p>
    <w:p w14:paraId="2D8789FA" w14:textId="772830BE" w:rsidR="00A6207F" w:rsidRPr="00A6207F" w:rsidRDefault="00A6207F" w:rsidP="00AE1932">
      <w:pPr>
        <w:spacing w:after="0" w:line="240" w:lineRule="auto"/>
        <w:rPr>
          <w:color w:val="000000" w:themeColor="text1"/>
        </w:rPr>
      </w:pPr>
      <w:r w:rsidRPr="00A6207F">
        <w:rPr>
          <w:color w:val="000000" w:themeColor="text1"/>
        </w:rPr>
        <w:t>The analytic files used by the measure developer are post-adjudicated claims, and do not include missing data.</w:t>
      </w:r>
    </w:p>
    <w:p w14:paraId="5BE2D3A5" w14:textId="77777777" w:rsidR="00A6207F" w:rsidRDefault="00A6207F" w:rsidP="00AE1932">
      <w:pPr>
        <w:spacing w:after="0" w:line="240" w:lineRule="auto"/>
        <w:rPr>
          <w:color w:val="0000FF"/>
        </w:rPr>
      </w:pPr>
    </w:p>
    <w:p w14:paraId="3383E577" w14:textId="163F3CC7" w:rsidR="00A6207F" w:rsidRPr="00A6207F" w:rsidRDefault="00A6207F" w:rsidP="00AE1932">
      <w:pPr>
        <w:spacing w:after="0" w:line="240" w:lineRule="auto"/>
        <w:rPr>
          <w:bCs/>
          <w:color w:val="FF0000"/>
        </w:rPr>
      </w:pPr>
      <w:r w:rsidRPr="00A6207F">
        <w:rPr>
          <w:b/>
          <w:bCs/>
          <w:color w:val="FF0000"/>
        </w:rPr>
        <w:t>2016 Submission:</w:t>
      </w:r>
    </w:p>
    <w:p w14:paraId="5C11D7A7" w14:textId="239C054B" w:rsidR="0049531C" w:rsidRPr="00A6207F" w:rsidRDefault="0049531C" w:rsidP="00AE1932">
      <w:pPr>
        <w:spacing w:after="0" w:line="240" w:lineRule="auto"/>
        <w:rPr>
          <w:bCs/>
          <w:color w:val="FF0000"/>
        </w:rPr>
      </w:pPr>
      <w:r w:rsidRPr="00A6207F">
        <w:rPr>
          <w:bCs/>
          <w:color w:val="FF0000"/>
        </w:rPr>
        <w:t xml:space="preserve">As described in </w:t>
      </w:r>
      <w:r w:rsidRPr="00A6207F">
        <w:rPr>
          <w:b/>
          <w:bCs/>
          <w:color w:val="FF0000"/>
        </w:rPr>
        <w:t>Section 2b7.1</w:t>
      </w:r>
      <w:r w:rsidRPr="00A6207F">
        <w:rPr>
          <w:bCs/>
          <w:color w:val="FF0000"/>
        </w:rPr>
        <w:t>, the analytic files used for measure testing and measure calculation include post-adjudicated claims, and do not include known missing data.</w:t>
      </w:r>
    </w:p>
    <w:p w14:paraId="338B0C11" w14:textId="77777777" w:rsidR="0049531C" w:rsidRPr="0049531C" w:rsidRDefault="0049531C" w:rsidP="00AE1932">
      <w:pPr>
        <w:spacing w:after="0" w:line="240" w:lineRule="auto"/>
        <w:rPr>
          <w:bCs/>
        </w:rPr>
      </w:pPr>
    </w:p>
    <w:p w14:paraId="785ABF50" w14:textId="77777777" w:rsidR="0049531C" w:rsidRPr="0049531C" w:rsidRDefault="0049531C" w:rsidP="00AE1932">
      <w:pPr>
        <w:spacing w:after="0" w:line="240" w:lineRule="auto"/>
        <w:rPr>
          <w:bCs/>
        </w:rPr>
      </w:pPr>
      <w:r w:rsidRPr="0049531C">
        <w:rPr>
          <w:b/>
          <w:bCs/>
        </w:rPr>
        <w:t xml:space="preserve">2b7.3. </w:t>
      </w:r>
      <w:proofErr w:type="gramStart"/>
      <w:r w:rsidRPr="0049531C">
        <w:rPr>
          <w:b/>
          <w:bCs/>
        </w:rPr>
        <w:t>What</w:t>
      </w:r>
      <w:proofErr w:type="gramEnd"/>
      <w:r w:rsidRPr="0049531C">
        <w:rPr>
          <w:b/>
          <w:bCs/>
        </w:rPr>
        <w:t xml:space="preserve"> is your interpretat</w:t>
      </w:r>
      <w:r w:rsidRPr="001D6033">
        <w:rPr>
          <w:b/>
          <w:bCs/>
        </w:rPr>
        <w:t xml:space="preserve">ion of the results in terms of demonstrating that </w:t>
      </w:r>
      <w:r w:rsidRPr="001D6033">
        <w:rPr>
          <w:b/>
        </w:rPr>
        <w:t xml:space="preserve">performance results are not biased due to systematic missing data (or differences between responders and </w:t>
      </w:r>
      <w:proofErr w:type="spellStart"/>
      <w:r w:rsidRPr="001D6033">
        <w:rPr>
          <w:b/>
        </w:rPr>
        <w:t>nonresponders</w:t>
      </w:r>
      <w:proofErr w:type="spellEnd"/>
      <w:r w:rsidRPr="001D6033">
        <w:rPr>
          <w:b/>
        </w:rPr>
        <w:t>) and how the specified handling of missing data minimizes bias</w:t>
      </w:r>
      <w:r w:rsidRPr="001D6033">
        <w:rPr>
          <w:b/>
          <w:bCs/>
        </w:rPr>
        <w:t>?</w:t>
      </w:r>
      <w:r w:rsidRPr="0049531C">
        <w:rPr>
          <w:bCs/>
        </w:rPr>
        <w:t xml:space="preserve"> (i</w:t>
      </w:r>
      <w:r w:rsidRPr="0049531C">
        <w:rPr>
          <w:bCs/>
          <w:i/>
        </w:rPr>
        <w:t xml:space="preserve">.e., what do the results mean in terms of supporting the selected approach for missing </w:t>
      </w:r>
      <w:proofErr w:type="gramStart"/>
      <w:r w:rsidRPr="0049531C">
        <w:rPr>
          <w:bCs/>
          <w:i/>
        </w:rPr>
        <w:t>data and what are the norms for the test conducted</w:t>
      </w:r>
      <w:proofErr w:type="gramEnd"/>
      <w:r w:rsidRPr="0049531C">
        <w:rPr>
          <w:bCs/>
          <w:i/>
        </w:rPr>
        <w:t xml:space="preserve">; </w:t>
      </w:r>
      <w:r w:rsidRPr="0049531C">
        <w:rPr>
          <w:bCs/>
          <w:i/>
          <w:u w:val="single"/>
        </w:rPr>
        <w:t>if no empirical analysis</w:t>
      </w:r>
      <w:r w:rsidRPr="0049531C">
        <w:rPr>
          <w:bCs/>
          <w:i/>
        </w:rPr>
        <w:t>, provide rationale for the selected approach for missing data</w:t>
      </w:r>
      <w:r w:rsidRPr="0049531C">
        <w:rPr>
          <w:bCs/>
        </w:rPr>
        <w:t>).</w:t>
      </w:r>
    </w:p>
    <w:p w14:paraId="38E2DEF0" w14:textId="019A3E77" w:rsidR="00FF6061" w:rsidRPr="00FF6061" w:rsidRDefault="00FF6061" w:rsidP="00AE1932">
      <w:pPr>
        <w:spacing w:after="0" w:line="240" w:lineRule="auto"/>
        <w:rPr>
          <w:bCs/>
          <w:color w:val="000000" w:themeColor="text1"/>
        </w:rPr>
      </w:pPr>
      <w:r w:rsidRPr="00FF6061">
        <w:rPr>
          <w:b/>
          <w:bCs/>
          <w:color w:val="000000" w:themeColor="text1"/>
        </w:rPr>
        <w:t>2014 Submission:</w:t>
      </w:r>
    </w:p>
    <w:p w14:paraId="60E2CC57" w14:textId="77777777" w:rsidR="00FF6061" w:rsidRPr="00FF6061" w:rsidRDefault="00FF6061" w:rsidP="00AE1932">
      <w:pPr>
        <w:spacing w:after="0" w:line="240" w:lineRule="auto"/>
        <w:rPr>
          <w:color w:val="000000" w:themeColor="text1"/>
        </w:rPr>
      </w:pPr>
      <w:r w:rsidRPr="00FF6061">
        <w:rPr>
          <w:color w:val="000000" w:themeColor="text1"/>
        </w:rPr>
        <w:t>The analytic files used by the measure developer are post-adjudicated claims, and do not include missing data. As such, missing data does not bias the performance results.</w:t>
      </w:r>
    </w:p>
    <w:p w14:paraId="728F6172" w14:textId="77777777" w:rsidR="00FF6061" w:rsidRDefault="00FF6061" w:rsidP="00AE1932">
      <w:pPr>
        <w:spacing w:after="0" w:line="240" w:lineRule="auto"/>
        <w:rPr>
          <w:bCs/>
        </w:rPr>
      </w:pPr>
    </w:p>
    <w:p w14:paraId="77C60DA4" w14:textId="0406419F" w:rsidR="00FF6061" w:rsidRPr="00FF6061" w:rsidRDefault="00FF6061" w:rsidP="00AE1932">
      <w:pPr>
        <w:spacing w:after="0" w:line="240" w:lineRule="auto"/>
        <w:rPr>
          <w:b/>
          <w:bCs/>
          <w:color w:val="FF0000"/>
        </w:rPr>
      </w:pPr>
      <w:r w:rsidRPr="00FF6061">
        <w:rPr>
          <w:b/>
          <w:bCs/>
          <w:color w:val="FF0000"/>
        </w:rPr>
        <w:t>2016 Submission:</w:t>
      </w:r>
    </w:p>
    <w:p w14:paraId="1BDB878E" w14:textId="71194EE9" w:rsidR="00BA053B" w:rsidRPr="00FF6061" w:rsidRDefault="0049531C" w:rsidP="00AE1932">
      <w:pPr>
        <w:spacing w:after="0" w:line="240" w:lineRule="auto"/>
        <w:rPr>
          <w:bCs/>
          <w:color w:val="FF0000"/>
        </w:rPr>
      </w:pPr>
      <w:r w:rsidRPr="00FF6061">
        <w:rPr>
          <w:bCs/>
          <w:color w:val="FF0000"/>
        </w:rPr>
        <w:t xml:space="preserve">As described in </w:t>
      </w:r>
      <w:r w:rsidRPr="00FF6061">
        <w:rPr>
          <w:b/>
          <w:bCs/>
          <w:color w:val="FF0000"/>
        </w:rPr>
        <w:t>Section 2b7.1</w:t>
      </w:r>
      <w:r w:rsidRPr="00FF6061">
        <w:rPr>
          <w:bCs/>
          <w:color w:val="FF0000"/>
        </w:rPr>
        <w:t>, the analytic files used for measure testing and measure calculation include post-adjudicated claims, and do not include known missing data. As such, missing data does not bias the performance results.</w:t>
      </w:r>
      <w:bookmarkStart w:id="12" w:name="section2b4"/>
      <w:bookmarkStart w:id="13" w:name="question2b49"/>
      <w:bookmarkStart w:id="14" w:name="section2b5"/>
      <w:bookmarkEnd w:id="12"/>
      <w:bookmarkEnd w:id="13"/>
      <w:bookmarkEnd w:id="14"/>
    </w:p>
    <w:sectPr w:rsidR="00BA053B" w:rsidRPr="00FF6061" w:rsidSect="00B35F5A">
      <w:type w:val="continuous"/>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7C5AC1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897197" w14:textId="77777777" w:rsidR="007D0E80" w:rsidRDefault="007D0E80" w:rsidP="005C73CA">
      <w:pPr>
        <w:spacing w:after="0" w:line="240" w:lineRule="auto"/>
      </w:pPr>
      <w:r>
        <w:separator/>
      </w:r>
    </w:p>
  </w:endnote>
  <w:endnote w:type="continuationSeparator" w:id="0">
    <w:p w14:paraId="7758AD8B" w14:textId="77777777" w:rsidR="007D0E80" w:rsidRDefault="007D0E80"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8F65F" w14:textId="076091B2" w:rsidR="007D0E80" w:rsidRDefault="007D0E80">
    <w:pPr>
      <w:pStyle w:val="Footer"/>
    </w:pPr>
    <w:r>
      <w:t>Version 7.0 8/1/2016</w:t>
    </w:r>
    <w:r>
      <w:ptab w:relativeTo="margin" w:alignment="right" w:leader="none"/>
    </w:r>
    <w:r>
      <w:fldChar w:fldCharType="begin"/>
    </w:r>
    <w:r>
      <w:instrText xml:space="preserve"> PAGE   \* MERGEFORMAT </w:instrText>
    </w:r>
    <w:r>
      <w:fldChar w:fldCharType="separate"/>
    </w:r>
    <w:r w:rsidR="00D206CC">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CE269E" w14:textId="77777777" w:rsidR="007D0E80" w:rsidRDefault="007D0E80" w:rsidP="005C73CA">
      <w:pPr>
        <w:spacing w:after="0" w:line="240" w:lineRule="auto"/>
      </w:pPr>
      <w:r>
        <w:separator/>
      </w:r>
    </w:p>
  </w:footnote>
  <w:footnote w:type="continuationSeparator" w:id="0">
    <w:p w14:paraId="5152BBC3" w14:textId="77777777" w:rsidR="007D0E80" w:rsidRDefault="007D0E80" w:rsidP="005C73CA">
      <w:pPr>
        <w:spacing w:after="0" w:line="240" w:lineRule="auto"/>
      </w:pPr>
      <w:r>
        <w:continuationSeparator/>
      </w:r>
    </w:p>
  </w:footnote>
  <w:footnote w:id="1">
    <w:p w14:paraId="0345C5C1" w14:textId="77777777" w:rsidR="00FA6256" w:rsidRPr="00BA6D77" w:rsidRDefault="00FA6256" w:rsidP="00FA6256">
      <w:pPr>
        <w:pStyle w:val="FootnoteText"/>
        <w:jc w:val="both"/>
        <w:rPr>
          <w:rFonts w:asciiTheme="minorHAnsi" w:hAnsiTheme="minorHAnsi"/>
          <w:color w:val="0000FF"/>
          <w:sz w:val="18"/>
          <w:szCs w:val="18"/>
        </w:rPr>
      </w:pPr>
      <w:r w:rsidRPr="00FA6256">
        <w:rPr>
          <w:rStyle w:val="FootnoteReference"/>
          <w:rFonts w:asciiTheme="minorHAnsi" w:hAnsiTheme="minorHAnsi"/>
          <w:color w:val="000000" w:themeColor="text1"/>
          <w:sz w:val="18"/>
          <w:szCs w:val="18"/>
        </w:rPr>
        <w:footnoteRef/>
      </w:r>
      <w:r w:rsidRPr="00FA6256">
        <w:rPr>
          <w:rFonts w:asciiTheme="minorHAnsi" w:hAnsiTheme="minorHAnsi"/>
          <w:color w:val="000000" w:themeColor="text1"/>
          <w:sz w:val="18"/>
          <w:szCs w:val="18"/>
        </w:rPr>
        <w:t xml:space="preserve"> Facilities included in this calculation </w:t>
      </w:r>
      <w:proofErr w:type="gramStart"/>
      <w:r w:rsidRPr="00FA6256">
        <w:rPr>
          <w:rFonts w:asciiTheme="minorHAnsi" w:hAnsiTheme="minorHAnsi"/>
          <w:color w:val="000000" w:themeColor="text1"/>
          <w:sz w:val="18"/>
          <w:szCs w:val="18"/>
        </w:rPr>
        <w:t>may not be publicly reported</w:t>
      </w:r>
      <w:proofErr w:type="gramEnd"/>
      <w:r w:rsidRPr="00FA6256">
        <w:rPr>
          <w:rFonts w:asciiTheme="minorHAnsi" w:hAnsiTheme="minorHAnsi"/>
          <w:color w:val="000000" w:themeColor="text1"/>
          <w:sz w:val="18"/>
          <w:szCs w:val="18"/>
        </w:rPr>
        <w:t xml:space="preserve">. Following initial facility score calculation, another contractor removes facilities that do not meet public reporting requirements, such as those that are not subject to public reporting due to facility status. </w:t>
      </w:r>
    </w:p>
  </w:footnote>
  <w:footnote w:id="2">
    <w:p w14:paraId="320878B0" w14:textId="2FC91BB9" w:rsidR="00A6207F" w:rsidRPr="00A6207F" w:rsidRDefault="00A6207F">
      <w:pPr>
        <w:pStyle w:val="FootnoteText"/>
        <w:rPr>
          <w:rFonts w:asciiTheme="minorHAnsi" w:hAnsiTheme="minorHAnsi"/>
          <w:sz w:val="18"/>
          <w:szCs w:val="18"/>
        </w:rPr>
      </w:pPr>
      <w:r w:rsidRPr="00A6207F">
        <w:rPr>
          <w:rStyle w:val="FootnoteReference"/>
          <w:rFonts w:asciiTheme="minorHAnsi" w:hAnsiTheme="minorHAnsi"/>
          <w:color w:val="000000" w:themeColor="text1"/>
          <w:sz w:val="18"/>
          <w:szCs w:val="18"/>
        </w:rPr>
        <w:footnoteRef/>
      </w:r>
      <w:r w:rsidRPr="00A6207F">
        <w:rPr>
          <w:rFonts w:asciiTheme="minorHAnsi" w:hAnsiTheme="minorHAnsi"/>
          <w:color w:val="000000" w:themeColor="text1"/>
          <w:sz w:val="18"/>
          <w:szCs w:val="18"/>
        </w:rPr>
        <w:t xml:space="preserve"> </w:t>
      </w:r>
      <w:r w:rsidRPr="00A6207F">
        <w:rPr>
          <w:rFonts w:asciiTheme="minorHAnsi" w:hAnsiTheme="minorHAnsi"/>
          <w:color w:val="000000" w:themeColor="text1"/>
          <w:sz w:val="18"/>
          <w:szCs w:val="18"/>
        </w:rPr>
        <w:t>For questions 2b5.2 and 2b5.3 weighted mean refers to the weighted mean of the publicly reported facility scores in the HOQR program. The weighted mean for 2010 was 31.6% and the weighted mean for 2011 was 31.4%.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8AB25" w14:textId="18783095" w:rsidR="007D0E80" w:rsidRPr="00105D8B" w:rsidRDefault="007D0E80"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FF01C96"/>
    <w:multiLevelType w:val="hybridMultilevel"/>
    <w:tmpl w:val="BB24C9A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3701A"/>
    <w:multiLevelType w:val="hybridMultilevel"/>
    <w:tmpl w:val="B62C43C0"/>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9">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F8F7B84"/>
    <w:multiLevelType w:val="hybridMultilevel"/>
    <w:tmpl w:val="51CC7C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FE620E2"/>
    <w:multiLevelType w:val="hybridMultilevel"/>
    <w:tmpl w:val="8ED4E5D4"/>
    <w:lvl w:ilvl="0" w:tplc="BB761A90">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E557D8"/>
    <w:multiLevelType w:val="hybridMultilevel"/>
    <w:tmpl w:val="6592F7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38C616F"/>
    <w:multiLevelType w:val="hybridMultilevel"/>
    <w:tmpl w:val="473AFD1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4771EA4"/>
    <w:multiLevelType w:val="hybridMultilevel"/>
    <w:tmpl w:val="FA70631E"/>
    <w:lvl w:ilvl="0" w:tplc="F4EE10F8">
      <w:start w:val="1"/>
      <w:numFmt w:val="decimal"/>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5D6545C2"/>
    <w:multiLevelType w:val="hybridMultilevel"/>
    <w:tmpl w:val="BFD4C6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F482AB0"/>
    <w:multiLevelType w:val="hybridMultilevel"/>
    <w:tmpl w:val="CDF60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63A140F"/>
    <w:multiLevelType w:val="hybridMultilevel"/>
    <w:tmpl w:val="64E2B52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6B90FFD"/>
    <w:multiLevelType w:val="hybridMultilevel"/>
    <w:tmpl w:val="FA70631E"/>
    <w:lvl w:ilvl="0" w:tplc="F4EE10F8">
      <w:start w:val="1"/>
      <w:numFmt w:val="decimal"/>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95804C1"/>
    <w:multiLevelType w:val="hybridMultilevel"/>
    <w:tmpl w:val="3C8C1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B622C3E"/>
    <w:multiLevelType w:val="hybridMultilevel"/>
    <w:tmpl w:val="64E2B52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BD01E3C"/>
    <w:multiLevelType w:val="hybridMultilevel"/>
    <w:tmpl w:val="DC822504"/>
    <w:lvl w:ilvl="0" w:tplc="5B7E6428">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4"/>
  </w:num>
  <w:num w:numId="3">
    <w:abstractNumId w:val="3"/>
  </w:num>
  <w:num w:numId="4">
    <w:abstractNumId w:val="7"/>
  </w:num>
  <w:num w:numId="5">
    <w:abstractNumId w:val="2"/>
  </w:num>
  <w:num w:numId="6">
    <w:abstractNumId w:val="1"/>
  </w:num>
  <w:num w:numId="7">
    <w:abstractNumId w:val="4"/>
  </w:num>
  <w:num w:numId="8">
    <w:abstractNumId w:val="26"/>
  </w:num>
  <w:num w:numId="9">
    <w:abstractNumId w:val="13"/>
  </w:num>
  <w:num w:numId="10">
    <w:abstractNumId w:val="35"/>
  </w:num>
  <w:num w:numId="11">
    <w:abstractNumId w:val="15"/>
  </w:num>
  <w:num w:numId="12">
    <w:abstractNumId w:val="31"/>
  </w:num>
  <w:num w:numId="13">
    <w:abstractNumId w:val="23"/>
  </w:num>
  <w:num w:numId="14">
    <w:abstractNumId w:val="23"/>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1"/>
  </w:num>
  <w:num w:numId="16">
    <w:abstractNumId w:val="10"/>
  </w:num>
  <w:num w:numId="17">
    <w:abstractNumId w:val="34"/>
  </w:num>
  <w:num w:numId="18">
    <w:abstractNumId w:val="28"/>
  </w:num>
  <w:num w:numId="19">
    <w:abstractNumId w:val="27"/>
  </w:num>
  <w:num w:numId="20">
    <w:abstractNumId w:val="19"/>
  </w:num>
  <w:num w:numId="21">
    <w:abstractNumId w:val="24"/>
  </w:num>
  <w:num w:numId="22">
    <w:abstractNumId w:val="18"/>
  </w:num>
  <w:num w:numId="23">
    <w:abstractNumId w:val="9"/>
  </w:num>
  <w:num w:numId="24">
    <w:abstractNumId w:val="17"/>
  </w:num>
  <w:num w:numId="25">
    <w:abstractNumId w:val="16"/>
  </w:num>
  <w:num w:numId="26">
    <w:abstractNumId w:val="38"/>
  </w:num>
  <w:num w:numId="27">
    <w:abstractNumId w:val="0"/>
  </w:num>
  <w:num w:numId="28">
    <w:abstractNumId w:val="12"/>
  </w:num>
  <w:num w:numId="29">
    <w:abstractNumId w:val="20"/>
  </w:num>
  <w:num w:numId="30">
    <w:abstractNumId w:val="8"/>
  </w:num>
  <w:num w:numId="31">
    <w:abstractNumId w:val="33"/>
  </w:num>
  <w:num w:numId="32">
    <w:abstractNumId w:val="36"/>
  </w:num>
  <w:num w:numId="33">
    <w:abstractNumId w:val="6"/>
  </w:num>
  <w:num w:numId="34">
    <w:abstractNumId w:val="29"/>
  </w:num>
  <w:num w:numId="35">
    <w:abstractNumId w:val="41"/>
  </w:num>
  <w:num w:numId="36">
    <w:abstractNumId w:val="22"/>
  </w:num>
  <w:num w:numId="37">
    <w:abstractNumId w:val="30"/>
  </w:num>
  <w:num w:numId="38">
    <w:abstractNumId w:val="11"/>
  </w:num>
  <w:num w:numId="39">
    <w:abstractNumId w:val="37"/>
  </w:num>
  <w:num w:numId="40">
    <w:abstractNumId w:val="39"/>
  </w:num>
  <w:num w:numId="41">
    <w:abstractNumId w:val="40"/>
  </w:num>
  <w:num w:numId="42">
    <w:abstractNumId w:val="32"/>
  </w:num>
  <w:num w:numId="43">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vis, Melissa">
    <w15:presenceInfo w15:providerId="None" w15:userId="Davis, Melissa"/>
  </w15:person>
  <w15:person w15:author="Arjun Venkatesh">
    <w15:presenceInfo w15:providerId="Windows Live" w15:userId="90018e8630005b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3ED4"/>
    <w:rsid w:val="00024DFD"/>
    <w:rsid w:val="000263B8"/>
    <w:rsid w:val="00027AB8"/>
    <w:rsid w:val="000309DD"/>
    <w:rsid w:val="00031414"/>
    <w:rsid w:val="00033038"/>
    <w:rsid w:val="00033D63"/>
    <w:rsid w:val="0003436F"/>
    <w:rsid w:val="00037489"/>
    <w:rsid w:val="00040F6C"/>
    <w:rsid w:val="000414E8"/>
    <w:rsid w:val="0004198D"/>
    <w:rsid w:val="0004593A"/>
    <w:rsid w:val="00046C54"/>
    <w:rsid w:val="00050A3E"/>
    <w:rsid w:val="00051299"/>
    <w:rsid w:val="00051702"/>
    <w:rsid w:val="00052A6F"/>
    <w:rsid w:val="000530AD"/>
    <w:rsid w:val="00053F02"/>
    <w:rsid w:val="0005612B"/>
    <w:rsid w:val="000574AB"/>
    <w:rsid w:val="0006147A"/>
    <w:rsid w:val="00061E44"/>
    <w:rsid w:val="00070A6C"/>
    <w:rsid w:val="000775F8"/>
    <w:rsid w:val="00080CF7"/>
    <w:rsid w:val="000851B2"/>
    <w:rsid w:val="00092566"/>
    <w:rsid w:val="000968F8"/>
    <w:rsid w:val="00097012"/>
    <w:rsid w:val="000A7D52"/>
    <w:rsid w:val="000B032A"/>
    <w:rsid w:val="000B0753"/>
    <w:rsid w:val="000B2DF7"/>
    <w:rsid w:val="000B3880"/>
    <w:rsid w:val="000C0FF8"/>
    <w:rsid w:val="000D7948"/>
    <w:rsid w:val="000D7C84"/>
    <w:rsid w:val="000E4E13"/>
    <w:rsid w:val="000E78F6"/>
    <w:rsid w:val="000F034A"/>
    <w:rsid w:val="000F06B5"/>
    <w:rsid w:val="000F39E9"/>
    <w:rsid w:val="00104B45"/>
    <w:rsid w:val="00105564"/>
    <w:rsid w:val="00105D8B"/>
    <w:rsid w:val="0011210C"/>
    <w:rsid w:val="0011342F"/>
    <w:rsid w:val="001202E9"/>
    <w:rsid w:val="0012454F"/>
    <w:rsid w:val="00124D1E"/>
    <w:rsid w:val="00125273"/>
    <w:rsid w:val="0012575E"/>
    <w:rsid w:val="0012652B"/>
    <w:rsid w:val="00127C06"/>
    <w:rsid w:val="00134649"/>
    <w:rsid w:val="001376C4"/>
    <w:rsid w:val="00145149"/>
    <w:rsid w:val="00145D4F"/>
    <w:rsid w:val="0014773C"/>
    <w:rsid w:val="001519AF"/>
    <w:rsid w:val="00157B0F"/>
    <w:rsid w:val="0017199C"/>
    <w:rsid w:val="00172F1D"/>
    <w:rsid w:val="00175350"/>
    <w:rsid w:val="0017696D"/>
    <w:rsid w:val="00182576"/>
    <w:rsid w:val="001848FC"/>
    <w:rsid w:val="00185E7E"/>
    <w:rsid w:val="0019009A"/>
    <w:rsid w:val="00193F21"/>
    <w:rsid w:val="001969C5"/>
    <w:rsid w:val="001A6CDD"/>
    <w:rsid w:val="001B2023"/>
    <w:rsid w:val="001B6DF2"/>
    <w:rsid w:val="001C12EE"/>
    <w:rsid w:val="001C7B02"/>
    <w:rsid w:val="001D497A"/>
    <w:rsid w:val="001D6033"/>
    <w:rsid w:val="001D6ACA"/>
    <w:rsid w:val="001E4DD4"/>
    <w:rsid w:val="001E69DC"/>
    <w:rsid w:val="001F169D"/>
    <w:rsid w:val="001F1DA1"/>
    <w:rsid w:val="001F269F"/>
    <w:rsid w:val="001F6F93"/>
    <w:rsid w:val="001F7A20"/>
    <w:rsid w:val="0021054A"/>
    <w:rsid w:val="0021195A"/>
    <w:rsid w:val="00213383"/>
    <w:rsid w:val="00220250"/>
    <w:rsid w:val="00222CE9"/>
    <w:rsid w:val="0022691B"/>
    <w:rsid w:val="00231DE2"/>
    <w:rsid w:val="00232163"/>
    <w:rsid w:val="002376F8"/>
    <w:rsid w:val="002408E4"/>
    <w:rsid w:val="00241591"/>
    <w:rsid w:val="00241A19"/>
    <w:rsid w:val="00250B4F"/>
    <w:rsid w:val="00251CA8"/>
    <w:rsid w:val="00253796"/>
    <w:rsid w:val="00253A0C"/>
    <w:rsid w:val="00256AC6"/>
    <w:rsid w:val="0025762F"/>
    <w:rsid w:val="00271774"/>
    <w:rsid w:val="00272619"/>
    <w:rsid w:val="0028114D"/>
    <w:rsid w:val="002872A0"/>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2F7952"/>
    <w:rsid w:val="00304C86"/>
    <w:rsid w:val="003059EB"/>
    <w:rsid w:val="003116AC"/>
    <w:rsid w:val="00315567"/>
    <w:rsid w:val="00330144"/>
    <w:rsid w:val="00345C02"/>
    <w:rsid w:val="00345CBA"/>
    <w:rsid w:val="00346245"/>
    <w:rsid w:val="00356267"/>
    <w:rsid w:val="00356BAD"/>
    <w:rsid w:val="003605B4"/>
    <w:rsid w:val="003627AC"/>
    <w:rsid w:val="00363F13"/>
    <w:rsid w:val="00366914"/>
    <w:rsid w:val="00372FE3"/>
    <w:rsid w:val="003755CB"/>
    <w:rsid w:val="00375D12"/>
    <w:rsid w:val="00383F85"/>
    <w:rsid w:val="00386987"/>
    <w:rsid w:val="00387BA1"/>
    <w:rsid w:val="003A306C"/>
    <w:rsid w:val="003A5C5A"/>
    <w:rsid w:val="003A6AC1"/>
    <w:rsid w:val="003A7DE7"/>
    <w:rsid w:val="003B1006"/>
    <w:rsid w:val="003B4E4F"/>
    <w:rsid w:val="003C2EBC"/>
    <w:rsid w:val="003C5F11"/>
    <w:rsid w:val="003C622D"/>
    <w:rsid w:val="003D294B"/>
    <w:rsid w:val="003D4BB4"/>
    <w:rsid w:val="003D6401"/>
    <w:rsid w:val="003E1863"/>
    <w:rsid w:val="003E4C3A"/>
    <w:rsid w:val="003F0C1F"/>
    <w:rsid w:val="003F37FB"/>
    <w:rsid w:val="003F7884"/>
    <w:rsid w:val="004079D5"/>
    <w:rsid w:val="00414CC3"/>
    <w:rsid w:val="0041606D"/>
    <w:rsid w:val="00416962"/>
    <w:rsid w:val="004348CC"/>
    <w:rsid w:val="00452B1C"/>
    <w:rsid w:val="00452BAE"/>
    <w:rsid w:val="00460A31"/>
    <w:rsid w:val="004658FF"/>
    <w:rsid w:val="00474ED7"/>
    <w:rsid w:val="00475467"/>
    <w:rsid w:val="004756E1"/>
    <w:rsid w:val="004778EC"/>
    <w:rsid w:val="0048008A"/>
    <w:rsid w:val="004819BA"/>
    <w:rsid w:val="00483E94"/>
    <w:rsid w:val="00484120"/>
    <w:rsid w:val="004853A0"/>
    <w:rsid w:val="00486C98"/>
    <w:rsid w:val="00491B99"/>
    <w:rsid w:val="0049531C"/>
    <w:rsid w:val="00496B5F"/>
    <w:rsid w:val="004A2E10"/>
    <w:rsid w:val="004A4EFD"/>
    <w:rsid w:val="004B17FF"/>
    <w:rsid w:val="004B1BA0"/>
    <w:rsid w:val="004B6CEE"/>
    <w:rsid w:val="004C2443"/>
    <w:rsid w:val="004C245D"/>
    <w:rsid w:val="004C498F"/>
    <w:rsid w:val="004C5D29"/>
    <w:rsid w:val="004C681A"/>
    <w:rsid w:val="004C7628"/>
    <w:rsid w:val="004D2A40"/>
    <w:rsid w:val="004D4D8A"/>
    <w:rsid w:val="004F68EE"/>
    <w:rsid w:val="00500D61"/>
    <w:rsid w:val="005038D5"/>
    <w:rsid w:val="00506298"/>
    <w:rsid w:val="00511BA4"/>
    <w:rsid w:val="005149E7"/>
    <w:rsid w:val="005232D6"/>
    <w:rsid w:val="0052414B"/>
    <w:rsid w:val="005259F4"/>
    <w:rsid w:val="005333CC"/>
    <w:rsid w:val="005363F1"/>
    <w:rsid w:val="00537135"/>
    <w:rsid w:val="00537C1B"/>
    <w:rsid w:val="0055007C"/>
    <w:rsid w:val="00554555"/>
    <w:rsid w:val="00554922"/>
    <w:rsid w:val="00555282"/>
    <w:rsid w:val="005560E7"/>
    <w:rsid w:val="005562B1"/>
    <w:rsid w:val="005612CC"/>
    <w:rsid w:val="00563029"/>
    <w:rsid w:val="00567D12"/>
    <w:rsid w:val="00576062"/>
    <w:rsid w:val="0057647F"/>
    <w:rsid w:val="00581A5D"/>
    <w:rsid w:val="00584E56"/>
    <w:rsid w:val="0059435B"/>
    <w:rsid w:val="005954F0"/>
    <w:rsid w:val="0059559F"/>
    <w:rsid w:val="005A2D13"/>
    <w:rsid w:val="005A49FF"/>
    <w:rsid w:val="005A7634"/>
    <w:rsid w:val="005C0447"/>
    <w:rsid w:val="005C739F"/>
    <w:rsid w:val="005C73CA"/>
    <w:rsid w:val="005D44A8"/>
    <w:rsid w:val="005D4768"/>
    <w:rsid w:val="005D5E02"/>
    <w:rsid w:val="005E15D4"/>
    <w:rsid w:val="005E2CAB"/>
    <w:rsid w:val="005E429E"/>
    <w:rsid w:val="00601ED4"/>
    <w:rsid w:val="006030BC"/>
    <w:rsid w:val="00610040"/>
    <w:rsid w:val="00612866"/>
    <w:rsid w:val="00615781"/>
    <w:rsid w:val="00616C36"/>
    <w:rsid w:val="00616EB5"/>
    <w:rsid w:val="006269D4"/>
    <w:rsid w:val="006309DD"/>
    <w:rsid w:val="006327D8"/>
    <w:rsid w:val="00636958"/>
    <w:rsid w:val="00640283"/>
    <w:rsid w:val="0064070A"/>
    <w:rsid w:val="00643A01"/>
    <w:rsid w:val="006574D2"/>
    <w:rsid w:val="00663563"/>
    <w:rsid w:val="00663B2E"/>
    <w:rsid w:val="00665F19"/>
    <w:rsid w:val="006676D4"/>
    <w:rsid w:val="006677F1"/>
    <w:rsid w:val="00672E42"/>
    <w:rsid w:val="00673A8B"/>
    <w:rsid w:val="00675535"/>
    <w:rsid w:val="00676DE4"/>
    <w:rsid w:val="00681359"/>
    <w:rsid w:val="00684BD3"/>
    <w:rsid w:val="006902E8"/>
    <w:rsid w:val="00696262"/>
    <w:rsid w:val="00696534"/>
    <w:rsid w:val="006A35A4"/>
    <w:rsid w:val="006A560A"/>
    <w:rsid w:val="006A7037"/>
    <w:rsid w:val="006B4981"/>
    <w:rsid w:val="006C3A4F"/>
    <w:rsid w:val="006C4845"/>
    <w:rsid w:val="006D6BC1"/>
    <w:rsid w:val="006E1DCC"/>
    <w:rsid w:val="006E2BFC"/>
    <w:rsid w:val="006E5C57"/>
    <w:rsid w:val="006F0474"/>
    <w:rsid w:val="006F0ACA"/>
    <w:rsid w:val="006F18A9"/>
    <w:rsid w:val="006F22A5"/>
    <w:rsid w:val="006F4A15"/>
    <w:rsid w:val="00702C73"/>
    <w:rsid w:val="00704D19"/>
    <w:rsid w:val="0070766C"/>
    <w:rsid w:val="00712770"/>
    <w:rsid w:val="00713394"/>
    <w:rsid w:val="00722613"/>
    <w:rsid w:val="00724677"/>
    <w:rsid w:val="00725AC2"/>
    <w:rsid w:val="007271FE"/>
    <w:rsid w:val="00732880"/>
    <w:rsid w:val="0074056D"/>
    <w:rsid w:val="00740BD9"/>
    <w:rsid w:val="007416B9"/>
    <w:rsid w:val="007422FD"/>
    <w:rsid w:val="00743E46"/>
    <w:rsid w:val="00745E63"/>
    <w:rsid w:val="00747C45"/>
    <w:rsid w:val="007513D4"/>
    <w:rsid w:val="00756FDB"/>
    <w:rsid w:val="007629B6"/>
    <w:rsid w:val="007665BF"/>
    <w:rsid w:val="00771B2A"/>
    <w:rsid w:val="007757CE"/>
    <w:rsid w:val="00775800"/>
    <w:rsid w:val="0078068D"/>
    <w:rsid w:val="00783635"/>
    <w:rsid w:val="0079180E"/>
    <w:rsid w:val="00794CA2"/>
    <w:rsid w:val="007950CC"/>
    <w:rsid w:val="0079538B"/>
    <w:rsid w:val="007961B8"/>
    <w:rsid w:val="00797624"/>
    <w:rsid w:val="007A126B"/>
    <w:rsid w:val="007A4828"/>
    <w:rsid w:val="007A5D7F"/>
    <w:rsid w:val="007B093D"/>
    <w:rsid w:val="007B2069"/>
    <w:rsid w:val="007B59CF"/>
    <w:rsid w:val="007C04A1"/>
    <w:rsid w:val="007C21FA"/>
    <w:rsid w:val="007D045F"/>
    <w:rsid w:val="007D0E80"/>
    <w:rsid w:val="007D13B1"/>
    <w:rsid w:val="007D4351"/>
    <w:rsid w:val="007D6B52"/>
    <w:rsid w:val="007D7019"/>
    <w:rsid w:val="007E18DB"/>
    <w:rsid w:val="007E6F1C"/>
    <w:rsid w:val="00804796"/>
    <w:rsid w:val="00804AA3"/>
    <w:rsid w:val="00804C69"/>
    <w:rsid w:val="0080711D"/>
    <w:rsid w:val="00814067"/>
    <w:rsid w:val="008155CD"/>
    <w:rsid w:val="00821A20"/>
    <w:rsid w:val="00825294"/>
    <w:rsid w:val="00827E0B"/>
    <w:rsid w:val="0083003D"/>
    <w:rsid w:val="00833325"/>
    <w:rsid w:val="00840A41"/>
    <w:rsid w:val="00842069"/>
    <w:rsid w:val="00842526"/>
    <w:rsid w:val="00842F3C"/>
    <w:rsid w:val="008505D1"/>
    <w:rsid w:val="00855158"/>
    <w:rsid w:val="00857EE8"/>
    <w:rsid w:val="0086464B"/>
    <w:rsid w:val="008647FC"/>
    <w:rsid w:val="00864CA8"/>
    <w:rsid w:val="00865E2D"/>
    <w:rsid w:val="00870E6C"/>
    <w:rsid w:val="00875846"/>
    <w:rsid w:val="00884486"/>
    <w:rsid w:val="0088516A"/>
    <w:rsid w:val="008871A9"/>
    <w:rsid w:val="00890718"/>
    <w:rsid w:val="008916BA"/>
    <w:rsid w:val="00892071"/>
    <w:rsid w:val="00892176"/>
    <w:rsid w:val="008A1DB7"/>
    <w:rsid w:val="008A403A"/>
    <w:rsid w:val="008A4C13"/>
    <w:rsid w:val="008B604D"/>
    <w:rsid w:val="008C54A9"/>
    <w:rsid w:val="008E24B6"/>
    <w:rsid w:val="008E67C3"/>
    <w:rsid w:val="008F093C"/>
    <w:rsid w:val="008F589F"/>
    <w:rsid w:val="008F76A9"/>
    <w:rsid w:val="008F7E67"/>
    <w:rsid w:val="00900DBF"/>
    <w:rsid w:val="00901C40"/>
    <w:rsid w:val="00903C6A"/>
    <w:rsid w:val="009048B9"/>
    <w:rsid w:val="00904E91"/>
    <w:rsid w:val="00904F6C"/>
    <w:rsid w:val="00915886"/>
    <w:rsid w:val="00920CCC"/>
    <w:rsid w:val="009214DC"/>
    <w:rsid w:val="0092319E"/>
    <w:rsid w:val="00927027"/>
    <w:rsid w:val="009344BA"/>
    <w:rsid w:val="009429D9"/>
    <w:rsid w:val="00946C81"/>
    <w:rsid w:val="00947F78"/>
    <w:rsid w:val="00953234"/>
    <w:rsid w:val="00961EAF"/>
    <w:rsid w:val="0096278F"/>
    <w:rsid w:val="009643FF"/>
    <w:rsid w:val="009726E1"/>
    <w:rsid w:val="00975C01"/>
    <w:rsid w:val="00977591"/>
    <w:rsid w:val="00980E75"/>
    <w:rsid w:val="00994BE0"/>
    <w:rsid w:val="0099664F"/>
    <w:rsid w:val="00997A81"/>
    <w:rsid w:val="009A25B1"/>
    <w:rsid w:val="009A4608"/>
    <w:rsid w:val="009A6A57"/>
    <w:rsid w:val="009A70BF"/>
    <w:rsid w:val="009B1A15"/>
    <w:rsid w:val="009B594D"/>
    <w:rsid w:val="009C0852"/>
    <w:rsid w:val="009C13CA"/>
    <w:rsid w:val="009C32C6"/>
    <w:rsid w:val="009C665F"/>
    <w:rsid w:val="009D15BC"/>
    <w:rsid w:val="009D2734"/>
    <w:rsid w:val="009D7E38"/>
    <w:rsid w:val="009E045A"/>
    <w:rsid w:val="009E095B"/>
    <w:rsid w:val="009E1846"/>
    <w:rsid w:val="009E78FF"/>
    <w:rsid w:val="00A01494"/>
    <w:rsid w:val="00A22FA9"/>
    <w:rsid w:val="00A25024"/>
    <w:rsid w:val="00A35F8F"/>
    <w:rsid w:val="00A41377"/>
    <w:rsid w:val="00A4263D"/>
    <w:rsid w:val="00A42665"/>
    <w:rsid w:val="00A4588A"/>
    <w:rsid w:val="00A509B8"/>
    <w:rsid w:val="00A52AB9"/>
    <w:rsid w:val="00A6207F"/>
    <w:rsid w:val="00A6210B"/>
    <w:rsid w:val="00A63486"/>
    <w:rsid w:val="00A64EBF"/>
    <w:rsid w:val="00A66276"/>
    <w:rsid w:val="00A71200"/>
    <w:rsid w:val="00A7323A"/>
    <w:rsid w:val="00A81F01"/>
    <w:rsid w:val="00A831B4"/>
    <w:rsid w:val="00A87867"/>
    <w:rsid w:val="00A97798"/>
    <w:rsid w:val="00AA5213"/>
    <w:rsid w:val="00AA65A6"/>
    <w:rsid w:val="00AC1D8E"/>
    <w:rsid w:val="00AC48FA"/>
    <w:rsid w:val="00AC7C5B"/>
    <w:rsid w:val="00AD0240"/>
    <w:rsid w:val="00AD4137"/>
    <w:rsid w:val="00AE1932"/>
    <w:rsid w:val="00AE4BE8"/>
    <w:rsid w:val="00AF2254"/>
    <w:rsid w:val="00AF6521"/>
    <w:rsid w:val="00B037BA"/>
    <w:rsid w:val="00B07CB4"/>
    <w:rsid w:val="00B20139"/>
    <w:rsid w:val="00B20A82"/>
    <w:rsid w:val="00B2187F"/>
    <w:rsid w:val="00B218DA"/>
    <w:rsid w:val="00B342FA"/>
    <w:rsid w:val="00B35F5A"/>
    <w:rsid w:val="00B37F5C"/>
    <w:rsid w:val="00B53D76"/>
    <w:rsid w:val="00B53E8B"/>
    <w:rsid w:val="00B61575"/>
    <w:rsid w:val="00B6591E"/>
    <w:rsid w:val="00B71188"/>
    <w:rsid w:val="00B74A77"/>
    <w:rsid w:val="00B774D2"/>
    <w:rsid w:val="00B77B71"/>
    <w:rsid w:val="00B8015A"/>
    <w:rsid w:val="00B82A57"/>
    <w:rsid w:val="00B9030B"/>
    <w:rsid w:val="00B97311"/>
    <w:rsid w:val="00BA053B"/>
    <w:rsid w:val="00BB35AE"/>
    <w:rsid w:val="00BB48D1"/>
    <w:rsid w:val="00BC03A1"/>
    <w:rsid w:val="00BC0D25"/>
    <w:rsid w:val="00BD2505"/>
    <w:rsid w:val="00BD4F80"/>
    <w:rsid w:val="00BD7398"/>
    <w:rsid w:val="00BE592D"/>
    <w:rsid w:val="00BF47CC"/>
    <w:rsid w:val="00BF52B0"/>
    <w:rsid w:val="00BF5697"/>
    <w:rsid w:val="00C04BBF"/>
    <w:rsid w:val="00C14CCC"/>
    <w:rsid w:val="00C1695E"/>
    <w:rsid w:val="00C17118"/>
    <w:rsid w:val="00C22C1C"/>
    <w:rsid w:val="00C26DF5"/>
    <w:rsid w:val="00C31826"/>
    <w:rsid w:val="00C33F2E"/>
    <w:rsid w:val="00C34936"/>
    <w:rsid w:val="00C34C14"/>
    <w:rsid w:val="00C355B9"/>
    <w:rsid w:val="00C401C4"/>
    <w:rsid w:val="00C41680"/>
    <w:rsid w:val="00C53DBD"/>
    <w:rsid w:val="00C60A25"/>
    <w:rsid w:val="00C6335A"/>
    <w:rsid w:val="00C64D36"/>
    <w:rsid w:val="00C66718"/>
    <w:rsid w:val="00C76568"/>
    <w:rsid w:val="00C765C5"/>
    <w:rsid w:val="00C82479"/>
    <w:rsid w:val="00C846E0"/>
    <w:rsid w:val="00C854A4"/>
    <w:rsid w:val="00C867F0"/>
    <w:rsid w:val="00CA05CB"/>
    <w:rsid w:val="00CA06D8"/>
    <w:rsid w:val="00CA345A"/>
    <w:rsid w:val="00CA5A9C"/>
    <w:rsid w:val="00CB2255"/>
    <w:rsid w:val="00CB49FF"/>
    <w:rsid w:val="00CC02CF"/>
    <w:rsid w:val="00CC086A"/>
    <w:rsid w:val="00CC505C"/>
    <w:rsid w:val="00CD0F66"/>
    <w:rsid w:val="00CD364B"/>
    <w:rsid w:val="00CD4AA9"/>
    <w:rsid w:val="00CE23B8"/>
    <w:rsid w:val="00CE291B"/>
    <w:rsid w:val="00CE50D7"/>
    <w:rsid w:val="00CF4CBE"/>
    <w:rsid w:val="00D00344"/>
    <w:rsid w:val="00D109A4"/>
    <w:rsid w:val="00D13199"/>
    <w:rsid w:val="00D1754D"/>
    <w:rsid w:val="00D206CC"/>
    <w:rsid w:val="00D2223F"/>
    <w:rsid w:val="00D23773"/>
    <w:rsid w:val="00D274A4"/>
    <w:rsid w:val="00D277AF"/>
    <w:rsid w:val="00D31163"/>
    <w:rsid w:val="00D320B1"/>
    <w:rsid w:val="00D33AFD"/>
    <w:rsid w:val="00D34CE8"/>
    <w:rsid w:val="00D36489"/>
    <w:rsid w:val="00D42195"/>
    <w:rsid w:val="00D44F36"/>
    <w:rsid w:val="00D4683B"/>
    <w:rsid w:val="00D50704"/>
    <w:rsid w:val="00D5760A"/>
    <w:rsid w:val="00D57D42"/>
    <w:rsid w:val="00D61410"/>
    <w:rsid w:val="00D711B6"/>
    <w:rsid w:val="00D75B36"/>
    <w:rsid w:val="00D7739D"/>
    <w:rsid w:val="00D80FE6"/>
    <w:rsid w:val="00D8181D"/>
    <w:rsid w:val="00D85961"/>
    <w:rsid w:val="00D916BA"/>
    <w:rsid w:val="00D968D8"/>
    <w:rsid w:val="00D97DD4"/>
    <w:rsid w:val="00DA1350"/>
    <w:rsid w:val="00DA563D"/>
    <w:rsid w:val="00DA7277"/>
    <w:rsid w:val="00DB0709"/>
    <w:rsid w:val="00DB3627"/>
    <w:rsid w:val="00DB4724"/>
    <w:rsid w:val="00DB5EBA"/>
    <w:rsid w:val="00DB6944"/>
    <w:rsid w:val="00DC1747"/>
    <w:rsid w:val="00DC3B4C"/>
    <w:rsid w:val="00DC4746"/>
    <w:rsid w:val="00DD4389"/>
    <w:rsid w:val="00DE554E"/>
    <w:rsid w:val="00DE7149"/>
    <w:rsid w:val="00DF3510"/>
    <w:rsid w:val="00E0314C"/>
    <w:rsid w:val="00E13F81"/>
    <w:rsid w:val="00E1508F"/>
    <w:rsid w:val="00E15E51"/>
    <w:rsid w:val="00E261DF"/>
    <w:rsid w:val="00E27240"/>
    <w:rsid w:val="00E275C4"/>
    <w:rsid w:val="00E27EDD"/>
    <w:rsid w:val="00E30584"/>
    <w:rsid w:val="00E310B9"/>
    <w:rsid w:val="00E3506C"/>
    <w:rsid w:val="00E37E1B"/>
    <w:rsid w:val="00E45F80"/>
    <w:rsid w:val="00E562C0"/>
    <w:rsid w:val="00E57819"/>
    <w:rsid w:val="00E6007E"/>
    <w:rsid w:val="00E632B5"/>
    <w:rsid w:val="00E672D6"/>
    <w:rsid w:val="00E71409"/>
    <w:rsid w:val="00E76024"/>
    <w:rsid w:val="00E80CFC"/>
    <w:rsid w:val="00E856A2"/>
    <w:rsid w:val="00E9106A"/>
    <w:rsid w:val="00E967AD"/>
    <w:rsid w:val="00E96884"/>
    <w:rsid w:val="00EA5435"/>
    <w:rsid w:val="00EA5F47"/>
    <w:rsid w:val="00EB35F7"/>
    <w:rsid w:val="00EB455E"/>
    <w:rsid w:val="00EC79DE"/>
    <w:rsid w:val="00ED4ACE"/>
    <w:rsid w:val="00EE4D35"/>
    <w:rsid w:val="00EE67B6"/>
    <w:rsid w:val="00EE7629"/>
    <w:rsid w:val="00EF2DA7"/>
    <w:rsid w:val="00EF743E"/>
    <w:rsid w:val="00F0535E"/>
    <w:rsid w:val="00F15BFA"/>
    <w:rsid w:val="00F16907"/>
    <w:rsid w:val="00F16D54"/>
    <w:rsid w:val="00F31FB6"/>
    <w:rsid w:val="00F3389C"/>
    <w:rsid w:val="00F368BE"/>
    <w:rsid w:val="00F435AA"/>
    <w:rsid w:val="00F4673C"/>
    <w:rsid w:val="00F50479"/>
    <w:rsid w:val="00F51EE8"/>
    <w:rsid w:val="00F5738A"/>
    <w:rsid w:val="00F57A64"/>
    <w:rsid w:val="00F612D4"/>
    <w:rsid w:val="00F63FD4"/>
    <w:rsid w:val="00F719D5"/>
    <w:rsid w:val="00F77F1D"/>
    <w:rsid w:val="00F87CCB"/>
    <w:rsid w:val="00F90EF3"/>
    <w:rsid w:val="00FA48C7"/>
    <w:rsid w:val="00FA6256"/>
    <w:rsid w:val="00FB295B"/>
    <w:rsid w:val="00FB51FB"/>
    <w:rsid w:val="00FB73C1"/>
    <w:rsid w:val="00FC14D5"/>
    <w:rsid w:val="00FC1504"/>
    <w:rsid w:val="00FC49BA"/>
    <w:rsid w:val="00FD0619"/>
    <w:rsid w:val="00FF099F"/>
    <w:rsid w:val="00FF2495"/>
    <w:rsid w:val="00FF606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5236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07F"/>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styleId="Caption">
    <w:name w:val="caption"/>
    <w:basedOn w:val="Normal"/>
    <w:next w:val="Normal"/>
    <w:uiPriority w:val="35"/>
    <w:unhideWhenUsed/>
    <w:qFormat/>
    <w:rsid w:val="00A66276"/>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07F"/>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styleId="Caption">
    <w:name w:val="caption"/>
    <w:basedOn w:val="Normal"/>
    <w:next w:val="Normal"/>
    <w:uiPriority w:val="35"/>
    <w:unhideWhenUsed/>
    <w:qFormat/>
    <w:rsid w:val="00A66276"/>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637157">
      <w:bodyDiv w:val="1"/>
      <w:marLeft w:val="0"/>
      <w:marRight w:val="0"/>
      <w:marTop w:val="0"/>
      <w:marBottom w:val="0"/>
      <w:divBdr>
        <w:top w:val="none" w:sz="0" w:space="0" w:color="auto"/>
        <w:left w:val="none" w:sz="0" w:space="0" w:color="auto"/>
        <w:bottom w:val="none" w:sz="0" w:space="0" w:color="auto"/>
        <w:right w:val="none" w:sz="0" w:space="0" w:color="auto"/>
      </w:divBdr>
    </w:div>
    <w:div w:id="337773678">
      <w:bodyDiv w:val="1"/>
      <w:marLeft w:val="0"/>
      <w:marRight w:val="0"/>
      <w:marTop w:val="0"/>
      <w:marBottom w:val="0"/>
      <w:divBdr>
        <w:top w:val="none" w:sz="0" w:space="0" w:color="auto"/>
        <w:left w:val="none" w:sz="0" w:space="0" w:color="auto"/>
        <w:bottom w:val="none" w:sz="0" w:space="0" w:color="auto"/>
        <w:right w:val="none" w:sz="0" w:space="0" w:color="auto"/>
      </w:divBdr>
    </w:div>
    <w:div w:id="506091382">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677080518">
      <w:bodyDiv w:val="1"/>
      <w:marLeft w:val="0"/>
      <w:marRight w:val="0"/>
      <w:marTop w:val="0"/>
      <w:marBottom w:val="0"/>
      <w:divBdr>
        <w:top w:val="none" w:sz="0" w:space="0" w:color="auto"/>
        <w:left w:val="none" w:sz="0" w:space="0" w:color="auto"/>
        <w:bottom w:val="none" w:sz="0" w:space="0" w:color="auto"/>
        <w:right w:val="none" w:sz="0" w:space="0" w:color="auto"/>
      </w:divBdr>
    </w:div>
    <w:div w:id="887298039">
      <w:bodyDiv w:val="1"/>
      <w:marLeft w:val="0"/>
      <w:marRight w:val="0"/>
      <w:marTop w:val="0"/>
      <w:marBottom w:val="0"/>
      <w:divBdr>
        <w:top w:val="none" w:sz="0" w:space="0" w:color="auto"/>
        <w:left w:val="none" w:sz="0" w:space="0" w:color="auto"/>
        <w:bottom w:val="none" w:sz="0" w:space="0" w:color="auto"/>
        <w:right w:val="none" w:sz="0" w:space="0" w:color="auto"/>
      </w:divBdr>
    </w:div>
    <w:div w:id="959923228">
      <w:bodyDiv w:val="1"/>
      <w:marLeft w:val="0"/>
      <w:marRight w:val="0"/>
      <w:marTop w:val="0"/>
      <w:marBottom w:val="0"/>
      <w:divBdr>
        <w:top w:val="none" w:sz="0" w:space="0" w:color="auto"/>
        <w:left w:val="none" w:sz="0" w:space="0" w:color="auto"/>
        <w:bottom w:val="none" w:sz="0" w:space="0" w:color="auto"/>
        <w:right w:val="none" w:sz="0" w:space="0" w:color="auto"/>
      </w:divBdr>
    </w:div>
    <w:div w:id="1157377531">
      <w:bodyDiv w:val="1"/>
      <w:marLeft w:val="0"/>
      <w:marRight w:val="0"/>
      <w:marTop w:val="0"/>
      <w:marBottom w:val="0"/>
      <w:divBdr>
        <w:top w:val="none" w:sz="0" w:space="0" w:color="auto"/>
        <w:left w:val="none" w:sz="0" w:space="0" w:color="auto"/>
        <w:bottom w:val="none" w:sz="0" w:space="0" w:color="auto"/>
        <w:right w:val="none" w:sz="0" w:space="0" w:color="auto"/>
      </w:divBdr>
    </w:div>
    <w:div w:id="1196114587">
      <w:bodyDiv w:val="1"/>
      <w:marLeft w:val="0"/>
      <w:marRight w:val="0"/>
      <w:marTop w:val="0"/>
      <w:marBottom w:val="0"/>
      <w:divBdr>
        <w:top w:val="none" w:sz="0" w:space="0" w:color="auto"/>
        <w:left w:val="none" w:sz="0" w:space="0" w:color="auto"/>
        <w:bottom w:val="none" w:sz="0" w:space="0" w:color="auto"/>
        <w:right w:val="none" w:sz="0" w:space="0" w:color="auto"/>
      </w:divBdr>
    </w:div>
    <w:div w:id="1268780410">
      <w:bodyDiv w:val="1"/>
      <w:marLeft w:val="0"/>
      <w:marRight w:val="0"/>
      <w:marTop w:val="0"/>
      <w:marBottom w:val="0"/>
      <w:divBdr>
        <w:top w:val="none" w:sz="0" w:space="0" w:color="auto"/>
        <w:left w:val="none" w:sz="0" w:space="0" w:color="auto"/>
        <w:bottom w:val="none" w:sz="0" w:space="0" w:color="auto"/>
        <w:right w:val="none" w:sz="0" w:space="0" w:color="auto"/>
      </w:divBdr>
    </w:div>
    <w:div w:id="1439446358">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qualitynet.org/dcs/ContentServer?c=Page&amp;pagename=QnetPublic%2FPage%2FQnetTier2&amp;cid=1228695266120" TargetMode="External"/><Relationship Id="rId10" Type="http://schemas.openxmlformats.org/officeDocument/2006/relationships/image" Target="media/image1.png"/><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s://www.qualitynet.org/dcs/BlobServer?blobkey=id&amp;blobnocache=true&amp;blobwhere=1228889854907&amp;blobheader=multipart%2Foctet-stream&amp;blobheadername1=Content-Disposition&amp;blobheadervalue1=attachment%3Bfilename%3D2012_OIE_MCC.pdf&amp;blobcol=urldata&amp;blobtable=MungoBlobs"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31425"/>
    <w:rsid w:val="00127222"/>
    <w:rsid w:val="001736D7"/>
    <w:rsid w:val="00190AF4"/>
    <w:rsid w:val="001B4896"/>
    <w:rsid w:val="00223FA3"/>
    <w:rsid w:val="002A288F"/>
    <w:rsid w:val="002B2395"/>
    <w:rsid w:val="002C49EB"/>
    <w:rsid w:val="002C65A7"/>
    <w:rsid w:val="002F052A"/>
    <w:rsid w:val="00350176"/>
    <w:rsid w:val="00365FF1"/>
    <w:rsid w:val="003840F0"/>
    <w:rsid w:val="003D7909"/>
    <w:rsid w:val="0042036D"/>
    <w:rsid w:val="00437537"/>
    <w:rsid w:val="00457252"/>
    <w:rsid w:val="004836BA"/>
    <w:rsid w:val="004D785E"/>
    <w:rsid w:val="005326EA"/>
    <w:rsid w:val="0053654E"/>
    <w:rsid w:val="00632A7E"/>
    <w:rsid w:val="00632AB6"/>
    <w:rsid w:val="006E4CFA"/>
    <w:rsid w:val="00730B33"/>
    <w:rsid w:val="00772B2A"/>
    <w:rsid w:val="007A7D39"/>
    <w:rsid w:val="007C672A"/>
    <w:rsid w:val="007D4368"/>
    <w:rsid w:val="00822666"/>
    <w:rsid w:val="00823ECC"/>
    <w:rsid w:val="00826796"/>
    <w:rsid w:val="00866C97"/>
    <w:rsid w:val="009017AE"/>
    <w:rsid w:val="009C542D"/>
    <w:rsid w:val="009D0449"/>
    <w:rsid w:val="009F14E0"/>
    <w:rsid w:val="00A95183"/>
    <w:rsid w:val="00AB4AF7"/>
    <w:rsid w:val="00AD7C4F"/>
    <w:rsid w:val="00B445F5"/>
    <w:rsid w:val="00B6290D"/>
    <w:rsid w:val="00B673D2"/>
    <w:rsid w:val="00B84B81"/>
    <w:rsid w:val="00BA70C0"/>
    <w:rsid w:val="00BD40CB"/>
    <w:rsid w:val="00C362A2"/>
    <w:rsid w:val="00C540B9"/>
    <w:rsid w:val="00C90121"/>
    <w:rsid w:val="00CA344F"/>
    <w:rsid w:val="00D1676E"/>
    <w:rsid w:val="00D32DA0"/>
    <w:rsid w:val="00DC0246"/>
    <w:rsid w:val="00E444EC"/>
    <w:rsid w:val="00E6518A"/>
    <w:rsid w:val="00E83B33"/>
    <w:rsid w:val="00EF2309"/>
    <w:rsid w:val="00EF32F0"/>
    <w:rsid w:val="00F45F2A"/>
    <w:rsid w:val="00F540AB"/>
    <w:rsid w:val="00F84B62"/>
    <w:rsid w:val="00F915BA"/>
    <w:rsid w:val="00FD04F6"/>
    <w:rsid w:val="00FF0A85"/>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18DE3-2D6D-4FCB-8C7A-A6EE614BD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22</Pages>
  <Words>8925</Words>
  <Characters>50879</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59685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Colleen M. McKiernan</cp:lastModifiedBy>
  <cp:revision>8</cp:revision>
  <cp:lastPrinted>2015-09-10T17:21:00Z</cp:lastPrinted>
  <dcterms:created xsi:type="dcterms:W3CDTF">2016-10-20T17:59:00Z</dcterms:created>
  <dcterms:modified xsi:type="dcterms:W3CDTF">2016-11-03T12:41:00Z</dcterms:modified>
</cp:coreProperties>
</file>