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3F7F7"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07C76ED" w14:textId="77777777" w:rsidR="00797624" w:rsidRDefault="00797624" w:rsidP="00105D8B">
      <w:pPr>
        <w:contextualSpacing/>
        <w:rPr>
          <w:rFonts w:cstheme="minorHAnsi"/>
          <w:b/>
          <w:noProof/>
        </w:rPr>
      </w:pPr>
    </w:p>
    <w:p w14:paraId="01EB44C8" w14:textId="58127876"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3355D">
            <w:rPr>
              <w:rStyle w:val="Style1"/>
            </w:rPr>
            <w:t>0283</w:t>
          </w:r>
        </w:sdtContent>
      </w:sdt>
    </w:p>
    <w:p w14:paraId="39BA6899" w14:textId="4C789716"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73355D">
            <w:rPr>
              <w:rStyle w:val="Style1"/>
              <w:rFonts w:cstheme="minorHAnsi"/>
            </w:rPr>
            <w:t>Asthma in Younger Adults Admission Rate</w:t>
          </w:r>
          <w:r w:rsidR="00133E44">
            <w:rPr>
              <w:rStyle w:val="Style1"/>
              <w:rFonts w:cstheme="minorHAnsi"/>
            </w:rPr>
            <w:t xml:space="preserve"> (PQI</w:t>
          </w:r>
          <w:r w:rsidR="00727326">
            <w:rPr>
              <w:rStyle w:val="Style1"/>
              <w:rFonts w:cstheme="minorHAnsi"/>
            </w:rPr>
            <w:t xml:space="preserve"> </w:t>
          </w:r>
          <w:r w:rsidR="00133E44">
            <w:rPr>
              <w:rStyle w:val="Style1"/>
              <w:rFonts w:cstheme="minorHAnsi"/>
            </w:rPr>
            <w:t>15)</w:t>
          </w:r>
        </w:sdtContent>
      </w:sdt>
    </w:p>
    <w:p w14:paraId="3F4B9B6A" w14:textId="46C0F2E5"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12-14T00:00:00Z">
            <w:dateFormat w:val="M/d/yyyy"/>
            <w:lid w:val="en-US"/>
            <w:storeMappedDataAs w:val="dateTime"/>
            <w:calendar w:val="gregorian"/>
          </w:date>
        </w:sdtPr>
        <w:sdtEndPr>
          <w:rPr>
            <w:rStyle w:val="DefaultParagraphFont"/>
            <w:noProof/>
            <w:color w:val="auto"/>
            <w:u w:val="none"/>
          </w:rPr>
        </w:sdtEndPr>
        <w:sdtContent>
          <w:r w:rsidR="00301431">
            <w:rPr>
              <w:rStyle w:val="Style2"/>
              <w:rFonts w:cstheme="minorHAnsi"/>
            </w:rPr>
            <w:t>12/14/2015</w:t>
          </w:r>
        </w:sdtContent>
      </w:sdt>
    </w:p>
    <w:p w14:paraId="5295F637" w14:textId="7CCA3ADD" w:rsidR="00CD364B" w:rsidRPr="009E1846" w:rsidRDefault="009E1846" w:rsidP="009E1846">
      <w:pPr>
        <w:spacing w:after="0"/>
        <w:rPr>
          <w:rFonts w:cstheme="minorHAnsi"/>
          <w:b/>
        </w:rPr>
      </w:pPr>
      <w:r>
        <w:rPr>
          <w:rStyle w:val="Style2"/>
          <w:rFonts w:cstheme="minorHAnsi"/>
          <w:b/>
          <w:color w:val="auto"/>
          <w:u w:val="none"/>
        </w:rPr>
        <w:t>Type of Measure:</w:t>
      </w:r>
      <w:r w:rsidR="00A8140E">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043A329" w14:textId="77777777" w:rsidTr="000B3880">
        <w:trPr>
          <w:jc w:val="center"/>
        </w:trPr>
        <w:tc>
          <w:tcPr>
            <w:tcW w:w="2547" w:type="pct"/>
          </w:tcPr>
          <w:p w14:paraId="5E138B79" w14:textId="41B6EAB3" w:rsidR="00CD364B" w:rsidRPr="00B82A57" w:rsidRDefault="00E56677" w:rsidP="00154BD5">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154BD5">
              <w:rPr>
                <w:rFonts w:cstheme="minorHAnsi"/>
                <w:bCs/>
              </w:rPr>
              <w:t>Composite</w:t>
            </w:r>
            <w:r w:rsidR="00BC03A1" w:rsidRPr="00F0733E">
              <w:rPr>
                <w:rFonts w:cstheme="minorHAnsi"/>
                <w:bCs/>
                <w:highlight w:val="yellow"/>
              </w:rPr>
              <w:t xml:space="preserve"> </w:t>
            </w:r>
          </w:p>
        </w:tc>
        <w:tc>
          <w:tcPr>
            <w:tcW w:w="2453" w:type="pct"/>
          </w:tcPr>
          <w:p w14:paraId="2EDA8596" w14:textId="49DBEEF7" w:rsidR="00CD364B" w:rsidRPr="00B82A57" w:rsidRDefault="00E56677"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Content>
                <w:r w:rsidR="00A8140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525D0A">
              <w:rPr>
                <w:rFonts w:cstheme="minorHAnsi"/>
                <w:bCs/>
              </w:rPr>
              <w:t>Outcome</w:t>
            </w:r>
            <w:r w:rsidR="00BC0D25" w:rsidRPr="00525D0A">
              <w:rPr>
                <w:rFonts w:cstheme="minorHAnsi"/>
                <w:bCs/>
              </w:rPr>
              <w:t xml:space="preserve"> (</w:t>
            </w:r>
            <w:r w:rsidR="00BC0D25" w:rsidRPr="00525D0A">
              <w:rPr>
                <w:rFonts w:cstheme="minorHAnsi"/>
                <w:bCs/>
                <w:i/>
              </w:rPr>
              <w:t>including PRO-PM</w:t>
            </w:r>
            <w:r w:rsidR="00BC0D25" w:rsidRPr="00525D0A">
              <w:rPr>
                <w:rFonts w:cstheme="minorHAnsi"/>
                <w:bCs/>
              </w:rPr>
              <w:t>)</w:t>
            </w:r>
          </w:p>
        </w:tc>
      </w:tr>
      <w:tr w:rsidR="00CD364B" w:rsidRPr="00B82A57" w14:paraId="6213C861" w14:textId="77777777" w:rsidTr="000B3880">
        <w:trPr>
          <w:jc w:val="center"/>
        </w:trPr>
        <w:tc>
          <w:tcPr>
            <w:tcW w:w="2547" w:type="pct"/>
          </w:tcPr>
          <w:p w14:paraId="0DD7234E" w14:textId="77777777" w:rsidR="00CD364B" w:rsidRPr="00B82A57" w:rsidRDefault="00E56677"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1721EC9" w14:textId="77777777" w:rsidR="00CD364B" w:rsidRPr="00B82A57" w:rsidRDefault="00E56677"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8927911" w14:textId="77777777" w:rsidTr="000B3880">
        <w:trPr>
          <w:jc w:val="center"/>
        </w:trPr>
        <w:tc>
          <w:tcPr>
            <w:tcW w:w="2547" w:type="pct"/>
          </w:tcPr>
          <w:p w14:paraId="2BFB1665" w14:textId="77777777" w:rsidR="00CD364B" w:rsidRPr="00B82A57" w:rsidRDefault="00E56677"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96DC68" w14:textId="77777777" w:rsidR="00CD364B" w:rsidRPr="00B82A57" w:rsidRDefault="00E5667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63B619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FA8B2C1" w14:textId="77777777" w:rsidTr="00145149">
        <w:trPr>
          <w:jc w:val="center"/>
        </w:trPr>
        <w:tc>
          <w:tcPr>
            <w:tcW w:w="9576" w:type="dxa"/>
          </w:tcPr>
          <w:p w14:paraId="3F1C6EBF" w14:textId="77777777" w:rsidR="00B53E8B" w:rsidRPr="00B53E8B" w:rsidRDefault="00B53E8B" w:rsidP="00B53E8B">
            <w:pPr>
              <w:rPr>
                <w:rFonts w:cstheme="minorHAnsi"/>
                <w:b/>
                <w:noProof/>
              </w:rPr>
            </w:pPr>
            <w:r w:rsidRPr="00B53E8B">
              <w:rPr>
                <w:rFonts w:cstheme="minorHAnsi"/>
                <w:b/>
                <w:noProof/>
              </w:rPr>
              <w:t>Instructions</w:t>
            </w:r>
          </w:p>
          <w:p w14:paraId="40D15D6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AF8B48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32416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D05277A"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9C83962"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4E11B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B0A33EF"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6DB68D8"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71770FDE" w14:textId="69582C0C" w:rsidR="00A64EBF" w:rsidRDefault="00A64EBF" w:rsidP="00904E91">
            <w:pPr>
              <w:pStyle w:val="ListParagraph"/>
              <w:numPr>
                <w:ilvl w:val="0"/>
                <w:numId w:val="6"/>
              </w:numPr>
              <w:rPr>
                <w:rFonts w:cstheme="minorHAnsi"/>
                <w:noProof/>
              </w:rPr>
            </w:pPr>
            <w:r>
              <w:t>For information on the most updated guidance on how to address sociodemographic variables and testing in this form refer to the release notes for version 6.6 of the Measure Testing Attachment.</w:t>
            </w:r>
          </w:p>
        </w:tc>
      </w:tr>
    </w:tbl>
    <w:p w14:paraId="05DE80BD"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ADFCBF2" w14:textId="77777777" w:rsidTr="00145149">
        <w:trPr>
          <w:jc w:val="center"/>
        </w:trPr>
        <w:tc>
          <w:tcPr>
            <w:tcW w:w="9576" w:type="dxa"/>
          </w:tcPr>
          <w:p w14:paraId="43FD986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2CD1ED4" w14:textId="77777777" w:rsidR="00B53E8B" w:rsidRPr="00A831B4" w:rsidRDefault="00B53E8B" w:rsidP="00702C73">
            <w:pPr>
              <w:rPr>
                <w:rFonts w:cstheme="minorHAnsi"/>
                <w:b/>
                <w:bCs/>
                <w:sz w:val="20"/>
                <w:szCs w:val="20"/>
              </w:rPr>
            </w:pPr>
          </w:p>
          <w:p w14:paraId="4224A2AD"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281A3D6" w14:textId="77777777" w:rsidR="00145149" w:rsidRPr="000F034A" w:rsidRDefault="00145149" w:rsidP="00145149">
            <w:pPr>
              <w:autoSpaceDE w:val="0"/>
              <w:autoSpaceDN w:val="0"/>
              <w:adjustRightInd w:val="0"/>
              <w:rPr>
                <w:rFonts w:cstheme="minorHAnsi"/>
                <w:b/>
                <w:iCs/>
              </w:rPr>
            </w:pPr>
          </w:p>
          <w:p w14:paraId="12770C2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C1B0677" w14:textId="77777777" w:rsidR="00145149" w:rsidRPr="000F034A" w:rsidRDefault="00145149" w:rsidP="00145149">
            <w:pPr>
              <w:rPr>
                <w:rFonts w:cstheme="minorHAnsi"/>
              </w:rPr>
            </w:pPr>
            <w:bookmarkStart w:id="0" w:name="_Toc256067249"/>
          </w:p>
          <w:p w14:paraId="33D4078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832A408" w14:textId="77777777" w:rsidR="00145149" w:rsidRPr="000F034A" w:rsidRDefault="00145149" w:rsidP="00145149">
            <w:pPr>
              <w:rPr>
                <w:rFonts w:cstheme="minorHAnsi"/>
                <w:b/>
              </w:rPr>
            </w:pPr>
            <w:r w:rsidRPr="000F034A">
              <w:rPr>
                <w:rFonts w:cstheme="minorHAnsi"/>
                <w:b/>
              </w:rPr>
              <w:t xml:space="preserve">AND </w:t>
            </w:r>
          </w:p>
          <w:p w14:paraId="79CBB1C0" w14:textId="659B2935" w:rsidR="00145149" w:rsidRPr="000F034A" w:rsidRDefault="00145149" w:rsidP="00145149">
            <w:pPr>
              <w:rPr>
                <w:rFonts w:cstheme="minorHAnsi"/>
              </w:rPr>
            </w:pPr>
            <w:r w:rsidRPr="000F034A">
              <w:rPr>
                <w:rFonts w:cstheme="minorHAnsi"/>
              </w:rPr>
              <w:t>If patient preference (e.g., informed decision</w:t>
            </w:r>
            <w:r w:rsidR="005B09AF">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w:t>
            </w:r>
            <w:r w:rsidRPr="000F034A">
              <w:rPr>
                <w:rFonts w:cstheme="minorHAnsi"/>
              </w:rPr>
              <w:lastRenderedPageBreak/>
              <w:t xml:space="preserve">computed separately, denominator exclusion category computed separately). </w:t>
            </w:r>
            <w:hyperlink w:anchor="Note13" w:history="1">
              <w:r w:rsidRPr="000F034A">
                <w:rPr>
                  <w:rStyle w:val="Hyperlink"/>
                  <w:rFonts w:cstheme="minorHAnsi"/>
                  <w:b/>
                  <w:vertAlign w:val="superscript"/>
                </w:rPr>
                <w:t>13</w:t>
              </w:r>
            </w:hyperlink>
          </w:p>
          <w:p w14:paraId="166F13B4" w14:textId="77777777" w:rsidR="00145149" w:rsidRPr="000F034A" w:rsidRDefault="00145149" w:rsidP="00145149">
            <w:pPr>
              <w:rPr>
                <w:rFonts w:cstheme="minorHAnsi"/>
                <w:b/>
                <w:bCs/>
              </w:rPr>
            </w:pPr>
          </w:p>
          <w:p w14:paraId="3E53AB18"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D7953B" w14:textId="72462E8B"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B84C649" w14:textId="77777777" w:rsidR="00145149" w:rsidRPr="000F034A" w:rsidRDefault="00145149" w:rsidP="00145149">
            <w:pPr>
              <w:rPr>
                <w:rFonts w:cstheme="minorHAnsi"/>
                <w:b/>
              </w:rPr>
            </w:pPr>
            <w:r w:rsidRPr="000F034A">
              <w:rPr>
                <w:rFonts w:cstheme="minorHAnsi"/>
                <w:b/>
              </w:rPr>
              <w:t>OR</w:t>
            </w:r>
          </w:p>
          <w:p w14:paraId="1FB7ADCC"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64932554" w14:textId="77777777" w:rsidR="00145149" w:rsidRPr="000F034A" w:rsidRDefault="00145149" w:rsidP="00145149">
            <w:pPr>
              <w:rPr>
                <w:rFonts w:cstheme="minorHAnsi"/>
                <w:b/>
                <w:bCs/>
              </w:rPr>
            </w:pPr>
          </w:p>
          <w:bookmarkEnd w:id="1"/>
          <w:p w14:paraId="7C0BE68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F9788CE" w14:textId="77777777" w:rsidR="00145149" w:rsidRPr="000F034A" w:rsidRDefault="00145149" w:rsidP="00145149">
            <w:pPr>
              <w:rPr>
                <w:rFonts w:cstheme="minorHAnsi"/>
              </w:rPr>
            </w:pPr>
            <w:r w:rsidRPr="000F034A">
              <w:rPr>
                <w:rFonts w:cstheme="minorHAnsi"/>
                <w:b/>
              </w:rPr>
              <w:t>OR</w:t>
            </w:r>
          </w:p>
          <w:p w14:paraId="236836DB"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00D3850" w14:textId="77777777" w:rsidR="00145149" w:rsidRPr="000F034A" w:rsidRDefault="00145149" w:rsidP="00145149">
            <w:pPr>
              <w:rPr>
                <w:rFonts w:cstheme="minorHAnsi"/>
                <w:b/>
                <w:bCs/>
              </w:rPr>
            </w:pPr>
          </w:p>
          <w:p w14:paraId="46363D3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9D72D0A" w14:textId="77777777" w:rsidR="00E30584" w:rsidRPr="000F034A" w:rsidRDefault="00E30584" w:rsidP="00145149">
            <w:pPr>
              <w:rPr>
                <w:rFonts w:cstheme="minorHAnsi"/>
              </w:rPr>
            </w:pPr>
          </w:p>
          <w:p w14:paraId="3EE7AC1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58C2489F" w14:textId="77777777" w:rsidR="00145149" w:rsidRPr="00A831B4" w:rsidRDefault="00145149" w:rsidP="00145149">
            <w:pPr>
              <w:rPr>
                <w:rFonts w:cstheme="minorHAnsi"/>
                <w:b/>
                <w:bCs/>
                <w:sz w:val="20"/>
                <w:szCs w:val="20"/>
              </w:rPr>
            </w:pPr>
          </w:p>
          <w:p w14:paraId="3068DA2C"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41869EB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484301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E36D3F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586EF8EF"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890CDB6" w14:textId="05D75104"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p>
          <w:p w14:paraId="06306D5A" w14:textId="304BBB34"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69FC9DF" w14:textId="77777777" w:rsidR="00BC0D25" w:rsidRDefault="00BC0D25" w:rsidP="00702C73">
      <w:pPr>
        <w:spacing w:after="0" w:line="240" w:lineRule="auto"/>
        <w:rPr>
          <w:rFonts w:cstheme="minorHAnsi"/>
          <w:noProof/>
        </w:rPr>
      </w:pPr>
    </w:p>
    <w:p w14:paraId="7B104A5F" w14:textId="77777777" w:rsidR="00702C73" w:rsidRPr="00702C73" w:rsidRDefault="00702C73" w:rsidP="00702C73">
      <w:pPr>
        <w:spacing w:after="0" w:line="240" w:lineRule="auto"/>
        <w:rPr>
          <w:rFonts w:cstheme="minorHAnsi"/>
          <w:noProof/>
        </w:rPr>
      </w:pPr>
    </w:p>
    <w:p w14:paraId="3B0220F6"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BB76059"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4F80E26" w14:textId="77777777" w:rsidR="000574AB" w:rsidRPr="00A25024" w:rsidRDefault="000574AB" w:rsidP="008A403A">
      <w:pPr>
        <w:spacing w:after="0" w:line="240" w:lineRule="auto"/>
        <w:rPr>
          <w:rFonts w:cstheme="minorHAnsi"/>
          <w:noProof/>
        </w:rPr>
      </w:pPr>
    </w:p>
    <w:p w14:paraId="5B439D26" w14:textId="1504775C"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p w14:paraId="39C9FD3A" w14:textId="77777777" w:rsidR="007D5828" w:rsidRDefault="007D5828" w:rsidP="00DB3627">
      <w:pPr>
        <w:autoSpaceDE w:val="0"/>
        <w:autoSpaceDN w:val="0"/>
        <w:adjustRightInd w:val="0"/>
        <w:spacing w:after="0" w:line="240" w:lineRule="auto"/>
        <w:rPr>
          <w:rFonts w:cstheme="minorHAnsi"/>
          <w:bCs/>
        </w:rPr>
      </w:pP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A022F44" w14:textId="77777777" w:rsidTr="0014773C">
        <w:trPr>
          <w:jc w:val="center"/>
        </w:trPr>
        <w:tc>
          <w:tcPr>
            <w:tcW w:w="5208" w:type="dxa"/>
            <w:shd w:val="clear" w:color="auto" w:fill="D9D9D9" w:themeFill="background1" w:themeFillShade="D9"/>
          </w:tcPr>
          <w:p w14:paraId="4BF0905F"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6DF76FC"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5E47FA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5D31D38E" w14:textId="77777777" w:rsidTr="0014773C">
        <w:trPr>
          <w:jc w:val="center"/>
        </w:trPr>
        <w:tc>
          <w:tcPr>
            <w:tcW w:w="5208" w:type="dxa"/>
          </w:tcPr>
          <w:p w14:paraId="50DC185F"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9FD818"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ABF5A25" w14:textId="77777777" w:rsidTr="0014773C">
        <w:trPr>
          <w:jc w:val="center"/>
        </w:trPr>
        <w:tc>
          <w:tcPr>
            <w:tcW w:w="5208" w:type="dxa"/>
          </w:tcPr>
          <w:p w14:paraId="5B8DC953" w14:textId="09E1C336" w:rsidR="00A01494" w:rsidRPr="00A01494" w:rsidRDefault="00E56677"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Content>
                <w:r w:rsidR="005862A0">
                  <w:rPr>
                    <w:rFonts w:ascii="MS Gothic" w:eastAsia="MS Gothic" w:hAnsi="MS Gothic" w:cstheme="minorHAnsi" w:hint="eastAsia"/>
                    <w:bCs/>
                    <w:color w:val="0000FF"/>
                  </w:rPr>
                  <w:t>☒</w:t>
                </w:r>
              </w:sdtContent>
            </w:sdt>
            <w:r w:rsidR="00B82A57">
              <w:rPr>
                <w:rFonts w:cstheme="minorHAnsi"/>
                <w:bCs/>
              </w:rPr>
              <w:t xml:space="preserve"> </w:t>
            </w:r>
            <w:r w:rsidR="00A01494" w:rsidRPr="00525D0A">
              <w:rPr>
                <w:rFonts w:eastAsia="MS Gothic" w:cstheme="minorHAnsi"/>
                <w:bCs/>
              </w:rPr>
              <w:t xml:space="preserve">administrative </w:t>
            </w:r>
            <w:r w:rsidR="00A01494" w:rsidRPr="00525D0A">
              <w:rPr>
                <w:rFonts w:cstheme="minorHAnsi"/>
                <w:bCs/>
              </w:rPr>
              <w:t>claims</w:t>
            </w:r>
          </w:p>
        </w:tc>
        <w:tc>
          <w:tcPr>
            <w:tcW w:w="4847" w:type="dxa"/>
          </w:tcPr>
          <w:p w14:paraId="69714DB7" w14:textId="2273688E" w:rsidR="00A01494" w:rsidRPr="00A01494" w:rsidRDefault="00E56677"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Content>
                <w:r w:rsidR="007020FD">
                  <w:rPr>
                    <w:rFonts w:ascii="MS Gothic" w:eastAsia="MS Gothic" w:hAnsi="MS Gothic" w:cstheme="minorHAnsi" w:hint="eastAsia"/>
                    <w:bCs/>
                    <w:color w:val="0000FF"/>
                  </w:rPr>
                  <w:t>☒</w:t>
                </w:r>
              </w:sdtContent>
            </w:sdt>
            <w:r w:rsidR="00B82A57">
              <w:rPr>
                <w:rFonts w:cstheme="minorHAnsi"/>
                <w:bCs/>
              </w:rPr>
              <w:t xml:space="preserve"> </w:t>
            </w:r>
            <w:r w:rsidR="00A01494" w:rsidRPr="00525D0A">
              <w:rPr>
                <w:rFonts w:eastAsia="MS Gothic" w:cstheme="minorHAnsi"/>
                <w:bCs/>
              </w:rPr>
              <w:t xml:space="preserve">administrative </w:t>
            </w:r>
            <w:r w:rsidR="00A01494" w:rsidRPr="00525D0A">
              <w:rPr>
                <w:rFonts w:cstheme="minorHAnsi"/>
                <w:bCs/>
              </w:rPr>
              <w:t>claims</w:t>
            </w:r>
          </w:p>
        </w:tc>
      </w:tr>
      <w:tr w:rsidR="00A01494" w:rsidRPr="00A01494" w14:paraId="0AAFB0CC" w14:textId="77777777" w:rsidTr="0014773C">
        <w:trPr>
          <w:jc w:val="center"/>
        </w:trPr>
        <w:tc>
          <w:tcPr>
            <w:tcW w:w="5208" w:type="dxa"/>
          </w:tcPr>
          <w:p w14:paraId="59F21029"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662E31D"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8918E8D" w14:textId="77777777" w:rsidTr="0014773C">
        <w:trPr>
          <w:jc w:val="center"/>
        </w:trPr>
        <w:tc>
          <w:tcPr>
            <w:tcW w:w="5208" w:type="dxa"/>
          </w:tcPr>
          <w:p w14:paraId="111E2CBF"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A75C6D"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87EE1FE" w14:textId="77777777" w:rsidTr="0014773C">
        <w:trPr>
          <w:jc w:val="center"/>
        </w:trPr>
        <w:tc>
          <w:tcPr>
            <w:tcW w:w="5208" w:type="dxa"/>
          </w:tcPr>
          <w:p w14:paraId="73167F9A" w14:textId="77777777" w:rsidR="00A01494" w:rsidRPr="00A01494" w:rsidRDefault="00E56677"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12A229E" w14:textId="3059277A" w:rsidR="00A01494" w:rsidRPr="00A01494" w:rsidRDefault="00E56677"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7020FD">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2E16BD2" w14:textId="77777777" w:rsidTr="0014773C">
        <w:trPr>
          <w:jc w:val="center"/>
        </w:trPr>
        <w:tc>
          <w:tcPr>
            <w:tcW w:w="5208" w:type="dxa"/>
          </w:tcPr>
          <w:p w14:paraId="06B0718B"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A0091AD" w14:textId="77777777" w:rsidR="00A01494" w:rsidRPr="00A01494" w:rsidRDefault="00E56677"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CF22630"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6B918C0" w14:textId="0BD37E44"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5F73BA5" w14:textId="77777777" w:rsidR="009E1846" w:rsidRDefault="009E1846" w:rsidP="00DB3627">
      <w:pPr>
        <w:autoSpaceDE w:val="0"/>
        <w:autoSpaceDN w:val="0"/>
        <w:adjustRightInd w:val="0"/>
        <w:spacing w:after="0" w:line="240" w:lineRule="auto"/>
        <w:rPr>
          <w:rFonts w:cstheme="minorHAnsi"/>
          <w:b/>
        </w:rPr>
      </w:pPr>
    </w:p>
    <w:sdt>
      <w:sdtPr>
        <w:rPr>
          <w:rFonts w:asciiTheme="minorHAnsi" w:eastAsiaTheme="minorEastAsia" w:hAnsiTheme="minorHAnsi" w:cstheme="minorHAnsi"/>
          <w:color w:val="000000"/>
          <w:sz w:val="20"/>
          <w:szCs w:val="20"/>
        </w:rPr>
        <w:id w:val="-1610427572"/>
      </w:sdtPr>
      <w:sdtContent>
        <w:p w14:paraId="11BDE625" w14:textId="08194400" w:rsidR="009C7794" w:rsidRDefault="009C7794" w:rsidP="00E45E2D">
          <w:pPr>
            <w:pStyle w:val="NQFMeasureStyle"/>
            <w:ind w:left="0"/>
          </w:pPr>
          <w:r>
            <w:t>All analyses were completed using data from the Healthcare Cost and Utilization Project (HCUP) State Inpatient Databases (SID</w:t>
          </w:r>
          <w:r w:rsidRPr="00BC108C">
            <w:t>), 2009-2013.</w:t>
          </w:r>
          <w:r>
            <w:t xml:space="preserve"> HCUP is a family of health care databases and related software tools and products developed through a Federal-State-Industry partnership and sponsored by the Agency for Healthcare Research and Quality (AHRQ)</w:t>
          </w:r>
          <w:r w:rsidR="00BC108C">
            <w:rPr>
              <w:rStyle w:val="FootnoteReference"/>
            </w:rPr>
            <w:footnoteReference w:id="1"/>
          </w:r>
          <w:r>
            <w:t>. HCUP databases bring together the data collection efforts of State data organizations, hospital associations, private data organizations, and the Federal government to create a national information resource of encounter-level health care data. The HCUP SID contain the universe of the inpatient discharge abstracts in participating States, translated into a uniform format to facilitate multi-State comparisons and analyses. All states provide data for community hospitals and together, the SID encompasses about 97 percent of all U.S. community hospital discharges. For the analyses presented here, we use</w:t>
          </w:r>
          <w:r w:rsidR="00427949">
            <w:t xml:space="preserve"> 40 states representing about 89</w:t>
          </w:r>
          <w:r>
            <w:t xml:space="preserve"> percent of the U.S. community hospital discharges, for a total of about 30 million hospital discharges from community hospitals. As defined by the American Hospital Association, community hospitals are all non-Federal, short-term, general or other specialty hospitals, excluding hospital units of institutions. Included among community hospitals are public and academic medical centers, specialty hospitals such as obstetrics–gynecology, ear–nose–throat, orthopedic and pediatric institutions. Short-stay rehabilitation, long-term acute care hospitals are excluded from the data used for the reported analyses. </w:t>
          </w:r>
        </w:p>
        <w:p w14:paraId="3D32CAAB" w14:textId="77777777" w:rsidR="009C7794" w:rsidRDefault="009C7794" w:rsidP="00E45E2D">
          <w:pPr>
            <w:pStyle w:val="NQFMeasureStyle"/>
            <w:ind w:left="0"/>
          </w:pPr>
        </w:p>
        <w:p w14:paraId="6095E8EC" w14:textId="77777777" w:rsidR="009C7794" w:rsidRDefault="009C7794" w:rsidP="00E45E2D">
          <w:pPr>
            <w:pStyle w:val="NQFMeasureStyle"/>
            <w:ind w:left="0"/>
          </w:pPr>
          <w:r>
            <w:t xml:space="preserve">The SID data elements include ICD-9-CM coded principal and secondary diagnoses and procedures, </w:t>
          </w:r>
          <w:r>
            <w:lastRenderedPageBreak/>
            <w:t>additional detailed clinical and service information based on revenue codes, admission and discharge status, patient demographics, expected payment source (Medicare, Medicaid, private insurance as well as the uninsured), total charges and length of stay (</w:t>
          </w:r>
          <w:hyperlink r:id="rId14" w:history="1">
            <w:r>
              <w:rPr>
                <w:rStyle w:val="Hyperlink"/>
                <w:rFonts w:cs="Calibri"/>
                <w:color w:val="0000FF"/>
              </w:rPr>
              <w:t>www.hcup-us.ahrq.gov</w:t>
            </w:r>
          </w:hyperlink>
          <w:r>
            <w:t xml:space="preserve">). </w:t>
          </w:r>
        </w:p>
        <w:p w14:paraId="5B46EA7B" w14:textId="77777777" w:rsidR="009C7794" w:rsidRDefault="009C7794" w:rsidP="00E45E2D">
          <w:pPr>
            <w:pStyle w:val="NQFMeasureStyle"/>
            <w:ind w:left="0"/>
          </w:pPr>
        </w:p>
        <w:p w14:paraId="4A9E675F" w14:textId="7333037F" w:rsidR="009C7794" w:rsidRDefault="009C7794" w:rsidP="00E45E2D">
          <w:pPr>
            <w:pStyle w:val="NQFMeasureStyle"/>
            <w:ind w:left="0"/>
          </w:pPr>
          <w:r>
            <w:t>For additional testing of the indicators we created a county characteristic dataset which was merged with the county-level observed and risk adjusted rates from the HCUP dataset described above. Using a conceptual model for hospitalization indicators, we examined candidate predictor variables from the County Health Rankings (CHR)</w:t>
          </w:r>
          <w:r w:rsidR="00AD57D1">
            <w:rPr>
              <w:rStyle w:val="FootnoteReference"/>
            </w:rPr>
            <w:footnoteReference w:id="2"/>
          </w:r>
          <w:r>
            <w:t xml:space="preserve"> dataset and the American Community Survey</w:t>
          </w:r>
          <w:r w:rsidR="00546798">
            <w:t xml:space="preserve"> (ACS)</w:t>
          </w:r>
          <w:r w:rsidR="00301431">
            <w:rPr>
              <w:rStyle w:val="FootnoteReference"/>
            </w:rPr>
            <w:footnoteReference w:id="3"/>
          </w:r>
          <w:r>
            <w:t xml:space="preserve">. Candidate variables that corresponded to the conceptual model were grouped by the following categories: individual health behavior (IHB) included variables that include actions and behaviors of individuals and may be mutable, access to care (AC) included variables that reflect the structure and quality of the healthcare system in a community, socioeconomic status (SES) included variables of poverty and education levels within a community and environment (E)  variables included community characteristics, such as access to food and open spaces, pollution or violent crime.  County prevalence estimates were derived from the Behavioral Risk Factor Surveillance System (BRFSS) Asthma model based county estimates. </w:t>
          </w:r>
        </w:p>
        <w:p w14:paraId="0E932B84" w14:textId="390102D4" w:rsidR="00B353C8" w:rsidRPr="00AD57D1" w:rsidRDefault="00E56677" w:rsidP="00AD57D1">
          <w:pPr>
            <w:pStyle w:val="Default"/>
            <w:spacing w:line="276" w:lineRule="auto"/>
            <w:rPr>
              <w:rFonts w:asciiTheme="minorHAnsi" w:hAnsiTheme="minorHAnsi" w:cstheme="minorHAnsi"/>
              <w:color w:val="0000FF"/>
              <w:sz w:val="20"/>
              <w:szCs w:val="20"/>
            </w:rPr>
          </w:pPr>
        </w:p>
      </w:sdtContent>
    </w:sdt>
    <w:p w14:paraId="0CE95113" w14:textId="77777777" w:rsidR="00B353C8" w:rsidRDefault="00B353C8" w:rsidP="00DB3627">
      <w:pPr>
        <w:autoSpaceDE w:val="0"/>
        <w:autoSpaceDN w:val="0"/>
        <w:adjustRightInd w:val="0"/>
        <w:spacing w:after="0" w:line="240" w:lineRule="auto"/>
        <w:rPr>
          <w:rFonts w:cstheme="minorHAnsi"/>
          <w:b/>
        </w:rPr>
      </w:pPr>
    </w:p>
    <w:p w14:paraId="790545DE" w14:textId="77777777" w:rsidR="00AD57D1"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14:paraId="78B7DDC3" w14:textId="0DAE0365" w:rsidR="0004593A" w:rsidRPr="00A25024" w:rsidRDefault="00AD57D1" w:rsidP="00E45E2D">
      <w:pPr>
        <w:pStyle w:val="NQFMeasureStyle"/>
        <w:ind w:left="0"/>
        <w:rPr>
          <w:rFonts w:cstheme="minorHAnsi"/>
          <w:bCs/>
        </w:rPr>
      </w:pPr>
      <w:r w:rsidRPr="00AD57D1">
        <w:rPr>
          <w:rStyle w:val="NQFMeasureStyleChar"/>
        </w:rPr>
        <w:t>HCUP data: 200</w:t>
      </w:r>
      <w:r w:rsidR="00D5725A">
        <w:rPr>
          <w:rStyle w:val="NQFMeasureStyleChar"/>
        </w:rPr>
        <w:t>9-2013</w:t>
      </w:r>
      <w:r w:rsidRPr="00AD57D1">
        <w:rPr>
          <w:rStyle w:val="NQFMeasureStyleChar"/>
        </w:rPr>
        <w:t>, CHR data: 2014 and ACS data: 2013.</w:t>
      </w:r>
    </w:p>
    <w:p w14:paraId="40C38437" w14:textId="77777777" w:rsidR="000574AB" w:rsidRDefault="000574AB" w:rsidP="00DB3627">
      <w:pPr>
        <w:autoSpaceDE w:val="0"/>
        <w:autoSpaceDN w:val="0"/>
        <w:adjustRightInd w:val="0"/>
        <w:spacing w:after="0" w:line="240" w:lineRule="auto"/>
        <w:rPr>
          <w:rFonts w:cstheme="minorHAnsi"/>
          <w:bCs/>
        </w:rPr>
      </w:pPr>
    </w:p>
    <w:p w14:paraId="27B40DE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p w14:paraId="75116D0C" w14:textId="77777777" w:rsidR="009C7794" w:rsidRDefault="009C7794" w:rsidP="00E45E2D">
      <w:pPr>
        <w:pStyle w:val="NQFMeasureStyle"/>
        <w:ind w:left="0"/>
      </w:pPr>
      <w:r>
        <w:t xml:space="preserve">County </w:t>
      </w:r>
    </w:p>
    <w:p w14:paraId="48BA03D4" w14:textId="77777777" w:rsidR="00346791" w:rsidRDefault="00346791" w:rsidP="00DB3627">
      <w:pPr>
        <w:autoSpaceDE w:val="0"/>
        <w:autoSpaceDN w:val="0"/>
        <w:adjustRightInd w:val="0"/>
        <w:spacing w:after="0" w:line="240" w:lineRule="auto"/>
        <w:rPr>
          <w:rFonts w:cstheme="minorHAnsi"/>
          <w:bCs/>
        </w:rPr>
      </w:pPr>
    </w:p>
    <w:tbl>
      <w:tblPr>
        <w:tblStyle w:val="TableGrid"/>
        <w:tblW w:w="4786" w:type="pct"/>
        <w:jc w:val="center"/>
        <w:tblInd w:w="88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03"/>
        <w:gridCol w:w="3863"/>
      </w:tblGrid>
      <w:tr w:rsidR="000414E8" w:rsidRPr="00A01494" w14:paraId="47EB017A" w14:textId="77777777" w:rsidTr="00E45E2D">
        <w:trPr>
          <w:jc w:val="center"/>
        </w:trPr>
        <w:tc>
          <w:tcPr>
            <w:tcW w:w="5303" w:type="dxa"/>
            <w:shd w:val="clear" w:color="auto" w:fill="D9D9D9" w:themeFill="background1" w:themeFillShade="D9"/>
          </w:tcPr>
          <w:p w14:paraId="4186C55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4D73B1"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3863" w:type="dxa"/>
            <w:shd w:val="clear" w:color="auto" w:fill="D9D9D9" w:themeFill="background1" w:themeFillShade="D9"/>
          </w:tcPr>
          <w:p w14:paraId="385C4C61"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C11DD7A" w14:textId="77777777" w:rsidTr="00E45E2D">
        <w:trPr>
          <w:jc w:val="center"/>
        </w:trPr>
        <w:tc>
          <w:tcPr>
            <w:tcW w:w="5303" w:type="dxa"/>
          </w:tcPr>
          <w:p w14:paraId="1DA46FCD" w14:textId="77777777" w:rsidR="000414E8" w:rsidRPr="00A01494" w:rsidRDefault="00E56677"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3863" w:type="dxa"/>
          </w:tcPr>
          <w:p w14:paraId="4861D414" w14:textId="77777777" w:rsidR="000414E8" w:rsidRPr="00A01494" w:rsidRDefault="00E56677"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79051602" w14:textId="77777777" w:rsidTr="00E45E2D">
        <w:trPr>
          <w:jc w:val="center"/>
        </w:trPr>
        <w:tc>
          <w:tcPr>
            <w:tcW w:w="5303" w:type="dxa"/>
          </w:tcPr>
          <w:p w14:paraId="046A85D6" w14:textId="77777777" w:rsidR="000414E8" w:rsidRPr="00A01494" w:rsidRDefault="00E56677"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3863" w:type="dxa"/>
          </w:tcPr>
          <w:p w14:paraId="059D279B" w14:textId="77777777" w:rsidR="000414E8" w:rsidRPr="00A01494" w:rsidRDefault="00E56677"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E4A07E6" w14:textId="77777777" w:rsidTr="00E45E2D">
        <w:trPr>
          <w:jc w:val="center"/>
        </w:trPr>
        <w:tc>
          <w:tcPr>
            <w:tcW w:w="5303" w:type="dxa"/>
          </w:tcPr>
          <w:p w14:paraId="532A4D7A" w14:textId="4A8D4B8A" w:rsidR="000414E8" w:rsidRPr="00A01494" w:rsidRDefault="00E56677"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Content>
                <w:r w:rsidR="009C7794">
                  <w:rPr>
                    <w:rFonts w:ascii="MS Gothic" w:eastAsia="MS Gothic" w:hAnsi="MS Gothic" w:cstheme="minorHAnsi" w:hint="eastAsia"/>
                    <w:bCs/>
                    <w:color w:val="0000FF"/>
                  </w:rPr>
                  <w:t>☐</w:t>
                </w:r>
              </w:sdtContent>
            </w:sdt>
            <w:r w:rsidR="000414E8">
              <w:rPr>
                <w:rFonts w:cstheme="minorHAnsi"/>
                <w:bCs/>
              </w:rPr>
              <w:t xml:space="preserve"> </w:t>
            </w:r>
            <w:r w:rsidR="000414E8" w:rsidRPr="00525D0A">
              <w:rPr>
                <w:rFonts w:eastAsia="MS Gothic" w:cstheme="minorHAnsi"/>
                <w:bCs/>
              </w:rPr>
              <w:t>hospital/facility/agency</w:t>
            </w:r>
          </w:p>
        </w:tc>
        <w:tc>
          <w:tcPr>
            <w:tcW w:w="3863" w:type="dxa"/>
          </w:tcPr>
          <w:p w14:paraId="18EB19D0" w14:textId="1FCB8117" w:rsidR="000414E8" w:rsidRPr="00A01494" w:rsidRDefault="00E56677"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Content>
                <w:r w:rsidR="009C7794">
                  <w:rPr>
                    <w:rFonts w:ascii="MS Gothic" w:eastAsia="MS Gothic" w:hAnsi="MS Gothic" w:cstheme="minorHAnsi" w:hint="eastAsia"/>
                    <w:bCs/>
                    <w:color w:val="0000FF"/>
                  </w:rPr>
                  <w:t>☐</w:t>
                </w:r>
              </w:sdtContent>
            </w:sdt>
            <w:r w:rsidR="000414E8">
              <w:rPr>
                <w:rFonts w:cstheme="minorHAnsi"/>
                <w:bCs/>
              </w:rPr>
              <w:t xml:space="preserve"> </w:t>
            </w:r>
            <w:r w:rsidR="000414E8" w:rsidRPr="00525D0A">
              <w:rPr>
                <w:rFonts w:eastAsia="MS Gothic" w:cstheme="minorHAnsi"/>
                <w:bCs/>
              </w:rPr>
              <w:t>hospital/facility/agency</w:t>
            </w:r>
          </w:p>
        </w:tc>
      </w:tr>
      <w:tr w:rsidR="000414E8" w:rsidRPr="00A01494" w14:paraId="6A83D587" w14:textId="77777777" w:rsidTr="00E45E2D">
        <w:trPr>
          <w:jc w:val="center"/>
        </w:trPr>
        <w:tc>
          <w:tcPr>
            <w:tcW w:w="5303" w:type="dxa"/>
          </w:tcPr>
          <w:p w14:paraId="491DB308" w14:textId="77777777" w:rsidR="000414E8" w:rsidRPr="00A01494" w:rsidRDefault="00E5667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3863" w:type="dxa"/>
          </w:tcPr>
          <w:p w14:paraId="136A27C1" w14:textId="77777777" w:rsidR="000414E8" w:rsidRPr="00A01494" w:rsidRDefault="00E5667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100E627" w14:textId="77777777" w:rsidTr="00E45E2D">
        <w:trPr>
          <w:jc w:val="center"/>
        </w:trPr>
        <w:tc>
          <w:tcPr>
            <w:tcW w:w="5303" w:type="dxa"/>
          </w:tcPr>
          <w:p w14:paraId="5EA381A5" w14:textId="2DB344FE" w:rsidR="000414E8" w:rsidRPr="00A01494" w:rsidRDefault="00E56677" w:rsidP="009C7794">
            <w:pPr>
              <w:autoSpaceDE w:val="0"/>
              <w:autoSpaceDN w:val="0"/>
              <w:adjustRightInd w:val="0"/>
              <w:rPr>
                <w:rFonts w:cstheme="minorHAnsi"/>
                <w:bCs/>
              </w:rPr>
            </w:pPr>
            <w:sdt>
              <w:sdtPr>
                <w:rPr>
                  <w:rFonts w:cstheme="minorHAnsi"/>
                  <w:bCs/>
                  <w:color w:val="0000FF"/>
                </w:rPr>
                <w:id w:val="-1138024150"/>
                <w14:checkbox>
                  <w14:checked w14:val="1"/>
                  <w14:checkedState w14:val="2612" w14:font="MS Gothic"/>
                  <w14:uncheckedState w14:val="2610" w14:font="MS Gothic"/>
                </w14:checkbox>
              </w:sdtPr>
              <w:sdtContent>
                <w:r w:rsidR="009C7794">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sidR="009C7794">
                  <w:rPr>
                    <w:rStyle w:val="Style1"/>
                  </w:rPr>
                  <w:t>Population Health</w:t>
                </w:r>
              </w:sdtContent>
            </w:sdt>
          </w:p>
        </w:tc>
        <w:tc>
          <w:tcPr>
            <w:tcW w:w="3863" w:type="dxa"/>
          </w:tcPr>
          <w:p w14:paraId="41B17C78" w14:textId="253A0A38" w:rsidR="000414E8" w:rsidRPr="00A01494" w:rsidRDefault="00E56677" w:rsidP="009C7794">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Content>
                <w:r w:rsidR="009C7794">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sidR="009C7794">
                  <w:rPr>
                    <w:rStyle w:val="Style1"/>
                  </w:rPr>
                  <w:t>County</w:t>
                </w:r>
              </w:sdtContent>
            </w:sdt>
          </w:p>
        </w:tc>
      </w:tr>
    </w:tbl>
    <w:p w14:paraId="2A8A48DA" w14:textId="77777777" w:rsidR="000414E8" w:rsidRPr="00A25024" w:rsidRDefault="000414E8" w:rsidP="00DB3627">
      <w:pPr>
        <w:autoSpaceDE w:val="0"/>
        <w:autoSpaceDN w:val="0"/>
        <w:adjustRightInd w:val="0"/>
        <w:spacing w:after="0" w:line="240" w:lineRule="auto"/>
        <w:rPr>
          <w:rFonts w:cstheme="minorHAnsi"/>
          <w:bCs/>
        </w:rPr>
      </w:pPr>
    </w:p>
    <w:p w14:paraId="16198F24" w14:textId="02E78440"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003FE69" w14:textId="5FD7D2A6" w:rsidR="00E45E2D" w:rsidRDefault="00E45E2D">
      <w:pPr>
        <w:rPr>
          <w:rFonts w:cstheme="minorHAnsi"/>
          <w:bCs/>
        </w:rPr>
      </w:pPr>
      <w:r>
        <w:rPr>
          <w:rFonts w:cstheme="minorHAnsi"/>
          <w:bCs/>
        </w:rPr>
        <w:br w:type="page"/>
      </w:r>
    </w:p>
    <w:p w14:paraId="0B3443FD" w14:textId="78B7F067" w:rsidR="00346791" w:rsidRPr="00C00E30" w:rsidRDefault="00346791" w:rsidP="00346791">
      <w:pPr>
        <w:tabs>
          <w:tab w:val="left" w:pos="9360"/>
        </w:tabs>
        <w:spacing w:after="0" w:line="240" w:lineRule="auto"/>
        <w:contextualSpacing/>
        <w:rPr>
          <w:rFonts w:ascii="Calibri" w:hAnsi="Calibri" w:cstheme="minorHAnsi"/>
          <w:b/>
          <w:color w:val="0000FF"/>
          <w:sz w:val="24"/>
          <w:szCs w:val="24"/>
        </w:rPr>
      </w:pPr>
      <w:proofErr w:type="gramStart"/>
      <w:r w:rsidRPr="00C00E30">
        <w:rPr>
          <w:rFonts w:ascii="Calibri" w:hAnsi="Calibri" w:cstheme="minorHAnsi"/>
          <w:b/>
          <w:color w:val="0000FF"/>
          <w:sz w:val="24"/>
          <w:szCs w:val="24"/>
        </w:rPr>
        <w:lastRenderedPageBreak/>
        <w:t>Table 1.</w:t>
      </w:r>
      <w:proofErr w:type="gramEnd"/>
      <w:r w:rsidRPr="00C00E30">
        <w:rPr>
          <w:rFonts w:ascii="Calibri" w:hAnsi="Calibri" w:cstheme="minorHAnsi"/>
          <w:b/>
          <w:color w:val="0000FF"/>
          <w:sz w:val="24"/>
          <w:szCs w:val="24"/>
        </w:rPr>
        <w:t xml:space="preserve"> Reference Population Rate and Distribution of </w:t>
      </w:r>
      <w:r w:rsidR="009C7794" w:rsidRPr="00C00E30">
        <w:rPr>
          <w:rFonts w:ascii="Calibri" w:hAnsi="Calibri" w:cstheme="minorHAnsi"/>
          <w:b/>
          <w:color w:val="0000FF"/>
          <w:sz w:val="24"/>
          <w:szCs w:val="24"/>
        </w:rPr>
        <w:t>County</w:t>
      </w:r>
      <w:r w:rsidR="00AD57D1" w:rsidRPr="00C00E30">
        <w:rPr>
          <w:rFonts w:ascii="Calibri" w:hAnsi="Calibri" w:cstheme="minorHAnsi"/>
          <w:b/>
          <w:color w:val="0000FF"/>
          <w:sz w:val="24"/>
          <w:szCs w:val="24"/>
        </w:rPr>
        <w:t xml:space="preserve"> Performance </w:t>
      </w:r>
      <w:proofErr w:type="gramStart"/>
      <w:r w:rsidR="00AD57D1" w:rsidRPr="00C00E30">
        <w:rPr>
          <w:rFonts w:ascii="Calibri" w:hAnsi="Calibri" w:cstheme="minorHAnsi"/>
          <w:b/>
          <w:color w:val="0000FF"/>
          <w:sz w:val="24"/>
          <w:szCs w:val="24"/>
        </w:rPr>
        <w:t>for</w:t>
      </w:r>
      <w:r w:rsidRPr="00C00E30">
        <w:rPr>
          <w:rFonts w:ascii="Calibri" w:hAnsi="Calibri" w:cstheme="minorHAnsi"/>
          <w:b/>
          <w:color w:val="0000FF"/>
          <w:sz w:val="24"/>
          <w:szCs w:val="24"/>
        </w:rPr>
        <w:t xml:space="preserve"> </w:t>
      </w:r>
      <w:bookmarkStart w:id="11" w:name="OLE_LINK1"/>
      <w:r w:rsidR="00AD57D1" w:rsidRPr="00C00E30">
        <w:rPr>
          <w:rFonts w:ascii="Calibri" w:hAnsi="Calibri" w:cstheme="minorHAnsi"/>
          <w:b/>
          <w:color w:val="0000FF"/>
          <w:sz w:val="24"/>
          <w:szCs w:val="24"/>
        </w:rPr>
        <w:t>PQI</w:t>
      </w:r>
      <w:r w:rsidR="00604D4E">
        <w:rPr>
          <w:rFonts w:ascii="Calibri" w:hAnsi="Calibri" w:cstheme="minorHAnsi"/>
          <w:b/>
          <w:color w:val="0000FF"/>
          <w:sz w:val="24"/>
          <w:szCs w:val="24"/>
        </w:rPr>
        <w:t xml:space="preserve"> </w:t>
      </w:r>
      <w:r w:rsidR="00AD57D1" w:rsidRPr="00C00E30">
        <w:rPr>
          <w:rFonts w:ascii="Calibri" w:hAnsi="Calibri" w:cstheme="minorHAnsi"/>
          <w:b/>
          <w:color w:val="0000FF"/>
          <w:sz w:val="24"/>
          <w:szCs w:val="24"/>
        </w:rPr>
        <w:t>15 Asthma in Younger Adults Admission Rate</w:t>
      </w:r>
      <w:proofErr w:type="gramEnd"/>
      <w:r w:rsidR="00AD57D1" w:rsidRPr="00C00E30">
        <w:rPr>
          <w:rFonts w:ascii="Calibri" w:hAnsi="Calibri" w:cstheme="minorHAnsi"/>
          <w:b/>
          <w:color w:val="0000FF"/>
          <w:sz w:val="24"/>
          <w:szCs w:val="24"/>
        </w:rPr>
        <w:t xml:space="preserve"> </w:t>
      </w:r>
    </w:p>
    <w:tbl>
      <w:tblPr>
        <w:tblStyle w:val="TableGrid"/>
        <w:tblW w:w="9360" w:type="dxa"/>
        <w:tblInd w:w="108" w:type="dxa"/>
        <w:tblLayout w:type="fixed"/>
        <w:tblLook w:val="04A0" w:firstRow="1" w:lastRow="0" w:firstColumn="1" w:lastColumn="0" w:noHBand="0" w:noVBand="1"/>
      </w:tblPr>
      <w:tblGrid>
        <w:gridCol w:w="1131"/>
        <w:gridCol w:w="1683"/>
        <w:gridCol w:w="2392"/>
        <w:gridCol w:w="2392"/>
        <w:gridCol w:w="1762"/>
      </w:tblGrid>
      <w:tr w:rsidR="00346791" w14:paraId="603215C7" w14:textId="77777777" w:rsidTr="00963414">
        <w:trPr>
          <w:trHeight w:val="250"/>
        </w:trPr>
        <w:tc>
          <w:tcPr>
            <w:tcW w:w="93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11"/>
          <w:p w14:paraId="6F21010C" w14:textId="77777777" w:rsidR="00346791" w:rsidRDefault="00346791" w:rsidP="009C7794">
            <w:pPr>
              <w:autoSpaceDE w:val="0"/>
              <w:autoSpaceDN w:val="0"/>
              <w:adjustRightInd w:val="0"/>
              <w:jc w:val="center"/>
              <w:rPr>
                <w:rFonts w:ascii="Calibri" w:hAnsi="Calibri" w:cstheme="minorHAnsi"/>
                <w:b/>
                <w:bCs/>
                <w:color w:val="0000FF"/>
              </w:rPr>
            </w:pPr>
            <w:r>
              <w:rPr>
                <w:rFonts w:ascii="Calibri" w:hAnsi="Calibri" w:cstheme="minorHAnsi"/>
                <w:b/>
                <w:bCs/>
                <w:color w:val="0000FF"/>
              </w:rPr>
              <w:t>Overall Reference Population Rate</w:t>
            </w:r>
          </w:p>
        </w:tc>
      </w:tr>
      <w:tr w:rsidR="00346791" w14:paraId="52C8DC84" w14:textId="77777777" w:rsidTr="00963414">
        <w:trPr>
          <w:trHeight w:val="250"/>
        </w:trPr>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7A6D33"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 xml:space="preserve">Year </w:t>
            </w:r>
          </w:p>
        </w:tc>
        <w:tc>
          <w:tcPr>
            <w:tcW w:w="16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BC2BAB" w14:textId="20274685"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 xml:space="preserve">Number </w:t>
            </w:r>
            <w:r w:rsidR="009C7794">
              <w:rPr>
                <w:rFonts w:ascii="Calibri" w:hAnsi="Calibri" w:cstheme="minorHAnsi"/>
                <w:b/>
                <w:bCs/>
                <w:color w:val="0000FF"/>
              </w:rPr>
              <w:t>Counties</w:t>
            </w:r>
            <w:r>
              <w:rPr>
                <w:rFonts w:ascii="Calibri" w:hAnsi="Calibri" w:cstheme="minorHAnsi"/>
                <w:b/>
                <w:bCs/>
                <w:color w:val="0000FF"/>
              </w:rPr>
              <w:t xml:space="preserve"> </w:t>
            </w:r>
          </w:p>
        </w:tc>
        <w:tc>
          <w:tcPr>
            <w:tcW w:w="2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E43FC5"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 xml:space="preserve">Outcome of Interest </w:t>
            </w:r>
          </w:p>
          <w:p w14:paraId="7F6F641F"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(Numerator)</w:t>
            </w:r>
            <w:r>
              <w:rPr>
                <w:rFonts w:ascii="Calibri" w:hAnsi="Calibri" w:cstheme="minorHAnsi"/>
                <w:b/>
                <w:bCs/>
                <w:color w:val="0000FF"/>
                <w:vertAlign w:val="superscript"/>
              </w:rPr>
              <w:t>1</w:t>
            </w:r>
            <w:r>
              <w:rPr>
                <w:rFonts w:ascii="Calibri" w:hAnsi="Calibri" w:cstheme="minorHAnsi"/>
                <w:b/>
                <w:bCs/>
                <w:color w:val="0000FF"/>
              </w:rPr>
              <w:t xml:space="preserve"> </w:t>
            </w:r>
          </w:p>
        </w:tc>
        <w:tc>
          <w:tcPr>
            <w:tcW w:w="2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60E754"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 xml:space="preserve">Population at Risk </w:t>
            </w:r>
          </w:p>
          <w:p w14:paraId="73977B45"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(Denominator)</w:t>
            </w:r>
            <w:r>
              <w:rPr>
                <w:rFonts w:ascii="Calibri" w:hAnsi="Calibri" w:cstheme="minorHAnsi"/>
                <w:b/>
                <w:bCs/>
                <w:color w:val="0000FF"/>
                <w:vertAlign w:val="superscript"/>
              </w:rPr>
              <w:t>1</w:t>
            </w:r>
          </w:p>
        </w:tc>
        <w:tc>
          <w:tcPr>
            <w:tcW w:w="17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610CB7"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 xml:space="preserve">Observed Rate </w:t>
            </w:r>
          </w:p>
          <w:p w14:paraId="47318BB1" w14:textId="77777777" w:rsidR="00346791" w:rsidRDefault="00346791" w:rsidP="009C7794">
            <w:pPr>
              <w:autoSpaceDE w:val="0"/>
              <w:autoSpaceDN w:val="0"/>
              <w:adjustRightInd w:val="0"/>
              <w:rPr>
                <w:rFonts w:ascii="Calibri" w:hAnsi="Calibri" w:cstheme="minorHAnsi"/>
                <w:color w:val="0000FF"/>
              </w:rPr>
            </w:pPr>
            <w:r>
              <w:rPr>
                <w:rFonts w:ascii="Calibri" w:hAnsi="Calibri" w:cstheme="minorHAnsi"/>
                <w:b/>
                <w:bCs/>
                <w:color w:val="0000FF"/>
              </w:rPr>
              <w:t>Per 1000</w:t>
            </w:r>
            <w:r>
              <w:rPr>
                <w:rFonts w:ascii="Calibri" w:hAnsi="Calibri" w:cstheme="minorHAnsi"/>
                <w:b/>
                <w:bCs/>
                <w:color w:val="0000FF"/>
                <w:vertAlign w:val="superscript"/>
              </w:rPr>
              <w:t>1</w:t>
            </w:r>
          </w:p>
        </w:tc>
      </w:tr>
      <w:tr w:rsidR="00963414" w:rsidRPr="00963414" w14:paraId="65C4A662" w14:textId="77777777" w:rsidTr="00963414">
        <w:trPr>
          <w:trHeight w:val="300"/>
        </w:trPr>
        <w:tc>
          <w:tcPr>
            <w:tcW w:w="1131" w:type="dxa"/>
            <w:noWrap/>
            <w:hideMark/>
          </w:tcPr>
          <w:p w14:paraId="10E4E80A" w14:textId="77777777" w:rsidR="00963414" w:rsidRPr="00963414" w:rsidRDefault="00963414" w:rsidP="00963414">
            <w:pPr>
              <w:rPr>
                <w:rFonts w:ascii="Calibri" w:eastAsia="Times New Roman" w:hAnsi="Calibri" w:cs="Times New Roman"/>
                <w:color w:val="000000"/>
              </w:rPr>
            </w:pPr>
            <w:r w:rsidRPr="00963414">
              <w:rPr>
                <w:rFonts w:ascii="Calibri" w:eastAsia="Times New Roman" w:hAnsi="Calibri" w:cs="Times New Roman"/>
                <w:color w:val="000000"/>
              </w:rPr>
              <w:t>2009</w:t>
            </w:r>
          </w:p>
        </w:tc>
        <w:tc>
          <w:tcPr>
            <w:tcW w:w="1683" w:type="dxa"/>
            <w:noWrap/>
            <w:hideMark/>
          </w:tcPr>
          <w:p w14:paraId="38A67258"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3,135</w:t>
            </w:r>
          </w:p>
        </w:tc>
        <w:tc>
          <w:tcPr>
            <w:tcW w:w="2392" w:type="dxa"/>
            <w:noWrap/>
            <w:hideMark/>
          </w:tcPr>
          <w:p w14:paraId="647D61F9"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52,986</w:t>
            </w:r>
          </w:p>
        </w:tc>
        <w:tc>
          <w:tcPr>
            <w:tcW w:w="2392" w:type="dxa"/>
            <w:noWrap/>
            <w:hideMark/>
          </w:tcPr>
          <w:p w14:paraId="39247CA7"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91,475,217</w:t>
            </w:r>
          </w:p>
        </w:tc>
        <w:tc>
          <w:tcPr>
            <w:tcW w:w="1762" w:type="dxa"/>
            <w:noWrap/>
            <w:hideMark/>
          </w:tcPr>
          <w:p w14:paraId="47CEDB6C"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0.5792</w:t>
            </w:r>
          </w:p>
        </w:tc>
      </w:tr>
      <w:tr w:rsidR="00963414" w:rsidRPr="00963414" w14:paraId="4036197E" w14:textId="77777777" w:rsidTr="00963414">
        <w:trPr>
          <w:trHeight w:val="300"/>
        </w:trPr>
        <w:tc>
          <w:tcPr>
            <w:tcW w:w="1131" w:type="dxa"/>
            <w:noWrap/>
            <w:hideMark/>
          </w:tcPr>
          <w:p w14:paraId="442FE9DF" w14:textId="77777777" w:rsidR="00963414" w:rsidRPr="00963414" w:rsidRDefault="00963414" w:rsidP="00963414">
            <w:pPr>
              <w:rPr>
                <w:rFonts w:ascii="Calibri" w:eastAsia="Times New Roman" w:hAnsi="Calibri" w:cs="Times New Roman"/>
                <w:color w:val="000000"/>
              </w:rPr>
            </w:pPr>
            <w:r w:rsidRPr="00963414">
              <w:rPr>
                <w:rFonts w:ascii="Calibri" w:eastAsia="Times New Roman" w:hAnsi="Calibri" w:cs="Times New Roman"/>
                <w:color w:val="000000"/>
              </w:rPr>
              <w:t>2010</w:t>
            </w:r>
          </w:p>
        </w:tc>
        <w:tc>
          <w:tcPr>
            <w:tcW w:w="1683" w:type="dxa"/>
            <w:noWrap/>
            <w:hideMark/>
          </w:tcPr>
          <w:p w14:paraId="7D2BFBE8"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3,138</w:t>
            </w:r>
          </w:p>
        </w:tc>
        <w:tc>
          <w:tcPr>
            <w:tcW w:w="2392" w:type="dxa"/>
            <w:noWrap/>
            <w:hideMark/>
          </w:tcPr>
          <w:p w14:paraId="1B6BE2B4"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46,476</w:t>
            </w:r>
          </w:p>
        </w:tc>
        <w:tc>
          <w:tcPr>
            <w:tcW w:w="2392" w:type="dxa"/>
            <w:noWrap/>
            <w:hideMark/>
          </w:tcPr>
          <w:p w14:paraId="14E4CAC4"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91,767,953</w:t>
            </w:r>
          </w:p>
        </w:tc>
        <w:tc>
          <w:tcPr>
            <w:tcW w:w="1762" w:type="dxa"/>
            <w:noWrap/>
            <w:hideMark/>
          </w:tcPr>
          <w:p w14:paraId="28437D99"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0.5065</w:t>
            </w:r>
          </w:p>
        </w:tc>
      </w:tr>
      <w:tr w:rsidR="00963414" w:rsidRPr="00963414" w14:paraId="151023BC" w14:textId="77777777" w:rsidTr="00963414">
        <w:trPr>
          <w:trHeight w:val="300"/>
        </w:trPr>
        <w:tc>
          <w:tcPr>
            <w:tcW w:w="1131" w:type="dxa"/>
            <w:noWrap/>
            <w:hideMark/>
          </w:tcPr>
          <w:p w14:paraId="767CD87A" w14:textId="77777777" w:rsidR="00963414" w:rsidRPr="00963414" w:rsidRDefault="00963414" w:rsidP="00963414">
            <w:pPr>
              <w:rPr>
                <w:rFonts w:ascii="Calibri" w:eastAsia="Times New Roman" w:hAnsi="Calibri" w:cs="Times New Roman"/>
                <w:color w:val="000000"/>
              </w:rPr>
            </w:pPr>
            <w:r w:rsidRPr="00963414">
              <w:rPr>
                <w:rFonts w:ascii="Calibri" w:eastAsia="Times New Roman" w:hAnsi="Calibri" w:cs="Times New Roman"/>
                <w:color w:val="000000"/>
              </w:rPr>
              <w:t>2011</w:t>
            </w:r>
          </w:p>
        </w:tc>
        <w:tc>
          <w:tcPr>
            <w:tcW w:w="1683" w:type="dxa"/>
            <w:noWrap/>
            <w:hideMark/>
          </w:tcPr>
          <w:p w14:paraId="2E89BB21"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3,141</w:t>
            </w:r>
          </w:p>
        </w:tc>
        <w:tc>
          <w:tcPr>
            <w:tcW w:w="2392" w:type="dxa"/>
            <w:noWrap/>
            <w:hideMark/>
          </w:tcPr>
          <w:p w14:paraId="74DCAFBC"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43,685</w:t>
            </w:r>
          </w:p>
        </w:tc>
        <w:tc>
          <w:tcPr>
            <w:tcW w:w="2392" w:type="dxa"/>
            <w:noWrap/>
            <w:hideMark/>
          </w:tcPr>
          <w:p w14:paraId="514EBBD4"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92,184,336</w:t>
            </w:r>
          </w:p>
        </w:tc>
        <w:tc>
          <w:tcPr>
            <w:tcW w:w="1762" w:type="dxa"/>
            <w:noWrap/>
            <w:hideMark/>
          </w:tcPr>
          <w:p w14:paraId="54888982"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0.4739</w:t>
            </w:r>
          </w:p>
        </w:tc>
      </w:tr>
      <w:tr w:rsidR="00963414" w:rsidRPr="00963414" w14:paraId="6BDD37D4" w14:textId="77777777" w:rsidTr="00963414">
        <w:trPr>
          <w:trHeight w:val="300"/>
        </w:trPr>
        <w:tc>
          <w:tcPr>
            <w:tcW w:w="1131" w:type="dxa"/>
            <w:noWrap/>
            <w:hideMark/>
          </w:tcPr>
          <w:p w14:paraId="27379F2B" w14:textId="77777777" w:rsidR="00963414" w:rsidRPr="00963414" w:rsidRDefault="00963414" w:rsidP="00963414">
            <w:pPr>
              <w:rPr>
                <w:rFonts w:ascii="Calibri" w:eastAsia="Times New Roman" w:hAnsi="Calibri" w:cs="Times New Roman"/>
                <w:color w:val="000000"/>
              </w:rPr>
            </w:pPr>
            <w:r w:rsidRPr="00963414">
              <w:rPr>
                <w:rFonts w:ascii="Calibri" w:eastAsia="Times New Roman" w:hAnsi="Calibri" w:cs="Times New Roman"/>
                <w:color w:val="000000"/>
              </w:rPr>
              <w:t>2012</w:t>
            </w:r>
          </w:p>
        </w:tc>
        <w:tc>
          <w:tcPr>
            <w:tcW w:w="1683" w:type="dxa"/>
            <w:noWrap/>
            <w:hideMark/>
          </w:tcPr>
          <w:p w14:paraId="1BE1ED1F"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3,139</w:t>
            </w:r>
          </w:p>
        </w:tc>
        <w:tc>
          <w:tcPr>
            <w:tcW w:w="2392" w:type="dxa"/>
            <w:noWrap/>
            <w:hideMark/>
          </w:tcPr>
          <w:p w14:paraId="45527017"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43,746</w:t>
            </w:r>
          </w:p>
        </w:tc>
        <w:tc>
          <w:tcPr>
            <w:tcW w:w="2392" w:type="dxa"/>
            <w:noWrap/>
            <w:hideMark/>
          </w:tcPr>
          <w:p w14:paraId="06A2F42E"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90,798,464</w:t>
            </w:r>
          </w:p>
        </w:tc>
        <w:tc>
          <w:tcPr>
            <w:tcW w:w="1762" w:type="dxa"/>
            <w:noWrap/>
            <w:hideMark/>
          </w:tcPr>
          <w:p w14:paraId="347E49AD"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0.4818</w:t>
            </w:r>
          </w:p>
        </w:tc>
      </w:tr>
      <w:tr w:rsidR="00963414" w:rsidRPr="00963414" w14:paraId="32845ADF" w14:textId="77777777" w:rsidTr="00963414">
        <w:trPr>
          <w:trHeight w:val="315"/>
        </w:trPr>
        <w:tc>
          <w:tcPr>
            <w:tcW w:w="1131" w:type="dxa"/>
            <w:noWrap/>
            <w:hideMark/>
          </w:tcPr>
          <w:p w14:paraId="20B3B2E2" w14:textId="77777777" w:rsidR="00963414" w:rsidRPr="00963414" w:rsidRDefault="00963414" w:rsidP="00963414">
            <w:pPr>
              <w:rPr>
                <w:rFonts w:ascii="Calibri" w:eastAsia="Times New Roman" w:hAnsi="Calibri" w:cs="Times New Roman"/>
                <w:color w:val="000000"/>
              </w:rPr>
            </w:pPr>
            <w:r w:rsidRPr="00963414">
              <w:rPr>
                <w:rFonts w:ascii="Calibri" w:eastAsia="Times New Roman" w:hAnsi="Calibri" w:cs="Times New Roman"/>
                <w:color w:val="000000"/>
              </w:rPr>
              <w:t>2013</w:t>
            </w:r>
          </w:p>
        </w:tc>
        <w:tc>
          <w:tcPr>
            <w:tcW w:w="1683" w:type="dxa"/>
            <w:noWrap/>
            <w:hideMark/>
          </w:tcPr>
          <w:p w14:paraId="28E24D1D"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3,140</w:t>
            </w:r>
          </w:p>
        </w:tc>
        <w:tc>
          <w:tcPr>
            <w:tcW w:w="2392" w:type="dxa"/>
            <w:noWrap/>
            <w:hideMark/>
          </w:tcPr>
          <w:p w14:paraId="0CB5102E"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34,549</w:t>
            </w:r>
          </w:p>
        </w:tc>
        <w:tc>
          <w:tcPr>
            <w:tcW w:w="2392" w:type="dxa"/>
            <w:noWrap/>
            <w:hideMark/>
          </w:tcPr>
          <w:p w14:paraId="193A627F"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91,667,214</w:t>
            </w:r>
          </w:p>
        </w:tc>
        <w:tc>
          <w:tcPr>
            <w:tcW w:w="1762" w:type="dxa"/>
            <w:noWrap/>
            <w:hideMark/>
          </w:tcPr>
          <w:p w14:paraId="6FE154EF" w14:textId="77777777" w:rsidR="00963414" w:rsidRPr="00963414" w:rsidRDefault="00963414" w:rsidP="00963414">
            <w:pPr>
              <w:jc w:val="right"/>
              <w:rPr>
                <w:rFonts w:ascii="Calibri" w:eastAsia="Times New Roman" w:hAnsi="Calibri" w:cs="Times New Roman"/>
                <w:color w:val="000000"/>
              </w:rPr>
            </w:pPr>
            <w:r w:rsidRPr="00963414">
              <w:rPr>
                <w:rFonts w:ascii="Calibri" w:eastAsia="Times New Roman" w:hAnsi="Calibri" w:cs="Times New Roman"/>
                <w:color w:val="000000"/>
              </w:rPr>
              <w:t>0.3769</w:t>
            </w:r>
          </w:p>
        </w:tc>
      </w:tr>
    </w:tbl>
    <w:tbl>
      <w:tblPr>
        <w:tblW w:w="9360" w:type="dxa"/>
        <w:tblInd w:w="108" w:type="dxa"/>
        <w:tblLayout w:type="fixed"/>
        <w:tblLook w:val="04A0" w:firstRow="1" w:lastRow="0" w:firstColumn="1" w:lastColumn="0" w:noHBand="0" w:noVBand="1"/>
      </w:tblPr>
      <w:tblGrid>
        <w:gridCol w:w="1118"/>
        <w:gridCol w:w="1659"/>
        <w:gridCol w:w="962"/>
        <w:gridCol w:w="885"/>
        <w:gridCol w:w="885"/>
        <w:gridCol w:w="885"/>
        <w:gridCol w:w="963"/>
        <w:gridCol w:w="963"/>
        <w:gridCol w:w="1040"/>
      </w:tblGrid>
      <w:tr w:rsidR="00346791" w14:paraId="5BC95698" w14:textId="77777777" w:rsidTr="009C7794">
        <w:trPr>
          <w:trHeight w:val="300"/>
        </w:trPr>
        <w:tc>
          <w:tcPr>
            <w:tcW w:w="936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AC53D31" w14:textId="493245BC" w:rsidR="00346791" w:rsidRDefault="00346791" w:rsidP="009C7794">
            <w:pPr>
              <w:spacing w:after="0" w:line="240" w:lineRule="auto"/>
              <w:jc w:val="center"/>
              <w:rPr>
                <w:rFonts w:ascii="Calibri" w:eastAsia="Times New Roman" w:hAnsi="Calibri" w:cs="Times New Roman"/>
                <w:b/>
                <w:color w:val="0000FF"/>
              </w:rPr>
            </w:pPr>
            <w:r>
              <w:rPr>
                <w:rFonts w:ascii="Calibri" w:eastAsia="Times New Roman" w:hAnsi="Calibri" w:cs="Times New Roman"/>
                <w:b/>
                <w:color w:val="0000FF"/>
              </w:rPr>
              <w:t xml:space="preserve">Distribution of </w:t>
            </w:r>
            <w:r w:rsidR="009C7794">
              <w:rPr>
                <w:rFonts w:ascii="Calibri" w:eastAsia="Times New Roman" w:hAnsi="Calibri" w:cs="Times New Roman"/>
                <w:b/>
                <w:color w:val="0000FF"/>
              </w:rPr>
              <w:t>County</w:t>
            </w:r>
            <w:r>
              <w:rPr>
                <w:rFonts w:ascii="Calibri" w:eastAsia="Times New Roman" w:hAnsi="Calibri" w:cs="Times New Roman"/>
                <w:b/>
                <w:color w:val="0000FF"/>
              </w:rPr>
              <w:t>-level Observed Rates in Reference Population</w:t>
            </w:r>
            <w:r w:rsidR="00795153">
              <w:rPr>
                <w:rFonts w:ascii="Calibri" w:eastAsia="Times New Roman" w:hAnsi="Calibri" w:cs="Times New Roman"/>
                <w:b/>
                <w:color w:val="0000FF"/>
              </w:rPr>
              <w:t xml:space="preserve"> Per 1000</w:t>
            </w:r>
          </w:p>
        </w:tc>
      </w:tr>
      <w:tr w:rsidR="00346791" w14:paraId="2F3B31E3" w14:textId="77777777" w:rsidTr="009C7794">
        <w:trPr>
          <w:trHeight w:val="300"/>
        </w:trPr>
        <w:tc>
          <w:tcPr>
            <w:tcW w:w="1118" w:type="dxa"/>
            <w:vMerge w:val="restart"/>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560BDE3C"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Year</w:t>
            </w:r>
          </w:p>
        </w:tc>
        <w:tc>
          <w:tcPr>
            <w:tcW w:w="1659" w:type="dxa"/>
            <w:vMerge w:val="restart"/>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bottom"/>
            <w:hideMark/>
          </w:tcPr>
          <w:p w14:paraId="2059758C"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Number of</w:t>
            </w:r>
          </w:p>
          <w:p w14:paraId="22FF35DB" w14:textId="76171551" w:rsidR="00346791" w:rsidRPr="00795153" w:rsidRDefault="009C7794"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Counties</w:t>
            </w:r>
          </w:p>
        </w:tc>
        <w:tc>
          <w:tcPr>
            <w:tcW w:w="6583" w:type="dxa"/>
            <w:gridSpan w:val="7"/>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3C1DCAA" w14:textId="1F7774B3" w:rsidR="00346791" w:rsidRPr="00795153" w:rsidRDefault="00346791" w:rsidP="00795153">
            <w:pPr>
              <w:spacing w:after="0" w:line="240" w:lineRule="auto"/>
              <w:jc w:val="center"/>
              <w:rPr>
                <w:rFonts w:ascii="Calibri" w:eastAsia="Times New Roman" w:hAnsi="Calibri" w:cs="Times New Roman"/>
                <w:b/>
                <w:color w:val="0000FF"/>
                <w:vertAlign w:val="superscript"/>
              </w:rPr>
            </w:pPr>
            <w:r w:rsidRPr="00795153">
              <w:rPr>
                <w:rFonts w:ascii="Calibri" w:eastAsia="Times New Roman" w:hAnsi="Calibri" w:cs="Times New Roman"/>
                <w:b/>
                <w:color w:val="0000FF"/>
              </w:rPr>
              <w:t>(p=percentile)</w:t>
            </w:r>
            <w:r w:rsidRPr="00795153">
              <w:rPr>
                <w:rFonts w:ascii="Calibri" w:eastAsia="Times New Roman" w:hAnsi="Calibri" w:cs="Times New Roman"/>
                <w:b/>
                <w:color w:val="0000FF"/>
                <w:vertAlign w:val="superscript"/>
              </w:rPr>
              <w:t>2</w:t>
            </w:r>
          </w:p>
        </w:tc>
      </w:tr>
      <w:tr w:rsidR="00346791" w14:paraId="1571FB78" w14:textId="77777777" w:rsidTr="00C00E30">
        <w:trPr>
          <w:trHeight w:val="300"/>
        </w:trPr>
        <w:tc>
          <w:tcPr>
            <w:tcW w:w="1118" w:type="dxa"/>
            <w:vMerge/>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0CF599ED" w14:textId="77777777" w:rsidR="00346791" w:rsidRPr="00795153" w:rsidRDefault="00346791" w:rsidP="009C7794">
            <w:pPr>
              <w:spacing w:after="0" w:line="240" w:lineRule="auto"/>
              <w:rPr>
                <w:rFonts w:ascii="Calibri" w:eastAsia="Times New Roman" w:hAnsi="Calibri" w:cs="Times New Roman"/>
                <w:b/>
                <w:color w:val="0000FF"/>
              </w:rPr>
            </w:pPr>
          </w:p>
        </w:tc>
        <w:tc>
          <w:tcPr>
            <w:tcW w:w="1659" w:type="dxa"/>
            <w:vMerge/>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451EBF03" w14:textId="77777777" w:rsidR="00346791" w:rsidRPr="00795153" w:rsidRDefault="00346791" w:rsidP="009C7794">
            <w:pPr>
              <w:spacing w:after="0" w:line="240" w:lineRule="auto"/>
              <w:rPr>
                <w:rFonts w:ascii="Calibri" w:eastAsia="Times New Roman" w:hAnsi="Calibri" w:cs="Times New Roman"/>
                <w:b/>
                <w:color w:val="0000FF"/>
              </w:rPr>
            </w:pPr>
          </w:p>
        </w:tc>
        <w:tc>
          <w:tcPr>
            <w:tcW w:w="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792AC7B"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Mean</w:t>
            </w:r>
          </w:p>
        </w:tc>
        <w:tc>
          <w:tcPr>
            <w:tcW w:w="8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0EFD515"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SD</w:t>
            </w:r>
          </w:p>
        </w:tc>
        <w:tc>
          <w:tcPr>
            <w:tcW w:w="8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BCE5DC5"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p5</w:t>
            </w:r>
          </w:p>
        </w:tc>
        <w:tc>
          <w:tcPr>
            <w:tcW w:w="8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6F031EB"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p25</w:t>
            </w:r>
          </w:p>
        </w:tc>
        <w:tc>
          <w:tcPr>
            <w:tcW w:w="9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7B7FF08"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Median</w:t>
            </w:r>
          </w:p>
        </w:tc>
        <w:tc>
          <w:tcPr>
            <w:tcW w:w="9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8BF96A5"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p75</w:t>
            </w:r>
          </w:p>
        </w:tc>
        <w:tc>
          <w:tcPr>
            <w:tcW w:w="1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9030F62" w14:textId="77777777" w:rsidR="00346791" w:rsidRPr="00795153" w:rsidRDefault="00346791" w:rsidP="009C7794">
            <w:pPr>
              <w:spacing w:after="0" w:line="240" w:lineRule="auto"/>
              <w:jc w:val="center"/>
              <w:rPr>
                <w:rFonts w:ascii="Calibri" w:eastAsia="Times New Roman" w:hAnsi="Calibri" w:cs="Times New Roman"/>
                <w:b/>
                <w:color w:val="0000FF"/>
              </w:rPr>
            </w:pPr>
            <w:r w:rsidRPr="00795153">
              <w:rPr>
                <w:rFonts w:ascii="Calibri" w:eastAsia="Times New Roman" w:hAnsi="Calibri" w:cs="Times New Roman"/>
                <w:b/>
                <w:color w:val="0000FF"/>
              </w:rPr>
              <w:t>p95</w:t>
            </w:r>
          </w:p>
        </w:tc>
      </w:tr>
      <w:tr w:rsidR="00963414" w:rsidRPr="00963414" w14:paraId="0BD9FA78" w14:textId="77777777" w:rsidTr="00963414">
        <w:trPr>
          <w:trHeight w:val="305"/>
        </w:trPr>
        <w:tc>
          <w:tcPr>
            <w:tcW w:w="1118" w:type="dxa"/>
            <w:tcBorders>
              <w:top w:val="single" w:sz="4" w:space="0" w:color="auto"/>
              <w:left w:val="single" w:sz="4" w:space="0" w:color="auto"/>
              <w:bottom w:val="single" w:sz="4" w:space="0" w:color="auto"/>
              <w:right w:val="nil"/>
            </w:tcBorders>
            <w:shd w:val="clear" w:color="auto" w:fill="auto"/>
            <w:noWrap/>
            <w:vAlign w:val="bottom"/>
          </w:tcPr>
          <w:p w14:paraId="62A039AF"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2009</w:t>
            </w:r>
          </w:p>
        </w:tc>
        <w:tc>
          <w:tcPr>
            <w:tcW w:w="16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37D1CF15"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3,135</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tcPr>
          <w:p w14:paraId="070230AC"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0.50</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7A11FA5E"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0.63</w:t>
            </w:r>
          </w:p>
        </w:tc>
        <w:tc>
          <w:tcPr>
            <w:tcW w:w="885" w:type="dxa"/>
            <w:tcBorders>
              <w:top w:val="single" w:sz="4" w:space="0" w:color="auto"/>
              <w:left w:val="single" w:sz="4" w:space="0" w:color="auto"/>
              <w:bottom w:val="single" w:sz="4" w:space="0" w:color="auto"/>
              <w:right w:val="nil"/>
            </w:tcBorders>
            <w:shd w:val="clear" w:color="auto" w:fill="auto"/>
            <w:vAlign w:val="bottom"/>
          </w:tcPr>
          <w:p w14:paraId="1EBED7B8"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885" w:type="dxa"/>
            <w:tcBorders>
              <w:top w:val="single" w:sz="4" w:space="0" w:color="auto"/>
              <w:left w:val="single" w:sz="4" w:space="0" w:color="auto"/>
              <w:bottom w:val="single" w:sz="4" w:space="0" w:color="auto"/>
              <w:right w:val="nil"/>
            </w:tcBorders>
            <w:shd w:val="clear" w:color="auto" w:fill="auto"/>
            <w:vAlign w:val="bottom"/>
          </w:tcPr>
          <w:p w14:paraId="1A667328"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963" w:type="dxa"/>
            <w:tcBorders>
              <w:top w:val="single" w:sz="4" w:space="0" w:color="auto"/>
              <w:left w:val="single" w:sz="4" w:space="0" w:color="auto"/>
              <w:bottom w:val="single" w:sz="4" w:space="0" w:color="auto"/>
              <w:right w:val="nil"/>
            </w:tcBorders>
            <w:shd w:val="clear" w:color="auto" w:fill="auto"/>
            <w:vAlign w:val="bottom"/>
          </w:tcPr>
          <w:p w14:paraId="675C79AE"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0.38</w:t>
            </w:r>
          </w:p>
        </w:tc>
        <w:tc>
          <w:tcPr>
            <w:tcW w:w="963" w:type="dxa"/>
            <w:tcBorders>
              <w:top w:val="single" w:sz="4" w:space="0" w:color="auto"/>
              <w:left w:val="single" w:sz="4" w:space="0" w:color="auto"/>
              <w:bottom w:val="single" w:sz="4" w:space="0" w:color="auto"/>
              <w:right w:val="nil"/>
            </w:tcBorders>
            <w:shd w:val="clear" w:color="auto" w:fill="auto"/>
            <w:vAlign w:val="bottom"/>
          </w:tcPr>
          <w:p w14:paraId="61B4F23C"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0.70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tcPr>
          <w:p w14:paraId="75BDC275"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1.51</w:t>
            </w:r>
          </w:p>
        </w:tc>
      </w:tr>
      <w:tr w:rsidR="00963414" w:rsidRPr="00963414" w14:paraId="622A2DC3" w14:textId="77777777" w:rsidTr="00963414">
        <w:trPr>
          <w:trHeight w:val="305"/>
        </w:trPr>
        <w:tc>
          <w:tcPr>
            <w:tcW w:w="1118" w:type="dxa"/>
            <w:tcBorders>
              <w:top w:val="single" w:sz="4" w:space="0" w:color="auto"/>
              <w:left w:val="single" w:sz="4" w:space="0" w:color="auto"/>
              <w:bottom w:val="single" w:sz="4" w:space="0" w:color="auto"/>
              <w:right w:val="nil"/>
            </w:tcBorders>
            <w:shd w:val="clear" w:color="auto" w:fill="auto"/>
            <w:noWrap/>
            <w:vAlign w:val="bottom"/>
          </w:tcPr>
          <w:p w14:paraId="446A79BA"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2010</w:t>
            </w:r>
          </w:p>
        </w:tc>
        <w:tc>
          <w:tcPr>
            <w:tcW w:w="16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43CCADE3"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3,138</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tcPr>
          <w:p w14:paraId="1E37A4B9"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0.46</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57B71D14"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0.63</w:t>
            </w:r>
          </w:p>
        </w:tc>
        <w:tc>
          <w:tcPr>
            <w:tcW w:w="885" w:type="dxa"/>
            <w:tcBorders>
              <w:top w:val="single" w:sz="4" w:space="0" w:color="auto"/>
              <w:left w:val="single" w:sz="4" w:space="0" w:color="auto"/>
              <w:bottom w:val="single" w:sz="4" w:space="0" w:color="auto"/>
              <w:right w:val="nil"/>
            </w:tcBorders>
            <w:shd w:val="clear" w:color="auto" w:fill="auto"/>
            <w:vAlign w:val="bottom"/>
          </w:tcPr>
          <w:p w14:paraId="26E37A3C"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885" w:type="dxa"/>
            <w:tcBorders>
              <w:top w:val="single" w:sz="4" w:space="0" w:color="auto"/>
              <w:left w:val="single" w:sz="4" w:space="0" w:color="auto"/>
              <w:bottom w:val="single" w:sz="4" w:space="0" w:color="auto"/>
              <w:right w:val="nil"/>
            </w:tcBorders>
            <w:shd w:val="clear" w:color="auto" w:fill="auto"/>
            <w:vAlign w:val="bottom"/>
          </w:tcPr>
          <w:p w14:paraId="7FD50DD5"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963" w:type="dxa"/>
            <w:tcBorders>
              <w:top w:val="single" w:sz="4" w:space="0" w:color="auto"/>
              <w:left w:val="single" w:sz="4" w:space="0" w:color="auto"/>
              <w:bottom w:val="single" w:sz="4" w:space="0" w:color="auto"/>
              <w:right w:val="nil"/>
            </w:tcBorders>
            <w:shd w:val="clear" w:color="auto" w:fill="auto"/>
            <w:vAlign w:val="bottom"/>
          </w:tcPr>
          <w:p w14:paraId="2B80B3DE"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0.34</w:t>
            </w:r>
          </w:p>
        </w:tc>
        <w:tc>
          <w:tcPr>
            <w:tcW w:w="963" w:type="dxa"/>
            <w:tcBorders>
              <w:top w:val="single" w:sz="4" w:space="0" w:color="auto"/>
              <w:left w:val="single" w:sz="4" w:space="0" w:color="auto"/>
              <w:bottom w:val="single" w:sz="4" w:space="0" w:color="auto"/>
              <w:right w:val="nil"/>
            </w:tcBorders>
            <w:shd w:val="clear" w:color="auto" w:fill="auto"/>
            <w:vAlign w:val="bottom"/>
          </w:tcPr>
          <w:p w14:paraId="03811F7F"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0.64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tcPr>
          <w:p w14:paraId="0BA2086E"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1.38</w:t>
            </w:r>
          </w:p>
        </w:tc>
      </w:tr>
      <w:tr w:rsidR="00963414" w:rsidRPr="00963414" w14:paraId="306EB37A" w14:textId="77777777" w:rsidTr="00963414">
        <w:trPr>
          <w:trHeight w:val="305"/>
        </w:trPr>
        <w:tc>
          <w:tcPr>
            <w:tcW w:w="1118" w:type="dxa"/>
            <w:tcBorders>
              <w:top w:val="single" w:sz="4" w:space="0" w:color="auto"/>
              <w:left w:val="single" w:sz="4" w:space="0" w:color="auto"/>
              <w:bottom w:val="single" w:sz="4" w:space="0" w:color="auto"/>
              <w:right w:val="nil"/>
            </w:tcBorders>
            <w:shd w:val="clear" w:color="auto" w:fill="auto"/>
            <w:noWrap/>
            <w:vAlign w:val="bottom"/>
          </w:tcPr>
          <w:p w14:paraId="072A8ED3"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2011</w:t>
            </w:r>
          </w:p>
        </w:tc>
        <w:tc>
          <w:tcPr>
            <w:tcW w:w="16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06B5E73C"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3,141</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tcPr>
          <w:p w14:paraId="0B748D37"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0.40</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115A3519"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0.53</w:t>
            </w:r>
          </w:p>
        </w:tc>
        <w:tc>
          <w:tcPr>
            <w:tcW w:w="885" w:type="dxa"/>
            <w:tcBorders>
              <w:top w:val="single" w:sz="4" w:space="0" w:color="auto"/>
              <w:left w:val="single" w:sz="4" w:space="0" w:color="auto"/>
              <w:bottom w:val="single" w:sz="4" w:space="0" w:color="auto"/>
              <w:right w:val="nil"/>
            </w:tcBorders>
            <w:shd w:val="clear" w:color="auto" w:fill="auto"/>
            <w:vAlign w:val="bottom"/>
          </w:tcPr>
          <w:p w14:paraId="4CB3C9D0"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885" w:type="dxa"/>
            <w:tcBorders>
              <w:top w:val="single" w:sz="4" w:space="0" w:color="auto"/>
              <w:left w:val="single" w:sz="4" w:space="0" w:color="auto"/>
              <w:bottom w:val="single" w:sz="4" w:space="0" w:color="auto"/>
              <w:right w:val="nil"/>
            </w:tcBorders>
            <w:shd w:val="clear" w:color="auto" w:fill="auto"/>
            <w:vAlign w:val="bottom"/>
          </w:tcPr>
          <w:p w14:paraId="28520037"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963" w:type="dxa"/>
            <w:tcBorders>
              <w:top w:val="single" w:sz="4" w:space="0" w:color="auto"/>
              <w:left w:val="single" w:sz="4" w:space="0" w:color="auto"/>
              <w:bottom w:val="single" w:sz="4" w:space="0" w:color="auto"/>
              <w:right w:val="nil"/>
            </w:tcBorders>
            <w:shd w:val="clear" w:color="auto" w:fill="auto"/>
            <w:vAlign w:val="bottom"/>
          </w:tcPr>
          <w:p w14:paraId="6CDEF4AD"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0.29</w:t>
            </w:r>
          </w:p>
        </w:tc>
        <w:tc>
          <w:tcPr>
            <w:tcW w:w="963" w:type="dxa"/>
            <w:tcBorders>
              <w:top w:val="single" w:sz="4" w:space="0" w:color="auto"/>
              <w:left w:val="single" w:sz="4" w:space="0" w:color="auto"/>
              <w:bottom w:val="single" w:sz="4" w:space="0" w:color="auto"/>
              <w:right w:val="nil"/>
            </w:tcBorders>
            <w:shd w:val="clear" w:color="auto" w:fill="auto"/>
            <w:vAlign w:val="bottom"/>
          </w:tcPr>
          <w:p w14:paraId="405D819D"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0.56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tcPr>
          <w:p w14:paraId="5E424C1C"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1.25</w:t>
            </w:r>
          </w:p>
        </w:tc>
      </w:tr>
      <w:tr w:rsidR="00963414" w:rsidRPr="00963414" w14:paraId="1E9A1661" w14:textId="77777777" w:rsidTr="00963414">
        <w:trPr>
          <w:trHeight w:val="305"/>
        </w:trPr>
        <w:tc>
          <w:tcPr>
            <w:tcW w:w="1118" w:type="dxa"/>
            <w:tcBorders>
              <w:top w:val="single" w:sz="4" w:space="0" w:color="auto"/>
              <w:left w:val="single" w:sz="4" w:space="0" w:color="auto"/>
              <w:bottom w:val="single" w:sz="4" w:space="0" w:color="auto"/>
              <w:right w:val="nil"/>
            </w:tcBorders>
            <w:shd w:val="clear" w:color="auto" w:fill="auto"/>
            <w:noWrap/>
            <w:vAlign w:val="bottom"/>
          </w:tcPr>
          <w:p w14:paraId="21E818FA"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2012</w:t>
            </w:r>
          </w:p>
        </w:tc>
        <w:tc>
          <w:tcPr>
            <w:tcW w:w="16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6012F780"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3,139</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tcPr>
          <w:p w14:paraId="52ADCAAE"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0.67</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7045659A"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17.85</w:t>
            </w:r>
          </w:p>
        </w:tc>
        <w:tc>
          <w:tcPr>
            <w:tcW w:w="885" w:type="dxa"/>
            <w:tcBorders>
              <w:top w:val="single" w:sz="4" w:space="0" w:color="auto"/>
              <w:left w:val="single" w:sz="4" w:space="0" w:color="auto"/>
              <w:bottom w:val="single" w:sz="4" w:space="0" w:color="auto"/>
              <w:right w:val="nil"/>
            </w:tcBorders>
            <w:shd w:val="clear" w:color="auto" w:fill="auto"/>
            <w:vAlign w:val="bottom"/>
          </w:tcPr>
          <w:p w14:paraId="3157B078"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885" w:type="dxa"/>
            <w:tcBorders>
              <w:top w:val="single" w:sz="4" w:space="0" w:color="auto"/>
              <w:left w:val="single" w:sz="4" w:space="0" w:color="auto"/>
              <w:bottom w:val="single" w:sz="4" w:space="0" w:color="auto"/>
              <w:right w:val="nil"/>
            </w:tcBorders>
            <w:shd w:val="clear" w:color="auto" w:fill="auto"/>
            <w:vAlign w:val="bottom"/>
          </w:tcPr>
          <w:p w14:paraId="0C19B840"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963" w:type="dxa"/>
            <w:tcBorders>
              <w:top w:val="single" w:sz="4" w:space="0" w:color="auto"/>
              <w:left w:val="single" w:sz="4" w:space="0" w:color="auto"/>
              <w:bottom w:val="single" w:sz="4" w:space="0" w:color="auto"/>
              <w:right w:val="nil"/>
            </w:tcBorders>
            <w:shd w:val="clear" w:color="auto" w:fill="auto"/>
            <w:vAlign w:val="bottom"/>
          </w:tcPr>
          <w:p w14:paraId="51BE1BC2"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0.26</w:t>
            </w:r>
          </w:p>
        </w:tc>
        <w:tc>
          <w:tcPr>
            <w:tcW w:w="963" w:type="dxa"/>
            <w:tcBorders>
              <w:top w:val="single" w:sz="4" w:space="0" w:color="auto"/>
              <w:left w:val="single" w:sz="4" w:space="0" w:color="auto"/>
              <w:bottom w:val="single" w:sz="4" w:space="0" w:color="auto"/>
              <w:right w:val="nil"/>
            </w:tcBorders>
            <w:shd w:val="clear" w:color="auto" w:fill="auto"/>
            <w:vAlign w:val="bottom"/>
          </w:tcPr>
          <w:p w14:paraId="053BB746"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0.51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tcPr>
          <w:p w14:paraId="5EF2AB14"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1.07</w:t>
            </w:r>
          </w:p>
        </w:tc>
      </w:tr>
      <w:tr w:rsidR="00963414" w:rsidRPr="00963414" w14:paraId="48CD21D3" w14:textId="77777777" w:rsidTr="00963414">
        <w:trPr>
          <w:trHeight w:val="305"/>
        </w:trPr>
        <w:tc>
          <w:tcPr>
            <w:tcW w:w="1118" w:type="dxa"/>
            <w:tcBorders>
              <w:top w:val="single" w:sz="4" w:space="0" w:color="auto"/>
              <w:left w:val="single" w:sz="4" w:space="0" w:color="auto"/>
              <w:bottom w:val="single" w:sz="4" w:space="0" w:color="auto"/>
              <w:right w:val="nil"/>
            </w:tcBorders>
            <w:shd w:val="clear" w:color="auto" w:fill="auto"/>
            <w:noWrap/>
            <w:vAlign w:val="bottom"/>
          </w:tcPr>
          <w:p w14:paraId="1859413C"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2013</w:t>
            </w:r>
          </w:p>
        </w:tc>
        <w:tc>
          <w:tcPr>
            <w:tcW w:w="16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332864E7" w14:textId="77777777" w:rsidR="00963414" w:rsidRPr="00963414" w:rsidRDefault="00963414" w:rsidP="00963414">
            <w:pPr>
              <w:spacing w:after="0" w:line="240" w:lineRule="auto"/>
              <w:contextualSpacing/>
              <w:jc w:val="center"/>
              <w:rPr>
                <w:rFonts w:ascii="Calibri" w:hAnsi="Calibri"/>
                <w:color w:val="000000"/>
              </w:rPr>
            </w:pPr>
            <w:r w:rsidRPr="00963414">
              <w:rPr>
                <w:rFonts w:ascii="Calibri" w:hAnsi="Calibri"/>
                <w:color w:val="000000"/>
              </w:rPr>
              <w:t>3,140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tcPr>
          <w:p w14:paraId="2FB3BE0C"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0.28</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1D8E9AD1"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0.37</w:t>
            </w:r>
          </w:p>
        </w:tc>
        <w:tc>
          <w:tcPr>
            <w:tcW w:w="885" w:type="dxa"/>
            <w:tcBorders>
              <w:top w:val="single" w:sz="4" w:space="0" w:color="auto"/>
              <w:left w:val="single" w:sz="4" w:space="0" w:color="auto"/>
              <w:bottom w:val="single" w:sz="4" w:space="0" w:color="auto"/>
              <w:right w:val="nil"/>
            </w:tcBorders>
            <w:shd w:val="clear" w:color="auto" w:fill="auto"/>
            <w:vAlign w:val="bottom"/>
          </w:tcPr>
          <w:p w14:paraId="02D61035"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885" w:type="dxa"/>
            <w:tcBorders>
              <w:top w:val="single" w:sz="4" w:space="0" w:color="auto"/>
              <w:left w:val="single" w:sz="4" w:space="0" w:color="auto"/>
              <w:bottom w:val="single" w:sz="4" w:space="0" w:color="auto"/>
              <w:right w:val="nil"/>
            </w:tcBorders>
            <w:shd w:val="clear" w:color="auto" w:fill="auto"/>
            <w:vAlign w:val="bottom"/>
          </w:tcPr>
          <w:p w14:paraId="69387148"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0.00</w:t>
            </w:r>
          </w:p>
        </w:tc>
        <w:tc>
          <w:tcPr>
            <w:tcW w:w="963" w:type="dxa"/>
            <w:tcBorders>
              <w:top w:val="single" w:sz="4" w:space="0" w:color="auto"/>
              <w:left w:val="single" w:sz="4" w:space="0" w:color="auto"/>
              <w:bottom w:val="single" w:sz="4" w:space="0" w:color="auto"/>
              <w:right w:val="nil"/>
            </w:tcBorders>
            <w:shd w:val="clear" w:color="auto" w:fill="auto"/>
            <w:vAlign w:val="bottom"/>
          </w:tcPr>
          <w:p w14:paraId="355EC18F"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0.18</w:t>
            </w:r>
          </w:p>
        </w:tc>
        <w:tc>
          <w:tcPr>
            <w:tcW w:w="963" w:type="dxa"/>
            <w:tcBorders>
              <w:top w:val="single" w:sz="4" w:space="0" w:color="auto"/>
              <w:left w:val="single" w:sz="4" w:space="0" w:color="auto"/>
              <w:bottom w:val="single" w:sz="4" w:space="0" w:color="auto"/>
              <w:right w:val="nil"/>
            </w:tcBorders>
            <w:shd w:val="clear" w:color="auto" w:fill="auto"/>
            <w:vAlign w:val="bottom"/>
          </w:tcPr>
          <w:p w14:paraId="0F3452BC"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0.42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tcPr>
          <w:p w14:paraId="6556AA38" w14:textId="77777777" w:rsidR="00963414" w:rsidRPr="00963414" w:rsidRDefault="00963414" w:rsidP="00963414">
            <w:pPr>
              <w:spacing w:after="0" w:line="240" w:lineRule="auto"/>
              <w:contextualSpacing/>
              <w:jc w:val="center"/>
              <w:rPr>
                <w:rFonts w:ascii="Calibri" w:hAnsi="Calibri" w:cs="Calibri"/>
                <w:color w:val="000000"/>
              </w:rPr>
            </w:pPr>
            <w:r w:rsidRPr="00963414">
              <w:rPr>
                <w:rFonts w:ascii="Calibri" w:hAnsi="Calibri" w:cs="Calibri"/>
                <w:color w:val="000000"/>
              </w:rPr>
              <w:t>0.90</w:t>
            </w:r>
          </w:p>
        </w:tc>
      </w:tr>
    </w:tbl>
    <w:p w14:paraId="6BA2DCE5" w14:textId="0DDDA452" w:rsidR="009C7794" w:rsidRPr="00AD57D1" w:rsidRDefault="009C7794" w:rsidP="009C7794">
      <w:pPr>
        <w:spacing w:after="0" w:line="240" w:lineRule="auto"/>
        <w:rPr>
          <w:rFonts w:ascii="Calibri" w:hAnsi="Calibri" w:cs="Calibri"/>
          <w:color w:val="0000FF"/>
          <w:sz w:val="20"/>
          <w:szCs w:val="20"/>
        </w:rPr>
      </w:pPr>
      <w:r w:rsidRPr="00AD57D1">
        <w:rPr>
          <w:rFonts w:ascii="Calibri" w:hAnsi="Calibri" w:cs="Calibri"/>
          <w:color w:val="0000FF"/>
          <w:sz w:val="20"/>
          <w:szCs w:val="20"/>
        </w:rPr>
        <w:t xml:space="preserve">Source: HCUP State Inpatient Databases (SID). Healthcare Cost and </w:t>
      </w:r>
      <w:r w:rsidR="00D5725A">
        <w:rPr>
          <w:rFonts w:ascii="Calibri" w:hAnsi="Calibri" w:cs="Calibri"/>
          <w:color w:val="0000FF"/>
          <w:sz w:val="20"/>
          <w:szCs w:val="20"/>
        </w:rPr>
        <w:t xml:space="preserve">Utilization Project (HCUP). </w:t>
      </w:r>
      <w:proofErr w:type="gramStart"/>
      <w:r w:rsidR="00D5725A">
        <w:rPr>
          <w:rFonts w:ascii="Calibri" w:hAnsi="Calibri" w:cs="Calibri"/>
          <w:color w:val="0000FF"/>
          <w:sz w:val="20"/>
          <w:szCs w:val="20"/>
        </w:rPr>
        <w:t>2009</w:t>
      </w:r>
      <w:r w:rsidRPr="00AD57D1">
        <w:rPr>
          <w:rFonts w:ascii="Calibri" w:hAnsi="Calibri" w:cs="Calibri"/>
          <w:color w:val="0000FF"/>
          <w:sz w:val="20"/>
          <w:szCs w:val="20"/>
        </w:rPr>
        <w:t>-2013. Agency for Healthcare Research and Quality, Rockville, MD.</w:t>
      </w:r>
      <w:proofErr w:type="gramEnd"/>
      <w:r w:rsidRPr="00AD57D1">
        <w:rPr>
          <w:rFonts w:ascii="Calibri" w:hAnsi="Calibri" w:cs="Calibri"/>
          <w:color w:val="0000FF"/>
          <w:sz w:val="20"/>
          <w:szCs w:val="20"/>
        </w:rPr>
        <w:t xml:space="preserve"> www.hcup-us.ahrq.gov/sidoverview.jsp. (AHRQ QI Software Version 6.0)</w:t>
      </w:r>
    </w:p>
    <w:p w14:paraId="62011C6C" w14:textId="1791B389" w:rsidR="009C7794" w:rsidRPr="00AD57D1" w:rsidRDefault="009C7794" w:rsidP="009C7794">
      <w:pPr>
        <w:spacing w:after="0" w:line="240" w:lineRule="auto"/>
        <w:rPr>
          <w:rFonts w:ascii="Calibri" w:hAnsi="Calibri" w:cs="Calibri"/>
          <w:color w:val="0000FF"/>
          <w:sz w:val="20"/>
          <w:szCs w:val="20"/>
        </w:rPr>
      </w:pPr>
      <w:r w:rsidRPr="00AD57D1">
        <w:rPr>
          <w:rFonts w:ascii="Calibri" w:hAnsi="Calibri" w:cs="Calibri"/>
          <w:color w:val="0000FF"/>
          <w:sz w:val="20"/>
          <w:szCs w:val="20"/>
          <w:vertAlign w:val="superscript"/>
        </w:rPr>
        <w:t>1</w:t>
      </w:r>
      <w:r w:rsidRPr="00AD57D1">
        <w:rPr>
          <w:rFonts w:ascii="Calibri" w:hAnsi="Calibri" w:cs="Calibri"/>
          <w:color w:val="0000FF"/>
          <w:sz w:val="20"/>
          <w:szCs w:val="20"/>
        </w:rPr>
        <w:t>The observed rate refers to the total rate for all observations included in the reference population data (numerator) divided</w:t>
      </w:r>
      <w:r w:rsidR="00E45E2D">
        <w:rPr>
          <w:rFonts w:ascii="Calibri" w:hAnsi="Calibri" w:cs="Calibri"/>
          <w:color w:val="0000FF"/>
          <w:sz w:val="20"/>
          <w:szCs w:val="20"/>
        </w:rPr>
        <w:t xml:space="preserve"> by</w:t>
      </w:r>
      <w:r w:rsidRPr="00AD57D1">
        <w:rPr>
          <w:rFonts w:ascii="Calibri" w:hAnsi="Calibri" w:cs="Calibri"/>
          <w:color w:val="0000FF"/>
          <w:sz w:val="20"/>
          <w:szCs w:val="20"/>
        </w:rPr>
        <w:t xml:space="preserve"> the total combined</w:t>
      </w:r>
      <w:r w:rsidR="00401323">
        <w:rPr>
          <w:rFonts w:ascii="Calibri" w:hAnsi="Calibri" w:cs="Calibri"/>
          <w:color w:val="0000FF"/>
          <w:sz w:val="20"/>
          <w:szCs w:val="20"/>
        </w:rPr>
        <w:t xml:space="preserve"> eligible</w:t>
      </w:r>
      <w:r w:rsidRPr="00AD57D1">
        <w:rPr>
          <w:rFonts w:ascii="Calibri" w:hAnsi="Calibri" w:cs="Calibri"/>
          <w:color w:val="0000FF"/>
          <w:sz w:val="20"/>
          <w:szCs w:val="20"/>
        </w:rPr>
        <w:t xml:space="preserve"> population for the county in the reference population data (denominator). </w:t>
      </w:r>
      <w:r w:rsidR="00604D4E" w:rsidRPr="00E45E2D">
        <w:rPr>
          <w:rFonts w:ascii="Calibri" w:hAnsi="Calibri" w:cs="Calibri"/>
          <w:color w:val="0000FF"/>
          <w:sz w:val="20"/>
          <w:szCs w:val="20"/>
        </w:rPr>
        <w:t>For PQI 15 this includes population ages 18-39 years.</w:t>
      </w:r>
    </w:p>
    <w:p w14:paraId="5FAC5657" w14:textId="77777777" w:rsidR="009C7794" w:rsidRPr="00AD57D1" w:rsidRDefault="009C7794" w:rsidP="009C7794">
      <w:pPr>
        <w:autoSpaceDE w:val="0"/>
        <w:autoSpaceDN w:val="0"/>
        <w:adjustRightInd w:val="0"/>
        <w:spacing w:after="0" w:line="240" w:lineRule="auto"/>
        <w:rPr>
          <w:rFonts w:ascii="Calibri" w:hAnsi="Calibri" w:cs="Calibri"/>
          <w:color w:val="0000FF"/>
          <w:sz w:val="20"/>
          <w:szCs w:val="20"/>
        </w:rPr>
      </w:pPr>
      <w:r w:rsidRPr="00E45E2D">
        <w:rPr>
          <w:rFonts w:ascii="Calibri" w:hAnsi="Calibri" w:cs="Calibri"/>
          <w:color w:val="0000FF"/>
          <w:sz w:val="20"/>
          <w:szCs w:val="20"/>
          <w:vertAlign w:val="superscript"/>
        </w:rPr>
        <w:t>2</w:t>
      </w:r>
      <w:r w:rsidRPr="00AD57D1">
        <w:rPr>
          <w:rFonts w:ascii="Calibri" w:hAnsi="Calibri" w:cs="Calibri"/>
          <w:color w:val="0000FF"/>
          <w:sz w:val="20"/>
          <w:szCs w:val="20"/>
        </w:rPr>
        <w:t>Th</w:t>
      </w:r>
      <w:r w:rsidRPr="00E45E2D">
        <w:rPr>
          <w:rFonts w:ascii="Calibri" w:hAnsi="Calibri" w:cs="Calibri"/>
          <w:color w:val="0000FF"/>
          <w:sz w:val="20"/>
          <w:szCs w:val="20"/>
        </w:rPr>
        <w:t>e distribution of area rates reports the mean and standard deviation (S</w:t>
      </w:r>
      <w:r w:rsidRPr="00AD57D1">
        <w:rPr>
          <w:rFonts w:ascii="Calibri" w:hAnsi="Calibri" w:cs="Calibri"/>
          <w:color w:val="0000FF"/>
          <w:sz w:val="20"/>
          <w:szCs w:val="20"/>
        </w:rPr>
        <w:t>D) of the observed rates for all counties included in the dataset, as well as the observed rate for counties in the 5</w:t>
      </w:r>
      <w:r w:rsidRPr="00AD57D1">
        <w:rPr>
          <w:rFonts w:ascii="Calibri" w:hAnsi="Calibri" w:cs="Calibri"/>
          <w:color w:val="0000FF"/>
          <w:sz w:val="20"/>
          <w:szCs w:val="20"/>
          <w:vertAlign w:val="superscript"/>
        </w:rPr>
        <w:t>th</w:t>
      </w:r>
      <w:r w:rsidRPr="00AD57D1">
        <w:rPr>
          <w:rFonts w:ascii="Calibri" w:hAnsi="Calibri" w:cs="Calibri"/>
          <w:color w:val="0000FF"/>
          <w:sz w:val="20"/>
          <w:szCs w:val="20"/>
        </w:rPr>
        <w:t>, 25</w:t>
      </w:r>
      <w:r w:rsidRPr="00AD57D1">
        <w:rPr>
          <w:rFonts w:ascii="Calibri" w:hAnsi="Calibri" w:cs="Calibri"/>
          <w:color w:val="0000FF"/>
          <w:sz w:val="20"/>
          <w:szCs w:val="20"/>
          <w:vertAlign w:val="superscript"/>
        </w:rPr>
        <w:t>th</w:t>
      </w:r>
      <w:r w:rsidRPr="00AD57D1">
        <w:rPr>
          <w:rFonts w:ascii="Calibri" w:hAnsi="Calibri" w:cs="Calibri"/>
          <w:color w:val="0000FF"/>
          <w:sz w:val="20"/>
          <w:szCs w:val="20"/>
        </w:rPr>
        <w:t>, 50</w:t>
      </w:r>
      <w:r w:rsidRPr="00AD57D1">
        <w:rPr>
          <w:rFonts w:ascii="Calibri" w:hAnsi="Calibri" w:cs="Calibri"/>
          <w:color w:val="0000FF"/>
          <w:sz w:val="20"/>
          <w:szCs w:val="20"/>
          <w:vertAlign w:val="superscript"/>
        </w:rPr>
        <w:t>th</w:t>
      </w:r>
      <w:r w:rsidRPr="00AD57D1">
        <w:rPr>
          <w:rFonts w:ascii="Calibri" w:hAnsi="Calibri" w:cs="Calibri"/>
          <w:color w:val="0000FF"/>
          <w:sz w:val="20"/>
          <w:szCs w:val="20"/>
        </w:rPr>
        <w:t xml:space="preserve"> (median), 75</w:t>
      </w:r>
      <w:r w:rsidRPr="00AD57D1">
        <w:rPr>
          <w:rFonts w:ascii="Calibri" w:hAnsi="Calibri" w:cs="Calibri"/>
          <w:color w:val="0000FF"/>
          <w:sz w:val="20"/>
          <w:szCs w:val="20"/>
          <w:vertAlign w:val="superscript"/>
        </w:rPr>
        <w:t>th</w:t>
      </w:r>
      <w:r w:rsidRPr="00AD57D1">
        <w:rPr>
          <w:rFonts w:ascii="Calibri" w:hAnsi="Calibri" w:cs="Calibri"/>
          <w:color w:val="0000FF"/>
          <w:sz w:val="20"/>
          <w:szCs w:val="20"/>
        </w:rPr>
        <w:t>, and 95</w:t>
      </w:r>
      <w:r w:rsidRPr="00AD57D1">
        <w:rPr>
          <w:rFonts w:ascii="Calibri" w:hAnsi="Calibri" w:cs="Calibri"/>
          <w:color w:val="0000FF"/>
          <w:sz w:val="20"/>
          <w:szCs w:val="20"/>
          <w:vertAlign w:val="superscript"/>
        </w:rPr>
        <w:t>th</w:t>
      </w:r>
      <w:r w:rsidRPr="00AD57D1">
        <w:rPr>
          <w:rFonts w:ascii="Calibri" w:hAnsi="Calibri" w:cs="Calibri"/>
          <w:color w:val="0000FF"/>
          <w:sz w:val="20"/>
          <w:szCs w:val="20"/>
        </w:rPr>
        <w:t xml:space="preserve"> percentile.</w:t>
      </w:r>
    </w:p>
    <w:p w14:paraId="00684279" w14:textId="77777777" w:rsidR="004E3624" w:rsidRDefault="004E3624" w:rsidP="00B353C8">
      <w:pPr>
        <w:tabs>
          <w:tab w:val="left" w:pos="9360"/>
        </w:tabs>
        <w:spacing w:after="0" w:line="240" w:lineRule="auto"/>
        <w:contextualSpacing/>
        <w:rPr>
          <w:rFonts w:ascii="Calibri" w:hAnsi="Calibri" w:cstheme="minorHAnsi"/>
          <w:color w:val="0000FF"/>
          <w:sz w:val="20"/>
          <w:szCs w:val="20"/>
        </w:rPr>
      </w:pPr>
    </w:p>
    <w:p w14:paraId="5115FDEF" w14:textId="77777777" w:rsidR="005D56E5" w:rsidRPr="00207E1C" w:rsidRDefault="005D56E5" w:rsidP="00B353C8">
      <w:pPr>
        <w:tabs>
          <w:tab w:val="left" w:pos="9360"/>
        </w:tabs>
        <w:spacing w:after="0" w:line="240" w:lineRule="auto"/>
        <w:contextualSpacing/>
        <w:rPr>
          <w:rFonts w:ascii="Calibri" w:hAnsi="Calibri" w:cstheme="minorHAnsi"/>
          <w:color w:val="0000FF"/>
          <w:sz w:val="20"/>
          <w:szCs w:val="20"/>
        </w:rPr>
      </w:pPr>
    </w:p>
    <w:p w14:paraId="0BB50392" w14:textId="77777777"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0BD09EFC" w14:textId="5D6FEEC7" w:rsidR="00B353C8" w:rsidRDefault="00B353C8" w:rsidP="00E45E2D">
      <w:pPr>
        <w:pStyle w:val="NQFMeasureStyle"/>
        <w:ind w:left="0"/>
      </w:pPr>
      <w:r>
        <w:t>See 1.5 (Table 1)</w:t>
      </w:r>
    </w:p>
    <w:p w14:paraId="2A284234" w14:textId="77777777" w:rsidR="00B353C8" w:rsidRDefault="00B353C8" w:rsidP="00DB3627">
      <w:pPr>
        <w:autoSpaceDE w:val="0"/>
        <w:autoSpaceDN w:val="0"/>
        <w:adjustRightInd w:val="0"/>
        <w:spacing w:after="0" w:line="240" w:lineRule="auto"/>
        <w:rPr>
          <w:rFonts w:cstheme="minorHAnsi"/>
          <w:bCs/>
        </w:rPr>
      </w:pPr>
    </w:p>
    <w:p w14:paraId="1902DE9A" w14:textId="2D5EB0C8"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3255B7B" w14:textId="77777777" w:rsidR="00525D0A" w:rsidRDefault="00525D0A" w:rsidP="00E37E1B">
      <w:pPr>
        <w:autoSpaceDE w:val="0"/>
        <w:autoSpaceDN w:val="0"/>
        <w:adjustRightInd w:val="0"/>
        <w:spacing w:after="0" w:line="240" w:lineRule="auto"/>
        <w:rPr>
          <w:rFonts w:cstheme="minorHAnsi"/>
          <w:bCs/>
        </w:rPr>
      </w:pPr>
    </w:p>
    <w:p w14:paraId="19053714" w14:textId="5935B11C" w:rsidR="009C7794" w:rsidRDefault="009C7794" w:rsidP="00E45E2D">
      <w:pPr>
        <w:pStyle w:val="NQFMeasureStyle"/>
        <w:ind w:left="0"/>
      </w:pPr>
      <w:r>
        <w:t xml:space="preserve">The reliability and performance discrimination testing was completed using 2013 HCUP data. Validity testing was completed using 2012 HCUP data. </w:t>
      </w:r>
      <w:r w:rsidR="00604D4E" w:rsidRPr="00617A35">
        <w:t xml:space="preserve">The </w:t>
      </w:r>
      <w:r w:rsidR="00604D4E" w:rsidRPr="00677C9C">
        <w:t>AHRQ QI PQI 2012 reference population has 34</w:t>
      </w:r>
      <w:proofErr w:type="gramStart"/>
      <w:r w:rsidR="00604D4E" w:rsidRPr="00677C9C">
        <w:t>,440,38</w:t>
      </w:r>
      <w:proofErr w:type="gramEnd"/>
      <w:r w:rsidR="00604D4E" w:rsidRPr="00677C9C">
        <w:t xml:space="preserve"> discharges</w:t>
      </w:r>
      <w:r w:rsidR="00604D4E" w:rsidRPr="00617A35">
        <w:t xml:space="preserve"> and the </w:t>
      </w:r>
      <w:r w:rsidR="00604D4E" w:rsidRPr="00677C9C">
        <w:t>AHRQ QI PQI 2013 reference population includes 29,891,024.</w:t>
      </w:r>
      <w:r>
        <w:t xml:space="preserve"> Annual testing of rates, reliability and performance discrimination showed little change in performance between the two reference populations.</w:t>
      </w:r>
    </w:p>
    <w:p w14:paraId="33D60AE3" w14:textId="77777777" w:rsidR="005D56E5" w:rsidRPr="00207E1C" w:rsidRDefault="005D56E5" w:rsidP="005D56E5">
      <w:pPr>
        <w:tabs>
          <w:tab w:val="left" w:pos="9360"/>
        </w:tabs>
        <w:spacing w:after="0" w:line="240" w:lineRule="auto"/>
        <w:contextualSpacing/>
        <w:rPr>
          <w:rFonts w:ascii="Calibri" w:hAnsi="Calibri" w:cstheme="minorHAnsi"/>
          <w:color w:val="0000FF"/>
          <w:sz w:val="20"/>
          <w:szCs w:val="20"/>
        </w:rPr>
      </w:pPr>
    </w:p>
    <w:p w14:paraId="28DF458F" w14:textId="77777777" w:rsidR="00E37E1B" w:rsidRDefault="00E37E1B" w:rsidP="00E37E1B">
      <w:pPr>
        <w:autoSpaceDE w:val="0"/>
        <w:autoSpaceDN w:val="0"/>
        <w:adjustRightInd w:val="0"/>
        <w:spacing w:after="0" w:line="240" w:lineRule="auto"/>
        <w:rPr>
          <w:rFonts w:cstheme="minorHAnsi"/>
          <w:bCs/>
        </w:rPr>
      </w:pPr>
    </w:p>
    <w:p w14:paraId="24B0BBE7" w14:textId="3A0F6ADA" w:rsidR="0021054A" w:rsidRDefault="0021054A" w:rsidP="00E37E1B">
      <w:pPr>
        <w:autoSpaceDE w:val="0"/>
        <w:autoSpaceDN w:val="0"/>
        <w:adjustRightInd w:val="0"/>
        <w:spacing w:after="0" w:line="240" w:lineRule="auto"/>
        <w:rPr>
          <w:rFonts w:cstheme="minorHAnsi"/>
          <w:bCs/>
        </w:rPr>
      </w:pPr>
      <w:r w:rsidRPr="00525D0A">
        <w:rPr>
          <w:rFonts w:cstheme="minorHAnsi"/>
          <w:b/>
          <w:bCs/>
        </w:rPr>
        <w:t>1.8</w:t>
      </w:r>
      <w:r w:rsidRPr="00525D0A">
        <w:rPr>
          <w:rFonts w:cstheme="minorHAnsi"/>
          <w:bCs/>
        </w:rPr>
        <w:t xml:space="preserve"> What were the patient-level sociodemographic (SDS) variables that were available and analyzed in the data or sample used? </w:t>
      </w:r>
      <w:proofErr w:type="gramStart"/>
      <w:r w:rsidRPr="00525D0A">
        <w:rPr>
          <w:rFonts w:cstheme="minorHAnsi"/>
          <w:bCs/>
        </w:rPr>
        <w:t>For example, patient-reported data (e.g., income, education, language), proxy variables when SDS data are not collected from each patient (e.g. census tract), or patient community characteristics (e.g. percent vacant housing, crime rate).</w:t>
      </w:r>
      <w:proofErr w:type="gramEnd"/>
      <w:r>
        <w:rPr>
          <w:rFonts w:cstheme="minorHAnsi"/>
          <w:bCs/>
        </w:rPr>
        <w:t xml:space="preserve"> </w:t>
      </w:r>
    </w:p>
    <w:p w14:paraId="705DBEF7" w14:textId="77777777" w:rsidR="00D110B3" w:rsidRDefault="00D110B3" w:rsidP="00E37E1B">
      <w:pPr>
        <w:autoSpaceDE w:val="0"/>
        <w:autoSpaceDN w:val="0"/>
        <w:adjustRightInd w:val="0"/>
        <w:spacing w:after="0" w:line="240" w:lineRule="auto"/>
        <w:rPr>
          <w:rFonts w:cstheme="minorHAnsi"/>
          <w:bCs/>
        </w:rPr>
      </w:pPr>
    </w:p>
    <w:p w14:paraId="79A11A5F" w14:textId="77777777" w:rsidR="009C7794" w:rsidRDefault="009C7794" w:rsidP="00E45E2D">
      <w:pPr>
        <w:pStyle w:val="NQFMeasureStyle"/>
        <w:ind w:left="0"/>
      </w:pPr>
      <w:r>
        <w:t xml:space="preserve">We use SDS variables for two purposes: risk adjustment and validity analyses. Because the measures are applied at the county level, we use variables that describe the make-up of the county population. </w:t>
      </w:r>
    </w:p>
    <w:p w14:paraId="347DA127" w14:textId="77777777" w:rsidR="009C7794" w:rsidRDefault="009C7794" w:rsidP="00E45E2D">
      <w:pPr>
        <w:pStyle w:val="NQFMeasureStyle"/>
        <w:ind w:left="0"/>
      </w:pPr>
    </w:p>
    <w:p w14:paraId="529C2B8F" w14:textId="77777777" w:rsidR="009C7794" w:rsidRDefault="009C7794" w:rsidP="00E45E2D">
      <w:pPr>
        <w:pStyle w:val="NQFMeasureStyle"/>
        <w:ind w:left="0"/>
      </w:pPr>
      <w:r>
        <w:t>Risk adjustment: Two risk models are available; one includes age and sex make-up of the county, the other also includes the percent of households falling below the federal poverty level. These data are obtained from the US Census.</w:t>
      </w:r>
    </w:p>
    <w:p w14:paraId="4C3FF759" w14:textId="77777777" w:rsidR="009C7794" w:rsidRDefault="009C7794" w:rsidP="00E45E2D">
      <w:pPr>
        <w:pStyle w:val="NQFMeasureStyle"/>
        <w:ind w:left="0"/>
      </w:pPr>
      <w:r>
        <w:t xml:space="preserve"> </w:t>
      </w:r>
    </w:p>
    <w:p w14:paraId="4D00E879" w14:textId="77777777" w:rsidR="009C7794" w:rsidRDefault="009C7794" w:rsidP="00E45E2D">
      <w:pPr>
        <w:pStyle w:val="NQFMeasureStyle"/>
        <w:ind w:left="0"/>
      </w:pPr>
      <w:r>
        <w:t xml:space="preserve">Validity analyses: In addition to the risk models we used county level demographic variables in testing. Sociodemographic variables were combined using principal component analysis (PCA) into a single socioeconomic status (SES) variable, defined at the county level. Including unemployment rate, percent adults below the federal poverty line, percent of adults aged 25-44 with some post-secondary education, percent of population not proficient in English and median household income. </w:t>
      </w:r>
    </w:p>
    <w:p w14:paraId="5B4E1FB8" w14:textId="77777777" w:rsidR="00D110B3" w:rsidRPr="00094E93" w:rsidRDefault="00D110B3" w:rsidP="00E37E1B">
      <w:pPr>
        <w:autoSpaceDE w:val="0"/>
        <w:autoSpaceDN w:val="0"/>
        <w:adjustRightInd w:val="0"/>
        <w:spacing w:after="0" w:line="240" w:lineRule="auto"/>
        <w:rPr>
          <w:color w:val="0000FF"/>
        </w:rPr>
      </w:pPr>
    </w:p>
    <w:p w14:paraId="187C4E73"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73DA60E6"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C45091"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5538BA3" w14:textId="77777777" w:rsidR="008C54A9" w:rsidRPr="00A25024" w:rsidRDefault="008C54A9" w:rsidP="00DB3627">
      <w:pPr>
        <w:autoSpaceDE w:val="0"/>
        <w:autoSpaceDN w:val="0"/>
        <w:adjustRightInd w:val="0"/>
        <w:spacing w:after="0" w:line="240" w:lineRule="auto"/>
        <w:rPr>
          <w:rFonts w:cstheme="minorHAnsi"/>
          <w:b/>
          <w:bCs/>
        </w:rPr>
      </w:pPr>
    </w:p>
    <w:p w14:paraId="7B05C2F4" w14:textId="4B674F3C" w:rsidR="00DA5341"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346791">
        <w:rPr>
          <w:rFonts w:cstheme="minorHAnsi"/>
          <w:bCs/>
        </w:rPr>
        <w:t xml:space="preserve"> </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47689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sidRPr="00094E93">
        <w:rPr>
          <w:rFonts w:cstheme="minorHAnsi"/>
          <w:b/>
          <w:bCs/>
        </w:rPr>
        <w:t>Performance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proofErr w:type="gramStart"/>
      <w:r w:rsidR="001F7A20" w:rsidRPr="00A25024">
        <w:rPr>
          <w:rFonts w:cstheme="minorHAnsi"/>
          <w:bCs/>
        </w:rPr>
        <w:t>)</w:t>
      </w:r>
      <w:proofErr w:type="gramEnd"/>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0368590" w14:textId="77777777" w:rsidR="00AD57D1" w:rsidRDefault="00AD57D1" w:rsidP="00AD57D1">
      <w:pPr>
        <w:pStyle w:val="NQFMeasureStyle"/>
        <w:ind w:left="0"/>
        <w:rPr>
          <w:b/>
        </w:rPr>
      </w:pPr>
    </w:p>
    <w:p w14:paraId="3C8E4643" w14:textId="77777777" w:rsidR="00AD57D1" w:rsidRPr="00AD57D1" w:rsidRDefault="00AD57D1" w:rsidP="00AD57D1">
      <w:pPr>
        <w:pStyle w:val="FormText"/>
        <w:rPr>
          <w:b/>
          <w:i/>
        </w:rPr>
      </w:pPr>
      <w:r w:rsidRPr="00AD57D1">
        <w:rPr>
          <w:b/>
          <w:i/>
        </w:rPr>
        <w:t>Signal-to-noise</w:t>
      </w:r>
      <w:r w:rsidR="00730994" w:rsidRPr="00AD57D1">
        <w:rPr>
          <w:b/>
          <w:i/>
        </w:rPr>
        <w:t xml:space="preserve"> </w:t>
      </w:r>
    </w:p>
    <w:p w14:paraId="24E4FFD0" w14:textId="77777777" w:rsidR="00AD57D1" w:rsidRDefault="00AD57D1" w:rsidP="00AD57D1">
      <w:pPr>
        <w:pStyle w:val="NQFMeasureStyle"/>
      </w:pPr>
    </w:p>
    <w:p w14:paraId="7DCD9D30" w14:textId="77777777" w:rsidR="00604D4E" w:rsidRDefault="00604D4E" w:rsidP="00E45E2D">
      <w:pPr>
        <w:pStyle w:val="NQFMeasureStyle"/>
        <w:ind w:left="0"/>
      </w:pPr>
      <w:r>
        <w:t>The signal-to-noise ratio refers to the entire population of US counties, comparing the degree to which rates are different from county to county (the signal) to how stable the rates are within counties (the noise).   This metric is a stringent measure of reliability that takes into account the observed distribution of rates within a reference population. An indicator with a low signal-to-noise ratio may not be able to distinguish differences in performance between counties, or may identify differences inconsistently within the same time period. An indicator with a high signal-to-noise ratio will be more likely to consistently distinguish performance differences between counties (e.g. one county performs better than others).</w:t>
      </w:r>
    </w:p>
    <w:p w14:paraId="54143A90" w14:textId="77777777" w:rsidR="00604D4E" w:rsidRDefault="00604D4E" w:rsidP="00E45E2D">
      <w:pPr>
        <w:pStyle w:val="NQFMeasureStyle"/>
        <w:ind w:left="0"/>
      </w:pPr>
    </w:p>
    <w:p w14:paraId="27179762" w14:textId="0C6D9DB7" w:rsidR="00604D4E" w:rsidRDefault="00604D4E" w:rsidP="00E45E2D">
      <w:pPr>
        <w:pStyle w:val="NQFMeasureStyle"/>
        <w:ind w:left="0"/>
      </w:pPr>
      <w:r>
        <w:t xml:space="preserve">The signal-to-noise ratio is estimated for each county.  The overall signal-to-noise estimate is an average </w:t>
      </w:r>
      <w:r>
        <w:lastRenderedPageBreak/>
        <w:t xml:space="preserve">of county-level signal to noise ratios weighted by county size. County size is calculated as the eligible population for PQI 15 (population 18-39 years). Weighting by county size reduces the impact of counties that have very small denominators (the number of patients at risk). </w:t>
      </w:r>
    </w:p>
    <w:p w14:paraId="4F1741C0" w14:textId="77777777" w:rsidR="00604D4E" w:rsidRDefault="00604D4E" w:rsidP="00E45E2D">
      <w:pPr>
        <w:pStyle w:val="NQFMeasureStyle"/>
        <w:ind w:left="0"/>
      </w:pPr>
    </w:p>
    <w:p w14:paraId="4A42309A" w14:textId="77777777" w:rsidR="00604D4E" w:rsidRDefault="00604D4E" w:rsidP="00E45E2D">
      <w:pPr>
        <w:pStyle w:val="NQFMeasureStyle"/>
        <w:ind w:left="0"/>
      </w:pPr>
      <w:r>
        <w:t xml:space="preserve">Because the signal-to-noise ratio quantifies the ability to consistently discriminate one county’s performance from the other counties in the population, it is sensitive to the distribution of county sizes as well as the distribution of observed rates in the reference population. If the counties in a population all have performance in a narrow range, it is more difficult to reliably distinguish between counties’ performance than when county performance is spread out over a much wider range.   For example, if all counties have nearly perfect performance, it will be impossible to distinguish between them.  As a consequence, if the distribution of county rates changes over time, the signal-to-noise ratio will also change. </w:t>
      </w:r>
    </w:p>
    <w:p w14:paraId="684F5338" w14:textId="77777777" w:rsidR="00604D4E" w:rsidRDefault="00604D4E" w:rsidP="00E45E2D">
      <w:pPr>
        <w:pStyle w:val="NQFMeasureStyle"/>
        <w:ind w:left="0"/>
      </w:pPr>
    </w:p>
    <w:p w14:paraId="46386BED" w14:textId="77777777" w:rsidR="00604D4E" w:rsidRDefault="00604D4E" w:rsidP="00E45E2D">
      <w:pPr>
        <w:pStyle w:val="NQFMeasureStyle"/>
        <w:ind w:left="0"/>
      </w:pPr>
      <w:r>
        <w:t xml:space="preserve">There is no universally accepted threshold of “adequate” signal to noise ratio. </w:t>
      </w:r>
      <w:proofErr w:type="gramStart"/>
      <w:r>
        <w:t>Different methods of calculating reliability and signal-to-noise result in different distributions of reliability scores.</w:t>
      </w:r>
      <w:proofErr w:type="gramEnd"/>
      <w:r>
        <w:t xml:space="preserve"> In addition, “adequate” depends on the specific application and judgment of the user. For instance, if a complication such as mortality is very important (e.g. leads to great harm to the patient) a lower reliability may be acceptable. However, the AHRQ QI program generally considers ratios between 0.4 – 0.8 as acceptable. It is rare to achieve reliability above 0.8. To account for the uncertainty (noise) in a county’s performance due to reliability concerns stemming from low volume, smoothed rates can be calculated. </w:t>
      </w:r>
    </w:p>
    <w:p w14:paraId="62CA6B8F" w14:textId="77777777" w:rsidR="00AD57D1" w:rsidRDefault="00AD57D1" w:rsidP="00AD57D1">
      <w:pPr>
        <w:pStyle w:val="NQFMeasureStyle"/>
        <w:ind w:left="0"/>
      </w:pPr>
    </w:p>
    <w:p w14:paraId="6D58D3C9" w14:textId="77777777" w:rsidR="00D1321D" w:rsidRDefault="00092566" w:rsidP="008C54A9">
      <w:pPr>
        <w:autoSpaceDE w:val="0"/>
        <w:autoSpaceDN w:val="0"/>
        <w:adjustRightInd w:val="0"/>
        <w:spacing w:after="0" w:line="240" w:lineRule="auto"/>
        <w:rPr>
          <w:color w:val="0000FF"/>
          <w:sz w:val="20"/>
          <w:szCs w:val="20"/>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5E613E77" w14:textId="6F74C940" w:rsidR="00346791" w:rsidRPr="00C00E30" w:rsidRDefault="00346791" w:rsidP="00346791">
      <w:pPr>
        <w:keepNext/>
        <w:autoSpaceDE w:val="0"/>
        <w:autoSpaceDN w:val="0"/>
        <w:adjustRightInd w:val="0"/>
        <w:spacing w:after="0" w:line="240" w:lineRule="auto"/>
        <w:ind w:left="86" w:right="1530"/>
        <w:jc w:val="both"/>
        <w:rPr>
          <w:rFonts w:ascii="Calibri" w:hAnsi="Calibri" w:cstheme="minorHAnsi"/>
          <w:b/>
          <w:bCs/>
          <w:color w:val="0000FF"/>
          <w:sz w:val="24"/>
          <w:szCs w:val="24"/>
        </w:rPr>
      </w:pPr>
      <w:proofErr w:type="gramStart"/>
      <w:r w:rsidRPr="00C00E30">
        <w:rPr>
          <w:rFonts w:ascii="Calibri" w:hAnsi="Calibri" w:cstheme="minorHAnsi"/>
          <w:b/>
          <w:bCs/>
          <w:color w:val="0000FF"/>
          <w:sz w:val="24"/>
          <w:szCs w:val="24"/>
        </w:rPr>
        <w:t>Table 2</w:t>
      </w:r>
      <w:r w:rsidR="002D3AF2">
        <w:rPr>
          <w:rFonts w:ascii="Calibri" w:hAnsi="Calibri" w:cstheme="minorHAnsi"/>
          <w:b/>
          <w:bCs/>
          <w:color w:val="0000FF"/>
          <w:sz w:val="24"/>
          <w:szCs w:val="24"/>
        </w:rPr>
        <w:t>a</w:t>
      </w:r>
      <w:r w:rsidRPr="00C00E30">
        <w:rPr>
          <w:rFonts w:ascii="Calibri" w:hAnsi="Calibri" w:cstheme="minorHAnsi"/>
          <w:b/>
          <w:bCs/>
          <w:color w:val="0000FF"/>
          <w:sz w:val="24"/>
          <w:szCs w:val="24"/>
        </w:rPr>
        <w:t>.</w:t>
      </w:r>
      <w:proofErr w:type="gramEnd"/>
      <w:r w:rsidRPr="00C00E30">
        <w:rPr>
          <w:rFonts w:ascii="Calibri" w:hAnsi="Calibri" w:cstheme="minorHAnsi"/>
          <w:b/>
          <w:bCs/>
          <w:color w:val="0000FF"/>
          <w:sz w:val="24"/>
          <w:szCs w:val="24"/>
        </w:rPr>
        <w:t xml:space="preserve"> Signal-to-Noise Ratio by Size Decile </w:t>
      </w:r>
      <w:proofErr w:type="gramStart"/>
      <w:r w:rsidR="0014661D" w:rsidRPr="00C00E30">
        <w:rPr>
          <w:rFonts w:ascii="Calibri" w:hAnsi="Calibri" w:cstheme="minorHAnsi"/>
          <w:b/>
          <w:color w:val="0000FF"/>
          <w:sz w:val="24"/>
          <w:szCs w:val="24"/>
        </w:rPr>
        <w:t>for PQI</w:t>
      </w:r>
      <w:r w:rsidR="00604D4E">
        <w:rPr>
          <w:rFonts w:ascii="Calibri" w:hAnsi="Calibri" w:cstheme="minorHAnsi"/>
          <w:b/>
          <w:color w:val="0000FF"/>
          <w:sz w:val="24"/>
          <w:szCs w:val="24"/>
        </w:rPr>
        <w:t xml:space="preserve"> </w:t>
      </w:r>
      <w:r w:rsidR="0014661D" w:rsidRPr="00C00E30">
        <w:rPr>
          <w:rFonts w:ascii="Calibri" w:hAnsi="Calibri" w:cstheme="minorHAnsi"/>
          <w:b/>
          <w:color w:val="0000FF"/>
          <w:sz w:val="24"/>
          <w:szCs w:val="24"/>
        </w:rPr>
        <w:t>15 Asthma in Younger Adults Admission Rate</w:t>
      </w:r>
      <w:proofErr w:type="gramEnd"/>
    </w:p>
    <w:tbl>
      <w:tblPr>
        <w:tblW w:w="8089" w:type="dxa"/>
        <w:tblInd w:w="10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1257"/>
        <w:gridCol w:w="1252"/>
        <w:gridCol w:w="3150"/>
        <w:gridCol w:w="2430"/>
      </w:tblGrid>
      <w:tr w:rsidR="00346791" w14:paraId="16BEF925" w14:textId="77777777" w:rsidTr="00795153">
        <w:trPr>
          <w:trHeight w:hRule="exact" w:val="748"/>
        </w:trPr>
        <w:tc>
          <w:tcPr>
            <w:tcW w:w="1257" w:type="dxa"/>
            <w:tcBorders>
              <w:top w:val="single" w:sz="4" w:space="0" w:color="auto"/>
              <w:left w:val="single" w:sz="4" w:space="0" w:color="auto"/>
              <w:bottom w:val="single" w:sz="4" w:space="0" w:color="auto"/>
              <w:right w:val="nil"/>
            </w:tcBorders>
            <w:shd w:val="clear" w:color="auto" w:fill="D9D9D9" w:themeFill="background1" w:themeFillShade="D9"/>
          </w:tcPr>
          <w:p w14:paraId="53A63AB0" w14:textId="77777777" w:rsidR="00346791" w:rsidRDefault="00346791" w:rsidP="009C7794">
            <w:pPr>
              <w:pStyle w:val="TableParagraph"/>
              <w:spacing w:line="276" w:lineRule="auto"/>
              <w:ind w:left="102"/>
              <w:rPr>
                <w:rFonts w:ascii="Calibri" w:eastAsia="Times New Roman" w:hAnsi="Calibri" w:cstheme="minorHAnsi"/>
                <w:color w:val="0000FF"/>
              </w:rPr>
            </w:pPr>
            <w:r>
              <w:rPr>
                <w:rFonts w:ascii="Calibri" w:hAnsi="Calibri" w:cstheme="minorHAnsi"/>
                <w:b/>
                <w:color w:val="0000FF"/>
              </w:rPr>
              <w:t>Size Decile</w:t>
            </w:r>
          </w:p>
        </w:tc>
        <w:tc>
          <w:tcPr>
            <w:tcW w:w="1252" w:type="dxa"/>
            <w:tcBorders>
              <w:top w:val="single" w:sz="4" w:space="0" w:color="auto"/>
              <w:left w:val="nil"/>
              <w:bottom w:val="single" w:sz="4" w:space="0" w:color="auto"/>
              <w:right w:val="nil"/>
            </w:tcBorders>
            <w:shd w:val="clear" w:color="auto" w:fill="D9D9D9" w:themeFill="background1" w:themeFillShade="D9"/>
          </w:tcPr>
          <w:p w14:paraId="2B265B83" w14:textId="5FC7E0F0" w:rsidR="00346791" w:rsidRDefault="00346791" w:rsidP="00795153">
            <w:pPr>
              <w:pStyle w:val="TableParagraph"/>
              <w:spacing w:line="276" w:lineRule="auto"/>
              <w:ind w:left="83" w:firstLine="28"/>
              <w:rPr>
                <w:rFonts w:ascii="Calibri" w:eastAsia="Times New Roman" w:hAnsi="Calibri" w:cstheme="minorHAnsi"/>
                <w:color w:val="0000FF"/>
              </w:rPr>
            </w:pPr>
            <w:r>
              <w:rPr>
                <w:rFonts w:ascii="Calibri" w:hAnsi="Calibri" w:cstheme="minorHAnsi"/>
                <w:b/>
                <w:color w:val="0000FF"/>
              </w:rPr>
              <w:t>Number</w:t>
            </w:r>
            <w:r>
              <w:rPr>
                <w:rFonts w:ascii="Calibri" w:hAnsi="Calibri" w:cstheme="minorHAnsi"/>
                <w:b/>
                <w:color w:val="0000FF"/>
                <w:w w:val="99"/>
              </w:rPr>
              <w:t xml:space="preserve"> </w:t>
            </w:r>
            <w:r>
              <w:rPr>
                <w:rFonts w:ascii="Calibri" w:hAnsi="Calibri" w:cstheme="minorHAnsi"/>
                <w:b/>
                <w:color w:val="0000FF"/>
              </w:rPr>
              <w:t xml:space="preserve">of </w:t>
            </w:r>
            <w:r w:rsidR="00730994">
              <w:rPr>
                <w:rFonts w:ascii="Calibri" w:hAnsi="Calibri" w:cstheme="minorHAnsi"/>
                <w:b/>
                <w:color w:val="0000FF"/>
              </w:rPr>
              <w:t>Counties</w:t>
            </w:r>
          </w:p>
        </w:tc>
        <w:tc>
          <w:tcPr>
            <w:tcW w:w="3150" w:type="dxa"/>
            <w:tcBorders>
              <w:top w:val="single" w:sz="4" w:space="0" w:color="auto"/>
              <w:left w:val="nil"/>
              <w:bottom w:val="single" w:sz="4" w:space="0" w:color="auto"/>
              <w:right w:val="nil"/>
            </w:tcBorders>
            <w:shd w:val="clear" w:color="auto" w:fill="D9D9D9" w:themeFill="background1" w:themeFillShade="D9"/>
          </w:tcPr>
          <w:p w14:paraId="799187CE" w14:textId="5179F5C4" w:rsidR="00346791" w:rsidRDefault="00346791" w:rsidP="007A7361">
            <w:pPr>
              <w:pStyle w:val="TableParagraph"/>
              <w:spacing w:line="276" w:lineRule="auto"/>
              <w:ind w:right="214"/>
              <w:rPr>
                <w:rFonts w:ascii="Calibri" w:eastAsia="Times New Roman" w:hAnsi="Calibri" w:cstheme="minorHAnsi"/>
                <w:color w:val="0000FF"/>
              </w:rPr>
            </w:pPr>
            <w:r>
              <w:rPr>
                <w:rFonts w:ascii="Calibri" w:hAnsi="Calibri" w:cstheme="minorHAnsi"/>
                <w:b/>
                <w:color w:val="0000FF"/>
              </w:rPr>
              <w:t>Avg. Number of</w:t>
            </w:r>
            <w:r>
              <w:rPr>
                <w:rFonts w:ascii="Calibri" w:hAnsi="Calibri" w:cstheme="minorHAnsi"/>
                <w:b/>
                <w:color w:val="0000FF"/>
                <w:w w:val="99"/>
              </w:rPr>
              <w:t xml:space="preserve"> </w:t>
            </w:r>
            <w:r w:rsidR="007A7361">
              <w:rPr>
                <w:rFonts w:ascii="Calibri" w:hAnsi="Calibri" w:cstheme="minorHAnsi"/>
                <w:b/>
                <w:color w:val="0000FF"/>
              </w:rPr>
              <w:t>Qualifying Population</w:t>
            </w:r>
            <w:r>
              <w:rPr>
                <w:rFonts w:ascii="Calibri" w:hAnsi="Calibri" w:cstheme="minorHAnsi"/>
                <w:b/>
                <w:color w:val="0000FF"/>
              </w:rPr>
              <w:t xml:space="preserve"> per </w:t>
            </w:r>
            <w:r w:rsidR="00730994">
              <w:rPr>
                <w:rFonts w:ascii="Calibri" w:hAnsi="Calibri" w:cstheme="minorHAnsi"/>
                <w:b/>
                <w:color w:val="0000FF"/>
              </w:rPr>
              <w:t>County</w:t>
            </w:r>
            <w:r>
              <w:rPr>
                <w:rFonts w:ascii="Calibri" w:eastAsia="Times New Roman" w:hAnsi="Calibri" w:cstheme="minorHAnsi"/>
                <w:color w:val="0000FF"/>
              </w:rPr>
              <w:t xml:space="preserve"> </w:t>
            </w:r>
            <w:r>
              <w:rPr>
                <w:rFonts w:ascii="Calibri" w:hAnsi="Calibri" w:cstheme="minorHAnsi"/>
                <w:b/>
                <w:color w:val="0000FF"/>
              </w:rPr>
              <w:t>in Decile</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tcPr>
          <w:p w14:paraId="5F13D428" w14:textId="1A6B278F" w:rsidR="00346791" w:rsidRDefault="00346791" w:rsidP="00730994">
            <w:pPr>
              <w:pStyle w:val="TableParagraph"/>
              <w:spacing w:line="276" w:lineRule="auto"/>
              <w:rPr>
                <w:rFonts w:ascii="Calibri" w:eastAsia="Times New Roman" w:hAnsi="Calibri" w:cstheme="minorHAnsi"/>
                <w:color w:val="0000FF"/>
              </w:rPr>
            </w:pPr>
            <w:r>
              <w:rPr>
                <w:rFonts w:ascii="Calibri" w:hAnsi="Calibri" w:cstheme="minorHAnsi"/>
                <w:b/>
                <w:color w:val="0000FF"/>
              </w:rPr>
              <w:t>Avg. Signal-to-Noise</w:t>
            </w:r>
            <w:r>
              <w:rPr>
                <w:rFonts w:ascii="Calibri" w:hAnsi="Calibri" w:cstheme="minorHAnsi"/>
                <w:b/>
                <w:color w:val="0000FF"/>
                <w:w w:val="99"/>
              </w:rPr>
              <w:t xml:space="preserve"> </w:t>
            </w:r>
            <w:r>
              <w:rPr>
                <w:rFonts w:ascii="Calibri" w:hAnsi="Calibri" w:cstheme="minorHAnsi"/>
                <w:b/>
                <w:color w:val="0000FF"/>
              </w:rPr>
              <w:t xml:space="preserve">Ratio for </w:t>
            </w:r>
            <w:r w:rsidR="00730994">
              <w:rPr>
                <w:rFonts w:ascii="Calibri" w:hAnsi="Calibri" w:cstheme="minorHAnsi"/>
                <w:b/>
                <w:color w:val="0000FF"/>
              </w:rPr>
              <w:t>Counties</w:t>
            </w:r>
            <w:r>
              <w:rPr>
                <w:rFonts w:ascii="Calibri" w:eastAsia="Times New Roman" w:hAnsi="Calibri" w:cstheme="minorHAnsi"/>
                <w:color w:val="0000FF"/>
              </w:rPr>
              <w:t xml:space="preserve"> </w:t>
            </w:r>
            <w:r>
              <w:rPr>
                <w:rFonts w:ascii="Calibri" w:hAnsi="Calibri" w:cstheme="minorHAnsi"/>
                <w:b/>
                <w:color w:val="0000FF"/>
              </w:rPr>
              <w:t>in Decile</w:t>
            </w:r>
          </w:p>
        </w:tc>
      </w:tr>
      <w:tr w:rsidR="002D3AF2" w14:paraId="16DA191B" w14:textId="77777777" w:rsidTr="00795153">
        <w:trPr>
          <w:trHeight w:hRule="exact" w:val="338"/>
        </w:trPr>
        <w:tc>
          <w:tcPr>
            <w:tcW w:w="1257" w:type="dxa"/>
            <w:tcBorders>
              <w:top w:val="single" w:sz="4" w:space="0" w:color="auto"/>
              <w:left w:val="single" w:sz="4" w:space="0" w:color="auto"/>
              <w:bottom w:val="nil"/>
              <w:right w:val="nil"/>
            </w:tcBorders>
            <w:vAlign w:val="bottom"/>
            <w:hideMark/>
          </w:tcPr>
          <w:p w14:paraId="3768C886" w14:textId="77777777" w:rsidR="002D3AF2" w:rsidRPr="0014661D" w:rsidRDefault="002D3AF2" w:rsidP="009C7794">
            <w:pPr>
              <w:ind w:right="101"/>
              <w:rPr>
                <w:rFonts w:ascii="Calibri" w:hAnsi="Calibri"/>
              </w:rPr>
            </w:pPr>
            <w:r w:rsidRPr="0014661D">
              <w:rPr>
                <w:rFonts w:ascii="Calibri" w:hAnsi="Calibri"/>
              </w:rPr>
              <w:t>1</w:t>
            </w:r>
          </w:p>
        </w:tc>
        <w:tc>
          <w:tcPr>
            <w:tcW w:w="1252" w:type="dxa"/>
            <w:tcBorders>
              <w:top w:val="single" w:sz="4" w:space="0" w:color="auto"/>
              <w:left w:val="nil"/>
              <w:bottom w:val="nil"/>
              <w:right w:val="nil"/>
            </w:tcBorders>
            <w:vAlign w:val="bottom"/>
          </w:tcPr>
          <w:p w14:paraId="49E18C7A" w14:textId="0E4390B5" w:rsidR="002D3AF2" w:rsidRDefault="002D3AF2" w:rsidP="009C7794">
            <w:pPr>
              <w:rPr>
                <w:rFonts w:ascii="Calibri" w:hAnsi="Calibri"/>
                <w:color w:val="0000FF"/>
              </w:rPr>
            </w:pPr>
            <w:r>
              <w:rPr>
                <w:rFonts w:ascii="Calibri" w:hAnsi="Calibri"/>
                <w:color w:val="000000"/>
              </w:rPr>
              <w:t>314</w:t>
            </w:r>
          </w:p>
        </w:tc>
        <w:tc>
          <w:tcPr>
            <w:tcW w:w="3150" w:type="dxa"/>
            <w:tcBorders>
              <w:top w:val="single" w:sz="4" w:space="0" w:color="auto"/>
              <w:left w:val="nil"/>
              <w:bottom w:val="nil"/>
              <w:right w:val="nil"/>
            </w:tcBorders>
            <w:vAlign w:val="bottom"/>
          </w:tcPr>
          <w:p w14:paraId="6CD70F51" w14:textId="5113325D" w:rsidR="002D3AF2" w:rsidRDefault="002D3AF2" w:rsidP="009C7794">
            <w:pPr>
              <w:ind w:right="101"/>
              <w:rPr>
                <w:rFonts w:ascii="Calibri" w:hAnsi="Calibri"/>
                <w:color w:val="0000FF"/>
              </w:rPr>
            </w:pPr>
            <w:r>
              <w:rPr>
                <w:rFonts w:ascii="Calibri" w:hAnsi="Calibri"/>
                <w:color w:val="000000"/>
              </w:rPr>
              <w:t>1178.6</w:t>
            </w:r>
          </w:p>
        </w:tc>
        <w:tc>
          <w:tcPr>
            <w:tcW w:w="2430" w:type="dxa"/>
            <w:tcBorders>
              <w:top w:val="single" w:sz="4" w:space="0" w:color="auto"/>
              <w:left w:val="nil"/>
              <w:bottom w:val="nil"/>
              <w:right w:val="single" w:sz="4" w:space="0" w:color="auto"/>
            </w:tcBorders>
            <w:vAlign w:val="bottom"/>
          </w:tcPr>
          <w:p w14:paraId="11737EF4" w14:textId="1F888EFD" w:rsidR="002D3AF2" w:rsidRDefault="002D3AF2" w:rsidP="009C7794">
            <w:pPr>
              <w:rPr>
                <w:rFonts w:ascii="Calibri" w:hAnsi="Calibri"/>
                <w:color w:val="0000FF"/>
              </w:rPr>
            </w:pPr>
            <w:r>
              <w:rPr>
                <w:rFonts w:ascii="Calibri" w:hAnsi="Calibri"/>
                <w:color w:val="000000"/>
              </w:rPr>
              <w:t>0.19649</w:t>
            </w:r>
          </w:p>
        </w:tc>
      </w:tr>
      <w:tr w:rsidR="002D3AF2" w14:paraId="32EDA024" w14:textId="77777777" w:rsidTr="00795153">
        <w:trPr>
          <w:trHeight w:hRule="exact" w:val="300"/>
        </w:trPr>
        <w:tc>
          <w:tcPr>
            <w:tcW w:w="1257" w:type="dxa"/>
            <w:tcBorders>
              <w:top w:val="nil"/>
              <w:left w:val="single" w:sz="4" w:space="0" w:color="auto"/>
              <w:bottom w:val="nil"/>
              <w:right w:val="nil"/>
            </w:tcBorders>
            <w:vAlign w:val="bottom"/>
            <w:hideMark/>
          </w:tcPr>
          <w:p w14:paraId="4801D8B4" w14:textId="77777777" w:rsidR="002D3AF2" w:rsidRPr="0014661D" w:rsidRDefault="002D3AF2" w:rsidP="009C7794">
            <w:pPr>
              <w:ind w:right="97"/>
              <w:rPr>
                <w:rFonts w:ascii="Calibri" w:hAnsi="Calibri"/>
              </w:rPr>
            </w:pPr>
            <w:r w:rsidRPr="0014661D">
              <w:rPr>
                <w:rFonts w:ascii="Calibri" w:hAnsi="Calibri"/>
              </w:rPr>
              <w:t>2</w:t>
            </w:r>
          </w:p>
        </w:tc>
        <w:tc>
          <w:tcPr>
            <w:tcW w:w="1252" w:type="dxa"/>
            <w:tcBorders>
              <w:top w:val="nil"/>
              <w:left w:val="nil"/>
              <w:bottom w:val="nil"/>
              <w:right w:val="nil"/>
            </w:tcBorders>
            <w:vAlign w:val="bottom"/>
          </w:tcPr>
          <w:p w14:paraId="09E35E91" w14:textId="1272531D"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72AF86BD" w14:textId="46EB4CB6" w:rsidR="002D3AF2" w:rsidRDefault="002D3AF2" w:rsidP="009C7794">
            <w:pPr>
              <w:ind w:right="101"/>
              <w:rPr>
                <w:rFonts w:ascii="Calibri" w:hAnsi="Calibri"/>
                <w:color w:val="0000FF"/>
              </w:rPr>
            </w:pPr>
            <w:r>
              <w:rPr>
                <w:rFonts w:ascii="Calibri" w:hAnsi="Calibri"/>
                <w:color w:val="000000"/>
              </w:rPr>
              <w:t>2542</w:t>
            </w:r>
          </w:p>
        </w:tc>
        <w:tc>
          <w:tcPr>
            <w:tcW w:w="2430" w:type="dxa"/>
            <w:tcBorders>
              <w:top w:val="nil"/>
              <w:left w:val="nil"/>
              <w:bottom w:val="nil"/>
              <w:right w:val="single" w:sz="4" w:space="0" w:color="auto"/>
            </w:tcBorders>
            <w:vAlign w:val="bottom"/>
          </w:tcPr>
          <w:p w14:paraId="52D0E4FD" w14:textId="1DF91C9D" w:rsidR="002D3AF2" w:rsidRDefault="002D3AF2" w:rsidP="009C7794">
            <w:pPr>
              <w:rPr>
                <w:rFonts w:ascii="Calibri" w:hAnsi="Calibri"/>
                <w:color w:val="0000FF"/>
              </w:rPr>
            </w:pPr>
            <w:r>
              <w:rPr>
                <w:rFonts w:ascii="Calibri" w:hAnsi="Calibri"/>
                <w:color w:val="000000"/>
              </w:rPr>
              <w:t>0.31188</w:t>
            </w:r>
          </w:p>
        </w:tc>
      </w:tr>
      <w:tr w:rsidR="002D3AF2" w14:paraId="0FFFB75B" w14:textId="77777777" w:rsidTr="00795153">
        <w:trPr>
          <w:trHeight w:hRule="exact" w:val="300"/>
        </w:trPr>
        <w:tc>
          <w:tcPr>
            <w:tcW w:w="1257" w:type="dxa"/>
            <w:tcBorders>
              <w:top w:val="nil"/>
              <w:left w:val="single" w:sz="4" w:space="0" w:color="auto"/>
              <w:bottom w:val="nil"/>
              <w:right w:val="nil"/>
            </w:tcBorders>
            <w:vAlign w:val="bottom"/>
            <w:hideMark/>
          </w:tcPr>
          <w:p w14:paraId="612563F0" w14:textId="77777777" w:rsidR="002D3AF2" w:rsidRPr="0014661D" w:rsidRDefault="002D3AF2" w:rsidP="009C7794">
            <w:pPr>
              <w:ind w:right="101"/>
              <w:rPr>
                <w:rFonts w:ascii="Calibri" w:hAnsi="Calibri"/>
              </w:rPr>
            </w:pPr>
            <w:r w:rsidRPr="0014661D">
              <w:rPr>
                <w:rFonts w:ascii="Calibri" w:hAnsi="Calibri"/>
              </w:rPr>
              <w:t>3</w:t>
            </w:r>
          </w:p>
        </w:tc>
        <w:tc>
          <w:tcPr>
            <w:tcW w:w="1252" w:type="dxa"/>
            <w:tcBorders>
              <w:top w:val="nil"/>
              <w:left w:val="nil"/>
              <w:bottom w:val="nil"/>
              <w:right w:val="nil"/>
            </w:tcBorders>
            <w:vAlign w:val="bottom"/>
          </w:tcPr>
          <w:p w14:paraId="7277C660" w14:textId="07BDB1BB"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7802490F" w14:textId="13580836" w:rsidR="002D3AF2" w:rsidRDefault="002D3AF2" w:rsidP="009C7794">
            <w:pPr>
              <w:ind w:right="101"/>
              <w:rPr>
                <w:rFonts w:ascii="Calibri" w:hAnsi="Calibri"/>
                <w:color w:val="0000FF"/>
              </w:rPr>
            </w:pPr>
            <w:r>
              <w:rPr>
                <w:rFonts w:ascii="Calibri" w:hAnsi="Calibri"/>
                <w:color w:val="000000"/>
              </w:rPr>
              <w:t>3840.7</w:t>
            </w:r>
          </w:p>
        </w:tc>
        <w:tc>
          <w:tcPr>
            <w:tcW w:w="2430" w:type="dxa"/>
            <w:tcBorders>
              <w:top w:val="nil"/>
              <w:left w:val="nil"/>
              <w:bottom w:val="nil"/>
              <w:right w:val="single" w:sz="4" w:space="0" w:color="auto"/>
            </w:tcBorders>
            <w:vAlign w:val="bottom"/>
          </w:tcPr>
          <w:p w14:paraId="0AB9ABC7" w14:textId="4D360AE6" w:rsidR="002D3AF2" w:rsidRDefault="002D3AF2" w:rsidP="009C7794">
            <w:pPr>
              <w:rPr>
                <w:rFonts w:ascii="Calibri" w:hAnsi="Calibri"/>
                <w:color w:val="0000FF"/>
              </w:rPr>
            </w:pPr>
            <w:r>
              <w:rPr>
                <w:rFonts w:ascii="Calibri" w:hAnsi="Calibri"/>
                <w:color w:val="000000"/>
              </w:rPr>
              <w:t>0.40404</w:t>
            </w:r>
          </w:p>
        </w:tc>
      </w:tr>
      <w:tr w:rsidR="002D3AF2" w14:paraId="0FFEFC2F" w14:textId="77777777" w:rsidTr="00795153">
        <w:trPr>
          <w:trHeight w:hRule="exact" w:val="300"/>
        </w:trPr>
        <w:tc>
          <w:tcPr>
            <w:tcW w:w="1257" w:type="dxa"/>
            <w:tcBorders>
              <w:top w:val="nil"/>
              <w:left w:val="single" w:sz="4" w:space="0" w:color="auto"/>
              <w:bottom w:val="nil"/>
              <w:right w:val="nil"/>
            </w:tcBorders>
            <w:vAlign w:val="bottom"/>
            <w:hideMark/>
          </w:tcPr>
          <w:p w14:paraId="6029CB2A" w14:textId="77777777" w:rsidR="002D3AF2" w:rsidRPr="0014661D" w:rsidRDefault="002D3AF2" w:rsidP="009C7794">
            <w:pPr>
              <w:ind w:right="101"/>
              <w:rPr>
                <w:rFonts w:ascii="Calibri" w:hAnsi="Calibri"/>
              </w:rPr>
            </w:pPr>
            <w:r w:rsidRPr="0014661D">
              <w:rPr>
                <w:rFonts w:ascii="Calibri" w:hAnsi="Calibri"/>
              </w:rPr>
              <w:t>4</w:t>
            </w:r>
          </w:p>
        </w:tc>
        <w:tc>
          <w:tcPr>
            <w:tcW w:w="1252" w:type="dxa"/>
            <w:tcBorders>
              <w:top w:val="nil"/>
              <w:left w:val="nil"/>
              <w:bottom w:val="nil"/>
              <w:right w:val="nil"/>
            </w:tcBorders>
            <w:vAlign w:val="bottom"/>
          </w:tcPr>
          <w:p w14:paraId="3E63F16F" w14:textId="2E9E07B1"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1B320DBD" w14:textId="7F99E884" w:rsidR="002D3AF2" w:rsidRDefault="002D3AF2" w:rsidP="009C7794">
            <w:pPr>
              <w:ind w:right="101"/>
              <w:rPr>
                <w:rFonts w:ascii="Calibri" w:hAnsi="Calibri"/>
                <w:color w:val="0000FF"/>
              </w:rPr>
            </w:pPr>
            <w:r>
              <w:rPr>
                <w:rFonts w:ascii="Calibri" w:hAnsi="Calibri"/>
                <w:color w:val="000000"/>
              </w:rPr>
              <w:t>5181.9</w:t>
            </w:r>
          </w:p>
        </w:tc>
        <w:tc>
          <w:tcPr>
            <w:tcW w:w="2430" w:type="dxa"/>
            <w:tcBorders>
              <w:top w:val="nil"/>
              <w:left w:val="nil"/>
              <w:bottom w:val="nil"/>
              <w:right w:val="single" w:sz="4" w:space="0" w:color="auto"/>
            </w:tcBorders>
            <w:vAlign w:val="bottom"/>
          </w:tcPr>
          <w:p w14:paraId="6A45BA0A" w14:textId="6FDF297B" w:rsidR="002D3AF2" w:rsidRDefault="002D3AF2" w:rsidP="009C7794">
            <w:pPr>
              <w:rPr>
                <w:rFonts w:ascii="Calibri" w:hAnsi="Calibri"/>
                <w:color w:val="0000FF"/>
              </w:rPr>
            </w:pPr>
            <w:r>
              <w:rPr>
                <w:rFonts w:ascii="Calibri" w:hAnsi="Calibri"/>
                <w:color w:val="000000"/>
              </w:rPr>
              <w:t>0.47145</w:t>
            </w:r>
          </w:p>
        </w:tc>
      </w:tr>
      <w:tr w:rsidR="002D3AF2" w14:paraId="379B1829" w14:textId="77777777" w:rsidTr="00795153">
        <w:trPr>
          <w:trHeight w:hRule="exact" w:val="300"/>
        </w:trPr>
        <w:tc>
          <w:tcPr>
            <w:tcW w:w="1257" w:type="dxa"/>
            <w:tcBorders>
              <w:top w:val="nil"/>
              <w:left w:val="single" w:sz="4" w:space="0" w:color="auto"/>
              <w:bottom w:val="nil"/>
              <w:right w:val="nil"/>
            </w:tcBorders>
            <w:vAlign w:val="bottom"/>
            <w:hideMark/>
          </w:tcPr>
          <w:p w14:paraId="441D55CA" w14:textId="77777777" w:rsidR="002D3AF2" w:rsidRPr="0014661D" w:rsidRDefault="002D3AF2" w:rsidP="009C7794">
            <w:pPr>
              <w:ind w:right="101"/>
              <w:rPr>
                <w:rFonts w:ascii="Calibri" w:hAnsi="Calibri"/>
              </w:rPr>
            </w:pPr>
            <w:r w:rsidRPr="0014661D">
              <w:rPr>
                <w:rFonts w:ascii="Calibri" w:hAnsi="Calibri"/>
              </w:rPr>
              <w:t>5</w:t>
            </w:r>
          </w:p>
        </w:tc>
        <w:tc>
          <w:tcPr>
            <w:tcW w:w="1252" w:type="dxa"/>
            <w:tcBorders>
              <w:top w:val="nil"/>
              <w:left w:val="nil"/>
              <w:bottom w:val="nil"/>
              <w:right w:val="nil"/>
            </w:tcBorders>
            <w:vAlign w:val="bottom"/>
          </w:tcPr>
          <w:p w14:paraId="3471017F" w14:textId="3883460B"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6E533A2E" w14:textId="1F22DC14" w:rsidR="002D3AF2" w:rsidRDefault="002D3AF2" w:rsidP="009C7794">
            <w:pPr>
              <w:ind w:right="101"/>
              <w:rPr>
                <w:rFonts w:ascii="Calibri" w:hAnsi="Calibri"/>
                <w:color w:val="0000FF"/>
              </w:rPr>
            </w:pPr>
            <w:r>
              <w:rPr>
                <w:rFonts w:ascii="Calibri" w:hAnsi="Calibri"/>
                <w:color w:val="000000"/>
              </w:rPr>
              <w:t>6922.9</w:t>
            </w:r>
          </w:p>
        </w:tc>
        <w:tc>
          <w:tcPr>
            <w:tcW w:w="2430" w:type="dxa"/>
            <w:tcBorders>
              <w:top w:val="nil"/>
              <w:left w:val="nil"/>
              <w:bottom w:val="nil"/>
              <w:right w:val="single" w:sz="4" w:space="0" w:color="auto"/>
            </w:tcBorders>
            <w:vAlign w:val="bottom"/>
          </w:tcPr>
          <w:p w14:paraId="09EBD6C6" w14:textId="1E0D0728" w:rsidR="002D3AF2" w:rsidRDefault="002D3AF2" w:rsidP="009C7794">
            <w:pPr>
              <w:rPr>
                <w:rFonts w:ascii="Calibri" w:hAnsi="Calibri"/>
                <w:color w:val="0000FF"/>
              </w:rPr>
            </w:pPr>
            <w:r>
              <w:rPr>
                <w:rFonts w:ascii="Calibri" w:hAnsi="Calibri"/>
                <w:color w:val="000000"/>
              </w:rPr>
              <w:t>0.54897</w:t>
            </w:r>
          </w:p>
        </w:tc>
      </w:tr>
      <w:tr w:rsidR="002D3AF2" w14:paraId="5A4842D5" w14:textId="77777777" w:rsidTr="00795153">
        <w:trPr>
          <w:trHeight w:hRule="exact" w:val="300"/>
        </w:trPr>
        <w:tc>
          <w:tcPr>
            <w:tcW w:w="1257" w:type="dxa"/>
            <w:tcBorders>
              <w:top w:val="nil"/>
              <w:left w:val="single" w:sz="4" w:space="0" w:color="auto"/>
              <w:bottom w:val="nil"/>
              <w:right w:val="nil"/>
            </w:tcBorders>
            <w:vAlign w:val="bottom"/>
            <w:hideMark/>
          </w:tcPr>
          <w:p w14:paraId="53FAB981" w14:textId="77777777" w:rsidR="002D3AF2" w:rsidRPr="0014661D" w:rsidRDefault="002D3AF2" w:rsidP="009C7794">
            <w:pPr>
              <w:ind w:right="101"/>
              <w:rPr>
                <w:rFonts w:ascii="Calibri" w:hAnsi="Calibri"/>
              </w:rPr>
            </w:pPr>
            <w:r w:rsidRPr="0014661D">
              <w:rPr>
                <w:rFonts w:ascii="Calibri" w:hAnsi="Calibri"/>
              </w:rPr>
              <w:t>6</w:t>
            </w:r>
          </w:p>
        </w:tc>
        <w:tc>
          <w:tcPr>
            <w:tcW w:w="1252" w:type="dxa"/>
            <w:tcBorders>
              <w:top w:val="nil"/>
              <w:left w:val="nil"/>
              <w:bottom w:val="nil"/>
              <w:right w:val="nil"/>
            </w:tcBorders>
            <w:vAlign w:val="bottom"/>
          </w:tcPr>
          <w:p w14:paraId="54AB772F" w14:textId="1B523FD0"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51082070" w14:textId="3D66D0BA" w:rsidR="002D3AF2" w:rsidRDefault="002D3AF2" w:rsidP="009C7794">
            <w:pPr>
              <w:ind w:right="101"/>
              <w:rPr>
                <w:rFonts w:ascii="Calibri" w:hAnsi="Calibri"/>
                <w:color w:val="0000FF"/>
              </w:rPr>
            </w:pPr>
            <w:r>
              <w:rPr>
                <w:rFonts w:ascii="Calibri" w:hAnsi="Calibri"/>
                <w:color w:val="000000"/>
              </w:rPr>
              <w:t>9426.5</w:t>
            </w:r>
          </w:p>
        </w:tc>
        <w:tc>
          <w:tcPr>
            <w:tcW w:w="2430" w:type="dxa"/>
            <w:tcBorders>
              <w:top w:val="nil"/>
              <w:left w:val="nil"/>
              <w:bottom w:val="nil"/>
              <w:right w:val="single" w:sz="4" w:space="0" w:color="auto"/>
            </w:tcBorders>
            <w:vAlign w:val="bottom"/>
          </w:tcPr>
          <w:p w14:paraId="3FD144C6" w14:textId="519A0C92" w:rsidR="002D3AF2" w:rsidRDefault="002D3AF2" w:rsidP="009C7794">
            <w:pPr>
              <w:rPr>
                <w:rFonts w:ascii="Calibri" w:hAnsi="Calibri"/>
                <w:color w:val="0000FF"/>
              </w:rPr>
            </w:pPr>
            <w:r>
              <w:rPr>
                <w:rFonts w:ascii="Calibri" w:hAnsi="Calibri"/>
                <w:color w:val="000000"/>
              </w:rPr>
              <w:t>0.62095</w:t>
            </w:r>
          </w:p>
        </w:tc>
      </w:tr>
      <w:tr w:rsidR="002D3AF2" w14:paraId="7DE1BC0F" w14:textId="77777777" w:rsidTr="00795153">
        <w:trPr>
          <w:trHeight w:hRule="exact" w:val="300"/>
        </w:trPr>
        <w:tc>
          <w:tcPr>
            <w:tcW w:w="1257" w:type="dxa"/>
            <w:tcBorders>
              <w:top w:val="nil"/>
              <w:left w:val="single" w:sz="4" w:space="0" w:color="auto"/>
              <w:bottom w:val="nil"/>
              <w:right w:val="nil"/>
            </w:tcBorders>
            <w:vAlign w:val="bottom"/>
            <w:hideMark/>
          </w:tcPr>
          <w:p w14:paraId="2138DC98" w14:textId="77777777" w:rsidR="002D3AF2" w:rsidRPr="0014661D" w:rsidRDefault="002D3AF2" w:rsidP="009C7794">
            <w:pPr>
              <w:ind w:right="101"/>
              <w:rPr>
                <w:rFonts w:ascii="Calibri" w:hAnsi="Calibri"/>
              </w:rPr>
            </w:pPr>
            <w:r w:rsidRPr="0014661D">
              <w:rPr>
                <w:rFonts w:ascii="Calibri" w:hAnsi="Calibri"/>
              </w:rPr>
              <w:t>7</w:t>
            </w:r>
          </w:p>
        </w:tc>
        <w:tc>
          <w:tcPr>
            <w:tcW w:w="1252" w:type="dxa"/>
            <w:tcBorders>
              <w:top w:val="nil"/>
              <w:left w:val="nil"/>
              <w:bottom w:val="nil"/>
              <w:right w:val="nil"/>
            </w:tcBorders>
            <w:vAlign w:val="bottom"/>
          </w:tcPr>
          <w:p w14:paraId="1D736653" w14:textId="4E235B4B"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6F292CFB" w14:textId="3D723D8A" w:rsidR="002D3AF2" w:rsidRDefault="002D3AF2" w:rsidP="009C7794">
            <w:pPr>
              <w:ind w:right="101"/>
              <w:rPr>
                <w:rFonts w:ascii="Calibri" w:hAnsi="Calibri"/>
                <w:color w:val="0000FF"/>
              </w:rPr>
            </w:pPr>
            <w:r>
              <w:rPr>
                <w:rFonts w:ascii="Calibri" w:hAnsi="Calibri"/>
                <w:color w:val="000000"/>
              </w:rPr>
              <w:t>12906.6</w:t>
            </w:r>
          </w:p>
        </w:tc>
        <w:tc>
          <w:tcPr>
            <w:tcW w:w="2430" w:type="dxa"/>
            <w:tcBorders>
              <w:top w:val="nil"/>
              <w:left w:val="nil"/>
              <w:bottom w:val="nil"/>
              <w:right w:val="single" w:sz="4" w:space="0" w:color="auto"/>
            </w:tcBorders>
            <w:vAlign w:val="bottom"/>
          </w:tcPr>
          <w:p w14:paraId="19AF872E" w14:textId="6F650D13" w:rsidR="002D3AF2" w:rsidRDefault="002D3AF2" w:rsidP="009C7794">
            <w:pPr>
              <w:rPr>
                <w:rFonts w:ascii="Calibri" w:hAnsi="Calibri"/>
                <w:color w:val="0000FF"/>
              </w:rPr>
            </w:pPr>
            <w:r>
              <w:rPr>
                <w:rFonts w:ascii="Calibri" w:hAnsi="Calibri"/>
                <w:color w:val="000000"/>
              </w:rPr>
              <w:t>0.69365</w:t>
            </w:r>
          </w:p>
        </w:tc>
      </w:tr>
      <w:tr w:rsidR="002D3AF2" w14:paraId="1A560D62" w14:textId="77777777" w:rsidTr="00795153">
        <w:trPr>
          <w:trHeight w:hRule="exact" w:val="300"/>
        </w:trPr>
        <w:tc>
          <w:tcPr>
            <w:tcW w:w="1257" w:type="dxa"/>
            <w:tcBorders>
              <w:top w:val="nil"/>
              <w:left w:val="single" w:sz="4" w:space="0" w:color="auto"/>
              <w:bottom w:val="nil"/>
              <w:right w:val="nil"/>
            </w:tcBorders>
            <w:vAlign w:val="bottom"/>
            <w:hideMark/>
          </w:tcPr>
          <w:p w14:paraId="57F88F2C" w14:textId="77777777" w:rsidR="002D3AF2" w:rsidRPr="0014661D" w:rsidRDefault="002D3AF2" w:rsidP="009C7794">
            <w:pPr>
              <w:ind w:right="101"/>
              <w:rPr>
                <w:rFonts w:ascii="Calibri" w:hAnsi="Calibri"/>
              </w:rPr>
            </w:pPr>
            <w:r w:rsidRPr="0014661D">
              <w:rPr>
                <w:rFonts w:ascii="Calibri" w:hAnsi="Calibri"/>
              </w:rPr>
              <w:t>8</w:t>
            </w:r>
          </w:p>
        </w:tc>
        <w:tc>
          <w:tcPr>
            <w:tcW w:w="1252" w:type="dxa"/>
            <w:tcBorders>
              <w:top w:val="nil"/>
              <w:left w:val="nil"/>
              <w:bottom w:val="nil"/>
              <w:right w:val="nil"/>
            </w:tcBorders>
            <w:vAlign w:val="bottom"/>
          </w:tcPr>
          <w:p w14:paraId="75997142" w14:textId="071429EE"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1A9AEEDC" w14:textId="2B99397F" w:rsidR="002D3AF2" w:rsidRDefault="002D3AF2" w:rsidP="009C7794">
            <w:pPr>
              <w:ind w:right="101"/>
              <w:rPr>
                <w:rFonts w:ascii="Calibri" w:hAnsi="Calibri"/>
                <w:color w:val="0000FF"/>
              </w:rPr>
            </w:pPr>
            <w:r>
              <w:rPr>
                <w:rFonts w:ascii="Calibri" w:hAnsi="Calibri"/>
                <w:color w:val="000000"/>
              </w:rPr>
              <w:t>19998.8</w:t>
            </w:r>
          </w:p>
        </w:tc>
        <w:tc>
          <w:tcPr>
            <w:tcW w:w="2430" w:type="dxa"/>
            <w:tcBorders>
              <w:top w:val="nil"/>
              <w:left w:val="nil"/>
              <w:bottom w:val="nil"/>
              <w:right w:val="single" w:sz="4" w:space="0" w:color="auto"/>
            </w:tcBorders>
            <w:vAlign w:val="bottom"/>
          </w:tcPr>
          <w:p w14:paraId="44CA2764" w14:textId="0324C7C5" w:rsidR="002D3AF2" w:rsidRDefault="002D3AF2" w:rsidP="009C7794">
            <w:pPr>
              <w:rPr>
                <w:rFonts w:ascii="Calibri" w:hAnsi="Calibri"/>
                <w:color w:val="0000FF"/>
              </w:rPr>
            </w:pPr>
            <w:r>
              <w:rPr>
                <w:rFonts w:ascii="Calibri" w:hAnsi="Calibri"/>
                <w:color w:val="000000"/>
              </w:rPr>
              <w:t>0.77833</w:t>
            </w:r>
          </w:p>
        </w:tc>
      </w:tr>
      <w:tr w:rsidR="002D3AF2" w14:paraId="3730176F" w14:textId="77777777" w:rsidTr="00795153">
        <w:trPr>
          <w:trHeight w:hRule="exact" w:val="300"/>
        </w:trPr>
        <w:tc>
          <w:tcPr>
            <w:tcW w:w="1257" w:type="dxa"/>
            <w:tcBorders>
              <w:top w:val="nil"/>
              <w:left w:val="single" w:sz="4" w:space="0" w:color="auto"/>
              <w:bottom w:val="nil"/>
              <w:right w:val="nil"/>
            </w:tcBorders>
            <w:vAlign w:val="bottom"/>
            <w:hideMark/>
          </w:tcPr>
          <w:p w14:paraId="724C2B36" w14:textId="77777777" w:rsidR="002D3AF2" w:rsidRPr="0014661D" w:rsidRDefault="002D3AF2" w:rsidP="009C7794">
            <w:pPr>
              <w:ind w:right="101"/>
              <w:rPr>
                <w:rFonts w:ascii="Calibri" w:hAnsi="Calibri"/>
              </w:rPr>
            </w:pPr>
            <w:r w:rsidRPr="0014661D">
              <w:rPr>
                <w:rFonts w:ascii="Calibri" w:hAnsi="Calibri"/>
              </w:rPr>
              <w:t>9</w:t>
            </w:r>
          </w:p>
        </w:tc>
        <w:tc>
          <w:tcPr>
            <w:tcW w:w="1252" w:type="dxa"/>
            <w:tcBorders>
              <w:top w:val="nil"/>
              <w:left w:val="nil"/>
              <w:bottom w:val="nil"/>
              <w:right w:val="nil"/>
            </w:tcBorders>
            <w:vAlign w:val="bottom"/>
          </w:tcPr>
          <w:p w14:paraId="6F22A2D0" w14:textId="11FD2D17"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1ECCEA7E" w14:textId="38B790BD" w:rsidR="002D3AF2" w:rsidRDefault="002D3AF2" w:rsidP="009C7794">
            <w:pPr>
              <w:ind w:right="101"/>
              <w:rPr>
                <w:rFonts w:ascii="Calibri" w:hAnsi="Calibri"/>
                <w:color w:val="0000FF"/>
              </w:rPr>
            </w:pPr>
            <w:r>
              <w:rPr>
                <w:rFonts w:ascii="Calibri" w:hAnsi="Calibri"/>
                <w:color w:val="000000"/>
              </w:rPr>
              <w:t>38396.8</w:t>
            </w:r>
          </w:p>
        </w:tc>
        <w:tc>
          <w:tcPr>
            <w:tcW w:w="2430" w:type="dxa"/>
            <w:tcBorders>
              <w:top w:val="nil"/>
              <w:left w:val="nil"/>
              <w:bottom w:val="nil"/>
              <w:right w:val="single" w:sz="4" w:space="0" w:color="auto"/>
            </w:tcBorders>
            <w:vAlign w:val="bottom"/>
          </w:tcPr>
          <w:p w14:paraId="364CB107" w14:textId="5BC70FF4" w:rsidR="002D3AF2" w:rsidRDefault="002D3AF2" w:rsidP="009C7794">
            <w:pPr>
              <w:rPr>
                <w:rFonts w:ascii="Calibri" w:hAnsi="Calibri"/>
                <w:color w:val="0000FF"/>
              </w:rPr>
            </w:pPr>
            <w:r>
              <w:rPr>
                <w:rFonts w:ascii="Calibri" w:hAnsi="Calibri"/>
                <w:color w:val="000000"/>
              </w:rPr>
              <w:t>0.87051</w:t>
            </w:r>
          </w:p>
        </w:tc>
      </w:tr>
      <w:tr w:rsidR="002D3AF2" w14:paraId="2C5402A1" w14:textId="77777777" w:rsidTr="00795153">
        <w:trPr>
          <w:trHeight w:hRule="exact" w:val="272"/>
        </w:trPr>
        <w:tc>
          <w:tcPr>
            <w:tcW w:w="1257" w:type="dxa"/>
            <w:tcBorders>
              <w:top w:val="nil"/>
              <w:left w:val="single" w:sz="4" w:space="0" w:color="auto"/>
              <w:bottom w:val="single" w:sz="4" w:space="0" w:color="auto"/>
              <w:right w:val="nil"/>
            </w:tcBorders>
            <w:vAlign w:val="bottom"/>
            <w:hideMark/>
          </w:tcPr>
          <w:p w14:paraId="4AFFD883" w14:textId="77777777" w:rsidR="002D3AF2" w:rsidRPr="0014661D" w:rsidRDefault="002D3AF2" w:rsidP="009C7794">
            <w:pPr>
              <w:ind w:right="101"/>
              <w:rPr>
                <w:rFonts w:ascii="Calibri" w:hAnsi="Calibri"/>
              </w:rPr>
            </w:pPr>
            <w:r w:rsidRPr="0014661D">
              <w:rPr>
                <w:rFonts w:ascii="Calibri" w:hAnsi="Calibri"/>
              </w:rPr>
              <w:t>10</w:t>
            </w:r>
          </w:p>
        </w:tc>
        <w:tc>
          <w:tcPr>
            <w:tcW w:w="1252" w:type="dxa"/>
            <w:tcBorders>
              <w:top w:val="nil"/>
              <w:left w:val="nil"/>
              <w:bottom w:val="single" w:sz="4" w:space="0" w:color="auto"/>
              <w:right w:val="nil"/>
            </w:tcBorders>
            <w:vAlign w:val="bottom"/>
          </w:tcPr>
          <w:p w14:paraId="5421F59A" w14:textId="14323EFC" w:rsidR="002D3AF2" w:rsidRDefault="002D3AF2" w:rsidP="009C7794">
            <w:pPr>
              <w:rPr>
                <w:rFonts w:ascii="Calibri" w:hAnsi="Calibri"/>
                <w:color w:val="0000FF"/>
              </w:rPr>
            </w:pPr>
            <w:r>
              <w:rPr>
                <w:rFonts w:ascii="Calibri" w:hAnsi="Calibri"/>
                <w:color w:val="000000"/>
              </w:rPr>
              <w:t>314</w:t>
            </w:r>
          </w:p>
        </w:tc>
        <w:tc>
          <w:tcPr>
            <w:tcW w:w="3150" w:type="dxa"/>
            <w:tcBorders>
              <w:top w:val="nil"/>
              <w:left w:val="nil"/>
              <w:bottom w:val="single" w:sz="4" w:space="0" w:color="auto"/>
              <w:right w:val="nil"/>
            </w:tcBorders>
            <w:vAlign w:val="bottom"/>
          </w:tcPr>
          <w:p w14:paraId="35D7F0E2" w14:textId="66A6FE38" w:rsidR="002D3AF2" w:rsidRDefault="002D3AF2" w:rsidP="009C7794">
            <w:pPr>
              <w:ind w:right="101"/>
              <w:rPr>
                <w:rFonts w:ascii="Calibri" w:hAnsi="Calibri"/>
                <w:color w:val="0000FF"/>
              </w:rPr>
            </w:pPr>
            <w:r>
              <w:rPr>
                <w:rFonts w:ascii="Calibri" w:hAnsi="Calibri"/>
                <w:color w:val="000000"/>
              </w:rPr>
              <w:t>191539.1</w:t>
            </w:r>
          </w:p>
        </w:tc>
        <w:tc>
          <w:tcPr>
            <w:tcW w:w="2430" w:type="dxa"/>
            <w:tcBorders>
              <w:top w:val="nil"/>
              <w:left w:val="nil"/>
              <w:bottom w:val="single" w:sz="4" w:space="0" w:color="auto"/>
              <w:right w:val="single" w:sz="4" w:space="0" w:color="auto"/>
            </w:tcBorders>
            <w:vAlign w:val="bottom"/>
          </w:tcPr>
          <w:p w14:paraId="3840E312" w14:textId="01A02238" w:rsidR="002D3AF2" w:rsidRDefault="002D3AF2" w:rsidP="009C7794">
            <w:pPr>
              <w:rPr>
                <w:rFonts w:ascii="Calibri" w:hAnsi="Calibri"/>
                <w:color w:val="0000FF"/>
              </w:rPr>
            </w:pPr>
            <w:r>
              <w:rPr>
                <w:rFonts w:ascii="Calibri" w:hAnsi="Calibri"/>
                <w:color w:val="000000"/>
              </w:rPr>
              <w:t>0.95615</w:t>
            </w:r>
          </w:p>
        </w:tc>
      </w:tr>
      <w:tr w:rsidR="002D3AF2" w14:paraId="328DB4BE" w14:textId="77777777" w:rsidTr="00795153">
        <w:trPr>
          <w:trHeight w:hRule="exact" w:val="312"/>
        </w:trPr>
        <w:tc>
          <w:tcPr>
            <w:tcW w:w="1257" w:type="dxa"/>
            <w:tcBorders>
              <w:top w:val="single" w:sz="4" w:space="0" w:color="auto"/>
              <w:left w:val="single" w:sz="4" w:space="0" w:color="auto"/>
              <w:bottom w:val="single" w:sz="4" w:space="0" w:color="auto"/>
              <w:right w:val="nil"/>
            </w:tcBorders>
            <w:vAlign w:val="bottom"/>
            <w:hideMark/>
          </w:tcPr>
          <w:p w14:paraId="2DF5B334" w14:textId="77777777" w:rsidR="002D3AF2" w:rsidRPr="0014661D" w:rsidRDefault="002D3AF2" w:rsidP="009C7794">
            <w:pPr>
              <w:ind w:right="101"/>
              <w:rPr>
                <w:rFonts w:ascii="Calibri" w:hAnsi="Calibri"/>
              </w:rPr>
            </w:pPr>
            <w:r w:rsidRPr="0014661D">
              <w:rPr>
                <w:rFonts w:ascii="Calibri" w:hAnsi="Calibri"/>
              </w:rPr>
              <w:t>Overall</w:t>
            </w:r>
          </w:p>
        </w:tc>
        <w:tc>
          <w:tcPr>
            <w:tcW w:w="1252" w:type="dxa"/>
            <w:tcBorders>
              <w:top w:val="single" w:sz="4" w:space="0" w:color="auto"/>
              <w:left w:val="nil"/>
              <w:bottom w:val="single" w:sz="4" w:space="0" w:color="auto"/>
              <w:right w:val="nil"/>
            </w:tcBorders>
            <w:vAlign w:val="bottom"/>
          </w:tcPr>
          <w:p w14:paraId="45E8AE21" w14:textId="019F42D7" w:rsidR="002D3AF2" w:rsidRDefault="002D3AF2" w:rsidP="009C7794">
            <w:pPr>
              <w:rPr>
                <w:rFonts w:ascii="Calibri" w:hAnsi="Calibri"/>
                <w:color w:val="0000FF"/>
              </w:rPr>
            </w:pPr>
            <w:r>
              <w:rPr>
                <w:rFonts w:ascii="Calibri" w:hAnsi="Calibri"/>
                <w:color w:val="000000"/>
              </w:rPr>
              <w:t>3140</w:t>
            </w:r>
          </w:p>
        </w:tc>
        <w:tc>
          <w:tcPr>
            <w:tcW w:w="3150" w:type="dxa"/>
            <w:tcBorders>
              <w:top w:val="single" w:sz="4" w:space="0" w:color="auto"/>
              <w:left w:val="nil"/>
              <w:bottom w:val="single" w:sz="4" w:space="0" w:color="auto"/>
              <w:right w:val="nil"/>
            </w:tcBorders>
            <w:vAlign w:val="bottom"/>
          </w:tcPr>
          <w:p w14:paraId="0A6CF278" w14:textId="55D3DFF6" w:rsidR="002D3AF2" w:rsidRDefault="002D3AF2" w:rsidP="009C7794">
            <w:pPr>
              <w:ind w:right="101"/>
              <w:rPr>
                <w:rFonts w:ascii="Calibri" w:hAnsi="Calibri"/>
                <w:color w:val="0000FF"/>
              </w:rPr>
            </w:pPr>
            <w:r>
              <w:rPr>
                <w:rFonts w:ascii="Calibri" w:hAnsi="Calibri"/>
                <w:color w:val="000000"/>
              </w:rPr>
              <w:t>29193.4</w:t>
            </w:r>
          </w:p>
        </w:tc>
        <w:tc>
          <w:tcPr>
            <w:tcW w:w="2430" w:type="dxa"/>
            <w:tcBorders>
              <w:top w:val="single" w:sz="4" w:space="0" w:color="auto"/>
              <w:left w:val="nil"/>
              <w:bottom w:val="single" w:sz="4" w:space="0" w:color="auto"/>
              <w:right w:val="single" w:sz="4" w:space="0" w:color="auto"/>
            </w:tcBorders>
            <w:vAlign w:val="bottom"/>
          </w:tcPr>
          <w:p w14:paraId="109EAE34" w14:textId="2441F9C2" w:rsidR="002D3AF2" w:rsidRDefault="002D3AF2" w:rsidP="009C7794">
            <w:pPr>
              <w:rPr>
                <w:rFonts w:ascii="Calibri" w:hAnsi="Calibri"/>
                <w:color w:val="0000FF"/>
              </w:rPr>
            </w:pPr>
            <w:r>
              <w:rPr>
                <w:rFonts w:ascii="Calibri" w:hAnsi="Calibri"/>
                <w:color w:val="000000"/>
              </w:rPr>
              <w:t>0.7463</w:t>
            </w:r>
          </w:p>
        </w:tc>
      </w:tr>
    </w:tbl>
    <w:p w14:paraId="245C26CF" w14:textId="77777777" w:rsidR="007A7361" w:rsidRPr="0014661D" w:rsidRDefault="007A7361" w:rsidP="007A7361">
      <w:pPr>
        <w:autoSpaceDE w:val="0"/>
        <w:autoSpaceDN w:val="0"/>
        <w:adjustRightInd w:val="0"/>
        <w:spacing w:after="0" w:line="240" w:lineRule="auto"/>
        <w:rPr>
          <w:rFonts w:cstheme="minorHAnsi"/>
          <w:bCs/>
          <w:sz w:val="20"/>
          <w:szCs w:val="20"/>
        </w:rPr>
      </w:pPr>
      <w:r w:rsidRPr="0014661D">
        <w:rPr>
          <w:rFonts w:ascii="Calibri" w:hAnsi="Calibri" w:cs="Calibri"/>
          <w:color w:val="0000FF"/>
          <w:sz w:val="20"/>
          <w:szCs w:val="20"/>
        </w:rPr>
        <w:t>Source: HCUP State Inpatient Databases (SID). Healthcare Cost and Utilization Project (HCUP). 2013. Agency for</w:t>
      </w:r>
      <w:r w:rsidRPr="0014661D">
        <w:rPr>
          <w:rFonts w:ascii="Calibri" w:hAnsi="Calibri" w:cs="Calibri"/>
          <w:color w:val="0000FF"/>
          <w:w w:val="99"/>
          <w:sz w:val="20"/>
          <w:szCs w:val="20"/>
        </w:rPr>
        <w:t xml:space="preserve"> </w:t>
      </w:r>
      <w:r w:rsidRPr="0014661D">
        <w:rPr>
          <w:rFonts w:ascii="Calibri" w:hAnsi="Calibri" w:cs="Calibri"/>
          <w:color w:val="0000FF"/>
          <w:sz w:val="20"/>
          <w:szCs w:val="20"/>
        </w:rPr>
        <w:t xml:space="preserve">Healthcare Research and Quality, Rockville, MD. </w:t>
      </w:r>
      <w:hyperlink r:id="rId15" w:history="1">
        <w:r w:rsidRPr="0014661D">
          <w:rPr>
            <w:rStyle w:val="Hyperlink"/>
            <w:rFonts w:ascii="Calibri" w:hAnsi="Calibri" w:cs="Calibri"/>
            <w:color w:val="0000FF"/>
            <w:sz w:val="20"/>
            <w:szCs w:val="20"/>
          </w:rPr>
          <w:t>www.hcup-us.ahrq.gov/sidoverview.jsp.</w:t>
        </w:r>
      </w:hyperlink>
      <w:r w:rsidRPr="0014661D">
        <w:rPr>
          <w:rFonts w:ascii="Calibri" w:hAnsi="Calibri" w:cs="Calibri"/>
          <w:color w:val="0000FF"/>
          <w:sz w:val="20"/>
          <w:szCs w:val="20"/>
        </w:rPr>
        <w:t xml:space="preserve"> (AHRQ QI Software</w:t>
      </w:r>
      <w:r w:rsidRPr="0014661D">
        <w:rPr>
          <w:rFonts w:ascii="Calibri" w:hAnsi="Calibri" w:cs="Calibri"/>
          <w:color w:val="0000FF"/>
          <w:w w:val="99"/>
          <w:sz w:val="20"/>
          <w:szCs w:val="20"/>
        </w:rPr>
        <w:t xml:space="preserve"> </w:t>
      </w:r>
      <w:r w:rsidRPr="0014661D">
        <w:rPr>
          <w:rFonts w:ascii="Calibri" w:hAnsi="Calibri" w:cs="Calibri"/>
          <w:color w:val="0000FF"/>
          <w:sz w:val="20"/>
          <w:szCs w:val="20"/>
        </w:rPr>
        <w:t>Version 6.0)</w:t>
      </w:r>
    </w:p>
    <w:p w14:paraId="616798E4" w14:textId="77777777" w:rsidR="00346791" w:rsidRDefault="00346791" w:rsidP="008C54A9">
      <w:pPr>
        <w:autoSpaceDE w:val="0"/>
        <w:autoSpaceDN w:val="0"/>
        <w:adjustRightInd w:val="0"/>
        <w:spacing w:after="0" w:line="240" w:lineRule="auto"/>
        <w:rPr>
          <w:color w:val="0000FF"/>
          <w:sz w:val="20"/>
          <w:szCs w:val="20"/>
        </w:rPr>
      </w:pPr>
    </w:p>
    <w:p w14:paraId="76775042" w14:textId="6E598D50" w:rsidR="002D3AF2" w:rsidRPr="00C00E30" w:rsidRDefault="002D3AF2" w:rsidP="002D3AF2">
      <w:pPr>
        <w:keepNext/>
        <w:autoSpaceDE w:val="0"/>
        <w:autoSpaceDN w:val="0"/>
        <w:adjustRightInd w:val="0"/>
        <w:spacing w:after="0" w:line="240" w:lineRule="auto"/>
        <w:ind w:left="86" w:right="1530"/>
        <w:jc w:val="both"/>
        <w:rPr>
          <w:rFonts w:ascii="Calibri" w:hAnsi="Calibri" w:cstheme="minorHAnsi"/>
          <w:b/>
          <w:bCs/>
          <w:color w:val="0000FF"/>
          <w:sz w:val="24"/>
          <w:szCs w:val="24"/>
        </w:rPr>
      </w:pPr>
      <w:proofErr w:type="gramStart"/>
      <w:r w:rsidRPr="00C00E30">
        <w:rPr>
          <w:rFonts w:ascii="Calibri" w:hAnsi="Calibri" w:cstheme="minorHAnsi"/>
          <w:b/>
          <w:bCs/>
          <w:color w:val="0000FF"/>
          <w:sz w:val="24"/>
          <w:szCs w:val="24"/>
        </w:rPr>
        <w:lastRenderedPageBreak/>
        <w:t>Table 2</w:t>
      </w:r>
      <w:r>
        <w:rPr>
          <w:rFonts w:ascii="Calibri" w:hAnsi="Calibri" w:cstheme="minorHAnsi"/>
          <w:b/>
          <w:bCs/>
          <w:color w:val="0000FF"/>
          <w:sz w:val="24"/>
          <w:szCs w:val="24"/>
        </w:rPr>
        <w:t>b</w:t>
      </w:r>
      <w:r w:rsidRPr="00C00E30">
        <w:rPr>
          <w:rFonts w:ascii="Calibri" w:hAnsi="Calibri" w:cstheme="minorHAnsi"/>
          <w:b/>
          <w:bCs/>
          <w:color w:val="0000FF"/>
          <w:sz w:val="24"/>
          <w:szCs w:val="24"/>
        </w:rPr>
        <w:t>.</w:t>
      </w:r>
      <w:proofErr w:type="gramEnd"/>
      <w:r w:rsidRPr="00C00E30">
        <w:rPr>
          <w:rFonts w:ascii="Calibri" w:hAnsi="Calibri" w:cstheme="minorHAnsi"/>
          <w:b/>
          <w:bCs/>
          <w:color w:val="0000FF"/>
          <w:sz w:val="24"/>
          <w:szCs w:val="24"/>
        </w:rPr>
        <w:t xml:space="preserve"> </w:t>
      </w:r>
      <w:r>
        <w:rPr>
          <w:rFonts w:ascii="Calibri" w:hAnsi="Calibri" w:cstheme="minorHAnsi"/>
          <w:b/>
          <w:bCs/>
          <w:color w:val="0000FF"/>
          <w:sz w:val="24"/>
          <w:szCs w:val="24"/>
        </w:rPr>
        <w:t xml:space="preserve">SES </w:t>
      </w:r>
      <w:r w:rsidRPr="00C00E30">
        <w:rPr>
          <w:rFonts w:ascii="Calibri" w:hAnsi="Calibri" w:cstheme="minorHAnsi"/>
          <w:b/>
          <w:bCs/>
          <w:color w:val="0000FF"/>
          <w:sz w:val="24"/>
          <w:szCs w:val="24"/>
        </w:rPr>
        <w:t xml:space="preserve">Signal-to-Noise Ratio by Size Decile </w:t>
      </w:r>
      <w:proofErr w:type="gramStart"/>
      <w:r w:rsidRPr="00C00E30">
        <w:rPr>
          <w:rFonts w:ascii="Calibri" w:hAnsi="Calibri" w:cstheme="minorHAnsi"/>
          <w:b/>
          <w:color w:val="0000FF"/>
          <w:sz w:val="24"/>
          <w:szCs w:val="24"/>
        </w:rPr>
        <w:t>for PQI</w:t>
      </w:r>
      <w:r w:rsidR="00604D4E">
        <w:rPr>
          <w:rFonts w:ascii="Calibri" w:hAnsi="Calibri" w:cstheme="minorHAnsi"/>
          <w:b/>
          <w:color w:val="0000FF"/>
          <w:sz w:val="24"/>
          <w:szCs w:val="24"/>
        </w:rPr>
        <w:t xml:space="preserve"> </w:t>
      </w:r>
      <w:r w:rsidRPr="00C00E30">
        <w:rPr>
          <w:rFonts w:ascii="Calibri" w:hAnsi="Calibri" w:cstheme="minorHAnsi"/>
          <w:b/>
          <w:color w:val="0000FF"/>
          <w:sz w:val="24"/>
          <w:szCs w:val="24"/>
        </w:rPr>
        <w:t>15 Asthma in Younger Adults Admission Rate</w:t>
      </w:r>
      <w:proofErr w:type="gramEnd"/>
    </w:p>
    <w:tbl>
      <w:tblPr>
        <w:tblW w:w="8089" w:type="dxa"/>
        <w:tblInd w:w="10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1257"/>
        <w:gridCol w:w="1252"/>
        <w:gridCol w:w="3150"/>
        <w:gridCol w:w="2430"/>
      </w:tblGrid>
      <w:tr w:rsidR="002D3AF2" w14:paraId="6E5331FB" w14:textId="77777777" w:rsidTr="00C25063">
        <w:trPr>
          <w:trHeight w:hRule="exact" w:val="748"/>
        </w:trPr>
        <w:tc>
          <w:tcPr>
            <w:tcW w:w="1257" w:type="dxa"/>
            <w:tcBorders>
              <w:top w:val="single" w:sz="4" w:space="0" w:color="auto"/>
              <w:left w:val="single" w:sz="4" w:space="0" w:color="auto"/>
              <w:bottom w:val="single" w:sz="4" w:space="0" w:color="auto"/>
              <w:right w:val="nil"/>
            </w:tcBorders>
            <w:shd w:val="clear" w:color="auto" w:fill="D9D9D9" w:themeFill="background1" w:themeFillShade="D9"/>
          </w:tcPr>
          <w:p w14:paraId="5A4EEC9C" w14:textId="77777777" w:rsidR="002D3AF2" w:rsidRDefault="002D3AF2" w:rsidP="00C25063">
            <w:pPr>
              <w:pStyle w:val="TableParagraph"/>
              <w:spacing w:line="276" w:lineRule="auto"/>
              <w:ind w:left="102"/>
              <w:rPr>
                <w:rFonts w:ascii="Calibri" w:eastAsia="Times New Roman" w:hAnsi="Calibri" w:cstheme="minorHAnsi"/>
                <w:color w:val="0000FF"/>
              </w:rPr>
            </w:pPr>
            <w:r>
              <w:rPr>
                <w:rFonts w:ascii="Calibri" w:hAnsi="Calibri" w:cstheme="minorHAnsi"/>
                <w:b/>
                <w:color w:val="0000FF"/>
              </w:rPr>
              <w:t>Size Decile</w:t>
            </w:r>
          </w:p>
        </w:tc>
        <w:tc>
          <w:tcPr>
            <w:tcW w:w="1252" w:type="dxa"/>
            <w:tcBorders>
              <w:top w:val="single" w:sz="4" w:space="0" w:color="auto"/>
              <w:left w:val="nil"/>
              <w:bottom w:val="single" w:sz="4" w:space="0" w:color="auto"/>
              <w:right w:val="nil"/>
            </w:tcBorders>
            <w:shd w:val="clear" w:color="auto" w:fill="D9D9D9" w:themeFill="background1" w:themeFillShade="D9"/>
          </w:tcPr>
          <w:p w14:paraId="20D80772" w14:textId="77777777" w:rsidR="002D3AF2" w:rsidRDefault="002D3AF2" w:rsidP="00C25063">
            <w:pPr>
              <w:pStyle w:val="TableParagraph"/>
              <w:spacing w:line="276" w:lineRule="auto"/>
              <w:ind w:left="83" w:firstLine="28"/>
              <w:rPr>
                <w:rFonts w:ascii="Calibri" w:eastAsia="Times New Roman" w:hAnsi="Calibri" w:cstheme="minorHAnsi"/>
                <w:color w:val="0000FF"/>
              </w:rPr>
            </w:pPr>
            <w:r>
              <w:rPr>
                <w:rFonts w:ascii="Calibri" w:hAnsi="Calibri" w:cstheme="minorHAnsi"/>
                <w:b/>
                <w:color w:val="0000FF"/>
              </w:rPr>
              <w:t>Number</w:t>
            </w:r>
            <w:r>
              <w:rPr>
                <w:rFonts w:ascii="Calibri" w:hAnsi="Calibri" w:cstheme="minorHAnsi"/>
                <w:b/>
                <w:color w:val="0000FF"/>
                <w:w w:val="99"/>
              </w:rPr>
              <w:t xml:space="preserve"> </w:t>
            </w:r>
            <w:r>
              <w:rPr>
                <w:rFonts w:ascii="Calibri" w:hAnsi="Calibri" w:cstheme="minorHAnsi"/>
                <w:b/>
                <w:color w:val="0000FF"/>
              </w:rPr>
              <w:t>of Counties</w:t>
            </w:r>
          </w:p>
        </w:tc>
        <w:tc>
          <w:tcPr>
            <w:tcW w:w="3150" w:type="dxa"/>
            <w:tcBorders>
              <w:top w:val="single" w:sz="4" w:space="0" w:color="auto"/>
              <w:left w:val="nil"/>
              <w:bottom w:val="single" w:sz="4" w:space="0" w:color="auto"/>
              <w:right w:val="nil"/>
            </w:tcBorders>
            <w:shd w:val="clear" w:color="auto" w:fill="D9D9D9" w:themeFill="background1" w:themeFillShade="D9"/>
          </w:tcPr>
          <w:p w14:paraId="1AA27409" w14:textId="77777777" w:rsidR="002D3AF2" w:rsidRDefault="002D3AF2" w:rsidP="00C25063">
            <w:pPr>
              <w:pStyle w:val="TableParagraph"/>
              <w:spacing w:line="276" w:lineRule="auto"/>
              <w:ind w:right="214"/>
              <w:rPr>
                <w:rFonts w:ascii="Calibri" w:eastAsia="Times New Roman" w:hAnsi="Calibri" w:cstheme="minorHAnsi"/>
                <w:color w:val="0000FF"/>
              </w:rPr>
            </w:pPr>
            <w:r>
              <w:rPr>
                <w:rFonts w:ascii="Calibri" w:hAnsi="Calibri" w:cstheme="minorHAnsi"/>
                <w:b/>
                <w:color w:val="0000FF"/>
              </w:rPr>
              <w:t>Avg. Number of</w:t>
            </w:r>
            <w:r>
              <w:rPr>
                <w:rFonts w:ascii="Calibri" w:hAnsi="Calibri" w:cstheme="minorHAnsi"/>
                <w:b/>
                <w:color w:val="0000FF"/>
                <w:w w:val="99"/>
              </w:rPr>
              <w:t xml:space="preserve"> </w:t>
            </w:r>
            <w:r>
              <w:rPr>
                <w:rFonts w:ascii="Calibri" w:hAnsi="Calibri" w:cstheme="minorHAnsi"/>
                <w:b/>
                <w:color w:val="0000FF"/>
              </w:rPr>
              <w:t>Qualifying Population per County</w:t>
            </w:r>
            <w:r>
              <w:rPr>
                <w:rFonts w:ascii="Calibri" w:eastAsia="Times New Roman" w:hAnsi="Calibri" w:cstheme="minorHAnsi"/>
                <w:color w:val="0000FF"/>
              </w:rPr>
              <w:t xml:space="preserve"> </w:t>
            </w:r>
            <w:r>
              <w:rPr>
                <w:rFonts w:ascii="Calibri" w:hAnsi="Calibri" w:cstheme="minorHAnsi"/>
                <w:b/>
                <w:color w:val="0000FF"/>
              </w:rPr>
              <w:t>in Decile</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tcPr>
          <w:p w14:paraId="654A4C04" w14:textId="77777777" w:rsidR="002D3AF2" w:rsidRDefault="002D3AF2" w:rsidP="00C25063">
            <w:pPr>
              <w:pStyle w:val="TableParagraph"/>
              <w:spacing w:line="276" w:lineRule="auto"/>
              <w:rPr>
                <w:rFonts w:ascii="Calibri" w:eastAsia="Times New Roman" w:hAnsi="Calibri" w:cstheme="minorHAnsi"/>
                <w:color w:val="0000FF"/>
              </w:rPr>
            </w:pPr>
            <w:r>
              <w:rPr>
                <w:rFonts w:ascii="Calibri" w:hAnsi="Calibri" w:cstheme="minorHAnsi"/>
                <w:b/>
                <w:color w:val="0000FF"/>
              </w:rPr>
              <w:t>Avg. Signal-to-Noise</w:t>
            </w:r>
            <w:r>
              <w:rPr>
                <w:rFonts w:ascii="Calibri" w:hAnsi="Calibri" w:cstheme="minorHAnsi"/>
                <w:b/>
                <w:color w:val="0000FF"/>
                <w:w w:val="99"/>
              </w:rPr>
              <w:t xml:space="preserve"> </w:t>
            </w:r>
            <w:r>
              <w:rPr>
                <w:rFonts w:ascii="Calibri" w:hAnsi="Calibri" w:cstheme="minorHAnsi"/>
                <w:b/>
                <w:color w:val="0000FF"/>
              </w:rPr>
              <w:t>Ratio for Counties</w:t>
            </w:r>
            <w:r>
              <w:rPr>
                <w:rFonts w:ascii="Calibri" w:eastAsia="Times New Roman" w:hAnsi="Calibri" w:cstheme="minorHAnsi"/>
                <w:color w:val="0000FF"/>
              </w:rPr>
              <w:t xml:space="preserve"> </w:t>
            </w:r>
            <w:r>
              <w:rPr>
                <w:rFonts w:ascii="Calibri" w:hAnsi="Calibri" w:cstheme="minorHAnsi"/>
                <w:b/>
                <w:color w:val="0000FF"/>
              </w:rPr>
              <w:t>in Decile</w:t>
            </w:r>
          </w:p>
        </w:tc>
      </w:tr>
      <w:tr w:rsidR="002D3AF2" w14:paraId="63B58365" w14:textId="77777777" w:rsidTr="00C25063">
        <w:trPr>
          <w:trHeight w:hRule="exact" w:val="338"/>
        </w:trPr>
        <w:tc>
          <w:tcPr>
            <w:tcW w:w="1257" w:type="dxa"/>
            <w:tcBorders>
              <w:top w:val="single" w:sz="4" w:space="0" w:color="auto"/>
              <w:left w:val="single" w:sz="4" w:space="0" w:color="auto"/>
              <w:bottom w:val="nil"/>
              <w:right w:val="nil"/>
            </w:tcBorders>
            <w:vAlign w:val="bottom"/>
            <w:hideMark/>
          </w:tcPr>
          <w:p w14:paraId="08B1660B" w14:textId="77777777" w:rsidR="002D3AF2" w:rsidRPr="0014661D" w:rsidRDefault="002D3AF2" w:rsidP="00C25063">
            <w:pPr>
              <w:ind w:right="101"/>
              <w:rPr>
                <w:rFonts w:ascii="Calibri" w:hAnsi="Calibri"/>
              </w:rPr>
            </w:pPr>
            <w:r w:rsidRPr="0014661D">
              <w:rPr>
                <w:rFonts w:ascii="Calibri" w:hAnsi="Calibri"/>
              </w:rPr>
              <w:t>1</w:t>
            </w:r>
          </w:p>
        </w:tc>
        <w:tc>
          <w:tcPr>
            <w:tcW w:w="1252" w:type="dxa"/>
            <w:tcBorders>
              <w:top w:val="single" w:sz="4" w:space="0" w:color="auto"/>
              <w:left w:val="nil"/>
              <w:bottom w:val="nil"/>
              <w:right w:val="nil"/>
            </w:tcBorders>
            <w:vAlign w:val="bottom"/>
          </w:tcPr>
          <w:p w14:paraId="18A47137"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single" w:sz="4" w:space="0" w:color="auto"/>
              <w:left w:val="nil"/>
              <w:bottom w:val="nil"/>
              <w:right w:val="nil"/>
            </w:tcBorders>
            <w:vAlign w:val="bottom"/>
          </w:tcPr>
          <w:p w14:paraId="77980DD0" w14:textId="77777777" w:rsidR="002D3AF2" w:rsidRDefault="002D3AF2" w:rsidP="00C25063">
            <w:pPr>
              <w:ind w:right="101"/>
              <w:rPr>
                <w:rFonts w:ascii="Calibri" w:hAnsi="Calibri"/>
                <w:color w:val="0000FF"/>
              </w:rPr>
            </w:pPr>
            <w:r>
              <w:rPr>
                <w:rFonts w:ascii="Calibri" w:hAnsi="Calibri"/>
                <w:color w:val="000000"/>
              </w:rPr>
              <w:t>1178.6</w:t>
            </w:r>
          </w:p>
        </w:tc>
        <w:tc>
          <w:tcPr>
            <w:tcW w:w="2430" w:type="dxa"/>
            <w:tcBorders>
              <w:top w:val="single" w:sz="4" w:space="0" w:color="auto"/>
              <w:left w:val="nil"/>
              <w:bottom w:val="nil"/>
              <w:right w:val="single" w:sz="4" w:space="0" w:color="auto"/>
            </w:tcBorders>
            <w:vAlign w:val="bottom"/>
          </w:tcPr>
          <w:p w14:paraId="1F56E5AB" w14:textId="4EAEDAB6" w:rsidR="002D3AF2" w:rsidRDefault="002D3AF2" w:rsidP="00C25063">
            <w:pPr>
              <w:rPr>
                <w:rFonts w:ascii="Calibri" w:hAnsi="Calibri"/>
                <w:color w:val="0000FF"/>
              </w:rPr>
            </w:pPr>
            <w:r>
              <w:rPr>
                <w:rFonts w:ascii="Calibri" w:hAnsi="Calibri"/>
                <w:color w:val="000000"/>
              </w:rPr>
              <w:t>0.18787</w:t>
            </w:r>
          </w:p>
        </w:tc>
      </w:tr>
      <w:tr w:rsidR="002D3AF2" w14:paraId="6C61E425" w14:textId="77777777" w:rsidTr="00C25063">
        <w:trPr>
          <w:trHeight w:hRule="exact" w:val="300"/>
        </w:trPr>
        <w:tc>
          <w:tcPr>
            <w:tcW w:w="1257" w:type="dxa"/>
            <w:tcBorders>
              <w:top w:val="nil"/>
              <w:left w:val="single" w:sz="4" w:space="0" w:color="auto"/>
              <w:bottom w:val="nil"/>
              <w:right w:val="nil"/>
            </w:tcBorders>
            <w:vAlign w:val="bottom"/>
            <w:hideMark/>
          </w:tcPr>
          <w:p w14:paraId="457EB553" w14:textId="77777777" w:rsidR="002D3AF2" w:rsidRPr="0014661D" w:rsidRDefault="002D3AF2" w:rsidP="00C25063">
            <w:pPr>
              <w:ind w:right="97"/>
              <w:rPr>
                <w:rFonts w:ascii="Calibri" w:hAnsi="Calibri"/>
              </w:rPr>
            </w:pPr>
            <w:r w:rsidRPr="0014661D">
              <w:rPr>
                <w:rFonts w:ascii="Calibri" w:hAnsi="Calibri"/>
              </w:rPr>
              <w:t>2</w:t>
            </w:r>
          </w:p>
        </w:tc>
        <w:tc>
          <w:tcPr>
            <w:tcW w:w="1252" w:type="dxa"/>
            <w:tcBorders>
              <w:top w:val="nil"/>
              <w:left w:val="nil"/>
              <w:bottom w:val="nil"/>
              <w:right w:val="nil"/>
            </w:tcBorders>
            <w:vAlign w:val="bottom"/>
          </w:tcPr>
          <w:p w14:paraId="28FEFFC1"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59A65758" w14:textId="77777777" w:rsidR="002D3AF2" w:rsidRDefault="002D3AF2" w:rsidP="00C25063">
            <w:pPr>
              <w:ind w:right="101"/>
              <w:rPr>
                <w:rFonts w:ascii="Calibri" w:hAnsi="Calibri"/>
                <w:color w:val="0000FF"/>
              </w:rPr>
            </w:pPr>
            <w:r>
              <w:rPr>
                <w:rFonts w:ascii="Calibri" w:hAnsi="Calibri"/>
                <w:color w:val="000000"/>
              </w:rPr>
              <w:t>2542</w:t>
            </w:r>
          </w:p>
        </w:tc>
        <w:tc>
          <w:tcPr>
            <w:tcW w:w="2430" w:type="dxa"/>
            <w:tcBorders>
              <w:top w:val="nil"/>
              <w:left w:val="nil"/>
              <w:bottom w:val="nil"/>
              <w:right w:val="single" w:sz="4" w:space="0" w:color="auto"/>
            </w:tcBorders>
            <w:vAlign w:val="bottom"/>
          </w:tcPr>
          <w:p w14:paraId="5D71A8B4" w14:textId="7465CC79" w:rsidR="002D3AF2" w:rsidRDefault="002D3AF2" w:rsidP="00C25063">
            <w:pPr>
              <w:rPr>
                <w:rFonts w:ascii="Calibri" w:hAnsi="Calibri"/>
                <w:color w:val="0000FF"/>
              </w:rPr>
            </w:pPr>
            <w:r>
              <w:rPr>
                <w:rFonts w:ascii="Calibri" w:hAnsi="Calibri"/>
                <w:color w:val="000000"/>
              </w:rPr>
              <w:t>0.29982</w:t>
            </w:r>
          </w:p>
        </w:tc>
      </w:tr>
      <w:tr w:rsidR="002D3AF2" w14:paraId="3C5520FE" w14:textId="77777777" w:rsidTr="00C25063">
        <w:trPr>
          <w:trHeight w:hRule="exact" w:val="300"/>
        </w:trPr>
        <w:tc>
          <w:tcPr>
            <w:tcW w:w="1257" w:type="dxa"/>
            <w:tcBorders>
              <w:top w:val="nil"/>
              <w:left w:val="single" w:sz="4" w:space="0" w:color="auto"/>
              <w:bottom w:val="nil"/>
              <w:right w:val="nil"/>
            </w:tcBorders>
            <w:vAlign w:val="bottom"/>
            <w:hideMark/>
          </w:tcPr>
          <w:p w14:paraId="027A48B8" w14:textId="77777777" w:rsidR="002D3AF2" w:rsidRPr="0014661D" w:rsidRDefault="002D3AF2" w:rsidP="00C25063">
            <w:pPr>
              <w:ind w:right="101"/>
              <w:rPr>
                <w:rFonts w:ascii="Calibri" w:hAnsi="Calibri"/>
              </w:rPr>
            </w:pPr>
            <w:r w:rsidRPr="0014661D">
              <w:rPr>
                <w:rFonts w:ascii="Calibri" w:hAnsi="Calibri"/>
              </w:rPr>
              <w:t>3</w:t>
            </w:r>
          </w:p>
        </w:tc>
        <w:tc>
          <w:tcPr>
            <w:tcW w:w="1252" w:type="dxa"/>
            <w:tcBorders>
              <w:top w:val="nil"/>
              <w:left w:val="nil"/>
              <w:bottom w:val="nil"/>
              <w:right w:val="nil"/>
            </w:tcBorders>
            <w:vAlign w:val="bottom"/>
          </w:tcPr>
          <w:p w14:paraId="28447643"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6579C3C1" w14:textId="77777777" w:rsidR="002D3AF2" w:rsidRDefault="002D3AF2" w:rsidP="00C25063">
            <w:pPr>
              <w:ind w:right="101"/>
              <w:rPr>
                <w:rFonts w:ascii="Calibri" w:hAnsi="Calibri"/>
                <w:color w:val="0000FF"/>
              </w:rPr>
            </w:pPr>
            <w:r>
              <w:rPr>
                <w:rFonts w:ascii="Calibri" w:hAnsi="Calibri"/>
                <w:color w:val="000000"/>
              </w:rPr>
              <w:t>3840.7</w:t>
            </w:r>
          </w:p>
        </w:tc>
        <w:tc>
          <w:tcPr>
            <w:tcW w:w="2430" w:type="dxa"/>
            <w:tcBorders>
              <w:top w:val="nil"/>
              <w:left w:val="nil"/>
              <w:bottom w:val="nil"/>
              <w:right w:val="single" w:sz="4" w:space="0" w:color="auto"/>
            </w:tcBorders>
            <w:vAlign w:val="bottom"/>
          </w:tcPr>
          <w:p w14:paraId="0B57A4AC" w14:textId="53FD3C62" w:rsidR="002D3AF2" w:rsidRDefault="002D3AF2" w:rsidP="00C25063">
            <w:pPr>
              <w:rPr>
                <w:rFonts w:ascii="Calibri" w:hAnsi="Calibri"/>
                <w:color w:val="0000FF"/>
              </w:rPr>
            </w:pPr>
            <w:r>
              <w:rPr>
                <w:rFonts w:ascii="Calibri" w:hAnsi="Calibri"/>
                <w:color w:val="000000"/>
              </w:rPr>
              <w:t>0.39039</w:t>
            </w:r>
          </w:p>
        </w:tc>
      </w:tr>
      <w:tr w:rsidR="002D3AF2" w14:paraId="7704EBFB" w14:textId="77777777" w:rsidTr="00C25063">
        <w:trPr>
          <w:trHeight w:hRule="exact" w:val="300"/>
        </w:trPr>
        <w:tc>
          <w:tcPr>
            <w:tcW w:w="1257" w:type="dxa"/>
            <w:tcBorders>
              <w:top w:val="nil"/>
              <w:left w:val="single" w:sz="4" w:space="0" w:color="auto"/>
              <w:bottom w:val="nil"/>
              <w:right w:val="nil"/>
            </w:tcBorders>
            <w:vAlign w:val="bottom"/>
            <w:hideMark/>
          </w:tcPr>
          <w:p w14:paraId="28DF8731" w14:textId="77777777" w:rsidR="002D3AF2" w:rsidRPr="0014661D" w:rsidRDefault="002D3AF2" w:rsidP="00C25063">
            <w:pPr>
              <w:ind w:right="101"/>
              <w:rPr>
                <w:rFonts w:ascii="Calibri" w:hAnsi="Calibri"/>
              </w:rPr>
            </w:pPr>
            <w:r w:rsidRPr="0014661D">
              <w:rPr>
                <w:rFonts w:ascii="Calibri" w:hAnsi="Calibri"/>
              </w:rPr>
              <w:t>4</w:t>
            </w:r>
          </w:p>
        </w:tc>
        <w:tc>
          <w:tcPr>
            <w:tcW w:w="1252" w:type="dxa"/>
            <w:tcBorders>
              <w:top w:val="nil"/>
              <w:left w:val="nil"/>
              <w:bottom w:val="nil"/>
              <w:right w:val="nil"/>
            </w:tcBorders>
            <w:vAlign w:val="bottom"/>
          </w:tcPr>
          <w:p w14:paraId="22523141"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463844E8" w14:textId="77777777" w:rsidR="002D3AF2" w:rsidRDefault="002D3AF2" w:rsidP="00C25063">
            <w:pPr>
              <w:ind w:right="101"/>
              <w:rPr>
                <w:rFonts w:ascii="Calibri" w:hAnsi="Calibri"/>
                <w:color w:val="0000FF"/>
              </w:rPr>
            </w:pPr>
            <w:r>
              <w:rPr>
                <w:rFonts w:ascii="Calibri" w:hAnsi="Calibri"/>
                <w:color w:val="000000"/>
              </w:rPr>
              <w:t>5181.9</w:t>
            </w:r>
          </w:p>
        </w:tc>
        <w:tc>
          <w:tcPr>
            <w:tcW w:w="2430" w:type="dxa"/>
            <w:tcBorders>
              <w:top w:val="nil"/>
              <w:left w:val="nil"/>
              <w:bottom w:val="nil"/>
              <w:right w:val="single" w:sz="4" w:space="0" w:color="auto"/>
            </w:tcBorders>
            <w:vAlign w:val="bottom"/>
          </w:tcPr>
          <w:p w14:paraId="77B85E41" w14:textId="35529316" w:rsidR="002D3AF2" w:rsidRDefault="002D3AF2" w:rsidP="00C25063">
            <w:pPr>
              <w:rPr>
                <w:rFonts w:ascii="Calibri" w:hAnsi="Calibri"/>
                <w:color w:val="0000FF"/>
              </w:rPr>
            </w:pPr>
            <w:r>
              <w:rPr>
                <w:rFonts w:ascii="Calibri" w:hAnsi="Calibri"/>
                <w:color w:val="000000"/>
              </w:rPr>
              <w:t>0.45728</w:t>
            </w:r>
          </w:p>
        </w:tc>
      </w:tr>
      <w:tr w:rsidR="002D3AF2" w14:paraId="64152692" w14:textId="77777777" w:rsidTr="00C25063">
        <w:trPr>
          <w:trHeight w:hRule="exact" w:val="300"/>
        </w:trPr>
        <w:tc>
          <w:tcPr>
            <w:tcW w:w="1257" w:type="dxa"/>
            <w:tcBorders>
              <w:top w:val="nil"/>
              <w:left w:val="single" w:sz="4" w:space="0" w:color="auto"/>
              <w:bottom w:val="nil"/>
              <w:right w:val="nil"/>
            </w:tcBorders>
            <w:vAlign w:val="bottom"/>
            <w:hideMark/>
          </w:tcPr>
          <w:p w14:paraId="12DDEC81" w14:textId="77777777" w:rsidR="002D3AF2" w:rsidRPr="0014661D" w:rsidRDefault="002D3AF2" w:rsidP="00C25063">
            <w:pPr>
              <w:ind w:right="101"/>
              <w:rPr>
                <w:rFonts w:ascii="Calibri" w:hAnsi="Calibri"/>
              </w:rPr>
            </w:pPr>
            <w:r w:rsidRPr="0014661D">
              <w:rPr>
                <w:rFonts w:ascii="Calibri" w:hAnsi="Calibri"/>
              </w:rPr>
              <w:t>5</w:t>
            </w:r>
          </w:p>
        </w:tc>
        <w:tc>
          <w:tcPr>
            <w:tcW w:w="1252" w:type="dxa"/>
            <w:tcBorders>
              <w:top w:val="nil"/>
              <w:left w:val="nil"/>
              <w:bottom w:val="nil"/>
              <w:right w:val="nil"/>
            </w:tcBorders>
            <w:vAlign w:val="bottom"/>
          </w:tcPr>
          <w:p w14:paraId="66C6CF20"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7404FCA7" w14:textId="77777777" w:rsidR="002D3AF2" w:rsidRDefault="002D3AF2" w:rsidP="00C25063">
            <w:pPr>
              <w:ind w:right="101"/>
              <w:rPr>
                <w:rFonts w:ascii="Calibri" w:hAnsi="Calibri"/>
                <w:color w:val="0000FF"/>
              </w:rPr>
            </w:pPr>
            <w:r>
              <w:rPr>
                <w:rFonts w:ascii="Calibri" w:hAnsi="Calibri"/>
                <w:color w:val="000000"/>
              </w:rPr>
              <w:t>6922.9</w:t>
            </w:r>
          </w:p>
        </w:tc>
        <w:tc>
          <w:tcPr>
            <w:tcW w:w="2430" w:type="dxa"/>
            <w:tcBorders>
              <w:top w:val="nil"/>
              <w:left w:val="nil"/>
              <w:bottom w:val="nil"/>
              <w:right w:val="single" w:sz="4" w:space="0" w:color="auto"/>
            </w:tcBorders>
            <w:vAlign w:val="bottom"/>
          </w:tcPr>
          <w:p w14:paraId="7E5D806F" w14:textId="53106526" w:rsidR="002D3AF2" w:rsidRDefault="002D3AF2" w:rsidP="00C25063">
            <w:pPr>
              <w:rPr>
                <w:rFonts w:ascii="Calibri" w:hAnsi="Calibri"/>
                <w:color w:val="0000FF"/>
              </w:rPr>
            </w:pPr>
            <w:r>
              <w:rPr>
                <w:rFonts w:ascii="Calibri" w:hAnsi="Calibri"/>
                <w:color w:val="000000"/>
              </w:rPr>
              <w:t>0.53481</w:t>
            </w:r>
          </w:p>
        </w:tc>
      </w:tr>
      <w:tr w:rsidR="002D3AF2" w14:paraId="153D044E" w14:textId="77777777" w:rsidTr="00C25063">
        <w:trPr>
          <w:trHeight w:hRule="exact" w:val="300"/>
        </w:trPr>
        <w:tc>
          <w:tcPr>
            <w:tcW w:w="1257" w:type="dxa"/>
            <w:tcBorders>
              <w:top w:val="nil"/>
              <w:left w:val="single" w:sz="4" w:space="0" w:color="auto"/>
              <w:bottom w:val="nil"/>
              <w:right w:val="nil"/>
            </w:tcBorders>
            <w:vAlign w:val="bottom"/>
            <w:hideMark/>
          </w:tcPr>
          <w:p w14:paraId="1A759FCF" w14:textId="77777777" w:rsidR="002D3AF2" w:rsidRPr="0014661D" w:rsidRDefault="002D3AF2" w:rsidP="00C25063">
            <w:pPr>
              <w:ind w:right="101"/>
              <w:rPr>
                <w:rFonts w:ascii="Calibri" w:hAnsi="Calibri"/>
              </w:rPr>
            </w:pPr>
            <w:r w:rsidRPr="0014661D">
              <w:rPr>
                <w:rFonts w:ascii="Calibri" w:hAnsi="Calibri"/>
              </w:rPr>
              <w:t>6</w:t>
            </w:r>
          </w:p>
        </w:tc>
        <w:tc>
          <w:tcPr>
            <w:tcW w:w="1252" w:type="dxa"/>
            <w:tcBorders>
              <w:top w:val="nil"/>
              <w:left w:val="nil"/>
              <w:bottom w:val="nil"/>
              <w:right w:val="nil"/>
            </w:tcBorders>
            <w:vAlign w:val="bottom"/>
          </w:tcPr>
          <w:p w14:paraId="2D8089D6"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3734B514" w14:textId="77777777" w:rsidR="002D3AF2" w:rsidRDefault="002D3AF2" w:rsidP="00C25063">
            <w:pPr>
              <w:ind w:right="101"/>
              <w:rPr>
                <w:rFonts w:ascii="Calibri" w:hAnsi="Calibri"/>
                <w:color w:val="0000FF"/>
              </w:rPr>
            </w:pPr>
            <w:r>
              <w:rPr>
                <w:rFonts w:ascii="Calibri" w:hAnsi="Calibri"/>
                <w:color w:val="000000"/>
              </w:rPr>
              <w:t>9426.5</w:t>
            </w:r>
          </w:p>
        </w:tc>
        <w:tc>
          <w:tcPr>
            <w:tcW w:w="2430" w:type="dxa"/>
            <w:tcBorders>
              <w:top w:val="nil"/>
              <w:left w:val="nil"/>
              <w:bottom w:val="nil"/>
              <w:right w:val="single" w:sz="4" w:space="0" w:color="auto"/>
            </w:tcBorders>
            <w:vAlign w:val="bottom"/>
          </w:tcPr>
          <w:p w14:paraId="7C138E0A" w14:textId="62838E9D" w:rsidR="002D3AF2" w:rsidRDefault="002D3AF2" w:rsidP="00C25063">
            <w:pPr>
              <w:rPr>
                <w:rFonts w:ascii="Calibri" w:hAnsi="Calibri"/>
                <w:color w:val="0000FF"/>
              </w:rPr>
            </w:pPr>
            <w:r>
              <w:rPr>
                <w:rFonts w:ascii="Calibri" w:hAnsi="Calibri"/>
                <w:color w:val="000000"/>
              </w:rPr>
              <w:t>0.60742</w:t>
            </w:r>
          </w:p>
        </w:tc>
      </w:tr>
      <w:tr w:rsidR="002D3AF2" w14:paraId="698E0362" w14:textId="77777777" w:rsidTr="00C25063">
        <w:trPr>
          <w:trHeight w:hRule="exact" w:val="300"/>
        </w:trPr>
        <w:tc>
          <w:tcPr>
            <w:tcW w:w="1257" w:type="dxa"/>
            <w:tcBorders>
              <w:top w:val="nil"/>
              <w:left w:val="single" w:sz="4" w:space="0" w:color="auto"/>
              <w:bottom w:val="nil"/>
              <w:right w:val="nil"/>
            </w:tcBorders>
            <w:vAlign w:val="bottom"/>
            <w:hideMark/>
          </w:tcPr>
          <w:p w14:paraId="60DAE2C0" w14:textId="77777777" w:rsidR="002D3AF2" w:rsidRPr="0014661D" w:rsidRDefault="002D3AF2" w:rsidP="00C25063">
            <w:pPr>
              <w:ind w:right="101"/>
              <w:rPr>
                <w:rFonts w:ascii="Calibri" w:hAnsi="Calibri"/>
              </w:rPr>
            </w:pPr>
            <w:r w:rsidRPr="0014661D">
              <w:rPr>
                <w:rFonts w:ascii="Calibri" w:hAnsi="Calibri"/>
              </w:rPr>
              <w:t>7</w:t>
            </w:r>
          </w:p>
        </w:tc>
        <w:tc>
          <w:tcPr>
            <w:tcW w:w="1252" w:type="dxa"/>
            <w:tcBorders>
              <w:top w:val="nil"/>
              <w:left w:val="nil"/>
              <w:bottom w:val="nil"/>
              <w:right w:val="nil"/>
            </w:tcBorders>
            <w:vAlign w:val="bottom"/>
          </w:tcPr>
          <w:p w14:paraId="4839C55A"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6B54F339" w14:textId="77777777" w:rsidR="002D3AF2" w:rsidRDefault="002D3AF2" w:rsidP="00C25063">
            <w:pPr>
              <w:ind w:right="101"/>
              <w:rPr>
                <w:rFonts w:ascii="Calibri" w:hAnsi="Calibri"/>
                <w:color w:val="0000FF"/>
              </w:rPr>
            </w:pPr>
            <w:r>
              <w:rPr>
                <w:rFonts w:ascii="Calibri" w:hAnsi="Calibri"/>
                <w:color w:val="000000"/>
              </w:rPr>
              <w:t>12906.6</w:t>
            </w:r>
          </w:p>
        </w:tc>
        <w:tc>
          <w:tcPr>
            <w:tcW w:w="2430" w:type="dxa"/>
            <w:tcBorders>
              <w:top w:val="nil"/>
              <w:left w:val="nil"/>
              <w:bottom w:val="nil"/>
              <w:right w:val="single" w:sz="4" w:space="0" w:color="auto"/>
            </w:tcBorders>
            <w:vAlign w:val="bottom"/>
          </w:tcPr>
          <w:p w14:paraId="3503B044" w14:textId="1D7A4D12" w:rsidR="002D3AF2" w:rsidRDefault="002D3AF2" w:rsidP="00C25063">
            <w:pPr>
              <w:rPr>
                <w:rFonts w:ascii="Calibri" w:hAnsi="Calibri"/>
                <w:color w:val="0000FF"/>
              </w:rPr>
            </w:pPr>
            <w:r>
              <w:rPr>
                <w:rFonts w:ascii="Calibri" w:hAnsi="Calibri"/>
                <w:color w:val="000000"/>
              </w:rPr>
              <w:t>0.6814</w:t>
            </w:r>
            <w:r w:rsidR="00E71860">
              <w:rPr>
                <w:rFonts w:ascii="Calibri" w:hAnsi="Calibri"/>
                <w:color w:val="000000"/>
              </w:rPr>
              <w:t>0</w:t>
            </w:r>
          </w:p>
        </w:tc>
      </w:tr>
      <w:tr w:rsidR="002D3AF2" w14:paraId="4E67DE1D" w14:textId="77777777" w:rsidTr="00C25063">
        <w:trPr>
          <w:trHeight w:hRule="exact" w:val="300"/>
        </w:trPr>
        <w:tc>
          <w:tcPr>
            <w:tcW w:w="1257" w:type="dxa"/>
            <w:tcBorders>
              <w:top w:val="nil"/>
              <w:left w:val="single" w:sz="4" w:space="0" w:color="auto"/>
              <w:bottom w:val="nil"/>
              <w:right w:val="nil"/>
            </w:tcBorders>
            <w:vAlign w:val="bottom"/>
            <w:hideMark/>
          </w:tcPr>
          <w:p w14:paraId="0824A8E9" w14:textId="77777777" w:rsidR="002D3AF2" w:rsidRPr="0014661D" w:rsidRDefault="002D3AF2" w:rsidP="00C25063">
            <w:pPr>
              <w:ind w:right="101"/>
              <w:rPr>
                <w:rFonts w:ascii="Calibri" w:hAnsi="Calibri"/>
              </w:rPr>
            </w:pPr>
            <w:r w:rsidRPr="0014661D">
              <w:rPr>
                <w:rFonts w:ascii="Calibri" w:hAnsi="Calibri"/>
              </w:rPr>
              <w:t>8</w:t>
            </w:r>
          </w:p>
        </w:tc>
        <w:tc>
          <w:tcPr>
            <w:tcW w:w="1252" w:type="dxa"/>
            <w:tcBorders>
              <w:top w:val="nil"/>
              <w:left w:val="nil"/>
              <w:bottom w:val="nil"/>
              <w:right w:val="nil"/>
            </w:tcBorders>
            <w:vAlign w:val="bottom"/>
          </w:tcPr>
          <w:p w14:paraId="0170B21D"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5B6DB03D" w14:textId="77777777" w:rsidR="002D3AF2" w:rsidRDefault="002D3AF2" w:rsidP="00C25063">
            <w:pPr>
              <w:ind w:right="101"/>
              <w:rPr>
                <w:rFonts w:ascii="Calibri" w:hAnsi="Calibri"/>
                <w:color w:val="0000FF"/>
              </w:rPr>
            </w:pPr>
            <w:r>
              <w:rPr>
                <w:rFonts w:ascii="Calibri" w:hAnsi="Calibri"/>
                <w:color w:val="000000"/>
              </w:rPr>
              <w:t>19998.8</w:t>
            </w:r>
          </w:p>
        </w:tc>
        <w:tc>
          <w:tcPr>
            <w:tcW w:w="2430" w:type="dxa"/>
            <w:tcBorders>
              <w:top w:val="nil"/>
              <w:left w:val="nil"/>
              <w:bottom w:val="nil"/>
              <w:right w:val="single" w:sz="4" w:space="0" w:color="auto"/>
            </w:tcBorders>
            <w:vAlign w:val="bottom"/>
          </w:tcPr>
          <w:p w14:paraId="1A0F0CB9" w14:textId="6987FEF8" w:rsidR="002D3AF2" w:rsidRDefault="002D3AF2" w:rsidP="00C25063">
            <w:pPr>
              <w:rPr>
                <w:rFonts w:ascii="Calibri" w:hAnsi="Calibri"/>
                <w:color w:val="0000FF"/>
              </w:rPr>
            </w:pPr>
            <w:r>
              <w:rPr>
                <w:rFonts w:ascii="Calibri" w:hAnsi="Calibri"/>
                <w:color w:val="000000"/>
              </w:rPr>
              <w:t>0.76836</w:t>
            </w:r>
          </w:p>
        </w:tc>
      </w:tr>
      <w:tr w:rsidR="002D3AF2" w14:paraId="66747A8E" w14:textId="77777777" w:rsidTr="00C25063">
        <w:trPr>
          <w:trHeight w:hRule="exact" w:val="300"/>
        </w:trPr>
        <w:tc>
          <w:tcPr>
            <w:tcW w:w="1257" w:type="dxa"/>
            <w:tcBorders>
              <w:top w:val="nil"/>
              <w:left w:val="single" w:sz="4" w:space="0" w:color="auto"/>
              <w:bottom w:val="nil"/>
              <w:right w:val="nil"/>
            </w:tcBorders>
            <w:vAlign w:val="bottom"/>
            <w:hideMark/>
          </w:tcPr>
          <w:p w14:paraId="01C0CE43" w14:textId="77777777" w:rsidR="002D3AF2" w:rsidRPr="0014661D" w:rsidRDefault="002D3AF2" w:rsidP="00C25063">
            <w:pPr>
              <w:ind w:right="101"/>
              <w:rPr>
                <w:rFonts w:ascii="Calibri" w:hAnsi="Calibri"/>
              </w:rPr>
            </w:pPr>
            <w:r w:rsidRPr="0014661D">
              <w:rPr>
                <w:rFonts w:ascii="Calibri" w:hAnsi="Calibri"/>
              </w:rPr>
              <w:t>9</w:t>
            </w:r>
          </w:p>
        </w:tc>
        <w:tc>
          <w:tcPr>
            <w:tcW w:w="1252" w:type="dxa"/>
            <w:tcBorders>
              <w:top w:val="nil"/>
              <w:left w:val="nil"/>
              <w:bottom w:val="nil"/>
              <w:right w:val="nil"/>
            </w:tcBorders>
            <w:vAlign w:val="bottom"/>
          </w:tcPr>
          <w:p w14:paraId="5CB59E01"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nil"/>
              <w:right w:val="nil"/>
            </w:tcBorders>
            <w:vAlign w:val="bottom"/>
          </w:tcPr>
          <w:p w14:paraId="3E7B7903" w14:textId="77777777" w:rsidR="002D3AF2" w:rsidRDefault="002D3AF2" w:rsidP="00C25063">
            <w:pPr>
              <w:ind w:right="101"/>
              <w:rPr>
                <w:rFonts w:ascii="Calibri" w:hAnsi="Calibri"/>
                <w:color w:val="0000FF"/>
              </w:rPr>
            </w:pPr>
            <w:r>
              <w:rPr>
                <w:rFonts w:ascii="Calibri" w:hAnsi="Calibri"/>
                <w:color w:val="000000"/>
              </w:rPr>
              <w:t>38396.8</w:t>
            </w:r>
          </w:p>
        </w:tc>
        <w:tc>
          <w:tcPr>
            <w:tcW w:w="2430" w:type="dxa"/>
            <w:tcBorders>
              <w:top w:val="nil"/>
              <w:left w:val="nil"/>
              <w:bottom w:val="nil"/>
              <w:right w:val="single" w:sz="4" w:space="0" w:color="auto"/>
            </w:tcBorders>
            <w:vAlign w:val="bottom"/>
          </w:tcPr>
          <w:p w14:paraId="21DE411B" w14:textId="77EB6D9F" w:rsidR="002D3AF2" w:rsidRDefault="002D3AF2" w:rsidP="00C25063">
            <w:pPr>
              <w:rPr>
                <w:rFonts w:ascii="Calibri" w:hAnsi="Calibri"/>
                <w:color w:val="0000FF"/>
              </w:rPr>
            </w:pPr>
            <w:r>
              <w:rPr>
                <w:rFonts w:ascii="Calibri" w:hAnsi="Calibri"/>
                <w:color w:val="000000"/>
              </w:rPr>
              <w:t>0.864</w:t>
            </w:r>
            <w:r w:rsidR="00E71860">
              <w:rPr>
                <w:rFonts w:ascii="Calibri" w:hAnsi="Calibri"/>
                <w:color w:val="000000"/>
              </w:rPr>
              <w:t>00</w:t>
            </w:r>
          </w:p>
        </w:tc>
      </w:tr>
      <w:tr w:rsidR="002D3AF2" w14:paraId="2EDA96DD" w14:textId="77777777" w:rsidTr="00C25063">
        <w:trPr>
          <w:trHeight w:hRule="exact" w:val="272"/>
        </w:trPr>
        <w:tc>
          <w:tcPr>
            <w:tcW w:w="1257" w:type="dxa"/>
            <w:tcBorders>
              <w:top w:val="nil"/>
              <w:left w:val="single" w:sz="4" w:space="0" w:color="auto"/>
              <w:bottom w:val="single" w:sz="4" w:space="0" w:color="auto"/>
              <w:right w:val="nil"/>
            </w:tcBorders>
            <w:vAlign w:val="bottom"/>
            <w:hideMark/>
          </w:tcPr>
          <w:p w14:paraId="1D8E79F2" w14:textId="77777777" w:rsidR="002D3AF2" w:rsidRPr="0014661D" w:rsidRDefault="002D3AF2" w:rsidP="00C25063">
            <w:pPr>
              <w:ind w:right="101"/>
              <w:rPr>
                <w:rFonts w:ascii="Calibri" w:hAnsi="Calibri"/>
              </w:rPr>
            </w:pPr>
            <w:r w:rsidRPr="0014661D">
              <w:rPr>
                <w:rFonts w:ascii="Calibri" w:hAnsi="Calibri"/>
              </w:rPr>
              <w:t>10</w:t>
            </w:r>
          </w:p>
        </w:tc>
        <w:tc>
          <w:tcPr>
            <w:tcW w:w="1252" w:type="dxa"/>
            <w:tcBorders>
              <w:top w:val="nil"/>
              <w:left w:val="nil"/>
              <w:bottom w:val="single" w:sz="4" w:space="0" w:color="auto"/>
              <w:right w:val="nil"/>
            </w:tcBorders>
            <w:vAlign w:val="bottom"/>
          </w:tcPr>
          <w:p w14:paraId="7DE90304" w14:textId="77777777" w:rsidR="002D3AF2" w:rsidRDefault="002D3AF2" w:rsidP="00C25063">
            <w:pPr>
              <w:rPr>
                <w:rFonts w:ascii="Calibri" w:hAnsi="Calibri"/>
                <w:color w:val="0000FF"/>
              </w:rPr>
            </w:pPr>
            <w:r>
              <w:rPr>
                <w:rFonts w:ascii="Calibri" w:hAnsi="Calibri"/>
                <w:color w:val="000000"/>
              </w:rPr>
              <w:t>314</w:t>
            </w:r>
          </w:p>
        </w:tc>
        <w:tc>
          <w:tcPr>
            <w:tcW w:w="3150" w:type="dxa"/>
            <w:tcBorders>
              <w:top w:val="nil"/>
              <w:left w:val="nil"/>
              <w:bottom w:val="single" w:sz="4" w:space="0" w:color="auto"/>
              <w:right w:val="nil"/>
            </w:tcBorders>
            <w:vAlign w:val="bottom"/>
          </w:tcPr>
          <w:p w14:paraId="6F25A2F1" w14:textId="77777777" w:rsidR="002D3AF2" w:rsidRDefault="002D3AF2" w:rsidP="00C25063">
            <w:pPr>
              <w:ind w:right="101"/>
              <w:rPr>
                <w:rFonts w:ascii="Calibri" w:hAnsi="Calibri"/>
                <w:color w:val="0000FF"/>
              </w:rPr>
            </w:pPr>
            <w:r>
              <w:rPr>
                <w:rFonts w:ascii="Calibri" w:hAnsi="Calibri"/>
                <w:color w:val="000000"/>
              </w:rPr>
              <w:t>191539.1</w:t>
            </w:r>
          </w:p>
        </w:tc>
        <w:tc>
          <w:tcPr>
            <w:tcW w:w="2430" w:type="dxa"/>
            <w:tcBorders>
              <w:top w:val="nil"/>
              <w:left w:val="nil"/>
              <w:bottom w:val="single" w:sz="4" w:space="0" w:color="auto"/>
              <w:right w:val="single" w:sz="4" w:space="0" w:color="auto"/>
            </w:tcBorders>
            <w:vAlign w:val="bottom"/>
          </w:tcPr>
          <w:p w14:paraId="11E8E65F" w14:textId="2B185EDB" w:rsidR="002D3AF2" w:rsidRDefault="002D3AF2" w:rsidP="00C25063">
            <w:pPr>
              <w:rPr>
                <w:rFonts w:ascii="Calibri" w:hAnsi="Calibri"/>
                <w:color w:val="0000FF"/>
              </w:rPr>
            </w:pPr>
            <w:r>
              <w:rPr>
                <w:rFonts w:ascii="Calibri" w:hAnsi="Calibri"/>
                <w:color w:val="000000"/>
              </w:rPr>
              <w:t>0.95377</w:t>
            </w:r>
          </w:p>
        </w:tc>
      </w:tr>
      <w:tr w:rsidR="002D3AF2" w14:paraId="75BD293D" w14:textId="77777777" w:rsidTr="00C25063">
        <w:trPr>
          <w:trHeight w:hRule="exact" w:val="312"/>
        </w:trPr>
        <w:tc>
          <w:tcPr>
            <w:tcW w:w="1257" w:type="dxa"/>
            <w:tcBorders>
              <w:top w:val="single" w:sz="4" w:space="0" w:color="auto"/>
              <w:left w:val="single" w:sz="4" w:space="0" w:color="auto"/>
              <w:bottom w:val="single" w:sz="4" w:space="0" w:color="auto"/>
              <w:right w:val="nil"/>
            </w:tcBorders>
            <w:vAlign w:val="bottom"/>
            <w:hideMark/>
          </w:tcPr>
          <w:p w14:paraId="12DA79A6" w14:textId="77777777" w:rsidR="002D3AF2" w:rsidRPr="0014661D" w:rsidRDefault="002D3AF2" w:rsidP="00C25063">
            <w:pPr>
              <w:ind w:right="101"/>
              <w:rPr>
                <w:rFonts w:ascii="Calibri" w:hAnsi="Calibri"/>
              </w:rPr>
            </w:pPr>
            <w:r w:rsidRPr="0014661D">
              <w:rPr>
                <w:rFonts w:ascii="Calibri" w:hAnsi="Calibri"/>
              </w:rPr>
              <w:t>Overall</w:t>
            </w:r>
          </w:p>
        </w:tc>
        <w:tc>
          <w:tcPr>
            <w:tcW w:w="1252" w:type="dxa"/>
            <w:tcBorders>
              <w:top w:val="single" w:sz="4" w:space="0" w:color="auto"/>
              <w:left w:val="nil"/>
              <w:bottom w:val="single" w:sz="4" w:space="0" w:color="auto"/>
              <w:right w:val="nil"/>
            </w:tcBorders>
            <w:vAlign w:val="bottom"/>
          </w:tcPr>
          <w:p w14:paraId="62799537" w14:textId="77777777" w:rsidR="002D3AF2" w:rsidRDefault="002D3AF2" w:rsidP="00C25063">
            <w:pPr>
              <w:rPr>
                <w:rFonts w:ascii="Calibri" w:hAnsi="Calibri"/>
                <w:color w:val="0000FF"/>
              </w:rPr>
            </w:pPr>
            <w:r>
              <w:rPr>
                <w:rFonts w:ascii="Calibri" w:hAnsi="Calibri"/>
                <w:color w:val="000000"/>
              </w:rPr>
              <w:t>3140</w:t>
            </w:r>
          </w:p>
        </w:tc>
        <w:tc>
          <w:tcPr>
            <w:tcW w:w="3150" w:type="dxa"/>
            <w:tcBorders>
              <w:top w:val="single" w:sz="4" w:space="0" w:color="auto"/>
              <w:left w:val="nil"/>
              <w:bottom w:val="single" w:sz="4" w:space="0" w:color="auto"/>
              <w:right w:val="nil"/>
            </w:tcBorders>
            <w:vAlign w:val="bottom"/>
          </w:tcPr>
          <w:p w14:paraId="6D5E5CDC" w14:textId="77777777" w:rsidR="002D3AF2" w:rsidRDefault="002D3AF2" w:rsidP="00C25063">
            <w:pPr>
              <w:ind w:right="101"/>
              <w:rPr>
                <w:rFonts w:ascii="Calibri" w:hAnsi="Calibri"/>
                <w:color w:val="0000FF"/>
              </w:rPr>
            </w:pPr>
            <w:r>
              <w:rPr>
                <w:rFonts w:ascii="Calibri" w:hAnsi="Calibri"/>
                <w:color w:val="000000"/>
              </w:rPr>
              <w:t>29193.4</w:t>
            </w:r>
          </w:p>
        </w:tc>
        <w:tc>
          <w:tcPr>
            <w:tcW w:w="2430" w:type="dxa"/>
            <w:tcBorders>
              <w:top w:val="single" w:sz="4" w:space="0" w:color="auto"/>
              <w:left w:val="nil"/>
              <w:bottom w:val="single" w:sz="4" w:space="0" w:color="auto"/>
              <w:right w:val="single" w:sz="4" w:space="0" w:color="auto"/>
            </w:tcBorders>
            <w:vAlign w:val="bottom"/>
          </w:tcPr>
          <w:p w14:paraId="581D43C1" w14:textId="351924B2" w:rsidR="002D3AF2" w:rsidRDefault="002D3AF2" w:rsidP="00C25063">
            <w:pPr>
              <w:rPr>
                <w:rFonts w:ascii="Calibri" w:hAnsi="Calibri"/>
                <w:color w:val="0000FF"/>
              </w:rPr>
            </w:pPr>
            <w:r>
              <w:rPr>
                <w:rFonts w:ascii="Calibri" w:hAnsi="Calibri"/>
                <w:color w:val="000000"/>
              </w:rPr>
              <w:t>0.74139</w:t>
            </w:r>
          </w:p>
        </w:tc>
      </w:tr>
    </w:tbl>
    <w:p w14:paraId="74E3F91A" w14:textId="77777777" w:rsidR="002D3AF2" w:rsidRPr="0014661D" w:rsidRDefault="002D3AF2" w:rsidP="002D3AF2">
      <w:pPr>
        <w:autoSpaceDE w:val="0"/>
        <w:autoSpaceDN w:val="0"/>
        <w:adjustRightInd w:val="0"/>
        <w:spacing w:after="0" w:line="240" w:lineRule="auto"/>
        <w:rPr>
          <w:rFonts w:cstheme="minorHAnsi"/>
          <w:bCs/>
          <w:sz w:val="20"/>
          <w:szCs w:val="20"/>
        </w:rPr>
      </w:pPr>
      <w:r w:rsidRPr="0014661D">
        <w:rPr>
          <w:rFonts w:ascii="Calibri" w:hAnsi="Calibri" w:cs="Calibri"/>
          <w:color w:val="0000FF"/>
          <w:sz w:val="20"/>
          <w:szCs w:val="20"/>
        </w:rPr>
        <w:t>Source: HCUP State Inpatient Databases (SID). Healthcare Cost and Utilization Project (HCUP). 2013. Agency for</w:t>
      </w:r>
      <w:r w:rsidRPr="0014661D">
        <w:rPr>
          <w:rFonts w:ascii="Calibri" w:hAnsi="Calibri" w:cs="Calibri"/>
          <w:color w:val="0000FF"/>
          <w:w w:val="99"/>
          <w:sz w:val="20"/>
          <w:szCs w:val="20"/>
        </w:rPr>
        <w:t xml:space="preserve"> </w:t>
      </w:r>
      <w:r w:rsidRPr="0014661D">
        <w:rPr>
          <w:rFonts w:ascii="Calibri" w:hAnsi="Calibri" w:cs="Calibri"/>
          <w:color w:val="0000FF"/>
          <w:sz w:val="20"/>
          <w:szCs w:val="20"/>
        </w:rPr>
        <w:t xml:space="preserve">Healthcare Research and Quality, Rockville, MD. </w:t>
      </w:r>
      <w:hyperlink r:id="rId16" w:history="1">
        <w:r w:rsidRPr="0014661D">
          <w:rPr>
            <w:rStyle w:val="Hyperlink"/>
            <w:rFonts w:ascii="Calibri" w:hAnsi="Calibri" w:cs="Calibri"/>
            <w:color w:val="0000FF"/>
            <w:sz w:val="20"/>
            <w:szCs w:val="20"/>
          </w:rPr>
          <w:t>www.hcup-us.ahrq.gov/sidoverview.jsp.</w:t>
        </w:r>
      </w:hyperlink>
      <w:r w:rsidRPr="0014661D">
        <w:rPr>
          <w:rFonts w:ascii="Calibri" w:hAnsi="Calibri" w:cs="Calibri"/>
          <w:color w:val="0000FF"/>
          <w:sz w:val="20"/>
          <w:szCs w:val="20"/>
        </w:rPr>
        <w:t xml:space="preserve"> (AHRQ QI Software</w:t>
      </w:r>
      <w:r w:rsidRPr="0014661D">
        <w:rPr>
          <w:rFonts w:ascii="Calibri" w:hAnsi="Calibri" w:cs="Calibri"/>
          <w:color w:val="0000FF"/>
          <w:w w:val="99"/>
          <w:sz w:val="20"/>
          <w:szCs w:val="20"/>
        </w:rPr>
        <w:t xml:space="preserve"> </w:t>
      </w:r>
      <w:r w:rsidRPr="0014661D">
        <w:rPr>
          <w:rFonts w:ascii="Calibri" w:hAnsi="Calibri" w:cs="Calibri"/>
          <w:color w:val="0000FF"/>
          <w:sz w:val="20"/>
          <w:szCs w:val="20"/>
        </w:rPr>
        <w:t>Version 6.0)</w:t>
      </w:r>
    </w:p>
    <w:p w14:paraId="3044B52D" w14:textId="77777777" w:rsidR="00D1321D" w:rsidRDefault="00D1321D" w:rsidP="008C54A9">
      <w:pPr>
        <w:autoSpaceDE w:val="0"/>
        <w:autoSpaceDN w:val="0"/>
        <w:adjustRightInd w:val="0"/>
        <w:spacing w:after="0" w:line="240" w:lineRule="auto"/>
        <w:rPr>
          <w:rFonts w:cstheme="minorHAnsi"/>
          <w:bCs/>
        </w:rPr>
      </w:pPr>
    </w:p>
    <w:p w14:paraId="78BCA149" w14:textId="77777777" w:rsidR="0014661D" w:rsidRDefault="00092566" w:rsidP="00730994">
      <w:pPr>
        <w:autoSpaceDE w:val="0"/>
        <w:autoSpaceDN w:val="0"/>
        <w:adjustRightInd w:val="0"/>
        <w:spacing w:after="0" w:line="240" w:lineRule="auto"/>
        <w:rPr>
          <w:color w:val="0000FF"/>
          <w:sz w:val="20"/>
          <w:szCs w:val="2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6EFCA411" w14:textId="37D5EABE" w:rsidR="00730994" w:rsidRPr="005D56E5" w:rsidRDefault="00730994" w:rsidP="00E45E2D">
      <w:pPr>
        <w:pStyle w:val="NQFMeasureStyle"/>
        <w:ind w:left="0"/>
      </w:pPr>
      <w:r>
        <w:t xml:space="preserve">The indicator demonstrates </w:t>
      </w:r>
      <w:r w:rsidR="00604D4E">
        <w:t>good</w:t>
      </w:r>
      <w:r>
        <w:t xml:space="preserve"> reliability with</w:t>
      </w:r>
      <w:r w:rsidR="00E71860">
        <w:t xml:space="preserve"> a signal-to-noise ratio of 0.75</w:t>
      </w:r>
      <w:r>
        <w:t xml:space="preserve">. Reliability </w:t>
      </w:r>
      <w:r w:rsidR="00E71860">
        <w:t>meet threshold for all counties</w:t>
      </w:r>
      <w:r>
        <w:t xml:space="preserve">, </w:t>
      </w:r>
      <w:r w:rsidR="007A7361">
        <w:t>except for the</w:t>
      </w:r>
      <w:r>
        <w:t xml:space="preserve"> smallest counties with eligible populations under </w:t>
      </w:r>
      <w:r w:rsidR="007A7361">
        <w:t xml:space="preserve">approximately </w:t>
      </w:r>
      <w:r w:rsidR="00E71860">
        <w:t>3800</w:t>
      </w:r>
      <w:r>
        <w:t xml:space="preserve"> individuals. </w:t>
      </w:r>
      <w:r>
        <w:rPr>
          <w:rFonts w:cstheme="minorHAnsi"/>
        </w:rPr>
        <w:t>Smoothed rates, which are recommended for all counties (and are implemented in the AHRQ software), address any reliability concerns for the smallest counties</w:t>
      </w:r>
      <w:r>
        <w:t xml:space="preserve">. </w:t>
      </w:r>
      <w:r w:rsidR="00E71860" w:rsidRPr="00E45E2D">
        <w:rPr>
          <w:szCs w:val="20"/>
        </w:rPr>
        <w:t>When SES is added to the risk adjustment, the reliability remains adequate at 0.74.</w:t>
      </w:r>
    </w:p>
    <w:p w14:paraId="30194842" w14:textId="730702A0" w:rsidR="00D1321D" w:rsidRDefault="00D1321D" w:rsidP="00730994">
      <w:pPr>
        <w:autoSpaceDE w:val="0"/>
        <w:autoSpaceDN w:val="0"/>
        <w:adjustRightInd w:val="0"/>
        <w:spacing w:after="0" w:line="240" w:lineRule="auto"/>
        <w:rPr>
          <w:rFonts w:ascii="Calibri" w:hAnsi="Calibri" w:cstheme="minorHAnsi"/>
          <w:color w:val="0000FF"/>
        </w:rPr>
      </w:pPr>
    </w:p>
    <w:p w14:paraId="27E123A3" w14:textId="541EFA3A" w:rsidR="007D5828"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8696F2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FD914CA" w14:textId="5D3303B3"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ascii="MS Gothic" w:eastAsia="MS Gothic" w:cstheme="minorHAnsi"/>
            <w:bCs/>
            <w:color w:val="0000FF"/>
          </w:rPr>
          <w:id w:val="-297760991"/>
          <w14:checkbox>
            <w14:checked w14:val="0"/>
            <w14:checkedState w14:val="2612" w14:font="MS Gothic"/>
            <w14:uncheckedState w14:val="2610" w14:font="MS Gothic"/>
          </w14:checkbox>
        </w:sdtPr>
        <w:sdtContent>
          <w:r w:rsidR="00BC6753">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5FF4E05" w14:textId="1BD5843C" w:rsidR="00696262" w:rsidRPr="00094E93" w:rsidRDefault="00E5667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Content>
          <w:r w:rsidR="001823C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sidRPr="007D5828">
        <w:rPr>
          <w:rFonts w:eastAsia="MS Gothic" w:cstheme="minorHAnsi"/>
          <w:b/>
          <w:bCs/>
        </w:rPr>
        <w:t>P</w:t>
      </w:r>
      <w:r w:rsidR="00696262" w:rsidRPr="007D5828">
        <w:rPr>
          <w:rFonts w:eastAsia="MS Gothic" w:cstheme="minorHAnsi"/>
          <w:b/>
          <w:bCs/>
        </w:rPr>
        <w:t xml:space="preserve">erformance </w:t>
      </w:r>
      <w:r w:rsidR="00696262" w:rsidRPr="007D5828">
        <w:rPr>
          <w:rFonts w:cstheme="minorHAnsi"/>
          <w:b/>
          <w:bCs/>
        </w:rPr>
        <w:t>measure score</w:t>
      </w:r>
    </w:p>
    <w:p w14:paraId="1E60D7FB" w14:textId="39164B17" w:rsidR="000574AB" w:rsidRPr="00A25024" w:rsidRDefault="00E5667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14661D">
            <w:rPr>
              <w:rFonts w:ascii="MS Gothic" w:eastAsia="MS Gothic" w:hAnsi="MS Gothic" w:cstheme="minorHAnsi" w:hint="eastAsia"/>
              <w:bCs/>
              <w:color w:val="0000FF"/>
            </w:rPr>
            <w:t>☒</w:t>
          </w:r>
        </w:sdtContent>
      </w:sdt>
      <w:r w:rsidR="000414E8" w:rsidRPr="00094E93">
        <w:rPr>
          <w:rFonts w:eastAsia="MS Mincho" w:cstheme="minorHAnsi"/>
          <w:b/>
          <w:bCs/>
          <w:color w:val="0000FF"/>
        </w:rPr>
        <w:t xml:space="preserve"> </w:t>
      </w:r>
      <w:r w:rsidR="005232D6" w:rsidRPr="007D5828">
        <w:rPr>
          <w:rFonts w:eastAsia="MS Mincho" w:cstheme="minorHAnsi"/>
          <w:b/>
          <w:bCs/>
        </w:rPr>
        <w:t>E</w:t>
      </w:r>
      <w:r w:rsidR="00696262" w:rsidRPr="007D5828">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14661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19435849" w14:textId="77777777" w:rsidR="00BC6753" w:rsidRDefault="00BC6753" w:rsidP="00DB3627">
      <w:pPr>
        <w:autoSpaceDE w:val="0"/>
        <w:autoSpaceDN w:val="0"/>
        <w:adjustRightInd w:val="0"/>
        <w:spacing w:after="0" w:line="240" w:lineRule="auto"/>
        <w:rPr>
          <w:color w:val="0000FF"/>
          <w:sz w:val="20"/>
          <w:szCs w:val="20"/>
        </w:rPr>
      </w:pPr>
    </w:p>
    <w:p w14:paraId="384D0A55" w14:textId="77777777" w:rsidR="00D50704" w:rsidRPr="00A25024" w:rsidRDefault="00D50704" w:rsidP="00DB3627">
      <w:pPr>
        <w:autoSpaceDE w:val="0"/>
        <w:autoSpaceDN w:val="0"/>
        <w:adjustRightInd w:val="0"/>
        <w:spacing w:after="0" w:line="240" w:lineRule="auto"/>
        <w:rPr>
          <w:rFonts w:cstheme="minorHAnsi"/>
          <w:bCs/>
        </w:rPr>
      </w:pPr>
    </w:p>
    <w:p w14:paraId="7E9229CE" w14:textId="77777777"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574C9ADB" w14:textId="457BD86D" w:rsidR="007A7361" w:rsidRDefault="007A7361" w:rsidP="007A7361">
      <w:pPr>
        <w:spacing w:before="16" w:after="0" w:line="240" w:lineRule="auto"/>
        <w:ind w:right="123"/>
        <w:rPr>
          <w:rFonts w:eastAsia="Calibri" w:cstheme="minorHAnsi"/>
          <w:b/>
          <w:bCs/>
          <w:i/>
          <w:iCs/>
          <w:color w:val="0000FF"/>
        </w:rPr>
      </w:pPr>
      <w:r>
        <w:rPr>
          <w:rFonts w:eastAsia="Calibri" w:cstheme="minorHAnsi"/>
          <w:b/>
          <w:bCs/>
          <w:i/>
          <w:iCs/>
          <w:color w:val="0000FF"/>
        </w:rPr>
        <w:t>Systemat</w:t>
      </w:r>
      <w:r w:rsidR="001823C9">
        <w:rPr>
          <w:rFonts w:eastAsia="Calibri" w:cstheme="minorHAnsi"/>
          <w:b/>
          <w:bCs/>
          <w:i/>
          <w:iCs/>
          <w:color w:val="0000FF"/>
        </w:rPr>
        <w:t>ic Assessment of Face Validity</w:t>
      </w:r>
    </w:p>
    <w:p w14:paraId="6A785895" w14:textId="77777777" w:rsidR="003F207C" w:rsidRDefault="003F207C" w:rsidP="003F207C">
      <w:pPr>
        <w:pStyle w:val="NQFMeasureStyle"/>
      </w:pPr>
    </w:p>
    <w:p w14:paraId="6809105F" w14:textId="77777777" w:rsidR="003F207C" w:rsidRDefault="003F207C" w:rsidP="00E45E2D">
      <w:pPr>
        <w:pStyle w:val="NQFMeasureStyle"/>
        <w:ind w:left="0"/>
      </w:pPr>
      <w:r>
        <w:t>In 2008-2009, w</w:t>
      </w:r>
      <w:r w:rsidRPr="005D774A">
        <w:t>e convened clinical panels to assess the use of the PQI across a wide range of applications, one of which was comparative reporting of area level rates.</w:t>
      </w:r>
      <w:r>
        <w:rPr>
          <w:rStyle w:val="FootnoteReference"/>
        </w:rPr>
        <w:footnoteReference w:id="4"/>
      </w:r>
      <w:r w:rsidRPr="005D774A">
        <w:t xml:space="preserve"> We solicited nominations from national professional organization to form four clinical expert groups</w:t>
      </w:r>
      <w:r>
        <w:t xml:space="preserve"> for a total of 73 panelists</w:t>
      </w:r>
      <w:r w:rsidRPr="005D774A">
        <w:t>. We utilized a hybrid approach for the panel review, using two review processes, which were conducted simultaneously with information exchange between the two panels and a third and fourth panel that conducted specific reviews based on specialty. The development of this hybrid process builds from the experiences in previous panel evaluations of QI modules. The panel process that has been employed during the development of the PSIs, the PDIs and the validation of the IQIs is based on the RAND-UCLA Appropriateness Method and is termed a “nominal group” panel. The approach allowed for a wider range of input is fully described elsewhere.</w:t>
      </w:r>
      <w:r w:rsidRPr="005D774A">
        <w:rPr>
          <w:rStyle w:val="FootnoteReference"/>
        </w:rPr>
        <w:footnoteReference w:id="5"/>
      </w:r>
      <w:r>
        <w:t xml:space="preserve"> </w:t>
      </w:r>
    </w:p>
    <w:p w14:paraId="3EC6006D" w14:textId="77777777" w:rsidR="003F207C" w:rsidRDefault="003F207C" w:rsidP="00E45E2D">
      <w:pPr>
        <w:pStyle w:val="NQFMeasureStyle"/>
        <w:ind w:left="0"/>
      </w:pPr>
    </w:p>
    <w:p w14:paraId="4D0B2F5C" w14:textId="77777777" w:rsidR="003F207C" w:rsidRDefault="003F207C" w:rsidP="00E45E2D">
      <w:pPr>
        <w:pStyle w:val="NQFMeasureStyle"/>
        <w:ind w:left="0"/>
      </w:pPr>
      <w:r>
        <w:rPr>
          <w:rFonts w:eastAsia="Calibri" w:cstheme="minorHAnsi"/>
          <w:bCs/>
          <w:iCs/>
        </w:rPr>
        <w:t xml:space="preserve">Panelists rated the indicator on appropriateness of use after completing a 14 item questionnaire. </w:t>
      </w:r>
      <w:r w:rsidRPr="00CA085B">
        <w:t>The questionnaire evaluated the face validity of the indicators, the panelists</w:t>
      </w:r>
      <w:r>
        <w:t>’</w:t>
      </w:r>
      <w:r w:rsidRPr="00CA085B">
        <w:t xml:space="preserve"> perspectives on bias and potential for gaming, and the overall usefulness of the indicators when applied at one of three </w:t>
      </w:r>
      <w:r>
        <w:t>aspects</w:t>
      </w:r>
      <w:r w:rsidRPr="00CA085B">
        <w:t xml:space="preserve"> of th</w:t>
      </w:r>
      <w:r>
        <w:t>e health care system: area, paye</w:t>
      </w:r>
      <w:r w:rsidRPr="00CA085B">
        <w:t>r and large provider organizations, for one of three purposes: internal quality improvement, comparative reporting (either public or not), and pay for performance.</w:t>
      </w:r>
    </w:p>
    <w:p w14:paraId="13D757D8" w14:textId="77777777" w:rsidR="007A7361" w:rsidRDefault="007A7361" w:rsidP="00E45E2D">
      <w:pPr>
        <w:pStyle w:val="NQFMeasureStyle"/>
        <w:ind w:left="0"/>
      </w:pPr>
    </w:p>
    <w:p w14:paraId="4751B0EA" w14:textId="77777777" w:rsidR="007A7361" w:rsidRDefault="007A7361" w:rsidP="00E45E2D">
      <w:pPr>
        <w:pStyle w:val="NQFMeasureStyle"/>
        <w:ind w:left="0"/>
      </w:pPr>
      <w:r>
        <w:t xml:space="preserve">Support was defined as follows: </w:t>
      </w:r>
    </w:p>
    <w:p w14:paraId="23FCEABC" w14:textId="77777777" w:rsidR="007A7361" w:rsidRPr="00CA085B" w:rsidRDefault="007A7361" w:rsidP="00E45E2D">
      <w:pPr>
        <w:pStyle w:val="NQFMeasureStyle"/>
        <w:numPr>
          <w:ilvl w:val="0"/>
          <w:numId w:val="36"/>
        </w:numPr>
        <w:ind w:left="720"/>
      </w:pPr>
      <w:r w:rsidRPr="00CA085B">
        <w:t>Full support for use: Median score of 7-9 without disagreement</w:t>
      </w:r>
    </w:p>
    <w:p w14:paraId="38C5ED16" w14:textId="77777777" w:rsidR="007A7361" w:rsidRPr="00CA085B" w:rsidRDefault="007A7361" w:rsidP="00E45E2D">
      <w:pPr>
        <w:pStyle w:val="NQFMeasureStyle"/>
        <w:numPr>
          <w:ilvl w:val="0"/>
          <w:numId w:val="36"/>
        </w:numPr>
        <w:ind w:left="720"/>
      </w:pPr>
      <w:r w:rsidRPr="00CA085B">
        <w:t>Some concern regarding use: Median score of 4-6.9 regardless of agreement status</w:t>
      </w:r>
    </w:p>
    <w:p w14:paraId="1C254713" w14:textId="77777777" w:rsidR="007A7361" w:rsidRPr="00CA085B" w:rsidRDefault="007A7361" w:rsidP="00E45E2D">
      <w:pPr>
        <w:pStyle w:val="NQFMeasureStyle"/>
        <w:numPr>
          <w:ilvl w:val="0"/>
          <w:numId w:val="36"/>
        </w:numPr>
        <w:ind w:left="720"/>
      </w:pPr>
      <w:r w:rsidRPr="00CA085B">
        <w:t>General support with some concerns regarding use due to disagreement: Median score of 7-9 with disagreement</w:t>
      </w:r>
    </w:p>
    <w:p w14:paraId="5D2474D3" w14:textId="77777777" w:rsidR="007A7361" w:rsidRDefault="007A7361" w:rsidP="00E45E2D">
      <w:pPr>
        <w:pStyle w:val="NQFMeasureStyle"/>
        <w:numPr>
          <w:ilvl w:val="0"/>
          <w:numId w:val="36"/>
        </w:numPr>
        <w:ind w:left="720"/>
      </w:pPr>
      <w:r w:rsidRPr="00CA085B">
        <w:t>Major concern regarding use: Median score or 1-3.9 regardless of agreement status</w:t>
      </w:r>
    </w:p>
    <w:p w14:paraId="2D40D82F" w14:textId="77777777" w:rsidR="007A7361" w:rsidRPr="00AD63C6" w:rsidRDefault="007A7361" w:rsidP="007A7361">
      <w:pPr>
        <w:spacing w:before="16" w:after="0" w:line="240" w:lineRule="auto"/>
        <w:ind w:right="123"/>
        <w:rPr>
          <w:rFonts w:eastAsia="Calibri" w:cstheme="minorHAnsi"/>
          <w:bCs/>
          <w:iCs/>
          <w:color w:val="0000FF"/>
        </w:rPr>
      </w:pPr>
    </w:p>
    <w:p w14:paraId="2BB24BE8" w14:textId="77777777" w:rsidR="007A7361" w:rsidRDefault="007A7361" w:rsidP="007A7361">
      <w:pPr>
        <w:spacing w:before="16" w:after="0" w:line="240" w:lineRule="auto"/>
        <w:ind w:right="123"/>
        <w:rPr>
          <w:rFonts w:eastAsia="Calibri" w:cstheme="minorHAnsi"/>
          <w:b/>
          <w:bCs/>
          <w:i/>
          <w:iCs/>
          <w:color w:val="0000FF"/>
        </w:rPr>
      </w:pPr>
      <w:r w:rsidRPr="00094E93">
        <w:rPr>
          <w:rFonts w:eastAsia="Calibri" w:cstheme="minorHAnsi"/>
          <w:b/>
          <w:bCs/>
          <w:i/>
          <w:iCs/>
          <w:color w:val="0000FF"/>
        </w:rPr>
        <w:t>Empirical Validity</w:t>
      </w:r>
    </w:p>
    <w:p w14:paraId="7216CC09" w14:textId="77777777" w:rsidR="007A7361" w:rsidRDefault="007A7361" w:rsidP="007A7361">
      <w:pPr>
        <w:spacing w:before="16" w:after="0" w:line="240" w:lineRule="auto"/>
        <w:ind w:right="123"/>
        <w:rPr>
          <w:rFonts w:eastAsia="Calibri" w:cstheme="minorHAnsi"/>
          <w:b/>
          <w:bCs/>
          <w:i/>
          <w:iCs/>
          <w:color w:val="0000FF"/>
        </w:rPr>
      </w:pPr>
    </w:p>
    <w:p w14:paraId="13177821" w14:textId="388F6F05" w:rsidR="008F09B5" w:rsidRDefault="008F09B5" w:rsidP="00E45E2D">
      <w:pPr>
        <w:pStyle w:val="NQFMeasureStyle"/>
        <w:ind w:left="0"/>
      </w:pPr>
      <w:r>
        <w:t xml:space="preserve">We sought to assess the relationship of county-level hospital admission rate for COPD with county level measures of socioeconomic status (SES) and community environment, heath behaviors and individual risk factors (i.e. smoking, physical activity and obesity), and access to quality care measures (i.e. primary care physician and other primary care provider density, diabetes screening testing, </w:t>
      </w:r>
      <w:proofErr w:type="spellStart"/>
      <w:r>
        <w:t>uninsurance</w:t>
      </w:r>
      <w:proofErr w:type="spellEnd"/>
      <w:r>
        <w:t xml:space="preserve">). SES and community environment variables included unemployment rate, poverty rate, some college rate, English proficiency rate, median household income, food environment index, access to exercise, violent crime rate, air pollution, severe housing problems and rural status derived from the Community Health Rankings data and the American Community Survey. Because of the high number of relevant variables, we aimed to improve the interpretability of results. Principal component analysis (PCA) was used to create three composite variables for county characteristics: SES </w:t>
      </w:r>
      <w:r w:rsidR="00E45E2D">
        <w:t>and environment (SES/E</w:t>
      </w:r>
      <w:r>
        <w:t xml:space="preserve">), health behaviors and personal risk factors (HB) and access to care (AC) using. The variables included in the analyses (described earlier in this paragraph) were determined a priori based on clinical and subject matter expertise. Because the relationship between the individual variables within each factor is unlikely to be consistent across all counties, we retained multiple components within each factor that explained </w:t>
      </w:r>
      <w:r>
        <w:lastRenderedPageBreak/>
        <w:t xml:space="preserve">about 70% of the variance for that factor. We also estimated prevalence based on the CDC Behavioral Risk Factor Surveillance System (BRFSS) COPD Model-based County Prevalence. </w:t>
      </w:r>
    </w:p>
    <w:p w14:paraId="31F5570D" w14:textId="77777777" w:rsidR="007A7361" w:rsidRDefault="007A7361" w:rsidP="009E1C1E">
      <w:pPr>
        <w:autoSpaceDE w:val="0"/>
        <w:autoSpaceDN w:val="0"/>
        <w:adjustRightInd w:val="0"/>
        <w:spacing w:after="0" w:line="240" w:lineRule="auto"/>
        <w:rPr>
          <w:rFonts w:cstheme="minorHAnsi"/>
          <w:b/>
          <w:bCs/>
        </w:rPr>
      </w:pPr>
    </w:p>
    <w:p w14:paraId="5B0E9D2D" w14:textId="6F759B06" w:rsidR="007422FD" w:rsidRPr="006F6ECA" w:rsidRDefault="00092566" w:rsidP="009E1C1E">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18CFE216" w14:textId="77777777" w:rsidR="00967DE7" w:rsidRPr="001823C9" w:rsidRDefault="00967DE7" w:rsidP="001823C9">
      <w:pPr>
        <w:pStyle w:val="FormText"/>
        <w:rPr>
          <w:b/>
          <w:i/>
        </w:rPr>
      </w:pPr>
      <w:r w:rsidRPr="001823C9">
        <w:rPr>
          <w:b/>
          <w:i/>
        </w:rPr>
        <w:t>Face validity: Clinical Panel Review</w:t>
      </w:r>
    </w:p>
    <w:p w14:paraId="06D57197" w14:textId="77777777" w:rsidR="00516714" w:rsidRDefault="00516714" w:rsidP="00967DE7">
      <w:pPr>
        <w:autoSpaceDE w:val="0"/>
        <w:autoSpaceDN w:val="0"/>
        <w:adjustRightInd w:val="0"/>
        <w:spacing w:after="0" w:line="240" w:lineRule="auto"/>
        <w:rPr>
          <w:rFonts w:cstheme="minorHAnsi"/>
          <w:bCs/>
        </w:rPr>
      </w:pPr>
    </w:p>
    <w:p w14:paraId="7A213770" w14:textId="06DEB784" w:rsidR="00967DE7" w:rsidRDefault="00967DE7" w:rsidP="00E45E2D">
      <w:pPr>
        <w:pStyle w:val="NQFMeasureStyle"/>
        <w:ind w:left="0"/>
      </w:pPr>
      <w:r>
        <w:t xml:space="preserve">During the clinical panel review both the Delphi supported the measure with some concern and Nominal panel fully supported the measure. Other topics discussed by the panel included: </w:t>
      </w:r>
    </w:p>
    <w:p w14:paraId="3E513173" w14:textId="77777777" w:rsidR="00967DE7" w:rsidRDefault="00967DE7" w:rsidP="00E45E2D">
      <w:pPr>
        <w:pStyle w:val="NQFMeasureStyle"/>
        <w:numPr>
          <w:ilvl w:val="0"/>
          <w:numId w:val="37"/>
        </w:numPr>
        <w:ind w:left="720"/>
      </w:pPr>
      <w:r>
        <w:t>Panelists endorsed r</w:t>
      </w:r>
      <w:r w:rsidRPr="008B21AC">
        <w:t xml:space="preserve">estricting the indicator to patients </w:t>
      </w:r>
      <w:r>
        <w:t xml:space="preserve">less than </w:t>
      </w:r>
      <w:r w:rsidRPr="008B21AC">
        <w:t>40 years of age</w:t>
      </w:r>
      <w:r>
        <w:t xml:space="preserve">. </w:t>
      </w:r>
      <w:r w:rsidRPr="001E18FE">
        <w:t>Pan</w:t>
      </w:r>
      <w:r>
        <w:t>elists felt that combining the COPD and Asthma</w:t>
      </w:r>
      <w:r w:rsidRPr="001E18FE">
        <w:t xml:space="preserve"> </w:t>
      </w:r>
      <w:r>
        <w:t>numerator for patients 40 years and older</w:t>
      </w:r>
      <w:r w:rsidRPr="001E18FE">
        <w:t xml:space="preserve"> would eliminate the diagnostic uncertainly between asthma and COPD in older patients, and thus provide a cleaner measure.</w:t>
      </w:r>
      <w:r>
        <w:t xml:space="preserve"> COPD diagnose</w:t>
      </w:r>
      <w:r w:rsidRPr="0029765B">
        <w:t xml:space="preserve">s in cases under 40 years of age are rare, and </w:t>
      </w:r>
      <w:r>
        <w:t xml:space="preserve">therefore, </w:t>
      </w:r>
      <w:r w:rsidRPr="0029765B">
        <w:t xml:space="preserve">cases </w:t>
      </w:r>
      <w:r>
        <w:t>of patients less than</w:t>
      </w:r>
      <w:r w:rsidRPr="0029765B">
        <w:t xml:space="preserve"> 40 years are more likely to be true cases of asthma.</w:t>
      </w:r>
    </w:p>
    <w:p w14:paraId="4BE2E949" w14:textId="77777777" w:rsidR="00967DE7" w:rsidRDefault="00967DE7" w:rsidP="00E45E2D">
      <w:pPr>
        <w:pStyle w:val="NQFMeasureStyle"/>
        <w:numPr>
          <w:ilvl w:val="0"/>
          <w:numId w:val="37"/>
        </w:numPr>
        <w:ind w:left="720"/>
      </w:pPr>
      <w:r>
        <w:t xml:space="preserve">The panel generally felt this indicator reflects issues related to access to quality outpatient care, including </w:t>
      </w:r>
      <w:r w:rsidRPr="00DA697C">
        <w:t xml:space="preserve">affordability of medication and education on proper inhaler </w:t>
      </w:r>
      <w:r>
        <w:t xml:space="preserve">use. </w:t>
      </w:r>
    </w:p>
    <w:p w14:paraId="5B1C6D8F" w14:textId="77777777" w:rsidR="00967DE7" w:rsidRPr="008B21AC" w:rsidRDefault="00967DE7" w:rsidP="00E45E2D">
      <w:pPr>
        <w:pStyle w:val="NQFMeasureStyle"/>
        <w:numPr>
          <w:ilvl w:val="0"/>
          <w:numId w:val="37"/>
        </w:numPr>
        <w:ind w:left="720"/>
      </w:pPr>
      <w:r>
        <w:t>Patient adherence to treatment recommendations remains an issue as with all chronic conditions.</w:t>
      </w:r>
    </w:p>
    <w:p w14:paraId="6CA3F132" w14:textId="77777777" w:rsidR="00967DE7" w:rsidRPr="001E18FE" w:rsidRDefault="00967DE7" w:rsidP="00E45E2D">
      <w:pPr>
        <w:pStyle w:val="NQFMeasureStyle"/>
        <w:numPr>
          <w:ilvl w:val="0"/>
          <w:numId w:val="37"/>
        </w:numPr>
        <w:ind w:left="720"/>
      </w:pPr>
      <w:r w:rsidRPr="008B21AC">
        <w:t xml:space="preserve">As with all chronic conditions, comorbidities and disease severity are of concern. For </w:t>
      </w:r>
      <w:r>
        <w:t>the asthma indicator</w:t>
      </w:r>
      <w:r w:rsidRPr="008B21AC">
        <w:t xml:space="preserve">, </w:t>
      </w:r>
      <w:r>
        <w:t xml:space="preserve">other </w:t>
      </w:r>
      <w:r w:rsidRPr="008B21AC">
        <w:t>respiratory</w:t>
      </w:r>
      <w:r>
        <w:t xml:space="preserve"> conditions, infectious disease</w:t>
      </w:r>
      <w:r w:rsidRPr="008B21AC">
        <w:t xml:space="preserve"> and cardiovascular conditions are of particular concern.</w:t>
      </w:r>
      <w:r>
        <w:t xml:space="preserve"> Along with risk factors such as age, race/ethnicity, socioeconomic status, and smoking rates, panelists emphasized </w:t>
      </w:r>
      <w:proofErr w:type="gramStart"/>
      <w:r>
        <w:t>that environmental factors</w:t>
      </w:r>
      <w:proofErr w:type="gramEnd"/>
      <w:r>
        <w:t xml:space="preserve"> may affect admissions rates for this indicator. These environmental factors include </w:t>
      </w:r>
      <w:r w:rsidRPr="001E18FE">
        <w:t xml:space="preserve">pollution levels, altitude, </w:t>
      </w:r>
      <w:r>
        <w:t>allergens, housing conditions</w:t>
      </w:r>
      <w:r w:rsidRPr="001E18FE">
        <w:t>, and occupational exposures from local industries</w:t>
      </w:r>
      <w:r>
        <w:t>.</w:t>
      </w:r>
    </w:p>
    <w:p w14:paraId="6868FABB" w14:textId="77777777" w:rsidR="00967DE7" w:rsidRDefault="00967DE7" w:rsidP="00E45E2D">
      <w:pPr>
        <w:pStyle w:val="NQFMeasureStyle"/>
        <w:numPr>
          <w:ilvl w:val="0"/>
          <w:numId w:val="37"/>
        </w:numPr>
        <w:ind w:left="720"/>
      </w:pPr>
      <w:r>
        <w:t>P</w:t>
      </w:r>
      <w:r w:rsidRPr="001E18FE">
        <w:t>anel</w:t>
      </w:r>
      <w:r>
        <w:t>ists</w:t>
      </w:r>
      <w:r w:rsidRPr="001E18FE">
        <w:t xml:space="preserve"> also generally agreed that the high cost and complicated protocols for inhaler medications present major barriers to patient adherence to treatment recommendations. They further agreed that it is within the ability of the healthcare system to mitigate these barriers, including </w:t>
      </w:r>
      <w:r>
        <w:t xml:space="preserve">by providing </w:t>
      </w:r>
      <w:r w:rsidRPr="001E18FE">
        <w:t>high quality education on medication needs and inhaler use.</w:t>
      </w:r>
    </w:p>
    <w:p w14:paraId="1E67C39C" w14:textId="3B7EB43E" w:rsidR="00967DE7" w:rsidRDefault="00967DE7" w:rsidP="00E45E2D">
      <w:pPr>
        <w:pStyle w:val="NQFMeasureStyle"/>
        <w:numPr>
          <w:ilvl w:val="0"/>
          <w:numId w:val="37"/>
        </w:numPr>
        <w:ind w:left="720"/>
      </w:pPr>
      <w:r>
        <w:t>P</w:t>
      </w:r>
      <w:r w:rsidRPr="00670DCE">
        <w:t>anel</w:t>
      </w:r>
      <w:r>
        <w:t>ists</w:t>
      </w:r>
      <w:r w:rsidRPr="00670DCE">
        <w:t xml:space="preserve"> felt </w:t>
      </w:r>
      <w:r>
        <w:t xml:space="preserve">that </w:t>
      </w:r>
      <w:r w:rsidRPr="00670DCE">
        <w:t xml:space="preserve">this indicator may also reflect some amount of “social” hospital admissions. In other words, cases in which the physician determines </w:t>
      </w:r>
      <w:r>
        <w:t xml:space="preserve">that </w:t>
      </w:r>
      <w:r w:rsidRPr="00670DCE">
        <w:t>social support or the home environment</w:t>
      </w:r>
      <w:r>
        <w:t xml:space="preserve"> are</w:t>
      </w:r>
      <w:r w:rsidRPr="00670DCE">
        <w:t xml:space="preserve"> insufficient for recovery outside of the hospital. </w:t>
      </w:r>
    </w:p>
    <w:p w14:paraId="0DC7EBD3" w14:textId="77777777" w:rsidR="00967DE7" w:rsidRDefault="00967DE7" w:rsidP="00E45E2D">
      <w:pPr>
        <w:pStyle w:val="NQFMeasureStyle"/>
        <w:numPr>
          <w:ilvl w:val="0"/>
          <w:numId w:val="37"/>
        </w:numPr>
        <w:ind w:left="720"/>
      </w:pPr>
      <w:r>
        <w:t>The presence of observation units may affect admission rates.</w:t>
      </w:r>
    </w:p>
    <w:p w14:paraId="78D396D7" w14:textId="77777777" w:rsidR="00516714" w:rsidRDefault="00516714" w:rsidP="00516714">
      <w:pPr>
        <w:pStyle w:val="NQFform"/>
        <w:rPr>
          <w:b/>
          <w:i/>
        </w:rPr>
      </w:pPr>
    </w:p>
    <w:p w14:paraId="286B406D" w14:textId="77777777" w:rsidR="00F9184E" w:rsidRPr="00094E93" w:rsidRDefault="00F9184E" w:rsidP="00F9184E">
      <w:pPr>
        <w:autoSpaceDE w:val="0"/>
        <w:autoSpaceDN w:val="0"/>
        <w:adjustRightInd w:val="0"/>
        <w:spacing w:after="0" w:line="240" w:lineRule="auto"/>
        <w:rPr>
          <w:rFonts w:eastAsia="Calibri" w:cstheme="minorHAnsi"/>
          <w:b/>
          <w:bCs/>
          <w:i/>
          <w:iCs/>
          <w:color w:val="0000FF"/>
        </w:rPr>
      </w:pPr>
      <w:r w:rsidRPr="00094E93">
        <w:rPr>
          <w:rFonts w:eastAsia="Calibri" w:cstheme="minorHAnsi"/>
          <w:b/>
          <w:bCs/>
          <w:i/>
          <w:iCs/>
          <w:color w:val="0000FF"/>
        </w:rPr>
        <w:t>Empirical Validity</w:t>
      </w:r>
    </w:p>
    <w:p w14:paraId="35936F24" w14:textId="77777777" w:rsidR="00F9184E" w:rsidRDefault="00F9184E" w:rsidP="00F9184E">
      <w:pPr>
        <w:pStyle w:val="NQFform"/>
        <w:rPr>
          <w:b/>
          <w:i/>
        </w:rPr>
      </w:pPr>
    </w:p>
    <w:p w14:paraId="741B84E0" w14:textId="0F194EBA" w:rsidR="00F9184E" w:rsidRDefault="00F9184E" w:rsidP="00E45E2D">
      <w:pPr>
        <w:pStyle w:val="NQFMeasureStyle"/>
        <w:ind w:left="0"/>
      </w:pPr>
      <w:r w:rsidRPr="00F93CD1">
        <w:t>In a negative binomial model</w:t>
      </w:r>
      <w:r w:rsidR="00663F59">
        <w:t xml:space="preserve"> (see section</w:t>
      </w:r>
      <w:r w:rsidR="00DD0AB6">
        <w:t xml:space="preserve"> 2b2.2)</w:t>
      </w:r>
      <w:r w:rsidRPr="00F93CD1">
        <w:t xml:space="preserve">, prevalence, </w:t>
      </w:r>
      <w:r w:rsidR="00DD0AB6">
        <w:t>health behaviors (</w:t>
      </w:r>
      <w:r w:rsidRPr="00F93CD1">
        <w:t>HB</w:t>
      </w:r>
      <w:r w:rsidR="00DD0AB6">
        <w:t>)</w:t>
      </w:r>
      <w:r w:rsidRPr="00F93CD1">
        <w:t xml:space="preserve"> and SES/E</w:t>
      </w:r>
      <w:r w:rsidR="00DD0AB6">
        <w:t>nvironment</w:t>
      </w:r>
      <w:r w:rsidRPr="00F93CD1">
        <w:t xml:space="preserve"> were statistically significant predictors (p&lt;.0001)</w:t>
      </w:r>
      <w:r w:rsidR="004334EB">
        <w:t xml:space="preserve"> (see Table 3a)</w:t>
      </w:r>
      <w:r w:rsidRPr="00F93CD1">
        <w:t>.</w:t>
      </w:r>
      <w:r w:rsidR="004334EB">
        <w:t xml:space="preserve"> </w:t>
      </w:r>
      <w:r w:rsidRPr="00F93CD1">
        <w:t xml:space="preserve"> Access to care</w:t>
      </w:r>
      <w:r w:rsidR="00DD0AB6">
        <w:t xml:space="preserve"> (AC)</w:t>
      </w:r>
      <w:r w:rsidRPr="00F93CD1">
        <w:t xml:space="preserve"> was not significant when HB and SES/E are included in the model. </w:t>
      </w:r>
      <w:r w:rsidR="004334EB">
        <w:t xml:space="preserve"> </w:t>
      </w:r>
      <w:r w:rsidR="008F09B5" w:rsidRPr="008C19FE">
        <w:t>However</w:t>
      </w:r>
      <w:r w:rsidR="00E45E2D">
        <w:t>,</w:t>
      </w:r>
      <w:r w:rsidR="008F09B5" w:rsidRPr="008C19FE">
        <w:t xml:space="preserve"> categorizing </w:t>
      </w:r>
      <w:r w:rsidR="008F09B5">
        <w:t>the</w:t>
      </w:r>
      <w:r w:rsidR="008F09B5" w:rsidRPr="008C19FE">
        <w:t xml:space="preserve"> variables into interpretable groups (HB, AC, and SES/E) </w:t>
      </w:r>
      <w:r w:rsidR="008F09B5">
        <w:t>resulted in</w:t>
      </w:r>
      <w:r w:rsidR="008F09B5" w:rsidRPr="008C19FE">
        <w:t xml:space="preserve"> signific</w:t>
      </w:r>
      <w:r w:rsidR="008F09B5">
        <w:t>ant collinearity in the models.</w:t>
      </w:r>
      <w:r w:rsidR="00E45E2D">
        <w:t xml:space="preserve"> </w:t>
      </w:r>
      <w:r w:rsidRPr="00F93CD1">
        <w:t xml:space="preserve"> In particular, there was a correlation of magnitude 0.77 between IHB and one of the components for SES/E and correlations of magnitude between 0.40 and 0.50 between the components for AC and the other two components for SES/E</w:t>
      </w:r>
      <w:r w:rsidR="004334EB">
        <w:t xml:space="preserve"> (see Table 3b)</w:t>
      </w:r>
      <w:r w:rsidRPr="00F93CD1">
        <w:t xml:space="preserve">.  Hence the relative importance of those factors should be interpreted with caution.  </w:t>
      </w:r>
    </w:p>
    <w:p w14:paraId="52F94BCF" w14:textId="77777777" w:rsidR="004334EB" w:rsidRDefault="004334EB" w:rsidP="00F93CD1">
      <w:pPr>
        <w:pStyle w:val="NQFMeasureStyle"/>
      </w:pPr>
    </w:p>
    <w:p w14:paraId="4321467E" w14:textId="77777777" w:rsidR="004334EB" w:rsidRDefault="004334EB" w:rsidP="00F93CD1">
      <w:pPr>
        <w:pStyle w:val="NQFMeasureStyle"/>
      </w:pPr>
    </w:p>
    <w:p w14:paraId="6E9A3B25" w14:textId="77777777" w:rsidR="004334EB" w:rsidRDefault="004334EB" w:rsidP="00F93CD1">
      <w:pPr>
        <w:pStyle w:val="NQFMeasureStyle"/>
      </w:pPr>
    </w:p>
    <w:p w14:paraId="4F9B5968" w14:textId="5E0E7AA9" w:rsidR="004334EB" w:rsidRDefault="004334EB" w:rsidP="00950E74">
      <w:pPr>
        <w:pStyle w:val="NQFMeasureStyle"/>
        <w:ind w:left="0"/>
        <w:rPr>
          <w:rFonts w:eastAsia="Times New Roman" w:cs="Times New Roman"/>
          <w:b/>
        </w:rPr>
      </w:pPr>
      <w:r w:rsidRPr="00A860EE">
        <w:rPr>
          <w:rFonts w:eastAsia="Times New Roman" w:cs="Times New Roman"/>
          <w:b/>
        </w:rPr>
        <w:lastRenderedPageBreak/>
        <w:t>Table 3a: P-values from negative binomial model for PQI</w:t>
      </w:r>
      <w:r w:rsidR="008F09B5">
        <w:rPr>
          <w:rFonts w:eastAsia="Times New Roman" w:cs="Times New Roman"/>
          <w:b/>
        </w:rPr>
        <w:t xml:space="preserve"> </w:t>
      </w:r>
      <w:r w:rsidRPr="00A860EE">
        <w:rPr>
          <w:rFonts w:eastAsia="Times New Roman" w:cs="Times New Roman"/>
          <w:b/>
        </w:rPr>
        <w:t>15 as a function of prevalence and the various groups of principal components</w:t>
      </w:r>
    </w:p>
    <w:p w14:paraId="48DF0459" w14:textId="77777777" w:rsidR="00950E74" w:rsidRDefault="00950E74" w:rsidP="00950E74">
      <w:pPr>
        <w:pStyle w:val="NQFMeasureStyle"/>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260"/>
        <w:gridCol w:w="1620"/>
        <w:gridCol w:w="1980"/>
        <w:gridCol w:w="1890"/>
      </w:tblGrid>
      <w:tr w:rsidR="004334EB" w14:paraId="4DF0ACBC" w14:textId="77777777" w:rsidTr="00E71860">
        <w:trPr>
          <w:tblHeader/>
        </w:trPr>
        <w:tc>
          <w:tcPr>
            <w:tcW w:w="735" w:type="dxa"/>
            <w:tcMar>
              <w:top w:w="15" w:type="dxa"/>
              <w:left w:w="15" w:type="dxa"/>
              <w:bottom w:w="15" w:type="dxa"/>
              <w:right w:w="15" w:type="dxa"/>
            </w:tcMar>
            <w:vAlign w:val="center"/>
            <w:hideMark/>
          </w:tcPr>
          <w:p w14:paraId="1D35D787" w14:textId="77777777" w:rsidR="004334EB" w:rsidRDefault="004334EB">
            <w:pPr>
              <w:spacing w:after="0" w:line="240" w:lineRule="auto"/>
              <w:rPr>
                <w:rFonts w:cs="Times New Roman"/>
                <w:sz w:val="24"/>
                <w:szCs w:val="24"/>
              </w:rPr>
            </w:pPr>
          </w:p>
        </w:tc>
        <w:tc>
          <w:tcPr>
            <w:tcW w:w="1260" w:type="dxa"/>
            <w:tcMar>
              <w:top w:w="15" w:type="dxa"/>
              <w:left w:w="15" w:type="dxa"/>
              <w:bottom w:w="15" w:type="dxa"/>
              <w:right w:w="15" w:type="dxa"/>
            </w:tcMar>
            <w:vAlign w:val="center"/>
            <w:hideMark/>
          </w:tcPr>
          <w:p w14:paraId="359A180E" w14:textId="77777777" w:rsidR="004334EB" w:rsidRDefault="004334EB">
            <w:pPr>
              <w:keepNext/>
              <w:keepLines/>
              <w:spacing w:after="0" w:line="240" w:lineRule="auto"/>
              <w:jc w:val="center"/>
              <w:outlineLvl w:val="4"/>
              <w:rPr>
                <w:rFonts w:eastAsia="Times New Roman" w:cs="Times New Roman"/>
                <w:b/>
                <w:bCs/>
              </w:rPr>
            </w:pPr>
            <w:r>
              <w:rPr>
                <w:rFonts w:eastAsia="Times New Roman" w:cs="Times New Roman"/>
                <w:b/>
                <w:bCs/>
              </w:rPr>
              <w:t>Prevalence</w:t>
            </w:r>
          </w:p>
        </w:tc>
        <w:tc>
          <w:tcPr>
            <w:tcW w:w="1620" w:type="dxa"/>
            <w:tcMar>
              <w:top w:w="15" w:type="dxa"/>
              <w:left w:w="15" w:type="dxa"/>
              <w:bottom w:w="15" w:type="dxa"/>
              <w:right w:w="15" w:type="dxa"/>
            </w:tcMar>
            <w:vAlign w:val="center"/>
            <w:hideMark/>
          </w:tcPr>
          <w:p w14:paraId="7399ABE5" w14:textId="2E24AA05" w:rsidR="004334EB" w:rsidRDefault="004334EB">
            <w:pPr>
              <w:keepNext/>
              <w:keepLines/>
              <w:spacing w:after="0" w:line="240" w:lineRule="auto"/>
              <w:jc w:val="center"/>
              <w:outlineLvl w:val="4"/>
              <w:rPr>
                <w:rFonts w:eastAsia="Times New Roman" w:cs="Times New Roman"/>
                <w:b/>
                <w:bCs/>
              </w:rPr>
            </w:pPr>
            <w:r>
              <w:rPr>
                <w:rFonts w:eastAsia="Times New Roman" w:cs="Times New Roman"/>
                <w:b/>
                <w:bCs/>
              </w:rPr>
              <w:t>Health Behaviors</w:t>
            </w:r>
          </w:p>
        </w:tc>
        <w:tc>
          <w:tcPr>
            <w:tcW w:w="1980" w:type="dxa"/>
            <w:tcMar>
              <w:top w:w="15" w:type="dxa"/>
              <w:left w:w="15" w:type="dxa"/>
              <w:bottom w:w="15" w:type="dxa"/>
              <w:right w:w="15" w:type="dxa"/>
            </w:tcMar>
            <w:vAlign w:val="center"/>
            <w:hideMark/>
          </w:tcPr>
          <w:p w14:paraId="69647616" w14:textId="77777777" w:rsidR="004334EB" w:rsidRDefault="004334EB">
            <w:pPr>
              <w:keepNext/>
              <w:keepLines/>
              <w:spacing w:after="0" w:line="240" w:lineRule="auto"/>
              <w:jc w:val="center"/>
              <w:outlineLvl w:val="4"/>
              <w:rPr>
                <w:rFonts w:eastAsia="Times New Roman" w:cs="Times New Roman"/>
                <w:b/>
                <w:bCs/>
              </w:rPr>
            </w:pPr>
            <w:r>
              <w:rPr>
                <w:rFonts w:eastAsia="Times New Roman" w:cs="Times New Roman"/>
                <w:b/>
                <w:bCs/>
              </w:rPr>
              <w:t>Access to Care</w:t>
            </w:r>
          </w:p>
        </w:tc>
        <w:tc>
          <w:tcPr>
            <w:tcW w:w="1890" w:type="dxa"/>
            <w:tcMar>
              <w:top w:w="15" w:type="dxa"/>
              <w:left w:w="15" w:type="dxa"/>
              <w:bottom w:w="15" w:type="dxa"/>
              <w:right w:w="15" w:type="dxa"/>
            </w:tcMar>
            <w:vAlign w:val="center"/>
            <w:hideMark/>
          </w:tcPr>
          <w:p w14:paraId="4E131A9C" w14:textId="77777777" w:rsidR="004334EB" w:rsidRDefault="004334EB">
            <w:pPr>
              <w:keepNext/>
              <w:keepLines/>
              <w:spacing w:after="0" w:line="240" w:lineRule="auto"/>
              <w:jc w:val="center"/>
              <w:outlineLvl w:val="4"/>
              <w:rPr>
                <w:rFonts w:eastAsia="Times New Roman" w:cs="Times New Roman"/>
                <w:b/>
                <w:bCs/>
              </w:rPr>
            </w:pPr>
            <w:r>
              <w:rPr>
                <w:rFonts w:eastAsia="Times New Roman" w:cs="Times New Roman"/>
                <w:b/>
                <w:bCs/>
              </w:rPr>
              <w:t>SES/</w:t>
            </w:r>
            <w:proofErr w:type="spellStart"/>
            <w:r>
              <w:rPr>
                <w:rFonts w:eastAsia="Times New Roman" w:cs="Times New Roman"/>
                <w:b/>
                <w:bCs/>
              </w:rPr>
              <w:t>Envr</w:t>
            </w:r>
            <w:proofErr w:type="spellEnd"/>
          </w:p>
        </w:tc>
      </w:tr>
      <w:tr w:rsidR="004334EB" w14:paraId="49CB9180" w14:textId="77777777" w:rsidTr="00E71860">
        <w:tc>
          <w:tcPr>
            <w:tcW w:w="735" w:type="dxa"/>
            <w:tcMar>
              <w:top w:w="15" w:type="dxa"/>
              <w:left w:w="15" w:type="dxa"/>
              <w:bottom w:w="15" w:type="dxa"/>
              <w:right w:w="15" w:type="dxa"/>
            </w:tcMar>
            <w:vAlign w:val="center"/>
            <w:hideMark/>
          </w:tcPr>
          <w:p w14:paraId="251F8EE0" w14:textId="6C8491AA" w:rsidR="004334EB" w:rsidRDefault="004334EB">
            <w:pPr>
              <w:keepNext/>
              <w:keepLines/>
              <w:spacing w:after="0" w:line="240" w:lineRule="auto"/>
              <w:outlineLvl w:val="4"/>
              <w:rPr>
                <w:rFonts w:eastAsia="Times New Roman" w:cs="Times New Roman"/>
              </w:rPr>
            </w:pPr>
            <w:r>
              <w:rPr>
                <w:rFonts w:eastAsia="Times New Roman" w:cs="Times New Roman"/>
              </w:rPr>
              <w:t>PQI</w:t>
            </w:r>
            <w:r w:rsidR="008F09B5">
              <w:rPr>
                <w:rFonts w:eastAsia="Times New Roman" w:cs="Times New Roman"/>
              </w:rPr>
              <w:t xml:space="preserve"> </w:t>
            </w:r>
            <w:r>
              <w:rPr>
                <w:rFonts w:eastAsia="Times New Roman" w:cs="Times New Roman"/>
              </w:rPr>
              <w:t>15</w:t>
            </w:r>
          </w:p>
        </w:tc>
        <w:tc>
          <w:tcPr>
            <w:tcW w:w="1260" w:type="dxa"/>
            <w:tcMar>
              <w:top w:w="15" w:type="dxa"/>
              <w:left w:w="15" w:type="dxa"/>
              <w:bottom w:w="15" w:type="dxa"/>
              <w:right w:w="15" w:type="dxa"/>
            </w:tcMar>
            <w:vAlign w:val="center"/>
            <w:hideMark/>
          </w:tcPr>
          <w:p w14:paraId="46B8F467" w14:textId="77777777" w:rsidR="004334EB" w:rsidRDefault="004334EB">
            <w:pPr>
              <w:keepNext/>
              <w:keepLines/>
              <w:spacing w:after="0" w:line="240" w:lineRule="auto"/>
              <w:jc w:val="center"/>
              <w:outlineLvl w:val="4"/>
              <w:rPr>
                <w:rFonts w:eastAsia="Times New Roman" w:cs="Times New Roman"/>
              </w:rPr>
            </w:pPr>
            <w:r>
              <w:rPr>
                <w:rFonts w:eastAsia="Times New Roman" w:cs="Times New Roman"/>
              </w:rPr>
              <w:t>0.0070</w:t>
            </w:r>
          </w:p>
        </w:tc>
        <w:tc>
          <w:tcPr>
            <w:tcW w:w="1620" w:type="dxa"/>
            <w:tcMar>
              <w:top w:w="15" w:type="dxa"/>
              <w:left w:w="15" w:type="dxa"/>
              <w:bottom w:w="15" w:type="dxa"/>
              <w:right w:w="15" w:type="dxa"/>
            </w:tcMar>
            <w:vAlign w:val="center"/>
            <w:hideMark/>
          </w:tcPr>
          <w:p w14:paraId="4084E2C4" w14:textId="77777777" w:rsidR="004334EB" w:rsidRDefault="004334EB">
            <w:pPr>
              <w:keepNext/>
              <w:keepLines/>
              <w:spacing w:after="0" w:line="240" w:lineRule="auto"/>
              <w:jc w:val="center"/>
              <w:outlineLvl w:val="4"/>
              <w:rPr>
                <w:rFonts w:eastAsia="Times New Roman" w:cs="Times New Roman"/>
              </w:rPr>
            </w:pPr>
            <w:r>
              <w:rPr>
                <w:rFonts w:eastAsia="Times New Roman" w:cs="Times New Roman"/>
              </w:rPr>
              <w:t>&lt;.0001</w:t>
            </w:r>
          </w:p>
        </w:tc>
        <w:tc>
          <w:tcPr>
            <w:tcW w:w="1980" w:type="dxa"/>
            <w:tcMar>
              <w:top w:w="15" w:type="dxa"/>
              <w:left w:w="15" w:type="dxa"/>
              <w:bottom w:w="15" w:type="dxa"/>
              <w:right w:w="15" w:type="dxa"/>
            </w:tcMar>
            <w:vAlign w:val="center"/>
            <w:hideMark/>
          </w:tcPr>
          <w:p w14:paraId="44FC60C1" w14:textId="77777777" w:rsidR="004334EB" w:rsidRDefault="004334EB">
            <w:pPr>
              <w:keepNext/>
              <w:keepLines/>
              <w:spacing w:after="0" w:line="240" w:lineRule="auto"/>
              <w:jc w:val="center"/>
              <w:outlineLvl w:val="4"/>
              <w:rPr>
                <w:rFonts w:eastAsia="Times New Roman" w:cs="Times New Roman"/>
              </w:rPr>
            </w:pPr>
            <w:r>
              <w:rPr>
                <w:rFonts w:eastAsia="Times New Roman" w:cs="Times New Roman"/>
              </w:rPr>
              <w:t>0.31</w:t>
            </w:r>
          </w:p>
        </w:tc>
        <w:tc>
          <w:tcPr>
            <w:tcW w:w="1890" w:type="dxa"/>
            <w:tcMar>
              <w:top w:w="15" w:type="dxa"/>
              <w:left w:w="15" w:type="dxa"/>
              <w:bottom w:w="15" w:type="dxa"/>
              <w:right w:w="15" w:type="dxa"/>
            </w:tcMar>
            <w:vAlign w:val="center"/>
            <w:hideMark/>
          </w:tcPr>
          <w:p w14:paraId="2118A701" w14:textId="77777777" w:rsidR="004334EB" w:rsidRDefault="004334EB">
            <w:pPr>
              <w:keepNext/>
              <w:keepLines/>
              <w:spacing w:after="0" w:line="240" w:lineRule="auto"/>
              <w:jc w:val="center"/>
              <w:outlineLvl w:val="4"/>
              <w:rPr>
                <w:rFonts w:eastAsia="Times New Roman" w:cs="Times New Roman"/>
              </w:rPr>
            </w:pPr>
            <w:r>
              <w:rPr>
                <w:rFonts w:eastAsia="Times New Roman" w:cs="Times New Roman"/>
              </w:rPr>
              <w:t>&lt;.0001</w:t>
            </w:r>
          </w:p>
        </w:tc>
      </w:tr>
    </w:tbl>
    <w:p w14:paraId="1CEE1895" w14:textId="77777777" w:rsidR="004334EB" w:rsidRDefault="004334EB" w:rsidP="00F93CD1">
      <w:pPr>
        <w:pStyle w:val="NQFMeasureStyle"/>
      </w:pPr>
    </w:p>
    <w:p w14:paraId="4AD67E1C" w14:textId="3ACA3AC1" w:rsidR="00075287" w:rsidRPr="00950E74" w:rsidRDefault="00E45E2D" w:rsidP="00075287">
      <w:pPr>
        <w:rPr>
          <w:rFonts w:ascii="Calibri" w:eastAsia="Times New Roman" w:hAnsi="Calibri" w:cs="Times New Roman"/>
          <w:b/>
          <w:color w:val="0000FF"/>
        </w:rPr>
      </w:pPr>
      <w:r>
        <w:rPr>
          <w:rFonts w:ascii="Calibri" w:eastAsia="Times New Roman" w:hAnsi="Calibri" w:cs="Times New Roman"/>
          <w:b/>
          <w:noProof/>
          <w:color w:val="0000FF"/>
        </w:rPr>
        <mc:AlternateContent>
          <mc:Choice Requires="wps">
            <w:drawing>
              <wp:anchor distT="0" distB="0" distL="114300" distR="114300" simplePos="0" relativeHeight="251659264" behindDoc="0" locked="0" layoutInCell="1" allowOverlap="1" wp14:anchorId="7B3CDC4B" wp14:editId="5551B73E">
                <wp:simplePos x="0" y="0"/>
                <wp:positionH relativeFrom="column">
                  <wp:posOffset>-66675</wp:posOffset>
                </wp:positionH>
                <wp:positionV relativeFrom="paragraph">
                  <wp:posOffset>220981</wp:posOffset>
                </wp:positionV>
                <wp:extent cx="5610225" cy="37909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610225" cy="37909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5.25pt;margin-top:17.4pt;width:441.75pt;height:29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" filled="f" strokecolor="black [3213]" strokeweight=".5pt"/>
            </w:pict>
          </mc:Fallback>
        </mc:AlternateContent>
      </w:r>
      <w:proofErr w:type="gramStart"/>
      <w:r w:rsidR="00075287" w:rsidRPr="00075287">
        <w:rPr>
          <w:rFonts w:ascii="Calibri" w:eastAsia="Times New Roman" w:hAnsi="Calibri" w:cs="Times New Roman"/>
          <w:b/>
          <w:color w:val="0000FF"/>
        </w:rPr>
        <w:t xml:space="preserve">Table </w:t>
      </w:r>
      <w:r w:rsidR="00075287">
        <w:rPr>
          <w:rFonts w:ascii="Calibri" w:eastAsia="Times New Roman" w:hAnsi="Calibri" w:cs="Times New Roman"/>
          <w:b/>
          <w:color w:val="0000FF"/>
        </w:rPr>
        <w:t>3b</w:t>
      </w:r>
      <w:r w:rsidR="00075287" w:rsidRPr="00950E74">
        <w:rPr>
          <w:rFonts w:ascii="Calibri" w:eastAsia="Times New Roman" w:hAnsi="Calibri" w:cs="Times New Roman"/>
          <w:b/>
          <w:color w:val="0000FF"/>
        </w:rPr>
        <w:t>: Correlation matrix of principal components (PC) used in negative binomial models.</w:t>
      </w:r>
      <w:proofErr w:type="gramEnd"/>
      <w:r w:rsidR="00075287" w:rsidRPr="00950E74">
        <w:rPr>
          <w:rFonts w:ascii="Calibri" w:eastAsia="Times New Roman" w:hAnsi="Calibri" w:cs="Times New Roman"/>
          <w:b/>
          <w:color w:val="0000FF"/>
        </w:rPr>
        <w:t xml:space="preserve">  </w:t>
      </w:r>
    </w:p>
    <w:p w14:paraId="21B0CD71" w14:textId="093767A5"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w:t>
      </w:r>
      <w:r>
        <w:rPr>
          <w:rFonts w:ascii="Courier New" w:hAnsi="Courier New" w:cs="Courier New"/>
          <w:sz w:val="20"/>
          <w:szCs w:val="20"/>
        </w:rPr>
        <w:tab/>
        <w:t xml:space="preserve">   HB     AC_1    AC_2        SES_1      SES_2       SES_3</w:t>
      </w:r>
    </w:p>
    <w:p w14:paraId="16C636A7" w14:textId="4C2DB65B"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14:paraId="4D2B6CE6"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Health </w:t>
      </w:r>
    </w:p>
    <w:p w14:paraId="15FD914B" w14:textId="69B77BD0" w:rsidR="00075287" w:rsidRDefault="00075287" w:rsidP="00075287">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Behaviors(</w:t>
      </w:r>
      <w:proofErr w:type="gramEnd"/>
      <w:r>
        <w:rPr>
          <w:rFonts w:ascii="Courier New" w:hAnsi="Courier New" w:cs="Courier New"/>
          <w:sz w:val="20"/>
          <w:szCs w:val="20"/>
        </w:rPr>
        <w:t>HB) 1.00   -0.20   -0.13        0.22       </w:t>
      </w:r>
      <w:r>
        <w:rPr>
          <w:rFonts w:ascii="Courier New" w:hAnsi="Courier New" w:cs="Courier New"/>
          <w:b/>
          <w:sz w:val="20"/>
          <w:szCs w:val="20"/>
        </w:rPr>
        <w:t>-0.77        </w:t>
      </w:r>
      <w:r>
        <w:rPr>
          <w:rFonts w:ascii="Courier New" w:hAnsi="Courier New" w:cs="Courier New"/>
          <w:sz w:val="20"/>
          <w:szCs w:val="20"/>
        </w:rPr>
        <w:t>0.18</w:t>
      </w:r>
    </w:p>
    <w:p w14:paraId="3BBBA6A4"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p>
    <w:p w14:paraId="28F4A47E"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Access to</w:t>
      </w:r>
    </w:p>
    <w:p w14:paraId="4C57311E" w14:textId="5168C5B0" w:rsidR="00075287" w:rsidRDefault="00B506F9" w:rsidP="00075287">
      <w:pPr>
        <w:widowControl w:val="0"/>
        <w:autoSpaceDE w:val="0"/>
        <w:autoSpaceDN w:val="0"/>
        <w:adjustRightInd w:val="0"/>
        <w:spacing w:after="0" w:line="240" w:lineRule="auto"/>
        <w:rPr>
          <w:rFonts w:ascii="Courier New" w:hAnsi="Courier New" w:cs="Courier New"/>
          <w:b/>
          <w:sz w:val="20"/>
          <w:szCs w:val="20"/>
        </w:rPr>
      </w:pPr>
      <w:r>
        <w:rPr>
          <w:rFonts w:ascii="Courier New" w:hAnsi="Courier New" w:cs="Courier New"/>
          <w:sz w:val="20"/>
          <w:szCs w:val="20"/>
        </w:rPr>
        <w:t>Care (AC_1)</w:t>
      </w:r>
      <w:proofErr w:type="gramStart"/>
      <w:r w:rsidR="00075287">
        <w:rPr>
          <w:rFonts w:ascii="Courier New" w:hAnsi="Courier New" w:cs="Courier New"/>
          <w:sz w:val="20"/>
          <w:szCs w:val="20"/>
        </w:rPr>
        <w:t>  -</w:t>
      </w:r>
      <w:proofErr w:type="gramEnd"/>
      <w:r w:rsidR="00075287">
        <w:rPr>
          <w:rFonts w:ascii="Courier New" w:hAnsi="Courier New" w:cs="Courier New"/>
          <w:sz w:val="20"/>
          <w:szCs w:val="20"/>
        </w:rPr>
        <w:t xml:space="preserve">0.20    1.00    0.00        </w:t>
      </w:r>
      <w:r w:rsidR="00075287">
        <w:rPr>
          <w:rFonts w:ascii="Courier New" w:hAnsi="Courier New" w:cs="Courier New"/>
          <w:b/>
          <w:sz w:val="20"/>
          <w:szCs w:val="20"/>
        </w:rPr>
        <w:t>0.50        </w:t>
      </w:r>
      <w:r w:rsidR="00075287">
        <w:rPr>
          <w:rFonts w:ascii="Courier New" w:hAnsi="Courier New" w:cs="Courier New"/>
          <w:sz w:val="20"/>
          <w:szCs w:val="20"/>
        </w:rPr>
        <w:t>0.13        </w:t>
      </w:r>
      <w:r w:rsidR="00075287">
        <w:rPr>
          <w:rFonts w:ascii="Courier New" w:hAnsi="Courier New" w:cs="Courier New"/>
          <w:b/>
          <w:sz w:val="20"/>
          <w:szCs w:val="20"/>
        </w:rPr>
        <w:t>0.40</w:t>
      </w:r>
    </w:p>
    <w:p w14:paraId="48042058"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p>
    <w:p w14:paraId="61599EA4"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Access to </w:t>
      </w:r>
    </w:p>
    <w:p w14:paraId="4627EF24" w14:textId="09EFBE00" w:rsidR="00075287" w:rsidRDefault="00B506F9"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Care (AC_2</w:t>
      </w:r>
      <w:proofErr w:type="gramStart"/>
      <w:r>
        <w:rPr>
          <w:rFonts w:ascii="Courier New" w:hAnsi="Courier New" w:cs="Courier New"/>
          <w:sz w:val="20"/>
          <w:szCs w:val="20"/>
        </w:rPr>
        <w:t xml:space="preserve">) </w:t>
      </w:r>
      <w:r w:rsidR="00075287">
        <w:rPr>
          <w:rFonts w:ascii="Courier New" w:hAnsi="Courier New" w:cs="Courier New"/>
          <w:sz w:val="20"/>
          <w:szCs w:val="20"/>
        </w:rPr>
        <w:t> -</w:t>
      </w:r>
      <w:proofErr w:type="gramEnd"/>
      <w:r w:rsidR="00075287">
        <w:rPr>
          <w:rFonts w:ascii="Courier New" w:hAnsi="Courier New" w:cs="Courier New"/>
          <w:sz w:val="20"/>
          <w:szCs w:val="20"/>
        </w:rPr>
        <w:t>0.13    0.00    1.00        </w:t>
      </w:r>
      <w:r w:rsidR="00075287">
        <w:rPr>
          <w:rFonts w:ascii="Courier New" w:hAnsi="Courier New" w:cs="Courier New"/>
          <w:b/>
          <w:sz w:val="20"/>
          <w:szCs w:val="20"/>
        </w:rPr>
        <w:t>0.44        </w:t>
      </w:r>
      <w:r w:rsidR="00075287">
        <w:rPr>
          <w:rFonts w:ascii="Courier New" w:hAnsi="Courier New" w:cs="Courier New"/>
          <w:sz w:val="20"/>
          <w:szCs w:val="20"/>
        </w:rPr>
        <w:t>0.24        0.24</w:t>
      </w:r>
    </w:p>
    <w:p w14:paraId="050E11B2"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p>
    <w:p w14:paraId="07C9966F"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Socio-</w:t>
      </w:r>
    </w:p>
    <w:p w14:paraId="5B9CDFB6"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Economic</w:t>
      </w:r>
    </w:p>
    <w:p w14:paraId="2C3F3C95"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Status</w:t>
      </w:r>
    </w:p>
    <w:p w14:paraId="1103F673" w14:textId="0A9F6C3B" w:rsidR="00075287" w:rsidRDefault="00B506F9"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(SES_1)     </w:t>
      </w:r>
      <w:r w:rsidR="00075287">
        <w:rPr>
          <w:rFonts w:ascii="Courier New" w:hAnsi="Courier New" w:cs="Courier New"/>
          <w:sz w:val="20"/>
          <w:szCs w:val="20"/>
        </w:rPr>
        <w:t xml:space="preserve">  0.22   -0.50    0.44        1.00        0.00        0.00</w:t>
      </w:r>
    </w:p>
    <w:p w14:paraId="601256D8"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p>
    <w:p w14:paraId="3A9A77BB"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Socio-</w:t>
      </w:r>
    </w:p>
    <w:p w14:paraId="52F023EA"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Economic</w:t>
      </w:r>
    </w:p>
    <w:p w14:paraId="619E9FD2"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Status</w:t>
      </w:r>
    </w:p>
    <w:p w14:paraId="1D663700" w14:textId="7487E891" w:rsidR="00075287" w:rsidRDefault="00B506F9"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(SES_2)    </w:t>
      </w:r>
      <w:r w:rsidR="00075287">
        <w:rPr>
          <w:rFonts w:ascii="Courier New" w:hAnsi="Courier New" w:cs="Courier New"/>
          <w:sz w:val="20"/>
          <w:szCs w:val="20"/>
        </w:rPr>
        <w:t xml:space="preserve">  -0.77    0.13    0.24        0.00        1.00        0.00</w:t>
      </w:r>
    </w:p>
    <w:p w14:paraId="7558AA34"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p>
    <w:p w14:paraId="6586775D"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Socio-</w:t>
      </w:r>
    </w:p>
    <w:p w14:paraId="729E08F8"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Economic</w:t>
      </w:r>
    </w:p>
    <w:p w14:paraId="33CAF84C" w14:textId="77777777" w:rsidR="00075287" w:rsidRDefault="00075287" w:rsidP="0007528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Status</w:t>
      </w:r>
    </w:p>
    <w:p w14:paraId="0CA44C29" w14:textId="76CB3575" w:rsidR="00075287" w:rsidRDefault="00B506F9" w:rsidP="00075287">
      <w:pPr>
        <w:rPr>
          <w:rFonts w:ascii="Courier New" w:eastAsiaTheme="minorHAnsi" w:hAnsi="Courier New" w:cs="Courier New"/>
          <w:sz w:val="20"/>
          <w:szCs w:val="20"/>
        </w:rPr>
      </w:pPr>
      <w:r>
        <w:rPr>
          <w:rFonts w:ascii="Courier New" w:hAnsi="Courier New" w:cs="Courier New"/>
          <w:sz w:val="20"/>
          <w:szCs w:val="20"/>
        </w:rPr>
        <w:t xml:space="preserve">(SES_3)     </w:t>
      </w:r>
      <w:r w:rsidR="00075287">
        <w:rPr>
          <w:rFonts w:ascii="Courier New" w:hAnsi="Courier New" w:cs="Courier New"/>
          <w:sz w:val="20"/>
          <w:szCs w:val="20"/>
        </w:rPr>
        <w:t xml:space="preserve">  0.18    0.40    0.24        0.00        0.00        1.00</w:t>
      </w:r>
    </w:p>
    <w:p w14:paraId="128F2C56" w14:textId="77777777" w:rsidR="00075287" w:rsidRPr="00A860EE" w:rsidRDefault="00075287" w:rsidP="00075287">
      <w:pPr>
        <w:rPr>
          <w:rFonts w:ascii="Calibri" w:eastAsia="Times New Roman" w:hAnsi="Calibri" w:cs="Times New Roman"/>
          <w:color w:val="0000FF"/>
        </w:rPr>
      </w:pPr>
      <w:r w:rsidRPr="00A860EE">
        <w:rPr>
          <w:rFonts w:ascii="Calibri" w:eastAsia="Times New Roman" w:hAnsi="Calibri" w:cs="Times New Roman"/>
          <w:color w:val="0000FF"/>
        </w:rPr>
        <w:t xml:space="preserve">Note that the groups of variables corresponding to health behaviors (HB) were reduced to one principal component, access to care (AC) to two, and SES to three.  </w:t>
      </w:r>
      <w:proofErr w:type="gramStart"/>
      <w:r w:rsidRPr="00A860EE">
        <w:rPr>
          <w:rFonts w:ascii="Calibri" w:eastAsia="Times New Roman" w:hAnsi="Calibri" w:cs="Times New Roman"/>
          <w:color w:val="0000FF"/>
        </w:rPr>
        <w:t>Correlations with magnitude larger than 0.4 are bolded.</w:t>
      </w:r>
      <w:proofErr w:type="gramEnd"/>
      <w:r w:rsidRPr="00A860EE">
        <w:rPr>
          <w:rFonts w:ascii="Calibri" w:eastAsia="Times New Roman" w:hAnsi="Calibri" w:cs="Times New Roman"/>
          <w:color w:val="0000FF"/>
        </w:rPr>
        <w:t xml:space="preserve">  </w:t>
      </w:r>
    </w:p>
    <w:p w14:paraId="3FC71C7F" w14:textId="77777777" w:rsidR="00075287" w:rsidRDefault="00075287" w:rsidP="00950E74">
      <w:pPr>
        <w:pStyle w:val="NQFMeasureStyle"/>
        <w:ind w:left="0"/>
      </w:pPr>
    </w:p>
    <w:p w14:paraId="40DE2D53" w14:textId="77777777" w:rsidR="004334EB" w:rsidRPr="00F93CD1" w:rsidRDefault="004334EB" w:rsidP="00F93CD1">
      <w:pPr>
        <w:pStyle w:val="NQFMeasureStyle"/>
      </w:pPr>
    </w:p>
    <w:p w14:paraId="5AB09EB6" w14:textId="77777777" w:rsidR="007422FD" w:rsidRPr="00F93CD1" w:rsidRDefault="00092566" w:rsidP="002D3AF2">
      <w:pPr>
        <w:autoSpaceDE w:val="0"/>
        <w:autoSpaceDN w:val="0"/>
        <w:adjustRightInd w:val="0"/>
        <w:spacing w:after="0" w:line="240" w:lineRule="auto"/>
      </w:pPr>
      <w:r w:rsidRPr="002D3AF2">
        <w:rPr>
          <w:rFonts w:cstheme="minorHAnsi"/>
          <w:b/>
          <w:bCs/>
        </w:rPr>
        <w:t>2b2.</w:t>
      </w:r>
      <w:r w:rsidR="007757CE" w:rsidRPr="002D3AF2">
        <w:rPr>
          <w:rFonts w:cstheme="minorHAnsi"/>
          <w:b/>
          <w:bCs/>
        </w:rPr>
        <w:t xml:space="preserve">4. </w:t>
      </w:r>
      <w:proofErr w:type="gramStart"/>
      <w:r w:rsidR="000B2DF7" w:rsidRPr="002D3AF2">
        <w:rPr>
          <w:rFonts w:cstheme="minorHAnsi"/>
          <w:b/>
          <w:bCs/>
        </w:rPr>
        <w:t>What</w:t>
      </w:r>
      <w:proofErr w:type="gramEnd"/>
      <w:r w:rsidR="000B2DF7" w:rsidRPr="002D3AF2">
        <w:rPr>
          <w:rFonts w:cstheme="minorHAnsi"/>
          <w:b/>
          <w:bCs/>
        </w:rPr>
        <w:t xml:space="preserve"> is your interpretation of the results </w:t>
      </w:r>
      <w:r w:rsidR="007422FD" w:rsidRPr="002D3AF2">
        <w:rPr>
          <w:rFonts w:cstheme="minorHAnsi"/>
          <w:b/>
          <w:bCs/>
        </w:rPr>
        <w:t xml:space="preserve">in terms of demonstrating validity? </w:t>
      </w:r>
      <w:r w:rsidR="000B2DF7" w:rsidRPr="002D3AF2">
        <w:rPr>
          <w:rFonts w:cstheme="minorHAnsi"/>
          <w:bCs/>
        </w:rPr>
        <w:t>(i.e., what do the results mean and what are the norms for the test conducted</w:t>
      </w:r>
      <w:r w:rsidR="00A25024" w:rsidRPr="002D3AF2">
        <w:rPr>
          <w:rFonts w:cstheme="minorHAnsi"/>
          <w:bCs/>
        </w:rPr>
        <w:t>?</w:t>
      </w:r>
      <w:r w:rsidR="000B2DF7" w:rsidRPr="002D3AF2">
        <w:rPr>
          <w:rFonts w:cstheme="minorHAnsi"/>
          <w:bCs/>
        </w:rPr>
        <w:t>)</w:t>
      </w:r>
      <w:r w:rsidR="007422FD" w:rsidRPr="00F93CD1">
        <w:br/>
      </w:r>
    </w:p>
    <w:p w14:paraId="3A693D77" w14:textId="12F5759C" w:rsidR="00BC6753" w:rsidRPr="00F93CD1" w:rsidRDefault="00516714" w:rsidP="00E45E2D">
      <w:pPr>
        <w:pStyle w:val="NQFMeasureStyle"/>
        <w:ind w:left="0"/>
      </w:pPr>
      <w:r w:rsidRPr="00F93CD1">
        <w:t xml:space="preserve">The clinical panel noted that this indicator overall was useful. They identified specific actions that could improve rates, especially from a population health perspective, such as access to medications, patient education, </w:t>
      </w:r>
      <w:proofErr w:type="gramStart"/>
      <w:r w:rsidRPr="00F93CD1">
        <w:t>reduction</w:t>
      </w:r>
      <w:proofErr w:type="gramEnd"/>
      <w:r w:rsidRPr="00F93CD1">
        <w:t xml:space="preserve"> of risk factors, such as environmental exposure to pollution or allergens and smoking. However, it is important, as with many population health indicators to acknowledge the complex factors influencing the indicators.</w:t>
      </w:r>
    </w:p>
    <w:p w14:paraId="282C7815" w14:textId="77777777" w:rsidR="00516714" w:rsidRPr="00F93CD1" w:rsidRDefault="00516714" w:rsidP="00E45E2D">
      <w:pPr>
        <w:pStyle w:val="NQFMeasureStyle"/>
        <w:ind w:left="0"/>
      </w:pPr>
    </w:p>
    <w:p w14:paraId="540F9D51" w14:textId="33DBD51A" w:rsidR="00F9184E" w:rsidRPr="00F93CD1" w:rsidRDefault="00F9184E" w:rsidP="00E45E2D">
      <w:pPr>
        <w:pStyle w:val="NQFMeasureStyle"/>
        <w:ind w:left="0"/>
      </w:pPr>
      <w:r w:rsidRPr="00F93CD1">
        <w:t xml:space="preserve">SES explained the most </w:t>
      </w:r>
      <w:proofErr w:type="gramStart"/>
      <w:r w:rsidRPr="00F93CD1">
        <w:t>variance,</w:t>
      </w:r>
      <w:proofErr w:type="gramEnd"/>
      <w:r w:rsidRPr="00F93CD1">
        <w:t xml:space="preserve"> however moderate correlation between socioeconomic status and other factors suggest that it is difficult to fully ascertain the unique contribution of each factor on </w:t>
      </w:r>
      <w:r w:rsidRPr="00F93CD1">
        <w:lastRenderedPageBreak/>
        <w:t xml:space="preserve">asthma hospitalizations. The disparities table </w:t>
      </w:r>
      <w:r w:rsidR="00F93CD1" w:rsidRPr="00F93CD1">
        <w:t>(</w:t>
      </w:r>
      <w:r w:rsidR="00E45E2D">
        <w:t>see Table 2 in the supplemental files</w:t>
      </w:r>
      <w:r w:rsidRPr="00F93CD1">
        <w:t>) demonstrates that zip codes in the highest income quartile have 31% lower admission rates than those in the lowest income quartile.</w:t>
      </w:r>
    </w:p>
    <w:p w14:paraId="3D4325D8" w14:textId="77777777" w:rsidR="00F9184E" w:rsidRPr="00F93CD1" w:rsidRDefault="00F9184E" w:rsidP="00E45E2D">
      <w:pPr>
        <w:pStyle w:val="NQFMeasureStyle"/>
        <w:ind w:left="0"/>
      </w:pPr>
    </w:p>
    <w:p w14:paraId="2F8929E9" w14:textId="7487CFE6" w:rsidR="00F9184E" w:rsidRPr="00F93CD1" w:rsidRDefault="00F9184E" w:rsidP="00E45E2D">
      <w:pPr>
        <w:pStyle w:val="NQFMeasureStyle"/>
        <w:ind w:left="0"/>
      </w:pPr>
      <w:r w:rsidRPr="00F93CD1">
        <w:t xml:space="preserve">From a population health perspective such disparities argue for the importance of the indicator in capturing poor outcomes for vulnerable populations. Further, taking a population health perspective, efforts to decrease individual risk factors such as obesity, smoking and </w:t>
      </w:r>
      <w:r w:rsidR="002C3098">
        <w:t xml:space="preserve">limited </w:t>
      </w:r>
      <w:r w:rsidRPr="00F93CD1">
        <w:t>physical exercise (the variables included in the health behaviors factor) may decrease prev</w:t>
      </w:r>
      <w:r w:rsidR="00F93CD1">
        <w:t>alence and exacerbations of asthma</w:t>
      </w:r>
      <w:r w:rsidRPr="00F93CD1">
        <w:t>.</w:t>
      </w:r>
    </w:p>
    <w:p w14:paraId="5BADA469" w14:textId="77777777" w:rsidR="00F9184E" w:rsidRPr="00A25024" w:rsidRDefault="00F9184E" w:rsidP="00784C78">
      <w:pPr>
        <w:pStyle w:val="NQFform"/>
        <w:rPr>
          <w:bCs/>
        </w:rPr>
      </w:pPr>
    </w:p>
    <w:p w14:paraId="6D3FE52B"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7478AD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094E93">
        <w:rPr>
          <w:rFonts w:eastAsia="MS Gothic" w:cstheme="minorHAnsi"/>
          <w:b/>
          <w:bCs/>
          <w:color w:val="0000FF"/>
        </w:rPr>
        <w:t>—</w:t>
      </w:r>
      <w:r w:rsidRPr="007D5828">
        <w:rPr>
          <w:rFonts w:cstheme="minorHAnsi"/>
          <w:b/>
          <w:bCs/>
          <w:i/>
        </w:rPr>
        <w:t xml:space="preserve"> </w:t>
      </w:r>
      <w:r w:rsidR="00B037BA" w:rsidRPr="00784C78">
        <w:rPr>
          <w:rFonts w:cstheme="minorHAnsi"/>
          <w:b/>
          <w:bCs/>
          <w:i/>
        </w:rPr>
        <w:t xml:space="preserve">skip </w:t>
      </w:r>
      <w:r w:rsidR="008A4C13" w:rsidRPr="00784C78">
        <w:rPr>
          <w:rFonts w:cstheme="minorHAnsi"/>
          <w:b/>
          <w:bCs/>
          <w:i/>
        </w:rPr>
        <w:t xml:space="preserve">to </w:t>
      </w:r>
      <w:r w:rsidR="00BE592D" w:rsidRPr="00784C78">
        <w:rPr>
          <w:rFonts w:cstheme="minorHAnsi"/>
          <w:b/>
          <w:bCs/>
          <w:i/>
        </w:rPr>
        <w:t xml:space="preserve">section </w:t>
      </w:r>
      <w:hyperlink w:anchor="section2b4" w:history="1">
        <w:r w:rsidR="00483E94" w:rsidRPr="00784C78">
          <w:rPr>
            <w:rStyle w:val="Hyperlink"/>
            <w:rFonts w:cstheme="minorHAnsi"/>
            <w:b/>
            <w:bCs/>
            <w:i/>
          </w:rPr>
          <w:t>2b</w:t>
        </w:r>
        <w:r w:rsidR="00AC1D8E" w:rsidRPr="00784C78">
          <w:rPr>
            <w:rStyle w:val="Hyperlink"/>
            <w:rFonts w:cstheme="minorHAnsi"/>
            <w:b/>
            <w:bCs/>
            <w:i/>
          </w:rPr>
          <w:t>4</w:t>
        </w:r>
      </w:hyperlink>
    </w:p>
    <w:p w14:paraId="1EA673C9" w14:textId="77777777" w:rsidR="00001D73" w:rsidRDefault="00001D73" w:rsidP="00DB3627">
      <w:pPr>
        <w:autoSpaceDE w:val="0"/>
        <w:autoSpaceDN w:val="0"/>
        <w:adjustRightInd w:val="0"/>
        <w:spacing w:after="0" w:line="240" w:lineRule="auto"/>
        <w:rPr>
          <w:rFonts w:cstheme="minorHAnsi"/>
          <w:b/>
          <w:bCs/>
        </w:rPr>
      </w:pPr>
    </w:p>
    <w:p w14:paraId="72B4AE66" w14:textId="718C0BCA" w:rsidR="00833325" w:rsidRPr="00F93CD1" w:rsidRDefault="00092566" w:rsidP="00F93CD1">
      <w:pPr>
        <w:pStyle w:val="NQFform"/>
        <w:rPr>
          <w:rFonts w:eastAsia="Calibri"/>
          <w:bCs/>
          <w:iCs/>
          <w:sz w:val="20"/>
          <w:szCs w:val="20"/>
        </w:rPr>
      </w:pPr>
      <w:r w:rsidRPr="00BC6753">
        <w:rPr>
          <w:b/>
          <w:bCs/>
          <w:color w:val="auto"/>
        </w:rPr>
        <w:t>2b3.</w:t>
      </w:r>
      <w:r w:rsidR="00A25024" w:rsidRPr="00BC6753">
        <w:rPr>
          <w:b/>
          <w:bCs/>
          <w:color w:val="auto"/>
        </w:rPr>
        <w:t>1. Describe the method of</w:t>
      </w:r>
      <w:r w:rsidR="00E672D6" w:rsidRPr="00BC6753">
        <w:rPr>
          <w:b/>
          <w:bCs/>
          <w:color w:val="auto"/>
        </w:rPr>
        <w:t xml:space="preserve"> </w:t>
      </w:r>
      <w:r w:rsidR="005333CC" w:rsidRPr="00BC6753">
        <w:rPr>
          <w:b/>
          <w:bCs/>
          <w:color w:val="auto"/>
        </w:rPr>
        <w:t>testing</w:t>
      </w:r>
      <w:r w:rsidR="00833325" w:rsidRPr="00BC6753">
        <w:rPr>
          <w:b/>
          <w:bCs/>
          <w:color w:val="auto"/>
        </w:rPr>
        <w:t xml:space="preserve"> </w:t>
      </w:r>
      <w:r w:rsidR="004B6CEE" w:rsidRPr="00BC6753">
        <w:rPr>
          <w:b/>
          <w:bCs/>
          <w:color w:val="auto"/>
        </w:rPr>
        <w:t xml:space="preserve">exclusions </w:t>
      </w:r>
      <w:r w:rsidR="00A25024" w:rsidRPr="00BC6753">
        <w:rPr>
          <w:b/>
          <w:bCs/>
          <w:color w:val="auto"/>
        </w:rPr>
        <w:t>and what it tests</w:t>
      </w:r>
      <w:r w:rsidR="00833325" w:rsidRPr="00BC6753">
        <w:rPr>
          <w:bCs/>
          <w:color w:val="auto"/>
        </w:rPr>
        <w:t xml:space="preserve"> (</w:t>
      </w:r>
      <w:r w:rsidR="00A25024" w:rsidRPr="00BC6753">
        <w:rPr>
          <w:bCs/>
          <w:i/>
          <w:color w:val="auto"/>
        </w:rPr>
        <w:t>describe the steps―do not just name a method; what was tested, e.g., whether exclusions affect overall performance scores</w:t>
      </w:r>
      <w:r w:rsidR="0022691B" w:rsidRPr="00BC6753">
        <w:rPr>
          <w:bCs/>
          <w:i/>
          <w:color w:val="auto"/>
        </w:rPr>
        <w:t>; what statistical analysis was used</w:t>
      </w:r>
      <w:r w:rsidR="00833325" w:rsidRPr="00BC6753">
        <w:rPr>
          <w:bCs/>
          <w:color w:val="auto"/>
        </w:rPr>
        <w:t>)</w:t>
      </w:r>
      <w:r w:rsidR="00D86D7F">
        <w:rPr>
          <w:bCs/>
        </w:rPr>
        <w:br/>
      </w:r>
    </w:p>
    <w:p w14:paraId="5E5EADD6" w14:textId="77777777" w:rsidR="002B2D7C" w:rsidRDefault="002B2D7C" w:rsidP="002B2D7C">
      <w:pPr>
        <w:pStyle w:val="NQFMeasureStyle"/>
        <w:ind w:left="0"/>
        <w:rPr>
          <w:rStyle w:val="FormTextChar"/>
        </w:rPr>
      </w:pPr>
      <w:r>
        <w:rPr>
          <w:rStyle w:val="FormTextChar"/>
        </w:rPr>
        <w:t>Using the 2013 data from 40 states, we examined the percent of potential denominator cases excluded by each criterion as listed in the measure specifications.</w:t>
      </w:r>
    </w:p>
    <w:p w14:paraId="76FAF698" w14:textId="77777777" w:rsidR="00D86D7F" w:rsidRPr="00A25024" w:rsidRDefault="00D86D7F" w:rsidP="00DB3627">
      <w:pPr>
        <w:autoSpaceDE w:val="0"/>
        <w:autoSpaceDN w:val="0"/>
        <w:adjustRightInd w:val="0"/>
        <w:spacing w:after="0" w:line="240" w:lineRule="auto"/>
        <w:rPr>
          <w:rFonts w:cstheme="minorHAnsi"/>
          <w:bCs/>
        </w:rPr>
      </w:pPr>
    </w:p>
    <w:p w14:paraId="1B928346" w14:textId="73B9113D" w:rsidR="007C471F" w:rsidRPr="00E45E2D" w:rsidRDefault="00092566" w:rsidP="00D86D7F">
      <w:pPr>
        <w:autoSpaceDE w:val="0"/>
        <w:autoSpaceDN w:val="0"/>
        <w:adjustRightInd w:val="0"/>
        <w:spacing w:after="0" w:line="240" w:lineRule="auto"/>
        <w:rPr>
          <w:rStyle w:val="FormTextChar"/>
          <w:rFonts w:ascii="Calibri" w:eastAsiaTheme="minorHAnsi" w:hAnsi="Calibri"/>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2A2658D5" w14:textId="352FA1EB" w:rsidR="00E71860" w:rsidRPr="00E45E2D" w:rsidRDefault="00E71860" w:rsidP="00E71860">
      <w:pPr>
        <w:autoSpaceDE w:val="0"/>
        <w:autoSpaceDN w:val="0"/>
        <w:adjustRightInd w:val="0"/>
        <w:spacing w:after="0" w:line="240" w:lineRule="auto"/>
        <w:rPr>
          <w:rStyle w:val="FormTextChar"/>
          <w:rFonts w:ascii="Calibri" w:eastAsiaTheme="minorHAnsi" w:hAnsi="Calibri"/>
        </w:rPr>
      </w:pPr>
      <w:r w:rsidRPr="00E45E2D">
        <w:rPr>
          <w:rStyle w:val="FormTextChar"/>
          <w:rFonts w:ascii="Calibri" w:eastAsiaTheme="minorHAnsi" w:hAnsi="Calibri"/>
        </w:rPr>
        <w:t xml:space="preserve">A total of 262 discharges were excluded due to diagnoses of cystic fibrosis and anomalies of the respiratory system. Removing this exclusion would increase the numerator count by </w:t>
      </w:r>
      <w:r w:rsidRPr="00E45E2D">
        <w:rPr>
          <w:rStyle w:val="FormTextChar"/>
          <w:rFonts w:eastAsiaTheme="minorHAnsi"/>
        </w:rPr>
        <w:t>0.1</w:t>
      </w:r>
      <w:r w:rsidR="002C3098" w:rsidRPr="00E45E2D">
        <w:rPr>
          <w:rStyle w:val="FormTextChar"/>
          <w:rFonts w:eastAsiaTheme="minorHAnsi"/>
        </w:rPr>
        <w:t>3</w:t>
      </w:r>
      <w:r w:rsidRPr="00E45E2D">
        <w:rPr>
          <w:rStyle w:val="FormTextChar"/>
          <w:rFonts w:eastAsiaTheme="minorHAnsi"/>
        </w:rPr>
        <w:t>%</w:t>
      </w:r>
      <w:r w:rsidRPr="00E45E2D">
        <w:rPr>
          <w:rStyle w:val="FormTextChar"/>
          <w:rFonts w:ascii="Calibri" w:eastAsiaTheme="minorHAnsi" w:hAnsi="Calibri"/>
        </w:rPr>
        <w:t xml:space="preserve">. The denominator does not change.  </w:t>
      </w:r>
      <w:r w:rsidRPr="00E45E2D">
        <w:rPr>
          <w:rStyle w:val="FormTextChar"/>
          <w:rFonts w:eastAsiaTheme="minorHAnsi"/>
        </w:rPr>
        <w:t>Although discharges transferred into a hospital are excluded</w:t>
      </w:r>
      <w:r w:rsidR="002C3098" w:rsidRPr="00E45E2D">
        <w:rPr>
          <w:rStyle w:val="FormTextChar"/>
          <w:rFonts w:eastAsiaTheme="minorHAnsi"/>
        </w:rPr>
        <w:t>,</w:t>
      </w:r>
      <w:r w:rsidRPr="00E45E2D">
        <w:rPr>
          <w:rStyle w:val="FormTextChar"/>
          <w:rFonts w:eastAsiaTheme="minorHAnsi"/>
        </w:rPr>
        <w:t xml:space="preserve"> these encounters are captured in the area level numerator via the originating hospitalization.  </w:t>
      </w:r>
    </w:p>
    <w:p w14:paraId="1C2AB8E0" w14:textId="77777777" w:rsidR="00E71860" w:rsidRPr="00E45E2D" w:rsidRDefault="00E71860" w:rsidP="00E71860">
      <w:pPr>
        <w:spacing w:after="0" w:line="240" w:lineRule="auto"/>
        <w:rPr>
          <w:rStyle w:val="FormTextChar"/>
          <w:rFonts w:eastAsiaTheme="minorHAnsi"/>
        </w:rPr>
      </w:pPr>
    </w:p>
    <w:p w14:paraId="2E032685" w14:textId="77777777" w:rsidR="00E71860" w:rsidRPr="00E45E2D" w:rsidRDefault="00E71860" w:rsidP="00E71860">
      <w:pPr>
        <w:spacing w:after="0" w:line="240" w:lineRule="auto"/>
        <w:rPr>
          <w:rStyle w:val="FormTextChar"/>
          <w:rFonts w:eastAsiaTheme="minorHAnsi"/>
        </w:rPr>
      </w:pPr>
      <w:r w:rsidRPr="00E45E2D">
        <w:rPr>
          <w:rStyle w:val="FormTextChar"/>
          <w:rFonts w:eastAsiaTheme="minorHAnsi"/>
        </w:rPr>
        <w:t xml:space="preserve">Source: HCUP State Inpatient Databases (SID). Healthcare Cost and Utilization Project (HCUP). 2013. Agency for Healthcare Research and Quality, Rockville, MD. </w:t>
      </w:r>
      <w:hyperlink r:id="rId17" w:history="1">
        <w:r w:rsidRPr="00E45E2D">
          <w:rPr>
            <w:rStyle w:val="FormTextChar"/>
            <w:rFonts w:eastAsiaTheme="minorHAnsi"/>
          </w:rPr>
          <w:t>www.hcup-us.ahrq.gov/sidoverview.jsp.</w:t>
        </w:r>
      </w:hyperlink>
      <w:r w:rsidRPr="00E45E2D">
        <w:rPr>
          <w:rStyle w:val="FormTextChar"/>
          <w:rFonts w:eastAsiaTheme="minorHAnsi"/>
        </w:rPr>
        <w:t xml:space="preserve"> (AHRQ QI Software Version 6.0)</w:t>
      </w:r>
    </w:p>
    <w:p w14:paraId="10410979" w14:textId="77777777" w:rsidR="00BC6753" w:rsidRDefault="00BC6753" w:rsidP="00BC6753">
      <w:pPr>
        <w:spacing w:after="0" w:line="240" w:lineRule="auto"/>
        <w:rPr>
          <w:rFonts w:ascii="Calibri" w:hAnsi="Calibri" w:cs="Calibri"/>
          <w:color w:val="0000FF"/>
        </w:rPr>
      </w:pPr>
    </w:p>
    <w:p w14:paraId="6E78DA38" w14:textId="77777777"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328C003" w14:textId="4EB5E27A" w:rsidR="00B3381B" w:rsidRDefault="00B3381B" w:rsidP="00E45E2D">
      <w:pPr>
        <w:pStyle w:val="NQFMeasureStyle"/>
        <w:ind w:left="0"/>
        <w:rPr>
          <w:rStyle w:val="FormTextChar"/>
        </w:rPr>
      </w:pPr>
      <w:r>
        <w:rPr>
          <w:rStyle w:val="FormTextChar"/>
        </w:rPr>
        <w:t xml:space="preserve">The exclusion </w:t>
      </w:r>
      <w:r w:rsidR="002C3098" w:rsidRPr="00E45E2D">
        <w:rPr>
          <w:rStyle w:val="FormTextChar"/>
        </w:rPr>
        <w:t>of cystic fibrosis and anomalies of the respiratory system</w:t>
      </w:r>
      <w:r w:rsidR="002C3098" w:rsidRPr="00593236">
        <w:rPr>
          <w:rStyle w:val="FormTextChar"/>
          <w:color w:val="0070C0"/>
        </w:rPr>
        <w:t xml:space="preserve"> </w:t>
      </w:r>
      <w:r>
        <w:rPr>
          <w:rStyle w:val="FormTextChar"/>
        </w:rPr>
        <w:t>has been retained to increase the face validity of the measure and to align the measure with the older adult and pediatric PQI/PDI for asthma/COPD admissions, although the impact on</w:t>
      </w:r>
      <w:r w:rsidR="003F6238">
        <w:rPr>
          <w:rStyle w:val="FormTextChar"/>
        </w:rPr>
        <w:t xml:space="preserve"> the numerator is minor for PQI</w:t>
      </w:r>
      <w:r>
        <w:rPr>
          <w:rStyle w:val="FormTextChar"/>
        </w:rPr>
        <w:t>15</w:t>
      </w:r>
      <w:r w:rsidRPr="00784C78">
        <w:rPr>
          <w:rStyle w:val="FormTextChar"/>
        </w:rPr>
        <w:t>.</w:t>
      </w:r>
      <w:r>
        <w:rPr>
          <w:rStyle w:val="FormTextChar"/>
        </w:rPr>
        <w:t xml:space="preserve"> Patients meeting the exclusion are identifiable without additional burden using the same data as is used to identify numerator qualifying discharges. </w:t>
      </w:r>
    </w:p>
    <w:p w14:paraId="15408B6A" w14:textId="77777777" w:rsidR="00B3381B" w:rsidRDefault="00B3381B" w:rsidP="00E45E2D">
      <w:pPr>
        <w:pStyle w:val="NQFMeasureStyle"/>
        <w:ind w:left="0"/>
        <w:rPr>
          <w:rStyle w:val="FormTextChar"/>
        </w:rPr>
      </w:pPr>
    </w:p>
    <w:p w14:paraId="036C07EE" w14:textId="604FAFBC" w:rsidR="00556832" w:rsidRDefault="00F970BA" w:rsidP="00E45E2D">
      <w:pPr>
        <w:pStyle w:val="NQFMeasureStyle"/>
        <w:ind w:left="0"/>
        <w:rPr>
          <w:rStyle w:val="FormTextChar"/>
        </w:rPr>
      </w:pPr>
      <w:r w:rsidRPr="00F970BA">
        <w:t>The indicator excludes patients with severe chronic respiratory diseases, because asthma in the context of these diseases differs clinically from the patients with asthma alone. </w:t>
      </w:r>
    </w:p>
    <w:p w14:paraId="2D588EAE"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39667843"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lastRenderedPageBreak/>
        <w:t>2b4. RISK ADJUSTMENT/STRATIFICATION FOR OUTCOME OR RESOURCE USE MEASURES</w:t>
      </w:r>
      <w:r w:rsidRPr="00A25024">
        <w:rPr>
          <w:rFonts w:cstheme="minorHAnsi"/>
          <w:bCs/>
        </w:rPr>
        <w:br/>
      </w:r>
      <w:r w:rsidR="00AC1D8E" w:rsidRPr="00784C78">
        <w:rPr>
          <w:rFonts w:cstheme="minorHAnsi"/>
          <w:b/>
          <w:bCs/>
          <w:i/>
        </w:rPr>
        <w:t>If not an intermediate or health outcome</w:t>
      </w:r>
      <w:r w:rsidR="00127C06" w:rsidRPr="00784C78">
        <w:rPr>
          <w:rFonts w:cstheme="minorHAnsi"/>
          <w:b/>
          <w:bCs/>
          <w:i/>
        </w:rPr>
        <w:t>,</w:t>
      </w:r>
      <w:r w:rsidR="00AC1D8E" w:rsidRPr="00784C78">
        <w:rPr>
          <w:rFonts w:cstheme="minorHAnsi"/>
          <w:b/>
          <w:bCs/>
          <w:i/>
        </w:rPr>
        <w:t xml:space="preserve"> </w:t>
      </w:r>
      <w:r w:rsidR="00127C06" w:rsidRPr="00784C78">
        <w:rPr>
          <w:rFonts w:cstheme="minorHAnsi"/>
          <w:b/>
          <w:bCs/>
          <w:i/>
        </w:rPr>
        <w:t xml:space="preserve">or PRO-PM, </w:t>
      </w:r>
      <w:r w:rsidR="00AC1D8E" w:rsidRPr="00784C78">
        <w:rPr>
          <w:rFonts w:cstheme="minorHAnsi"/>
          <w:b/>
          <w:bCs/>
          <w:i/>
        </w:rPr>
        <w:t xml:space="preserve">or resource use measure, </w:t>
      </w:r>
      <w:r w:rsidR="00BE592D" w:rsidRPr="00784C78">
        <w:rPr>
          <w:rFonts w:cstheme="minorHAnsi"/>
          <w:b/>
          <w:bCs/>
          <w:i/>
        </w:rPr>
        <w:t xml:space="preserve">skip to section </w:t>
      </w:r>
      <w:hyperlink w:anchor="section2b5" w:history="1">
        <w:r w:rsidR="00BE592D" w:rsidRPr="00AC6C00">
          <w:rPr>
            <w:rStyle w:val="Hyperlink"/>
            <w:rFonts w:cstheme="minorHAnsi"/>
            <w:b/>
            <w:bCs/>
            <w:i/>
          </w:rPr>
          <w:t>2b5</w:t>
        </w:r>
      </w:hyperlink>
      <w:r w:rsidR="00BE592D" w:rsidRPr="00AC6C00">
        <w:rPr>
          <w:rFonts w:cstheme="minorHAnsi"/>
          <w:b/>
          <w:bCs/>
          <w:i/>
        </w:rPr>
        <w:t>.</w:t>
      </w:r>
    </w:p>
    <w:p w14:paraId="2B206E05" w14:textId="77777777" w:rsidR="008871A9" w:rsidRDefault="008871A9" w:rsidP="00092566">
      <w:pPr>
        <w:autoSpaceDE w:val="0"/>
        <w:autoSpaceDN w:val="0"/>
        <w:adjustRightInd w:val="0"/>
        <w:spacing w:after="0" w:line="240" w:lineRule="auto"/>
        <w:rPr>
          <w:rFonts w:cstheme="minorHAnsi"/>
          <w:b/>
          <w:bCs/>
        </w:rPr>
      </w:pPr>
    </w:p>
    <w:p w14:paraId="16297AD4"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5059D5A8" w14:textId="77777777" w:rsidR="00033038" w:rsidRPr="005232D6" w:rsidRDefault="00E56677"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166622E" w14:textId="2C9535E2" w:rsidR="00743E46" w:rsidRPr="005232D6" w:rsidRDefault="00E56677"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Content>
          <w:r w:rsidR="00476892">
            <w:rPr>
              <w:rFonts w:ascii="MS Gothic" w:eastAsia="MS Gothic" w:cstheme="minorHAnsi" w:hint="eastAsia"/>
              <w:bCs/>
              <w:color w:val="0000FF"/>
            </w:rPr>
            <w:t>☒</w:t>
          </w:r>
        </w:sdtContent>
      </w:sdt>
      <w:r w:rsidR="006574D2">
        <w:rPr>
          <w:rFonts w:cstheme="minorHAnsi"/>
          <w:bCs/>
          <w:color w:val="0000FF"/>
        </w:rPr>
        <w:t xml:space="preserve"> </w:t>
      </w:r>
      <w:r w:rsidR="00743E46" w:rsidRPr="00784C78">
        <w:rPr>
          <w:rFonts w:cstheme="minorHAnsi"/>
          <w:b/>
          <w:bCs/>
        </w:rPr>
        <w:t xml:space="preserve">Statistical risk model with </w:t>
      </w:r>
      <w:sdt>
        <w:sdtPr>
          <w:rPr>
            <w:rStyle w:val="NQFMeasureStyleChar"/>
          </w:rPr>
          <w:id w:val="309760327"/>
          <w:text/>
        </w:sdtPr>
        <w:sdtContent>
          <w:r w:rsidR="00C61382" w:rsidRPr="003F6238">
            <w:rPr>
              <w:rStyle w:val="NQFMeasureStyleChar"/>
            </w:rPr>
            <w:t>23</w:t>
          </w:r>
        </w:sdtContent>
      </w:sdt>
      <w:r w:rsidR="00E562C0" w:rsidRPr="00784C78">
        <w:rPr>
          <w:rStyle w:val="Style4"/>
          <w:u w:val="none"/>
        </w:rPr>
        <w:t xml:space="preserve"> </w:t>
      </w:r>
      <w:r w:rsidR="00743E46" w:rsidRPr="00784C78">
        <w:rPr>
          <w:rFonts w:cstheme="minorHAnsi"/>
          <w:b/>
          <w:bCs/>
        </w:rPr>
        <w:t>risk factors</w:t>
      </w:r>
    </w:p>
    <w:p w14:paraId="6FD13182" w14:textId="77777777" w:rsidR="00743E46" w:rsidRPr="005232D6" w:rsidRDefault="00E56677"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7654E46" w14:textId="77777777" w:rsidR="00743E46" w:rsidRPr="005232D6" w:rsidRDefault="00E56677"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1478ABA0" w14:textId="77777777" w:rsidR="00743E46" w:rsidRDefault="00743E46" w:rsidP="00092566">
      <w:pPr>
        <w:autoSpaceDE w:val="0"/>
        <w:autoSpaceDN w:val="0"/>
        <w:adjustRightInd w:val="0"/>
        <w:spacing w:after="0" w:line="240" w:lineRule="auto"/>
        <w:rPr>
          <w:rFonts w:cstheme="minorHAnsi"/>
          <w:b/>
          <w:bCs/>
        </w:rPr>
      </w:pPr>
    </w:p>
    <w:p w14:paraId="25EE6F75" w14:textId="7DC383A9" w:rsidR="00092566" w:rsidRDefault="00743E46" w:rsidP="00B3381B">
      <w:pPr>
        <w:autoSpaceDE w:val="0"/>
        <w:autoSpaceDN w:val="0"/>
        <w:adjustRightInd w:val="0"/>
        <w:spacing w:after="0" w:line="240" w:lineRule="auto"/>
        <w:rPr>
          <w:rFonts w:cstheme="minorHAnsi"/>
          <w:bCs/>
          <w:color w:val="0000FF"/>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C61382">
        <w:rPr>
          <w:rFonts w:cstheme="minorHAnsi"/>
          <w:bCs/>
          <w:color w:val="0000FF"/>
        </w:rPr>
        <w:t>Not applicable</w:t>
      </w:r>
      <w:r w:rsidR="006A4239">
        <w:rPr>
          <w:rFonts w:cstheme="minorHAnsi"/>
          <w:bCs/>
          <w:color w:val="0000FF"/>
        </w:rPr>
        <w:t xml:space="preserve"> </w:t>
      </w:r>
    </w:p>
    <w:p w14:paraId="509EE666" w14:textId="77777777" w:rsidR="00B3381B" w:rsidRPr="00A25024" w:rsidRDefault="00B3381B" w:rsidP="00B3381B">
      <w:pPr>
        <w:autoSpaceDE w:val="0"/>
        <w:autoSpaceDN w:val="0"/>
        <w:adjustRightInd w:val="0"/>
        <w:spacing w:after="0" w:line="240" w:lineRule="auto"/>
        <w:rPr>
          <w:rFonts w:cstheme="minorHAnsi"/>
          <w:bCs/>
        </w:rPr>
      </w:pPr>
    </w:p>
    <w:p w14:paraId="4736A190" w14:textId="689A2954" w:rsidR="00092566" w:rsidRDefault="00092566" w:rsidP="00001D73">
      <w:pPr>
        <w:autoSpaceDE w:val="0"/>
        <w:autoSpaceDN w:val="0"/>
        <w:adjustRightInd w:val="0"/>
        <w:spacing w:after="0" w:line="240" w:lineRule="auto"/>
        <w:rPr>
          <w:rFonts w:cstheme="minorHAnsi"/>
          <w:bCs/>
        </w:rPr>
      </w:pPr>
      <w:r w:rsidRPr="00784C78">
        <w:rPr>
          <w:rFonts w:cstheme="minorHAnsi"/>
          <w:b/>
          <w:bCs/>
        </w:rPr>
        <w:t xml:space="preserve">2b4.3. </w:t>
      </w:r>
      <w:r w:rsidR="00927027" w:rsidRPr="00784C78">
        <w:rPr>
          <w:rFonts w:cstheme="minorHAnsi"/>
          <w:b/>
          <w:bCs/>
        </w:rPr>
        <w:t>Describe</w:t>
      </w:r>
      <w:r w:rsidRPr="00784C78">
        <w:rPr>
          <w:rFonts w:cstheme="minorHAnsi"/>
          <w:b/>
          <w:bCs/>
        </w:rPr>
        <w:t xml:space="preserve"> the conceptual/clinical </w:t>
      </w:r>
      <w:r w:rsidRPr="00784C78">
        <w:rPr>
          <w:rFonts w:cstheme="minorHAnsi"/>
          <w:b/>
          <w:bCs/>
          <w:u w:val="single"/>
        </w:rPr>
        <w:t>and</w:t>
      </w:r>
      <w:r w:rsidRPr="00784C78">
        <w:rPr>
          <w:rFonts w:cstheme="minorHAnsi"/>
          <w:b/>
          <w:bCs/>
        </w:rPr>
        <w:t xml:space="preserve"> statistical methods and criteria used to select </w:t>
      </w:r>
      <w:r w:rsidR="005363F1" w:rsidRPr="00784C78">
        <w:rPr>
          <w:rFonts w:cstheme="minorHAnsi"/>
          <w:b/>
          <w:bCs/>
        </w:rPr>
        <w:t xml:space="preserve">patient </w:t>
      </w:r>
      <w:r w:rsidRPr="00784C78">
        <w:rPr>
          <w:rFonts w:cstheme="minorHAnsi"/>
          <w:b/>
          <w:bCs/>
        </w:rPr>
        <w:t xml:space="preserve">factors </w:t>
      </w:r>
      <w:r w:rsidR="0021054A" w:rsidRPr="00784C78">
        <w:rPr>
          <w:rFonts w:cstheme="minorHAnsi"/>
          <w:b/>
          <w:bCs/>
        </w:rPr>
        <w:t>(</w:t>
      </w:r>
      <w:r w:rsidR="00E967AD" w:rsidRPr="00784C78">
        <w:rPr>
          <w:rFonts w:cstheme="minorHAnsi"/>
          <w:b/>
          <w:bCs/>
        </w:rPr>
        <w:t xml:space="preserve">clinical factors or </w:t>
      </w:r>
      <w:r w:rsidR="0021054A" w:rsidRPr="00784C78">
        <w:rPr>
          <w:rFonts w:cstheme="minorHAnsi"/>
          <w:b/>
          <w:bCs/>
        </w:rPr>
        <w:t xml:space="preserve">sociodemographic factors) </w:t>
      </w:r>
      <w:r w:rsidRPr="00784C78">
        <w:rPr>
          <w:rFonts w:cstheme="minorHAnsi"/>
          <w:b/>
          <w:bCs/>
        </w:rPr>
        <w:t>used in the statistical risk model or for stratification by risk</w:t>
      </w:r>
      <w:r w:rsidR="00927027" w:rsidRPr="00784C78">
        <w:rPr>
          <w:rFonts w:cstheme="minorHAnsi"/>
          <w:b/>
          <w:bCs/>
        </w:rPr>
        <w:t xml:space="preserve"> </w:t>
      </w:r>
      <w:r w:rsidRPr="00784C78">
        <w:rPr>
          <w:rFonts w:cstheme="minorHAnsi"/>
          <w:bCs/>
        </w:rPr>
        <w:t>(</w:t>
      </w:r>
      <w:r w:rsidRPr="00784C78">
        <w:rPr>
          <w:rFonts w:cstheme="minorHAnsi"/>
          <w:bCs/>
          <w:i/>
        </w:rPr>
        <w:t xml:space="preserve">e.g., potential factors identified in </w:t>
      </w:r>
      <w:r w:rsidR="005363F1" w:rsidRPr="00784C78">
        <w:rPr>
          <w:rFonts w:cstheme="minorHAnsi"/>
          <w:bCs/>
          <w:i/>
        </w:rPr>
        <w:t xml:space="preserve">the </w:t>
      </w:r>
      <w:r w:rsidRPr="00784C78">
        <w:rPr>
          <w:rFonts w:cstheme="minorHAnsi"/>
          <w:bCs/>
          <w:i/>
        </w:rPr>
        <w:t>literature and/or expert panel; regression analysis; statistical significance of p&lt;0.10; correlation of x or higher</w:t>
      </w:r>
      <w:r w:rsidR="005363F1" w:rsidRPr="00784C78">
        <w:rPr>
          <w:rFonts w:cstheme="minorHAnsi"/>
          <w:bCs/>
          <w:i/>
        </w:rPr>
        <w:t>; patient factors should be present at the start of care</w:t>
      </w:r>
      <w:r w:rsidRPr="00784C78">
        <w:rPr>
          <w:rFonts w:cstheme="minorHAnsi"/>
          <w:bCs/>
        </w:rPr>
        <w:t>)</w:t>
      </w:r>
      <w:r w:rsidRPr="00A25024">
        <w:rPr>
          <w:rFonts w:cstheme="minorHAnsi"/>
          <w:bCs/>
        </w:rPr>
        <w:br/>
      </w:r>
    </w:p>
    <w:p w14:paraId="4247443E" w14:textId="1A5AF807" w:rsidR="003F6238" w:rsidRPr="00E45E2D" w:rsidRDefault="00B3381B" w:rsidP="00E45E2D">
      <w:pPr>
        <w:autoSpaceDE w:val="0"/>
        <w:autoSpaceDN w:val="0"/>
        <w:adjustRightInd w:val="0"/>
        <w:spacing w:after="120" w:line="240" w:lineRule="auto"/>
        <w:rPr>
          <w:rFonts w:cs="Times New Roman"/>
          <w:b/>
          <w:i/>
          <w:color w:val="0000FF"/>
        </w:rPr>
      </w:pPr>
      <w:r>
        <w:rPr>
          <w:rFonts w:cs="Times New Roman"/>
          <w:b/>
          <w:i/>
          <w:color w:val="0000FF"/>
        </w:rPr>
        <w:t>Sociodemographic Factors</w:t>
      </w:r>
    </w:p>
    <w:p w14:paraId="2B06C892" w14:textId="2EE9DF37" w:rsidR="00B3381B" w:rsidRPr="003F6238" w:rsidRDefault="00B3381B" w:rsidP="00E45E2D">
      <w:pPr>
        <w:pStyle w:val="NQFMeasureStyle"/>
        <w:spacing w:after="120"/>
        <w:ind w:left="0"/>
      </w:pPr>
      <w:r w:rsidRPr="003F6238">
        <w:t>The risk model inc</w:t>
      </w:r>
      <w:r w:rsidR="00106283">
        <w:t>l</w:t>
      </w:r>
      <w:r w:rsidRPr="003F6238">
        <w:t>udes age and gender of the population</w:t>
      </w:r>
      <w:r w:rsidR="00E72238">
        <w:t xml:space="preserve">. </w:t>
      </w:r>
    </w:p>
    <w:p w14:paraId="37BE509A" w14:textId="5D24FD12" w:rsidR="00D138B8" w:rsidRDefault="00B3381B" w:rsidP="00E45E2D">
      <w:pPr>
        <w:pStyle w:val="NQFMeasureStyle"/>
        <w:spacing w:after="120"/>
        <w:ind w:left="0"/>
      </w:pPr>
      <w:r w:rsidRPr="003F6238">
        <w:t xml:space="preserve">We considered multiple </w:t>
      </w:r>
      <w:r w:rsidR="00CE4E7D">
        <w:t xml:space="preserve">income </w:t>
      </w:r>
      <w:r w:rsidRPr="003F6238">
        <w:t xml:space="preserve">risk factors for inclusion in the model, including % of households under the federal poverty level, household income, </w:t>
      </w:r>
      <w:proofErr w:type="gramStart"/>
      <w:r w:rsidRPr="003F6238">
        <w:t>median</w:t>
      </w:r>
      <w:proofErr w:type="gramEnd"/>
      <w:r w:rsidRPr="003F6238">
        <w:t xml:space="preserve"> % of poverty level (e.g. 200% of federal poverty level). The Public Health Disparities Geocoding Project has completed extensive evaluation of alternative income variables and has demonstrated that the percent poverty varia</w:t>
      </w:r>
      <w:r w:rsidR="00106283">
        <w:t>ble consistently detects expected</w:t>
      </w:r>
      <w:r w:rsidRPr="003F6238">
        <w:t xml:space="preserve"> gradients in hea</w:t>
      </w:r>
      <w:r w:rsidR="00106283">
        <w:t>l</w:t>
      </w:r>
      <w:r w:rsidRPr="003F6238">
        <w:t>th across hea</w:t>
      </w:r>
      <w:r w:rsidR="003F6238" w:rsidRPr="003F6238">
        <w:t>l</w:t>
      </w:r>
      <w:r w:rsidRPr="003F6238">
        <w:t xml:space="preserve">th outcomes, is widely available, </w:t>
      </w:r>
      <w:proofErr w:type="gramStart"/>
      <w:r w:rsidRPr="003F6238">
        <w:t>has</w:t>
      </w:r>
      <w:proofErr w:type="gramEnd"/>
      <w:r w:rsidRPr="003F6238">
        <w:t xml:space="preserve"> a low rate of missing data even at the census tract level</w:t>
      </w:r>
      <w:r w:rsidR="003F6238" w:rsidRPr="003F6238">
        <w:rPr>
          <w:rStyle w:val="FootnoteReference"/>
          <w:sz w:val="20"/>
          <w:szCs w:val="20"/>
        </w:rPr>
        <w:footnoteReference w:id="6"/>
      </w:r>
      <w:r w:rsidRPr="003F6238">
        <w:t>. Our team has explored alternative income variables that do not outperform the poverty level variable (data not shown).</w:t>
      </w:r>
      <w:r>
        <w:t xml:space="preserve"> </w:t>
      </w:r>
    </w:p>
    <w:p w14:paraId="1B26E4B0" w14:textId="743E11FA" w:rsidR="00D138B8" w:rsidRPr="006A4239" w:rsidRDefault="00D138B8" w:rsidP="00E45E2D">
      <w:pPr>
        <w:pStyle w:val="NQFMeasureStyle"/>
        <w:ind w:left="0"/>
      </w:pPr>
      <w:r w:rsidRPr="00CE4E7D">
        <w:t xml:space="preserve">We </w:t>
      </w:r>
      <w:r w:rsidR="007211F9">
        <w:t xml:space="preserve">also </w:t>
      </w:r>
      <w:r w:rsidRPr="00CE4E7D">
        <w:t>considered a conceptual model that acknowledged the impact of community factors such as clean air, exposure to tobacco smoke</w:t>
      </w:r>
      <w:r w:rsidRPr="00E71860">
        <w:t xml:space="preserve">, access to healthy foods, open space for exercise along with community norms and beliefs.  However, these are factors that are difficult to measure within the framework of the AHRQ Qis, i.e., use with administrative data.  These community </w:t>
      </w:r>
      <w:proofErr w:type="gramStart"/>
      <w:r w:rsidRPr="00E71860">
        <w:t>factors  can</w:t>
      </w:r>
      <w:proofErr w:type="gramEnd"/>
      <w:r w:rsidRPr="00E71860">
        <w:t xml:space="preserve"> impact prevention of </w:t>
      </w:r>
      <w:r w:rsidR="00E71860" w:rsidRPr="00E71860">
        <w:t>asthma</w:t>
      </w:r>
      <w:r w:rsidRPr="00E71860">
        <w:t xml:space="preserve"> and self-care for </w:t>
      </w:r>
      <w:r w:rsidR="00E71860" w:rsidRPr="00E71860">
        <w:t>asthma</w:t>
      </w:r>
      <w:r w:rsidRPr="00E71860">
        <w:t>, which in turn can impact hospitalization rates. Poverty can be a mitigating factor, inasmuch as impoverished communities are more likely to experience housing and food ins</w:t>
      </w:r>
      <w:r w:rsidRPr="00CE4E7D">
        <w:t>ecurity</w:t>
      </w:r>
      <w:r w:rsidRPr="00A860EE">
        <w:rPr>
          <w:rStyle w:val="FootnoteReference"/>
          <w:sz w:val="20"/>
          <w:szCs w:val="20"/>
        </w:rPr>
        <w:footnoteReference w:id="7"/>
      </w:r>
      <w:r w:rsidRPr="00A860EE">
        <w:t>, air pollution</w:t>
      </w:r>
      <w:r w:rsidRPr="00A860EE">
        <w:rPr>
          <w:rStyle w:val="FootnoteReference"/>
          <w:sz w:val="20"/>
          <w:szCs w:val="20"/>
        </w:rPr>
        <w:footnoteReference w:id="8"/>
      </w:r>
      <w:r w:rsidRPr="00A860EE">
        <w:t xml:space="preserve">, occupational exposure and have higher smoking rates. The relationship between environment, income and health is complex and the mechanism is not fully understood. </w:t>
      </w:r>
    </w:p>
    <w:p w14:paraId="6DF98783" w14:textId="77777777" w:rsidR="006A4239" w:rsidRPr="00034829" w:rsidRDefault="006A4239" w:rsidP="00001D73">
      <w:pPr>
        <w:autoSpaceDE w:val="0"/>
        <w:autoSpaceDN w:val="0"/>
        <w:adjustRightInd w:val="0"/>
        <w:spacing w:after="0" w:line="240" w:lineRule="auto"/>
        <w:rPr>
          <w:rFonts w:cs="Times New Roman"/>
          <w:color w:val="0000FF"/>
        </w:rPr>
      </w:pPr>
    </w:p>
    <w:p w14:paraId="1B321434" w14:textId="77777777" w:rsidR="00DF63AB" w:rsidRDefault="00092566" w:rsidP="00DF63AB">
      <w:pPr>
        <w:autoSpaceDE w:val="0"/>
        <w:autoSpaceDN w:val="0"/>
        <w:adjustRightInd w:val="0"/>
        <w:spacing w:after="0" w:line="240" w:lineRule="auto"/>
        <w:rPr>
          <w:rFonts w:cstheme="minorHAnsi"/>
          <w:b/>
          <w:bCs/>
        </w:rPr>
      </w:pPr>
      <w:r>
        <w:rPr>
          <w:rFonts w:cstheme="minorHAnsi"/>
          <w:b/>
          <w:bCs/>
        </w:rPr>
        <w:t>2b4.4</w:t>
      </w:r>
      <w:r w:rsidR="00193F21">
        <w:rPr>
          <w:rFonts w:cstheme="minorHAnsi"/>
          <w:b/>
          <w:bCs/>
        </w:rPr>
        <w:t>a</w:t>
      </w:r>
      <w:r>
        <w:rPr>
          <w:rFonts w:cstheme="minorHAnsi"/>
          <w:b/>
          <w:bCs/>
        </w:rPr>
        <w:t xml:space="preserve">.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p>
    <w:p w14:paraId="4311C8ED" w14:textId="77777777" w:rsidR="003F6238" w:rsidRDefault="003F6238" w:rsidP="00B3381B">
      <w:pPr>
        <w:pStyle w:val="Default"/>
        <w:rPr>
          <w:rFonts w:asciiTheme="minorHAnsi" w:hAnsiTheme="minorHAnsi" w:cs="Calibri"/>
          <w:color w:val="0000FF"/>
          <w:sz w:val="22"/>
          <w:szCs w:val="22"/>
        </w:rPr>
      </w:pPr>
    </w:p>
    <w:p w14:paraId="6075498D" w14:textId="77777777" w:rsidR="00B3381B" w:rsidRDefault="00B3381B" w:rsidP="00E45E2D">
      <w:pPr>
        <w:pStyle w:val="NQFMeasureStyle"/>
        <w:ind w:left="0"/>
      </w:pPr>
      <w:r>
        <w:t xml:space="preserve">The process to select risk factors is described in the AHRQ QI Empirical Methods report. The results of the analyses are provided in </w:t>
      </w:r>
      <w:r w:rsidRPr="003F6238">
        <w:t>the PQI Parameter</w:t>
      </w:r>
      <w:r>
        <w:t xml:space="preserve"> Estimates document. Both documents are available to reviewers in the supporting materials. The results of the analyses are provided in the tables below as well as on the submitted excel spreadsheet. </w:t>
      </w:r>
    </w:p>
    <w:p w14:paraId="0E939B6A" w14:textId="77777777" w:rsidR="00B3381B" w:rsidRDefault="00B3381B" w:rsidP="00E45E2D">
      <w:pPr>
        <w:pStyle w:val="NQFMeasureStyle"/>
        <w:ind w:left="0"/>
      </w:pPr>
    </w:p>
    <w:p w14:paraId="4FBDE848" w14:textId="77777777" w:rsidR="00B3381B" w:rsidRDefault="00B3381B" w:rsidP="00E45E2D">
      <w:pPr>
        <w:pStyle w:val="NQFMeasureStyle"/>
        <w:ind w:left="0"/>
      </w:pPr>
      <w:r>
        <w:t xml:space="preserve">There are several steps involved in estimating the QI risk-adjustment models. </w:t>
      </w:r>
    </w:p>
    <w:p w14:paraId="4384E387" w14:textId="79B1B85F" w:rsidR="00B3381B" w:rsidRDefault="00B3381B" w:rsidP="00E45E2D">
      <w:pPr>
        <w:pStyle w:val="NQFMeasureStyle"/>
        <w:numPr>
          <w:ilvl w:val="0"/>
          <w:numId w:val="42"/>
        </w:numPr>
        <w:ind w:left="1080"/>
      </w:pPr>
      <w:r>
        <w:t xml:space="preserve">Construct candidate covariates </w:t>
      </w:r>
    </w:p>
    <w:p w14:paraId="5C1995EC" w14:textId="2C7CCC53" w:rsidR="00B3381B" w:rsidRDefault="00B3381B" w:rsidP="00E45E2D">
      <w:pPr>
        <w:pStyle w:val="NQFMeasureStyle"/>
        <w:numPr>
          <w:ilvl w:val="0"/>
          <w:numId w:val="42"/>
        </w:numPr>
        <w:ind w:left="1080"/>
      </w:pPr>
      <w:r>
        <w:t xml:space="preserve">Select model covariates </w:t>
      </w:r>
    </w:p>
    <w:p w14:paraId="5C995D71" w14:textId="2496B1DF" w:rsidR="00B3381B" w:rsidRDefault="00B3381B" w:rsidP="00E45E2D">
      <w:pPr>
        <w:pStyle w:val="NQFMeasureStyle"/>
        <w:numPr>
          <w:ilvl w:val="0"/>
          <w:numId w:val="42"/>
        </w:numPr>
        <w:ind w:left="1080"/>
      </w:pPr>
      <w:r>
        <w:t xml:space="preserve">Estimate the models </w:t>
      </w:r>
    </w:p>
    <w:p w14:paraId="02A2A8AC" w14:textId="44326E56" w:rsidR="00B3381B" w:rsidRDefault="00B3381B" w:rsidP="00E45E2D">
      <w:pPr>
        <w:pStyle w:val="NQFMeasureStyle"/>
        <w:numPr>
          <w:ilvl w:val="0"/>
          <w:numId w:val="42"/>
        </w:numPr>
        <w:ind w:left="1080"/>
      </w:pPr>
      <w:r>
        <w:t xml:space="preserve">Evaluate the models </w:t>
      </w:r>
    </w:p>
    <w:p w14:paraId="352D8230" w14:textId="77777777" w:rsidR="00B3381B" w:rsidRDefault="00B3381B" w:rsidP="00E45E2D">
      <w:pPr>
        <w:pStyle w:val="NQFMeasureStyle"/>
        <w:ind w:left="0"/>
      </w:pPr>
    </w:p>
    <w:p w14:paraId="2DE82BA8" w14:textId="77777777" w:rsidR="00B3381B" w:rsidRDefault="00B3381B" w:rsidP="00E45E2D">
      <w:pPr>
        <w:pStyle w:val="NQFMeasureStyle"/>
        <w:ind w:left="0"/>
      </w:pPr>
      <w:r>
        <w:t xml:space="preserve">Covariates are coded for each discharge record based on the data elements, data values, and logic described in the technical specifications and the appendices of the risk-adjustment coefficient tables. For a given covariate, </w:t>
      </w:r>
      <w:r w:rsidRPr="00094E93">
        <w:rPr>
          <w:rFonts w:cs="Times New Roman"/>
        </w:rPr>
        <w:t>if the discharge meet</w:t>
      </w:r>
      <w:r w:rsidRPr="007D5828">
        <w:rPr>
          <w:rFonts w:cs="Times New Roman"/>
        </w:rPr>
        <w:t>s the technical specification for that covariate a value of “1” is assigned to the discharge level covariate data element. Otherwise a value of “0”</w:t>
      </w:r>
      <w:r>
        <w:t xml:space="preserve"> is assigned to the discharge level covariate data element.</w:t>
      </w:r>
    </w:p>
    <w:p w14:paraId="01D846F6" w14:textId="77777777" w:rsidR="00DF63AB" w:rsidRDefault="00DF63AB" w:rsidP="00DF63AB">
      <w:pPr>
        <w:autoSpaceDE w:val="0"/>
        <w:autoSpaceDN w:val="0"/>
        <w:adjustRightInd w:val="0"/>
        <w:spacing w:after="0" w:line="240" w:lineRule="auto"/>
        <w:rPr>
          <w:rFonts w:ascii="Calibri" w:eastAsia="Times New Roman" w:hAnsi="Calibri" w:cs="Calibri"/>
          <w:b/>
          <w:bCs/>
          <w:sz w:val="24"/>
          <w:szCs w:val="24"/>
        </w:rPr>
      </w:pPr>
    </w:p>
    <w:p w14:paraId="4365BA0F" w14:textId="023F9471" w:rsidR="003F6238" w:rsidRPr="007A6B72" w:rsidRDefault="003F6238" w:rsidP="003F6238">
      <w:pPr>
        <w:keepNext/>
        <w:autoSpaceDE w:val="0"/>
        <w:autoSpaceDN w:val="0"/>
        <w:adjustRightInd w:val="0"/>
        <w:spacing w:after="0" w:line="240" w:lineRule="auto"/>
        <w:rPr>
          <w:rFonts w:ascii="Calibri" w:eastAsia="Times New Roman" w:hAnsi="Calibri" w:cs="Calibri"/>
          <w:b/>
          <w:bCs/>
          <w:color w:val="0000FF"/>
          <w:sz w:val="24"/>
          <w:szCs w:val="24"/>
        </w:rPr>
      </w:pPr>
      <w:proofErr w:type="gramStart"/>
      <w:r w:rsidRPr="007A6B72">
        <w:rPr>
          <w:rFonts w:ascii="Calibri" w:eastAsia="Times New Roman" w:hAnsi="Calibri" w:cs="Calibri"/>
          <w:b/>
          <w:bCs/>
          <w:color w:val="0000FF"/>
          <w:sz w:val="24"/>
          <w:szCs w:val="24"/>
        </w:rPr>
        <w:t>Table 4</w:t>
      </w:r>
      <w:r>
        <w:rPr>
          <w:rFonts w:ascii="Calibri" w:eastAsia="Times New Roman" w:hAnsi="Calibri" w:cs="Calibri"/>
          <w:b/>
          <w:bCs/>
          <w:color w:val="0000FF"/>
          <w:sz w:val="24"/>
          <w:szCs w:val="24"/>
        </w:rPr>
        <w:t>a</w:t>
      </w:r>
      <w:r w:rsidRPr="007A6B72">
        <w:rPr>
          <w:rFonts w:ascii="Calibri" w:eastAsia="Times New Roman" w:hAnsi="Calibri" w:cs="Calibri"/>
          <w:b/>
          <w:bCs/>
          <w:color w:val="0000FF"/>
          <w:sz w:val="24"/>
          <w:szCs w:val="24"/>
        </w:rPr>
        <w:t>.</w:t>
      </w:r>
      <w:proofErr w:type="gramEnd"/>
      <w:r w:rsidRPr="007A6B72">
        <w:rPr>
          <w:rFonts w:ascii="Calibri" w:eastAsia="Times New Roman" w:hAnsi="Calibri" w:cs="Calibri"/>
          <w:b/>
          <w:bCs/>
          <w:color w:val="0000FF"/>
          <w:sz w:val="24"/>
          <w:szCs w:val="24"/>
        </w:rPr>
        <w:t xml:space="preserve"> Risk Adjustment Coefficients</w:t>
      </w:r>
      <w:r w:rsidRPr="00F93CD1">
        <w:rPr>
          <w:rFonts w:ascii="Calibri" w:eastAsia="Times New Roman" w:hAnsi="Calibri" w:cs="Calibri"/>
          <w:b/>
          <w:bCs/>
          <w:color w:val="0000FF"/>
          <w:sz w:val="24"/>
          <w:szCs w:val="24"/>
        </w:rPr>
        <w:t xml:space="preserve">, </w:t>
      </w:r>
      <w:proofErr w:type="gramStart"/>
      <w:r w:rsidRPr="00F93CD1">
        <w:rPr>
          <w:rFonts w:ascii="Calibri" w:eastAsia="Times New Roman" w:hAnsi="Calibri" w:cs="Calibri"/>
          <w:b/>
          <w:bCs/>
          <w:color w:val="0000FF"/>
          <w:sz w:val="24"/>
          <w:szCs w:val="24"/>
        </w:rPr>
        <w:t>for PQI</w:t>
      </w:r>
      <w:r w:rsidR="002C3098">
        <w:rPr>
          <w:rFonts w:ascii="Calibri" w:eastAsia="Times New Roman" w:hAnsi="Calibri" w:cs="Calibri"/>
          <w:b/>
          <w:bCs/>
          <w:color w:val="0000FF"/>
          <w:sz w:val="24"/>
          <w:szCs w:val="24"/>
        </w:rPr>
        <w:t xml:space="preserve"> </w:t>
      </w:r>
      <w:r w:rsidRPr="00F93CD1">
        <w:rPr>
          <w:rFonts w:ascii="Calibri" w:eastAsia="Times New Roman" w:hAnsi="Calibri" w:cs="Calibri"/>
          <w:b/>
          <w:bCs/>
          <w:color w:val="0000FF"/>
          <w:sz w:val="24"/>
          <w:szCs w:val="24"/>
        </w:rPr>
        <w:t>15 Asthma in Younger Adults Admission Rate</w:t>
      </w:r>
      <w:proofErr w:type="gramEnd"/>
    </w:p>
    <w:tbl>
      <w:tblPr>
        <w:tblpPr w:leftFromText="180" w:rightFromText="180" w:vertAnchor="text" w:tblpY="1"/>
        <w:tblOverlap w:val="neve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888"/>
        <w:gridCol w:w="540"/>
        <w:gridCol w:w="1170"/>
        <w:gridCol w:w="1530"/>
        <w:gridCol w:w="1532"/>
        <w:gridCol w:w="1237"/>
      </w:tblGrid>
      <w:tr w:rsidR="003F6238" w:rsidRPr="003730E6" w14:paraId="1B0FA0EB" w14:textId="77777777" w:rsidTr="00301431">
        <w:trPr>
          <w:trHeight w:val="288"/>
        </w:trPr>
        <w:tc>
          <w:tcPr>
            <w:tcW w:w="654" w:type="pct"/>
            <w:shd w:val="clear" w:color="auto" w:fill="D9D9D9" w:themeFill="background1" w:themeFillShade="D9"/>
            <w:noWrap/>
            <w:hideMark/>
          </w:tcPr>
          <w:p w14:paraId="050CECC5"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Parameter</w:t>
            </w:r>
          </w:p>
        </w:tc>
        <w:tc>
          <w:tcPr>
            <w:tcW w:w="1039" w:type="pct"/>
            <w:shd w:val="clear" w:color="auto" w:fill="D9D9D9" w:themeFill="background1" w:themeFillShade="D9"/>
            <w:noWrap/>
            <w:hideMark/>
          </w:tcPr>
          <w:p w14:paraId="5BE3F26B"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Label</w:t>
            </w:r>
          </w:p>
        </w:tc>
        <w:tc>
          <w:tcPr>
            <w:tcW w:w="297" w:type="pct"/>
            <w:shd w:val="clear" w:color="auto" w:fill="D9D9D9" w:themeFill="background1" w:themeFillShade="D9"/>
            <w:noWrap/>
            <w:hideMark/>
          </w:tcPr>
          <w:p w14:paraId="52D7DD32"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DF</w:t>
            </w:r>
          </w:p>
        </w:tc>
        <w:tc>
          <w:tcPr>
            <w:tcW w:w="644" w:type="pct"/>
            <w:shd w:val="clear" w:color="auto" w:fill="D9D9D9" w:themeFill="background1" w:themeFillShade="D9"/>
            <w:noWrap/>
            <w:hideMark/>
          </w:tcPr>
          <w:p w14:paraId="3E4D9756"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Estimate</w:t>
            </w:r>
          </w:p>
        </w:tc>
        <w:tc>
          <w:tcPr>
            <w:tcW w:w="842" w:type="pct"/>
            <w:shd w:val="clear" w:color="auto" w:fill="D9D9D9" w:themeFill="background1" w:themeFillShade="D9"/>
            <w:noWrap/>
            <w:hideMark/>
          </w:tcPr>
          <w:p w14:paraId="41B3A5B8" w14:textId="77777777" w:rsidR="003F6238" w:rsidRPr="0082084F" w:rsidRDefault="003F6238" w:rsidP="00943D1E">
            <w:pPr>
              <w:spacing w:after="0" w:line="240" w:lineRule="auto"/>
              <w:ind w:right="-109"/>
              <w:rPr>
                <w:b/>
                <w:color w:val="0000FF"/>
                <w:sz w:val="18"/>
                <w:szCs w:val="18"/>
              </w:rPr>
            </w:pPr>
            <w:r>
              <w:rPr>
                <w:rFonts w:ascii="Calibri" w:eastAsia="Times New Roman" w:hAnsi="Calibri" w:cs="Calibri"/>
                <w:b/>
                <w:bCs/>
                <w:color w:val="0000FF"/>
              </w:rPr>
              <w:t>Standard Error</w:t>
            </w:r>
          </w:p>
        </w:tc>
        <w:tc>
          <w:tcPr>
            <w:tcW w:w="843" w:type="pct"/>
            <w:shd w:val="clear" w:color="auto" w:fill="D9D9D9" w:themeFill="background1" w:themeFillShade="D9"/>
            <w:noWrap/>
            <w:vAlign w:val="center"/>
            <w:hideMark/>
          </w:tcPr>
          <w:p w14:paraId="23E957C4"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Wald Chi-Square</w:t>
            </w:r>
          </w:p>
        </w:tc>
        <w:tc>
          <w:tcPr>
            <w:tcW w:w="680" w:type="pct"/>
            <w:shd w:val="clear" w:color="auto" w:fill="D9D9D9" w:themeFill="background1" w:themeFillShade="D9"/>
            <w:noWrap/>
            <w:vAlign w:val="center"/>
            <w:hideMark/>
          </w:tcPr>
          <w:p w14:paraId="49D8BE76" w14:textId="77777777" w:rsidR="003F6238" w:rsidRPr="0082084F" w:rsidRDefault="003F6238" w:rsidP="003F6238">
            <w:pPr>
              <w:spacing w:after="0" w:line="240" w:lineRule="auto"/>
              <w:rPr>
                <w:b/>
                <w:color w:val="0000FF"/>
                <w:sz w:val="18"/>
                <w:szCs w:val="18"/>
              </w:rPr>
            </w:pPr>
            <w:proofErr w:type="spellStart"/>
            <w:r>
              <w:rPr>
                <w:rFonts w:ascii="Calibri" w:eastAsia="Times New Roman" w:hAnsi="Calibri" w:cs="Calibri"/>
                <w:b/>
                <w:bCs/>
                <w:color w:val="0000FF"/>
              </w:rPr>
              <w:t>Pr</w:t>
            </w:r>
            <w:proofErr w:type="spellEnd"/>
            <w:r>
              <w:rPr>
                <w:rFonts w:ascii="Calibri" w:eastAsia="Times New Roman" w:hAnsi="Calibri" w:cs="Calibri"/>
                <w:b/>
                <w:bCs/>
                <w:color w:val="0000FF"/>
              </w:rPr>
              <w:t xml:space="preserve"> &gt; Chi-Square</w:t>
            </w:r>
          </w:p>
        </w:tc>
      </w:tr>
      <w:tr w:rsidR="0015067D" w:rsidRPr="003730E6" w14:paraId="299DC705" w14:textId="77777777" w:rsidTr="00301431">
        <w:trPr>
          <w:trHeight w:val="288"/>
        </w:trPr>
        <w:tc>
          <w:tcPr>
            <w:tcW w:w="654" w:type="pct"/>
            <w:shd w:val="clear" w:color="auto" w:fill="auto"/>
            <w:noWrap/>
            <w:vAlign w:val="bottom"/>
            <w:hideMark/>
          </w:tcPr>
          <w:p w14:paraId="419D0800" w14:textId="4F3F20B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INTERCEPT</w:t>
            </w:r>
          </w:p>
        </w:tc>
        <w:tc>
          <w:tcPr>
            <w:tcW w:w="1039" w:type="pct"/>
            <w:shd w:val="clear" w:color="auto" w:fill="auto"/>
            <w:noWrap/>
            <w:vAlign w:val="bottom"/>
            <w:hideMark/>
          </w:tcPr>
          <w:p w14:paraId="4048BD6B" w14:textId="2917896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 </w:t>
            </w:r>
          </w:p>
        </w:tc>
        <w:tc>
          <w:tcPr>
            <w:tcW w:w="297" w:type="pct"/>
            <w:shd w:val="clear" w:color="auto" w:fill="auto"/>
            <w:noWrap/>
            <w:vAlign w:val="bottom"/>
            <w:hideMark/>
          </w:tcPr>
          <w:p w14:paraId="41978E68" w14:textId="6CD37D7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6E3F1221" w14:textId="3804E701" w:rsidR="0015067D" w:rsidRPr="0015067D" w:rsidRDefault="0015067D" w:rsidP="0015067D">
            <w:pPr>
              <w:spacing w:after="0" w:line="240" w:lineRule="auto"/>
              <w:rPr>
                <w:rFonts w:cstheme="minorHAnsi"/>
                <w:sz w:val="20"/>
                <w:szCs w:val="20"/>
                <w:highlight w:val="yellow"/>
              </w:rPr>
            </w:pPr>
            <w:r>
              <w:rPr>
                <w:rFonts w:cstheme="minorHAnsi"/>
                <w:sz w:val="20"/>
                <w:szCs w:val="20"/>
              </w:rPr>
              <w:t>-8.047392</w:t>
            </w:r>
          </w:p>
        </w:tc>
        <w:tc>
          <w:tcPr>
            <w:tcW w:w="842" w:type="pct"/>
            <w:shd w:val="clear" w:color="auto" w:fill="auto"/>
            <w:noWrap/>
            <w:vAlign w:val="bottom"/>
            <w:hideMark/>
          </w:tcPr>
          <w:p w14:paraId="04A780D7" w14:textId="2F1ED181"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0.0178685</w:t>
            </w:r>
          </w:p>
        </w:tc>
        <w:tc>
          <w:tcPr>
            <w:tcW w:w="843" w:type="pct"/>
            <w:shd w:val="clear" w:color="auto" w:fill="auto"/>
            <w:noWrap/>
            <w:vAlign w:val="bottom"/>
            <w:hideMark/>
          </w:tcPr>
          <w:p w14:paraId="29066D88" w14:textId="4C5807EC"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202829.87</w:t>
            </w:r>
          </w:p>
        </w:tc>
        <w:tc>
          <w:tcPr>
            <w:tcW w:w="680" w:type="pct"/>
            <w:shd w:val="clear" w:color="auto" w:fill="auto"/>
            <w:noWrap/>
            <w:vAlign w:val="bottom"/>
            <w:hideMark/>
          </w:tcPr>
          <w:p w14:paraId="76A4C16F" w14:textId="14FA9A0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72229F6B" w14:textId="77777777" w:rsidTr="00301431">
        <w:trPr>
          <w:trHeight w:val="288"/>
        </w:trPr>
        <w:tc>
          <w:tcPr>
            <w:tcW w:w="654" w:type="pct"/>
            <w:shd w:val="clear" w:color="auto" w:fill="auto"/>
            <w:noWrap/>
            <w:vAlign w:val="bottom"/>
            <w:hideMark/>
          </w:tcPr>
          <w:p w14:paraId="24E8E2DC" w14:textId="73480F6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SEX</w:t>
            </w:r>
          </w:p>
        </w:tc>
        <w:tc>
          <w:tcPr>
            <w:tcW w:w="1039" w:type="pct"/>
            <w:shd w:val="clear" w:color="auto" w:fill="auto"/>
            <w:noWrap/>
            <w:vAlign w:val="bottom"/>
            <w:hideMark/>
          </w:tcPr>
          <w:p w14:paraId="1553D5CF" w14:textId="051AF1F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w:t>
            </w:r>
          </w:p>
        </w:tc>
        <w:tc>
          <w:tcPr>
            <w:tcW w:w="297" w:type="pct"/>
            <w:shd w:val="clear" w:color="auto" w:fill="auto"/>
            <w:noWrap/>
            <w:vAlign w:val="bottom"/>
            <w:hideMark/>
          </w:tcPr>
          <w:p w14:paraId="4C3E2F67" w14:textId="2BBFF2C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08AD6E05" w14:textId="6834BC34"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0.837454</w:t>
            </w:r>
          </w:p>
        </w:tc>
        <w:tc>
          <w:tcPr>
            <w:tcW w:w="842" w:type="pct"/>
            <w:shd w:val="clear" w:color="auto" w:fill="auto"/>
            <w:noWrap/>
            <w:vAlign w:val="bottom"/>
            <w:hideMark/>
          </w:tcPr>
          <w:p w14:paraId="00626301" w14:textId="4A24FE11"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0.0213734</w:t>
            </w:r>
          </w:p>
        </w:tc>
        <w:tc>
          <w:tcPr>
            <w:tcW w:w="843" w:type="pct"/>
            <w:shd w:val="clear" w:color="auto" w:fill="auto"/>
            <w:noWrap/>
            <w:vAlign w:val="bottom"/>
            <w:hideMark/>
          </w:tcPr>
          <w:p w14:paraId="597CBEC8" w14:textId="0833B097"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1535.2290</w:t>
            </w:r>
          </w:p>
        </w:tc>
        <w:tc>
          <w:tcPr>
            <w:tcW w:w="680" w:type="pct"/>
            <w:shd w:val="clear" w:color="auto" w:fill="auto"/>
            <w:noWrap/>
            <w:vAlign w:val="bottom"/>
            <w:hideMark/>
          </w:tcPr>
          <w:p w14:paraId="21AFD8F3" w14:textId="12B36D1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152356E1" w14:textId="77777777" w:rsidTr="00301431">
        <w:trPr>
          <w:trHeight w:val="288"/>
        </w:trPr>
        <w:tc>
          <w:tcPr>
            <w:tcW w:w="654" w:type="pct"/>
            <w:shd w:val="clear" w:color="auto" w:fill="auto"/>
            <w:noWrap/>
            <w:vAlign w:val="bottom"/>
            <w:hideMark/>
          </w:tcPr>
          <w:p w14:paraId="354AAE1A" w14:textId="5DAE589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0D05FA62" w14:textId="35D74902"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18-24</w:t>
            </w:r>
          </w:p>
        </w:tc>
        <w:tc>
          <w:tcPr>
            <w:tcW w:w="297" w:type="pct"/>
            <w:shd w:val="clear" w:color="auto" w:fill="auto"/>
            <w:noWrap/>
            <w:vAlign w:val="bottom"/>
            <w:hideMark/>
          </w:tcPr>
          <w:p w14:paraId="39633A66" w14:textId="0E6F82E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2EC428C2" w14:textId="420A3F3C"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-0.382994</w:t>
            </w:r>
          </w:p>
        </w:tc>
        <w:tc>
          <w:tcPr>
            <w:tcW w:w="842" w:type="pct"/>
            <w:shd w:val="clear" w:color="auto" w:fill="auto"/>
            <w:noWrap/>
            <w:vAlign w:val="bottom"/>
            <w:hideMark/>
          </w:tcPr>
          <w:p w14:paraId="365C5BD1" w14:textId="169B1601" w:rsidR="0015067D" w:rsidRPr="0015067D" w:rsidRDefault="0015067D" w:rsidP="003F6238">
            <w:pPr>
              <w:spacing w:after="0" w:line="240" w:lineRule="auto"/>
              <w:rPr>
                <w:rFonts w:cstheme="minorHAnsi"/>
                <w:sz w:val="20"/>
                <w:szCs w:val="20"/>
                <w:highlight w:val="yellow"/>
              </w:rPr>
            </w:pPr>
            <w:r>
              <w:rPr>
                <w:rFonts w:cstheme="minorHAnsi"/>
                <w:sz w:val="20"/>
                <w:szCs w:val="20"/>
              </w:rPr>
              <w:t>0.0250408</w:t>
            </w:r>
          </w:p>
        </w:tc>
        <w:tc>
          <w:tcPr>
            <w:tcW w:w="843" w:type="pct"/>
            <w:shd w:val="clear" w:color="auto" w:fill="auto"/>
            <w:noWrap/>
            <w:vAlign w:val="bottom"/>
            <w:hideMark/>
          </w:tcPr>
          <w:p w14:paraId="103B2364" w14:textId="34076BA2" w:rsidR="0015067D" w:rsidRPr="0015067D" w:rsidRDefault="0015067D" w:rsidP="003F6238">
            <w:pPr>
              <w:spacing w:after="0" w:line="240" w:lineRule="auto"/>
              <w:rPr>
                <w:rFonts w:cstheme="minorHAnsi"/>
                <w:sz w:val="20"/>
                <w:szCs w:val="20"/>
                <w:highlight w:val="yellow"/>
              </w:rPr>
            </w:pPr>
            <w:r>
              <w:rPr>
                <w:rFonts w:cstheme="minorHAnsi"/>
                <w:sz w:val="20"/>
                <w:szCs w:val="20"/>
              </w:rPr>
              <w:t>233.93018</w:t>
            </w:r>
          </w:p>
        </w:tc>
        <w:tc>
          <w:tcPr>
            <w:tcW w:w="680" w:type="pct"/>
            <w:shd w:val="clear" w:color="auto" w:fill="auto"/>
            <w:noWrap/>
            <w:vAlign w:val="bottom"/>
            <w:hideMark/>
          </w:tcPr>
          <w:p w14:paraId="47C96B39" w14:textId="59BFD3F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7781F74F" w14:textId="77777777" w:rsidTr="00301431">
        <w:trPr>
          <w:trHeight w:val="288"/>
        </w:trPr>
        <w:tc>
          <w:tcPr>
            <w:tcW w:w="654" w:type="pct"/>
            <w:shd w:val="clear" w:color="auto" w:fill="auto"/>
            <w:noWrap/>
            <w:vAlign w:val="bottom"/>
            <w:hideMark/>
          </w:tcPr>
          <w:p w14:paraId="07C8C22B" w14:textId="535B029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3BCDA996" w14:textId="375249C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25-29</w:t>
            </w:r>
          </w:p>
        </w:tc>
        <w:tc>
          <w:tcPr>
            <w:tcW w:w="297" w:type="pct"/>
            <w:shd w:val="clear" w:color="auto" w:fill="auto"/>
            <w:noWrap/>
            <w:vAlign w:val="bottom"/>
            <w:hideMark/>
          </w:tcPr>
          <w:p w14:paraId="5BEFC1A6" w14:textId="4B909B3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17E4D533" w14:textId="6A813AAE" w:rsidR="0015067D" w:rsidRPr="0015067D" w:rsidRDefault="0015067D" w:rsidP="003F6238">
            <w:pPr>
              <w:spacing w:after="0" w:line="240" w:lineRule="auto"/>
              <w:rPr>
                <w:rFonts w:cstheme="minorHAnsi"/>
                <w:sz w:val="20"/>
                <w:szCs w:val="20"/>
                <w:highlight w:val="yellow"/>
              </w:rPr>
            </w:pPr>
            <w:r>
              <w:rPr>
                <w:rFonts w:cstheme="minorHAnsi"/>
                <w:sz w:val="20"/>
                <w:szCs w:val="20"/>
              </w:rPr>
              <w:t>-0.336554</w:t>
            </w:r>
          </w:p>
        </w:tc>
        <w:tc>
          <w:tcPr>
            <w:tcW w:w="842" w:type="pct"/>
            <w:shd w:val="clear" w:color="auto" w:fill="auto"/>
            <w:noWrap/>
            <w:vAlign w:val="bottom"/>
            <w:hideMark/>
          </w:tcPr>
          <w:p w14:paraId="40D3BB7A" w14:textId="32F700FE" w:rsidR="0015067D" w:rsidRPr="0015067D" w:rsidRDefault="0015067D" w:rsidP="003F6238">
            <w:pPr>
              <w:spacing w:after="0" w:line="240" w:lineRule="auto"/>
              <w:rPr>
                <w:rFonts w:cstheme="minorHAnsi"/>
                <w:sz w:val="20"/>
                <w:szCs w:val="20"/>
                <w:highlight w:val="yellow"/>
              </w:rPr>
            </w:pPr>
            <w:r>
              <w:rPr>
                <w:rFonts w:cstheme="minorHAnsi"/>
                <w:sz w:val="20"/>
                <w:szCs w:val="20"/>
              </w:rPr>
              <w:t>0.0268152</w:t>
            </w:r>
          </w:p>
        </w:tc>
        <w:tc>
          <w:tcPr>
            <w:tcW w:w="843" w:type="pct"/>
            <w:shd w:val="clear" w:color="auto" w:fill="auto"/>
            <w:noWrap/>
            <w:vAlign w:val="bottom"/>
            <w:hideMark/>
          </w:tcPr>
          <w:p w14:paraId="15CC08C5" w14:textId="4AA10B54" w:rsidR="0015067D" w:rsidRPr="0015067D" w:rsidRDefault="0015067D" w:rsidP="003F6238">
            <w:pPr>
              <w:spacing w:after="0" w:line="240" w:lineRule="auto"/>
              <w:rPr>
                <w:rFonts w:cstheme="minorHAnsi"/>
                <w:sz w:val="20"/>
                <w:szCs w:val="20"/>
                <w:highlight w:val="yellow"/>
              </w:rPr>
            </w:pPr>
            <w:r>
              <w:rPr>
                <w:rFonts w:cstheme="minorHAnsi"/>
                <w:sz w:val="20"/>
                <w:szCs w:val="20"/>
              </w:rPr>
              <w:t>157.52444</w:t>
            </w:r>
          </w:p>
        </w:tc>
        <w:tc>
          <w:tcPr>
            <w:tcW w:w="680" w:type="pct"/>
            <w:shd w:val="clear" w:color="auto" w:fill="auto"/>
            <w:noWrap/>
            <w:vAlign w:val="bottom"/>
            <w:hideMark/>
          </w:tcPr>
          <w:p w14:paraId="4F79320D" w14:textId="0E9B0E5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5A842ED6" w14:textId="77777777" w:rsidTr="00301431">
        <w:trPr>
          <w:trHeight w:val="288"/>
        </w:trPr>
        <w:tc>
          <w:tcPr>
            <w:tcW w:w="654" w:type="pct"/>
            <w:shd w:val="clear" w:color="auto" w:fill="auto"/>
            <w:noWrap/>
            <w:vAlign w:val="bottom"/>
            <w:hideMark/>
          </w:tcPr>
          <w:p w14:paraId="4FF982B1" w14:textId="2F650F6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321796D8" w14:textId="38C4DEB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30-34</w:t>
            </w:r>
          </w:p>
        </w:tc>
        <w:tc>
          <w:tcPr>
            <w:tcW w:w="297" w:type="pct"/>
            <w:shd w:val="clear" w:color="auto" w:fill="auto"/>
            <w:noWrap/>
            <w:vAlign w:val="bottom"/>
            <w:hideMark/>
          </w:tcPr>
          <w:p w14:paraId="4E02AE71" w14:textId="6681385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57EAF3F3" w14:textId="33A9AE6F" w:rsidR="0015067D" w:rsidRPr="0015067D" w:rsidRDefault="0015067D" w:rsidP="003F6238">
            <w:pPr>
              <w:spacing w:after="0" w:line="240" w:lineRule="auto"/>
              <w:rPr>
                <w:rFonts w:cstheme="minorHAnsi"/>
                <w:sz w:val="20"/>
                <w:szCs w:val="20"/>
                <w:highlight w:val="yellow"/>
              </w:rPr>
            </w:pPr>
            <w:r>
              <w:rPr>
                <w:rFonts w:cstheme="minorHAnsi"/>
                <w:sz w:val="20"/>
                <w:szCs w:val="20"/>
              </w:rPr>
              <w:t>-0.226800</w:t>
            </w:r>
          </w:p>
        </w:tc>
        <w:tc>
          <w:tcPr>
            <w:tcW w:w="842" w:type="pct"/>
            <w:shd w:val="clear" w:color="auto" w:fill="auto"/>
            <w:noWrap/>
            <w:vAlign w:val="bottom"/>
            <w:hideMark/>
          </w:tcPr>
          <w:p w14:paraId="6B9D9561" w14:textId="1188293E" w:rsidR="0015067D" w:rsidRPr="0015067D" w:rsidRDefault="0015067D" w:rsidP="003F6238">
            <w:pPr>
              <w:spacing w:after="0" w:line="240" w:lineRule="auto"/>
              <w:rPr>
                <w:rFonts w:cstheme="minorHAnsi"/>
                <w:sz w:val="20"/>
                <w:szCs w:val="20"/>
                <w:highlight w:val="yellow"/>
              </w:rPr>
            </w:pPr>
            <w:r>
              <w:rPr>
                <w:rFonts w:cstheme="minorHAnsi"/>
                <w:sz w:val="20"/>
                <w:szCs w:val="20"/>
              </w:rPr>
              <w:t>0.0262008</w:t>
            </w:r>
          </w:p>
        </w:tc>
        <w:tc>
          <w:tcPr>
            <w:tcW w:w="843" w:type="pct"/>
            <w:shd w:val="clear" w:color="auto" w:fill="auto"/>
            <w:noWrap/>
            <w:vAlign w:val="bottom"/>
            <w:hideMark/>
          </w:tcPr>
          <w:p w14:paraId="17789DDB" w14:textId="1337D8DA" w:rsidR="0015067D" w:rsidRPr="0015067D" w:rsidRDefault="0015067D" w:rsidP="003F6238">
            <w:pPr>
              <w:spacing w:after="0" w:line="240" w:lineRule="auto"/>
              <w:rPr>
                <w:rFonts w:cstheme="minorHAnsi"/>
                <w:sz w:val="20"/>
                <w:szCs w:val="20"/>
                <w:highlight w:val="yellow"/>
              </w:rPr>
            </w:pPr>
            <w:r>
              <w:rPr>
                <w:rFonts w:cstheme="minorHAnsi"/>
                <w:sz w:val="20"/>
                <w:szCs w:val="20"/>
              </w:rPr>
              <w:t>74.930256</w:t>
            </w:r>
          </w:p>
        </w:tc>
        <w:tc>
          <w:tcPr>
            <w:tcW w:w="680" w:type="pct"/>
            <w:shd w:val="clear" w:color="auto" w:fill="auto"/>
            <w:noWrap/>
            <w:vAlign w:val="bottom"/>
            <w:hideMark/>
          </w:tcPr>
          <w:p w14:paraId="094C9887" w14:textId="6AF20AA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6B2BD9A0" w14:textId="77777777" w:rsidTr="00301431">
        <w:trPr>
          <w:trHeight w:val="288"/>
        </w:trPr>
        <w:tc>
          <w:tcPr>
            <w:tcW w:w="654" w:type="pct"/>
            <w:shd w:val="clear" w:color="auto" w:fill="auto"/>
            <w:noWrap/>
            <w:vAlign w:val="bottom"/>
            <w:hideMark/>
          </w:tcPr>
          <w:p w14:paraId="1C059FA3" w14:textId="2FFFD28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1EC9E62A" w14:textId="7245CB9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35-39</w:t>
            </w:r>
          </w:p>
        </w:tc>
        <w:tc>
          <w:tcPr>
            <w:tcW w:w="297" w:type="pct"/>
            <w:shd w:val="clear" w:color="auto" w:fill="auto"/>
            <w:noWrap/>
            <w:vAlign w:val="bottom"/>
            <w:hideMark/>
          </w:tcPr>
          <w:p w14:paraId="428FAAB4" w14:textId="4A443DF8" w:rsidR="0015067D" w:rsidRPr="0015067D" w:rsidRDefault="0015067D" w:rsidP="003F6238">
            <w:pPr>
              <w:spacing w:after="0" w:line="240" w:lineRule="auto"/>
              <w:rPr>
                <w:rFonts w:cstheme="minorHAnsi"/>
                <w:sz w:val="20"/>
                <w:szCs w:val="20"/>
                <w:highlight w:val="yellow"/>
              </w:rPr>
            </w:pPr>
          </w:p>
        </w:tc>
        <w:tc>
          <w:tcPr>
            <w:tcW w:w="644" w:type="pct"/>
            <w:shd w:val="clear" w:color="auto" w:fill="auto"/>
            <w:noWrap/>
            <w:vAlign w:val="bottom"/>
            <w:hideMark/>
          </w:tcPr>
          <w:p w14:paraId="1C94A63E" w14:textId="5D460098" w:rsidR="0015067D" w:rsidRPr="0015067D" w:rsidRDefault="002C3098" w:rsidP="003F6238">
            <w:pPr>
              <w:spacing w:after="0" w:line="240" w:lineRule="auto"/>
              <w:rPr>
                <w:rFonts w:cstheme="minorHAnsi"/>
                <w:sz w:val="20"/>
                <w:szCs w:val="20"/>
                <w:highlight w:val="yellow"/>
              </w:rPr>
            </w:pPr>
            <w:r>
              <w:rPr>
                <w:rFonts w:cstheme="minorHAnsi"/>
                <w:sz w:val="20"/>
                <w:szCs w:val="20"/>
              </w:rPr>
              <w:t>Referent</w:t>
            </w:r>
          </w:p>
        </w:tc>
        <w:tc>
          <w:tcPr>
            <w:tcW w:w="842" w:type="pct"/>
            <w:shd w:val="clear" w:color="auto" w:fill="auto"/>
            <w:noWrap/>
            <w:vAlign w:val="bottom"/>
            <w:hideMark/>
          </w:tcPr>
          <w:p w14:paraId="0DBA4CC0" w14:textId="4102FE8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843" w:type="pct"/>
            <w:shd w:val="clear" w:color="auto" w:fill="auto"/>
            <w:noWrap/>
            <w:vAlign w:val="bottom"/>
            <w:hideMark/>
          </w:tcPr>
          <w:p w14:paraId="3F1F2C61" w14:textId="0D4A50C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680" w:type="pct"/>
            <w:shd w:val="clear" w:color="auto" w:fill="auto"/>
            <w:noWrap/>
            <w:vAlign w:val="bottom"/>
            <w:hideMark/>
          </w:tcPr>
          <w:p w14:paraId="29F65BC8" w14:textId="3D299B4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r>
      <w:tr w:rsidR="0015067D" w:rsidRPr="003730E6" w14:paraId="1E083CAE" w14:textId="77777777" w:rsidTr="00301431">
        <w:trPr>
          <w:trHeight w:val="288"/>
        </w:trPr>
        <w:tc>
          <w:tcPr>
            <w:tcW w:w="654" w:type="pct"/>
            <w:shd w:val="clear" w:color="auto" w:fill="auto"/>
            <w:noWrap/>
            <w:vAlign w:val="bottom"/>
            <w:hideMark/>
          </w:tcPr>
          <w:p w14:paraId="0C48C464" w14:textId="7566152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5EA2EE24" w14:textId="4A22245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18-24</w:t>
            </w:r>
          </w:p>
        </w:tc>
        <w:tc>
          <w:tcPr>
            <w:tcW w:w="297" w:type="pct"/>
            <w:shd w:val="clear" w:color="auto" w:fill="auto"/>
            <w:noWrap/>
            <w:vAlign w:val="bottom"/>
            <w:hideMark/>
          </w:tcPr>
          <w:p w14:paraId="2B96D5AA" w14:textId="3012D796"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548F9487" w14:textId="290561A1" w:rsidR="0015067D" w:rsidRPr="0015067D" w:rsidRDefault="0015067D" w:rsidP="003F6238">
            <w:pPr>
              <w:spacing w:after="0" w:line="240" w:lineRule="auto"/>
              <w:rPr>
                <w:rFonts w:cstheme="minorHAnsi"/>
                <w:sz w:val="20"/>
                <w:szCs w:val="20"/>
                <w:highlight w:val="yellow"/>
              </w:rPr>
            </w:pPr>
            <w:r>
              <w:rPr>
                <w:rFonts w:cstheme="minorHAnsi"/>
                <w:sz w:val="20"/>
                <w:szCs w:val="20"/>
              </w:rPr>
              <w:t>-0.353536</w:t>
            </w:r>
          </w:p>
        </w:tc>
        <w:tc>
          <w:tcPr>
            <w:tcW w:w="842" w:type="pct"/>
            <w:shd w:val="clear" w:color="auto" w:fill="auto"/>
            <w:noWrap/>
            <w:vAlign w:val="bottom"/>
            <w:hideMark/>
          </w:tcPr>
          <w:p w14:paraId="2341DA9B" w14:textId="447118C2" w:rsidR="0015067D" w:rsidRPr="0015067D" w:rsidRDefault="0015067D" w:rsidP="003F6238">
            <w:pPr>
              <w:spacing w:after="0" w:line="240" w:lineRule="auto"/>
              <w:rPr>
                <w:rFonts w:cstheme="minorHAnsi"/>
                <w:sz w:val="20"/>
                <w:szCs w:val="20"/>
                <w:highlight w:val="yellow"/>
              </w:rPr>
            </w:pPr>
            <w:r>
              <w:rPr>
                <w:rFonts w:cstheme="minorHAnsi"/>
                <w:sz w:val="20"/>
                <w:szCs w:val="20"/>
              </w:rPr>
              <w:t>0.0310396</w:t>
            </w:r>
          </w:p>
        </w:tc>
        <w:tc>
          <w:tcPr>
            <w:tcW w:w="843" w:type="pct"/>
            <w:shd w:val="clear" w:color="auto" w:fill="auto"/>
            <w:noWrap/>
            <w:vAlign w:val="bottom"/>
            <w:hideMark/>
          </w:tcPr>
          <w:p w14:paraId="306C44CD" w14:textId="5A4C65BC" w:rsidR="0015067D" w:rsidRPr="0015067D" w:rsidRDefault="0015067D" w:rsidP="003F6238">
            <w:pPr>
              <w:spacing w:after="0" w:line="240" w:lineRule="auto"/>
              <w:rPr>
                <w:rFonts w:cstheme="minorHAnsi"/>
                <w:sz w:val="20"/>
                <w:szCs w:val="20"/>
                <w:highlight w:val="yellow"/>
              </w:rPr>
            </w:pPr>
            <w:r>
              <w:rPr>
                <w:rFonts w:cstheme="minorHAnsi"/>
                <w:sz w:val="20"/>
                <w:szCs w:val="20"/>
              </w:rPr>
              <w:t>129.72796</w:t>
            </w:r>
          </w:p>
        </w:tc>
        <w:tc>
          <w:tcPr>
            <w:tcW w:w="680" w:type="pct"/>
            <w:shd w:val="clear" w:color="auto" w:fill="auto"/>
            <w:noWrap/>
            <w:vAlign w:val="bottom"/>
            <w:hideMark/>
          </w:tcPr>
          <w:p w14:paraId="449833CE" w14:textId="5600AFE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00289A69" w14:textId="77777777" w:rsidTr="00301431">
        <w:trPr>
          <w:trHeight w:val="288"/>
        </w:trPr>
        <w:tc>
          <w:tcPr>
            <w:tcW w:w="654" w:type="pct"/>
            <w:shd w:val="clear" w:color="auto" w:fill="auto"/>
            <w:noWrap/>
            <w:vAlign w:val="bottom"/>
            <w:hideMark/>
          </w:tcPr>
          <w:p w14:paraId="3D0CA6B1" w14:textId="3301E90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2963B915" w14:textId="2547BC1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25-29</w:t>
            </w:r>
          </w:p>
        </w:tc>
        <w:tc>
          <w:tcPr>
            <w:tcW w:w="297" w:type="pct"/>
            <w:shd w:val="clear" w:color="auto" w:fill="auto"/>
            <w:noWrap/>
            <w:vAlign w:val="bottom"/>
            <w:hideMark/>
          </w:tcPr>
          <w:p w14:paraId="71C019DE" w14:textId="06704CA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71AD3F2C" w14:textId="0DB41426" w:rsidR="0015067D" w:rsidRPr="0015067D" w:rsidRDefault="0015067D" w:rsidP="003F6238">
            <w:pPr>
              <w:spacing w:after="0" w:line="240" w:lineRule="auto"/>
              <w:rPr>
                <w:rFonts w:cstheme="minorHAnsi"/>
                <w:sz w:val="20"/>
                <w:szCs w:val="20"/>
                <w:highlight w:val="yellow"/>
              </w:rPr>
            </w:pPr>
            <w:r>
              <w:rPr>
                <w:rFonts w:cstheme="minorHAnsi"/>
                <w:sz w:val="20"/>
                <w:szCs w:val="20"/>
              </w:rPr>
              <w:t>-0.190547</w:t>
            </w:r>
          </w:p>
        </w:tc>
        <w:tc>
          <w:tcPr>
            <w:tcW w:w="842" w:type="pct"/>
            <w:shd w:val="clear" w:color="auto" w:fill="auto"/>
            <w:noWrap/>
            <w:vAlign w:val="bottom"/>
            <w:hideMark/>
          </w:tcPr>
          <w:p w14:paraId="1E5D7FFC" w14:textId="58C09BD5" w:rsidR="0015067D" w:rsidRPr="0015067D" w:rsidRDefault="0015067D" w:rsidP="003F6238">
            <w:pPr>
              <w:spacing w:after="0" w:line="240" w:lineRule="auto"/>
              <w:rPr>
                <w:rFonts w:cstheme="minorHAnsi"/>
                <w:sz w:val="20"/>
                <w:szCs w:val="20"/>
                <w:highlight w:val="yellow"/>
              </w:rPr>
            </w:pPr>
            <w:r>
              <w:rPr>
                <w:rFonts w:cstheme="minorHAnsi"/>
                <w:sz w:val="20"/>
                <w:szCs w:val="20"/>
              </w:rPr>
              <w:t>0.0327403</w:t>
            </w:r>
          </w:p>
        </w:tc>
        <w:tc>
          <w:tcPr>
            <w:tcW w:w="843" w:type="pct"/>
            <w:shd w:val="clear" w:color="auto" w:fill="auto"/>
            <w:noWrap/>
            <w:vAlign w:val="bottom"/>
            <w:hideMark/>
          </w:tcPr>
          <w:p w14:paraId="0403A9E9" w14:textId="15ADACD3" w:rsidR="0015067D" w:rsidRPr="0015067D" w:rsidRDefault="0015067D" w:rsidP="003F6238">
            <w:pPr>
              <w:spacing w:after="0" w:line="240" w:lineRule="auto"/>
              <w:rPr>
                <w:rFonts w:cstheme="minorHAnsi"/>
                <w:sz w:val="20"/>
                <w:szCs w:val="20"/>
                <w:highlight w:val="yellow"/>
              </w:rPr>
            </w:pPr>
            <w:r>
              <w:rPr>
                <w:rFonts w:cstheme="minorHAnsi"/>
                <w:sz w:val="20"/>
                <w:szCs w:val="20"/>
              </w:rPr>
              <w:t>33.872088</w:t>
            </w:r>
          </w:p>
        </w:tc>
        <w:tc>
          <w:tcPr>
            <w:tcW w:w="680" w:type="pct"/>
            <w:shd w:val="clear" w:color="auto" w:fill="auto"/>
            <w:noWrap/>
            <w:vAlign w:val="bottom"/>
            <w:hideMark/>
          </w:tcPr>
          <w:p w14:paraId="1B9A0E70" w14:textId="7F39F5B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3730E6" w14:paraId="6E190CA2" w14:textId="77777777" w:rsidTr="00301431">
        <w:trPr>
          <w:trHeight w:val="288"/>
        </w:trPr>
        <w:tc>
          <w:tcPr>
            <w:tcW w:w="654" w:type="pct"/>
            <w:shd w:val="clear" w:color="auto" w:fill="auto"/>
            <w:noWrap/>
            <w:vAlign w:val="bottom"/>
            <w:hideMark/>
          </w:tcPr>
          <w:p w14:paraId="30B858B4" w14:textId="7AE320C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2B2FD1D4" w14:textId="7340E3E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30-34</w:t>
            </w:r>
          </w:p>
        </w:tc>
        <w:tc>
          <w:tcPr>
            <w:tcW w:w="297" w:type="pct"/>
            <w:shd w:val="clear" w:color="auto" w:fill="auto"/>
            <w:noWrap/>
            <w:vAlign w:val="bottom"/>
            <w:hideMark/>
          </w:tcPr>
          <w:p w14:paraId="64916B1C" w14:textId="3908991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44" w:type="pct"/>
            <w:shd w:val="clear" w:color="auto" w:fill="auto"/>
            <w:noWrap/>
            <w:vAlign w:val="bottom"/>
            <w:hideMark/>
          </w:tcPr>
          <w:p w14:paraId="39C6FABF" w14:textId="7461EB88" w:rsidR="0015067D" w:rsidRPr="0015067D" w:rsidRDefault="0015067D" w:rsidP="003F6238">
            <w:pPr>
              <w:spacing w:after="0" w:line="240" w:lineRule="auto"/>
              <w:rPr>
                <w:rFonts w:cstheme="minorHAnsi"/>
                <w:sz w:val="20"/>
                <w:szCs w:val="20"/>
                <w:highlight w:val="yellow"/>
              </w:rPr>
            </w:pPr>
            <w:r>
              <w:rPr>
                <w:rFonts w:cstheme="minorHAnsi"/>
                <w:sz w:val="20"/>
                <w:szCs w:val="20"/>
              </w:rPr>
              <w:t>-0.042780</w:t>
            </w:r>
          </w:p>
        </w:tc>
        <w:tc>
          <w:tcPr>
            <w:tcW w:w="842" w:type="pct"/>
            <w:shd w:val="clear" w:color="auto" w:fill="auto"/>
            <w:noWrap/>
            <w:vAlign w:val="bottom"/>
            <w:hideMark/>
          </w:tcPr>
          <w:p w14:paraId="218E489B" w14:textId="6B782D80" w:rsidR="0015067D" w:rsidRPr="0015067D" w:rsidRDefault="0015067D" w:rsidP="003F6238">
            <w:pPr>
              <w:spacing w:after="0" w:line="240" w:lineRule="auto"/>
              <w:rPr>
                <w:rFonts w:cstheme="minorHAnsi"/>
                <w:sz w:val="20"/>
                <w:szCs w:val="20"/>
                <w:highlight w:val="yellow"/>
              </w:rPr>
            </w:pPr>
            <w:r>
              <w:rPr>
                <w:rFonts w:cstheme="minorHAnsi"/>
                <w:sz w:val="20"/>
                <w:szCs w:val="20"/>
              </w:rPr>
              <w:t>0.0314820</w:t>
            </w:r>
          </w:p>
        </w:tc>
        <w:tc>
          <w:tcPr>
            <w:tcW w:w="843" w:type="pct"/>
            <w:shd w:val="clear" w:color="auto" w:fill="auto"/>
            <w:noWrap/>
            <w:vAlign w:val="bottom"/>
            <w:hideMark/>
          </w:tcPr>
          <w:p w14:paraId="6A842644" w14:textId="2DDE3548" w:rsidR="0015067D" w:rsidRPr="0015067D" w:rsidRDefault="0015067D" w:rsidP="003F6238">
            <w:pPr>
              <w:spacing w:after="0" w:line="240" w:lineRule="auto"/>
              <w:rPr>
                <w:rFonts w:cstheme="minorHAnsi"/>
                <w:sz w:val="20"/>
                <w:szCs w:val="20"/>
                <w:highlight w:val="yellow"/>
              </w:rPr>
            </w:pPr>
            <w:r>
              <w:rPr>
                <w:rFonts w:cstheme="minorHAnsi"/>
                <w:sz w:val="20"/>
                <w:szCs w:val="20"/>
              </w:rPr>
              <w:t>1.8465765</w:t>
            </w:r>
          </w:p>
        </w:tc>
        <w:tc>
          <w:tcPr>
            <w:tcW w:w="680" w:type="pct"/>
            <w:shd w:val="clear" w:color="auto" w:fill="auto"/>
            <w:noWrap/>
            <w:vAlign w:val="bottom"/>
            <w:hideMark/>
          </w:tcPr>
          <w:p w14:paraId="6ABCF53D" w14:textId="4A69117E"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0.1742</w:t>
            </w:r>
          </w:p>
        </w:tc>
      </w:tr>
      <w:tr w:rsidR="0015067D" w:rsidRPr="003730E6" w14:paraId="3BF96280" w14:textId="77777777" w:rsidTr="00301431">
        <w:trPr>
          <w:trHeight w:val="288"/>
        </w:trPr>
        <w:tc>
          <w:tcPr>
            <w:tcW w:w="654" w:type="pct"/>
            <w:shd w:val="clear" w:color="auto" w:fill="auto"/>
            <w:noWrap/>
            <w:vAlign w:val="bottom"/>
            <w:hideMark/>
          </w:tcPr>
          <w:p w14:paraId="52069D22" w14:textId="5BA61C1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39" w:type="pct"/>
            <w:shd w:val="clear" w:color="auto" w:fill="auto"/>
            <w:noWrap/>
            <w:vAlign w:val="bottom"/>
            <w:hideMark/>
          </w:tcPr>
          <w:p w14:paraId="62C70BF9" w14:textId="71C0180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35-39</w:t>
            </w:r>
          </w:p>
        </w:tc>
        <w:tc>
          <w:tcPr>
            <w:tcW w:w="297" w:type="pct"/>
            <w:shd w:val="clear" w:color="auto" w:fill="auto"/>
            <w:noWrap/>
            <w:vAlign w:val="bottom"/>
            <w:hideMark/>
          </w:tcPr>
          <w:p w14:paraId="09233B82" w14:textId="57EFED02" w:rsidR="0015067D" w:rsidRPr="0015067D" w:rsidRDefault="0015067D" w:rsidP="003F6238">
            <w:pPr>
              <w:spacing w:after="0" w:line="240" w:lineRule="auto"/>
              <w:rPr>
                <w:rFonts w:cstheme="minorHAnsi"/>
                <w:sz w:val="20"/>
                <w:szCs w:val="20"/>
                <w:highlight w:val="yellow"/>
              </w:rPr>
            </w:pPr>
          </w:p>
        </w:tc>
        <w:tc>
          <w:tcPr>
            <w:tcW w:w="644" w:type="pct"/>
            <w:shd w:val="clear" w:color="auto" w:fill="auto"/>
            <w:noWrap/>
            <w:vAlign w:val="bottom"/>
            <w:hideMark/>
          </w:tcPr>
          <w:p w14:paraId="27AE9ADB" w14:textId="6238173C" w:rsidR="0015067D" w:rsidRPr="0015067D" w:rsidRDefault="002C3098" w:rsidP="003F6238">
            <w:pPr>
              <w:spacing w:after="0" w:line="240" w:lineRule="auto"/>
              <w:rPr>
                <w:rFonts w:cstheme="minorHAnsi"/>
                <w:sz w:val="20"/>
                <w:szCs w:val="20"/>
                <w:highlight w:val="yellow"/>
              </w:rPr>
            </w:pPr>
            <w:r>
              <w:rPr>
                <w:rFonts w:cstheme="minorHAnsi"/>
                <w:sz w:val="20"/>
                <w:szCs w:val="20"/>
              </w:rPr>
              <w:t>Referent</w:t>
            </w:r>
          </w:p>
        </w:tc>
        <w:tc>
          <w:tcPr>
            <w:tcW w:w="842" w:type="pct"/>
            <w:shd w:val="clear" w:color="auto" w:fill="auto"/>
            <w:noWrap/>
            <w:vAlign w:val="bottom"/>
            <w:hideMark/>
          </w:tcPr>
          <w:p w14:paraId="707798F9" w14:textId="7E037C1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843" w:type="pct"/>
            <w:shd w:val="clear" w:color="auto" w:fill="auto"/>
            <w:noWrap/>
            <w:vAlign w:val="bottom"/>
            <w:hideMark/>
          </w:tcPr>
          <w:p w14:paraId="37348B5C" w14:textId="53E630C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680" w:type="pct"/>
            <w:shd w:val="clear" w:color="auto" w:fill="auto"/>
            <w:noWrap/>
            <w:vAlign w:val="bottom"/>
            <w:hideMark/>
          </w:tcPr>
          <w:p w14:paraId="75D3087C" w14:textId="20ED45A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r>
      <w:tr w:rsidR="0015067D" w:rsidRPr="003730E6" w14:paraId="7CC65E23" w14:textId="77777777" w:rsidTr="0015067D">
        <w:trPr>
          <w:trHeight w:val="288"/>
        </w:trPr>
        <w:tc>
          <w:tcPr>
            <w:tcW w:w="5000" w:type="pct"/>
            <w:gridSpan w:val="7"/>
            <w:shd w:val="clear" w:color="auto" w:fill="auto"/>
            <w:noWrap/>
            <w:vAlign w:val="bottom"/>
            <w:hideMark/>
          </w:tcPr>
          <w:p w14:paraId="7632251A" w14:textId="659A60B4" w:rsidR="0015067D" w:rsidRPr="0015067D" w:rsidRDefault="0015067D" w:rsidP="0015067D">
            <w:pPr>
              <w:spacing w:after="0" w:line="240" w:lineRule="auto"/>
              <w:rPr>
                <w:rFonts w:cstheme="minorHAnsi"/>
                <w:sz w:val="20"/>
                <w:szCs w:val="20"/>
                <w:highlight w:val="yellow"/>
              </w:rPr>
            </w:pPr>
            <w:r w:rsidRPr="0015067D">
              <w:rPr>
                <w:rFonts w:cstheme="minorHAnsi"/>
                <w:sz w:val="20"/>
                <w:szCs w:val="20"/>
              </w:rPr>
              <w:t>c-statistic=0.56</w:t>
            </w:r>
          </w:p>
        </w:tc>
      </w:tr>
    </w:tbl>
    <w:p w14:paraId="5998DA85" w14:textId="6A86CA94" w:rsidR="00301431" w:rsidRPr="00AD57D1" w:rsidRDefault="00301431" w:rsidP="00301431">
      <w:pPr>
        <w:spacing w:after="0" w:line="240" w:lineRule="auto"/>
        <w:rPr>
          <w:rFonts w:ascii="Calibri" w:hAnsi="Calibri" w:cs="Calibri"/>
          <w:color w:val="0000FF"/>
          <w:sz w:val="20"/>
          <w:szCs w:val="20"/>
        </w:rPr>
      </w:pPr>
      <w:r w:rsidRPr="00AD57D1">
        <w:rPr>
          <w:rFonts w:ascii="Calibri" w:hAnsi="Calibri" w:cs="Calibri"/>
          <w:color w:val="0000FF"/>
          <w:sz w:val="20"/>
          <w:szCs w:val="20"/>
        </w:rPr>
        <w:t xml:space="preserve">Source: HCUP State Inpatient Databases (SID). Healthcare Cost and </w:t>
      </w:r>
      <w:r w:rsidR="00D5725A">
        <w:rPr>
          <w:rFonts w:ascii="Calibri" w:hAnsi="Calibri" w:cs="Calibri"/>
          <w:color w:val="0000FF"/>
          <w:sz w:val="20"/>
          <w:szCs w:val="20"/>
        </w:rPr>
        <w:t xml:space="preserve">Utilization Project (HCUP). </w:t>
      </w:r>
      <w:proofErr w:type="gramStart"/>
      <w:r w:rsidR="00D5725A">
        <w:rPr>
          <w:rFonts w:ascii="Calibri" w:hAnsi="Calibri" w:cs="Calibri"/>
          <w:color w:val="0000FF"/>
          <w:sz w:val="20"/>
          <w:szCs w:val="20"/>
        </w:rPr>
        <w:t>2009</w:t>
      </w:r>
      <w:r w:rsidRPr="00AD57D1">
        <w:rPr>
          <w:rFonts w:ascii="Calibri" w:hAnsi="Calibri" w:cs="Calibri"/>
          <w:color w:val="0000FF"/>
          <w:sz w:val="20"/>
          <w:szCs w:val="20"/>
        </w:rPr>
        <w:t>-2013. Agency for Healthcare Research and Quality, Rockville, MD.</w:t>
      </w:r>
      <w:proofErr w:type="gramEnd"/>
      <w:r w:rsidRPr="00AD57D1">
        <w:rPr>
          <w:rFonts w:ascii="Calibri" w:hAnsi="Calibri" w:cs="Calibri"/>
          <w:color w:val="0000FF"/>
          <w:sz w:val="20"/>
          <w:szCs w:val="20"/>
        </w:rPr>
        <w:t xml:space="preserve"> www.hcup-us.ahrq.gov/sidoverview.jsp. (AHRQ QI Software Version 6.0)</w:t>
      </w:r>
    </w:p>
    <w:p w14:paraId="763F6F29" w14:textId="7A987133" w:rsidR="003F6238" w:rsidRDefault="00E45E2D" w:rsidP="00E45E2D">
      <w:pPr>
        <w:rPr>
          <w:rFonts w:ascii="Calibri" w:eastAsia="Times New Roman" w:hAnsi="Calibri" w:cs="Calibri"/>
          <w:b/>
          <w:bCs/>
          <w:color w:val="0000FF"/>
          <w:sz w:val="24"/>
          <w:szCs w:val="24"/>
        </w:rPr>
      </w:pPr>
      <w:r>
        <w:rPr>
          <w:rFonts w:ascii="Calibri" w:eastAsia="Times New Roman" w:hAnsi="Calibri" w:cs="Calibri"/>
          <w:b/>
          <w:bCs/>
          <w:color w:val="0000FF"/>
          <w:sz w:val="24"/>
          <w:szCs w:val="24"/>
        </w:rPr>
        <w:br w:type="page"/>
      </w:r>
    </w:p>
    <w:p w14:paraId="77E71F4A" w14:textId="7793F58A" w:rsidR="003F6238" w:rsidRPr="007A6B72" w:rsidRDefault="003F6238" w:rsidP="003F6238">
      <w:pPr>
        <w:keepNext/>
        <w:autoSpaceDE w:val="0"/>
        <w:autoSpaceDN w:val="0"/>
        <w:adjustRightInd w:val="0"/>
        <w:spacing w:after="0" w:line="240" w:lineRule="auto"/>
        <w:rPr>
          <w:rFonts w:ascii="Calibri" w:eastAsia="Times New Roman" w:hAnsi="Calibri" w:cs="Calibri"/>
          <w:b/>
          <w:bCs/>
          <w:color w:val="0000FF"/>
          <w:sz w:val="24"/>
          <w:szCs w:val="24"/>
        </w:rPr>
      </w:pPr>
      <w:proofErr w:type="gramStart"/>
      <w:r w:rsidRPr="007A6B72">
        <w:rPr>
          <w:rFonts w:ascii="Calibri" w:eastAsia="Times New Roman" w:hAnsi="Calibri" w:cs="Calibri"/>
          <w:b/>
          <w:bCs/>
          <w:color w:val="0000FF"/>
          <w:sz w:val="24"/>
          <w:szCs w:val="24"/>
        </w:rPr>
        <w:lastRenderedPageBreak/>
        <w:t>Table 4</w:t>
      </w:r>
      <w:r>
        <w:rPr>
          <w:rFonts w:ascii="Calibri" w:eastAsia="Times New Roman" w:hAnsi="Calibri" w:cs="Calibri"/>
          <w:b/>
          <w:bCs/>
          <w:color w:val="0000FF"/>
          <w:sz w:val="24"/>
          <w:szCs w:val="24"/>
        </w:rPr>
        <w:t>b</w:t>
      </w:r>
      <w:r w:rsidRPr="007A6B72">
        <w:rPr>
          <w:rFonts w:ascii="Calibri" w:eastAsia="Times New Roman" w:hAnsi="Calibri" w:cs="Calibri"/>
          <w:b/>
          <w:bCs/>
          <w:color w:val="0000FF"/>
          <w:sz w:val="24"/>
          <w:szCs w:val="24"/>
        </w:rPr>
        <w:t>.</w:t>
      </w:r>
      <w:proofErr w:type="gramEnd"/>
      <w:r w:rsidRPr="007A6B72">
        <w:rPr>
          <w:rFonts w:ascii="Calibri" w:eastAsia="Times New Roman" w:hAnsi="Calibri" w:cs="Calibri"/>
          <w:b/>
          <w:bCs/>
          <w:color w:val="0000FF"/>
          <w:sz w:val="24"/>
          <w:szCs w:val="24"/>
        </w:rPr>
        <w:t xml:space="preserve"> </w:t>
      </w:r>
      <w:r>
        <w:rPr>
          <w:rFonts w:ascii="Calibri" w:eastAsia="Times New Roman" w:hAnsi="Calibri" w:cs="Calibri"/>
          <w:b/>
          <w:bCs/>
          <w:color w:val="0000FF"/>
          <w:sz w:val="24"/>
          <w:szCs w:val="24"/>
        </w:rPr>
        <w:t xml:space="preserve">SES </w:t>
      </w:r>
      <w:r w:rsidRPr="007A6B72">
        <w:rPr>
          <w:rFonts w:ascii="Calibri" w:eastAsia="Times New Roman" w:hAnsi="Calibri" w:cs="Calibri"/>
          <w:b/>
          <w:bCs/>
          <w:color w:val="0000FF"/>
          <w:sz w:val="24"/>
          <w:szCs w:val="24"/>
        </w:rPr>
        <w:t>Risk Adjustment Coefficients</w:t>
      </w:r>
      <w:r w:rsidRPr="00F93CD1">
        <w:rPr>
          <w:rFonts w:ascii="Calibri" w:eastAsia="Times New Roman" w:hAnsi="Calibri" w:cs="Calibri"/>
          <w:b/>
          <w:bCs/>
          <w:color w:val="0000FF"/>
          <w:sz w:val="24"/>
          <w:szCs w:val="24"/>
        </w:rPr>
        <w:t xml:space="preserve">, </w:t>
      </w:r>
      <w:proofErr w:type="gramStart"/>
      <w:r w:rsidRPr="00F93CD1">
        <w:rPr>
          <w:rFonts w:ascii="Calibri" w:eastAsia="Times New Roman" w:hAnsi="Calibri" w:cs="Calibri"/>
          <w:b/>
          <w:bCs/>
          <w:color w:val="0000FF"/>
          <w:sz w:val="24"/>
          <w:szCs w:val="24"/>
        </w:rPr>
        <w:t>for PQI</w:t>
      </w:r>
      <w:r w:rsidR="002C3098">
        <w:rPr>
          <w:rFonts w:ascii="Calibri" w:eastAsia="Times New Roman" w:hAnsi="Calibri" w:cs="Calibri"/>
          <w:b/>
          <w:bCs/>
          <w:color w:val="0000FF"/>
          <w:sz w:val="24"/>
          <w:szCs w:val="24"/>
        </w:rPr>
        <w:t xml:space="preserve"> </w:t>
      </w:r>
      <w:r w:rsidRPr="00F93CD1">
        <w:rPr>
          <w:rFonts w:ascii="Calibri" w:eastAsia="Times New Roman" w:hAnsi="Calibri" w:cs="Calibri"/>
          <w:b/>
          <w:bCs/>
          <w:color w:val="0000FF"/>
          <w:sz w:val="24"/>
          <w:szCs w:val="24"/>
        </w:rPr>
        <w:t>15 Asthma in Younger Adults Admission Rate</w:t>
      </w:r>
      <w:proofErr w:type="gramEnd"/>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6"/>
        <w:gridCol w:w="1890"/>
        <w:gridCol w:w="540"/>
        <w:gridCol w:w="1259"/>
        <w:gridCol w:w="1532"/>
        <w:gridCol w:w="1441"/>
        <w:gridCol w:w="1237"/>
      </w:tblGrid>
      <w:tr w:rsidR="003F6238" w:rsidRPr="003730E6" w14:paraId="5778B0B6" w14:textId="77777777" w:rsidTr="003C27BF">
        <w:trPr>
          <w:trHeight w:val="288"/>
        </w:trPr>
        <w:tc>
          <w:tcPr>
            <w:tcW w:w="653" w:type="pct"/>
            <w:shd w:val="clear" w:color="auto" w:fill="D9D9D9" w:themeFill="background1" w:themeFillShade="D9"/>
            <w:noWrap/>
            <w:hideMark/>
          </w:tcPr>
          <w:p w14:paraId="78A84780"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Parameter</w:t>
            </w:r>
          </w:p>
        </w:tc>
        <w:tc>
          <w:tcPr>
            <w:tcW w:w="1040" w:type="pct"/>
            <w:shd w:val="clear" w:color="auto" w:fill="D9D9D9" w:themeFill="background1" w:themeFillShade="D9"/>
            <w:noWrap/>
            <w:hideMark/>
          </w:tcPr>
          <w:p w14:paraId="6ACBEFCF"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Label</w:t>
            </w:r>
          </w:p>
        </w:tc>
        <w:tc>
          <w:tcPr>
            <w:tcW w:w="297" w:type="pct"/>
            <w:shd w:val="clear" w:color="auto" w:fill="D9D9D9" w:themeFill="background1" w:themeFillShade="D9"/>
            <w:noWrap/>
            <w:hideMark/>
          </w:tcPr>
          <w:p w14:paraId="2CBBD136"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DF</w:t>
            </w:r>
          </w:p>
        </w:tc>
        <w:tc>
          <w:tcPr>
            <w:tcW w:w="693" w:type="pct"/>
            <w:shd w:val="clear" w:color="auto" w:fill="D9D9D9" w:themeFill="background1" w:themeFillShade="D9"/>
            <w:noWrap/>
            <w:hideMark/>
          </w:tcPr>
          <w:p w14:paraId="3C55C595"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Estimate</w:t>
            </w:r>
          </w:p>
        </w:tc>
        <w:tc>
          <w:tcPr>
            <w:tcW w:w="843" w:type="pct"/>
            <w:shd w:val="clear" w:color="auto" w:fill="D9D9D9" w:themeFill="background1" w:themeFillShade="D9"/>
            <w:noWrap/>
            <w:hideMark/>
          </w:tcPr>
          <w:p w14:paraId="4189AB1D" w14:textId="77777777" w:rsidR="003F6238" w:rsidRPr="0082084F" w:rsidRDefault="003F6238" w:rsidP="00943D1E">
            <w:pPr>
              <w:spacing w:after="0" w:line="240" w:lineRule="auto"/>
              <w:ind w:right="-108"/>
              <w:rPr>
                <w:b/>
                <w:color w:val="0000FF"/>
                <w:sz w:val="18"/>
                <w:szCs w:val="18"/>
              </w:rPr>
            </w:pPr>
            <w:r>
              <w:rPr>
                <w:rFonts w:ascii="Calibri" w:eastAsia="Times New Roman" w:hAnsi="Calibri" w:cs="Calibri"/>
                <w:b/>
                <w:bCs/>
                <w:color w:val="0000FF"/>
              </w:rPr>
              <w:t>Standard Error</w:t>
            </w:r>
          </w:p>
        </w:tc>
        <w:tc>
          <w:tcPr>
            <w:tcW w:w="793" w:type="pct"/>
            <w:shd w:val="clear" w:color="auto" w:fill="D9D9D9" w:themeFill="background1" w:themeFillShade="D9"/>
            <w:noWrap/>
            <w:vAlign w:val="center"/>
            <w:hideMark/>
          </w:tcPr>
          <w:p w14:paraId="59764409" w14:textId="77777777" w:rsidR="003F6238" w:rsidRPr="0082084F" w:rsidRDefault="003F6238" w:rsidP="003F6238">
            <w:pPr>
              <w:spacing w:after="0" w:line="240" w:lineRule="auto"/>
              <w:rPr>
                <w:b/>
                <w:color w:val="0000FF"/>
                <w:sz w:val="18"/>
                <w:szCs w:val="18"/>
              </w:rPr>
            </w:pPr>
            <w:r>
              <w:rPr>
                <w:rFonts w:ascii="Calibri" w:eastAsia="Times New Roman" w:hAnsi="Calibri" w:cs="Calibri"/>
                <w:b/>
                <w:bCs/>
                <w:color w:val="0000FF"/>
              </w:rPr>
              <w:t>Wald Chi-Square</w:t>
            </w:r>
          </w:p>
        </w:tc>
        <w:tc>
          <w:tcPr>
            <w:tcW w:w="680" w:type="pct"/>
            <w:shd w:val="clear" w:color="auto" w:fill="D9D9D9" w:themeFill="background1" w:themeFillShade="D9"/>
            <w:noWrap/>
            <w:vAlign w:val="center"/>
            <w:hideMark/>
          </w:tcPr>
          <w:p w14:paraId="291CF892" w14:textId="77777777" w:rsidR="003F6238" w:rsidRPr="0082084F" w:rsidRDefault="003F6238" w:rsidP="003F6238">
            <w:pPr>
              <w:spacing w:after="0" w:line="240" w:lineRule="auto"/>
              <w:rPr>
                <w:b/>
                <w:color w:val="0000FF"/>
                <w:sz w:val="18"/>
                <w:szCs w:val="18"/>
              </w:rPr>
            </w:pPr>
            <w:proofErr w:type="spellStart"/>
            <w:r>
              <w:rPr>
                <w:rFonts w:ascii="Calibri" w:eastAsia="Times New Roman" w:hAnsi="Calibri" w:cs="Calibri"/>
                <w:b/>
                <w:bCs/>
                <w:color w:val="0000FF"/>
              </w:rPr>
              <w:t>Pr</w:t>
            </w:r>
            <w:proofErr w:type="spellEnd"/>
            <w:r>
              <w:rPr>
                <w:rFonts w:ascii="Calibri" w:eastAsia="Times New Roman" w:hAnsi="Calibri" w:cs="Calibri"/>
                <w:b/>
                <w:bCs/>
                <w:color w:val="0000FF"/>
              </w:rPr>
              <w:t xml:space="preserve"> &gt; Chi-Square</w:t>
            </w:r>
          </w:p>
        </w:tc>
      </w:tr>
      <w:tr w:rsidR="0015067D" w:rsidRPr="00180989" w14:paraId="10013866"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00E62" w14:textId="5AE50B2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INTERCEPT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49E65" w14:textId="1FE9C0A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 </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D4588" w14:textId="0DF9749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15F21" w14:textId="49FBDD9D" w:rsidR="0015067D" w:rsidRPr="0015067D" w:rsidRDefault="0015067D" w:rsidP="003F6238">
            <w:pPr>
              <w:spacing w:after="0" w:line="240" w:lineRule="auto"/>
              <w:rPr>
                <w:rFonts w:cstheme="minorHAnsi"/>
                <w:sz w:val="20"/>
                <w:szCs w:val="20"/>
                <w:highlight w:val="yellow"/>
              </w:rPr>
            </w:pPr>
            <w:r>
              <w:rPr>
                <w:rFonts w:cstheme="minorHAnsi"/>
                <w:sz w:val="20"/>
                <w:szCs w:val="20"/>
              </w:rPr>
              <w:t>-8.19743673</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B3E0C" w14:textId="3371D1C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0.025177701</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809A7" w14:textId="472FAC3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106004.424</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74DD3" w14:textId="588A9C8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68FF72B8"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D62FF" w14:textId="06E4705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SEX</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B7E1E" w14:textId="02E8FDB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2288D" w14:textId="11B0F7D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A9964" w14:textId="4B54F39D" w:rsidR="0015067D" w:rsidRPr="0015067D" w:rsidRDefault="0015067D" w:rsidP="003F6238">
            <w:pPr>
              <w:spacing w:after="0" w:line="240" w:lineRule="auto"/>
              <w:rPr>
                <w:rFonts w:cstheme="minorHAnsi"/>
                <w:sz w:val="20"/>
                <w:szCs w:val="20"/>
                <w:highlight w:val="yellow"/>
              </w:rPr>
            </w:pPr>
            <w:r>
              <w:rPr>
                <w:rFonts w:cstheme="minorHAnsi"/>
                <w:sz w:val="20"/>
                <w:szCs w:val="20"/>
              </w:rPr>
              <w:t>0.83749199</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B67F2" w14:textId="02E3321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0.021373641</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F87DA" w14:textId="010860D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1535.33903</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BA757" w14:textId="40D8C6B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345168ED"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0ECF0" w14:textId="75FD549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E82D7" w14:textId="1EFE4F7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18-24</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E28CF" w14:textId="2329DE7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0313D" w14:textId="07D60D04" w:rsidR="0015067D" w:rsidRPr="0015067D" w:rsidRDefault="0015067D" w:rsidP="003F6238">
            <w:pPr>
              <w:spacing w:after="0" w:line="240" w:lineRule="auto"/>
              <w:rPr>
                <w:rFonts w:cstheme="minorHAnsi"/>
                <w:sz w:val="20"/>
                <w:szCs w:val="20"/>
                <w:highlight w:val="yellow"/>
              </w:rPr>
            </w:pPr>
            <w:r>
              <w:rPr>
                <w:rFonts w:cstheme="minorHAnsi"/>
                <w:sz w:val="20"/>
                <w:szCs w:val="20"/>
              </w:rPr>
              <w:t>-0.39606813</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DD929" w14:textId="04627A8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0.025049744</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0D83C" w14:textId="4AB40499" w:rsidR="0015067D" w:rsidRPr="0015067D" w:rsidRDefault="0015067D" w:rsidP="003F6238">
            <w:pPr>
              <w:spacing w:after="0" w:line="240" w:lineRule="auto"/>
              <w:rPr>
                <w:rFonts w:cstheme="minorHAnsi"/>
                <w:sz w:val="20"/>
                <w:szCs w:val="20"/>
                <w:highlight w:val="yellow"/>
              </w:rPr>
            </w:pPr>
            <w:r>
              <w:rPr>
                <w:rFonts w:cstheme="minorHAnsi"/>
                <w:sz w:val="20"/>
                <w:szCs w:val="20"/>
              </w:rPr>
              <w:t>249.996089</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41D35" w14:textId="2946657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0D5E7351"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30A70" w14:textId="31DC7BC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44952" w14:textId="061EFE5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25-29</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DB870" w14:textId="5056CF52"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97EE0" w14:textId="505BF6A1" w:rsidR="0015067D" w:rsidRPr="0015067D" w:rsidRDefault="0015067D" w:rsidP="003F6238">
            <w:pPr>
              <w:spacing w:after="0" w:line="240" w:lineRule="auto"/>
              <w:rPr>
                <w:rFonts w:cstheme="minorHAnsi"/>
                <w:sz w:val="20"/>
                <w:szCs w:val="20"/>
                <w:highlight w:val="yellow"/>
              </w:rPr>
            </w:pPr>
            <w:r>
              <w:rPr>
                <w:rFonts w:cstheme="minorHAnsi"/>
                <w:sz w:val="20"/>
                <w:szCs w:val="20"/>
              </w:rPr>
              <w:t>-0.34599236</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51736" w14:textId="06CCD04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0.026817633</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987" w14:textId="7EC37A2A" w:rsidR="0015067D" w:rsidRPr="0015067D" w:rsidRDefault="0015067D" w:rsidP="003F6238">
            <w:pPr>
              <w:spacing w:after="0" w:line="240" w:lineRule="auto"/>
              <w:rPr>
                <w:rFonts w:cstheme="minorHAnsi"/>
                <w:sz w:val="20"/>
                <w:szCs w:val="20"/>
                <w:highlight w:val="yellow"/>
              </w:rPr>
            </w:pPr>
            <w:r>
              <w:rPr>
                <w:rFonts w:cstheme="minorHAnsi"/>
                <w:sz w:val="20"/>
                <w:szCs w:val="20"/>
              </w:rPr>
              <w:t>166.453192</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54400" w14:textId="37661B4E"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0EDEDF1E"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AB08E" w14:textId="1D6BA6D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43864" w14:textId="09BEBEA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30-34</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41118" w14:textId="4073E6F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0AB79" w14:textId="2965B0EE" w:rsidR="0015067D" w:rsidRPr="0015067D" w:rsidRDefault="0015067D" w:rsidP="003F6238">
            <w:pPr>
              <w:spacing w:after="0" w:line="240" w:lineRule="auto"/>
              <w:rPr>
                <w:rFonts w:cstheme="minorHAnsi"/>
                <w:sz w:val="20"/>
                <w:szCs w:val="20"/>
                <w:highlight w:val="yellow"/>
              </w:rPr>
            </w:pPr>
            <w:r>
              <w:rPr>
                <w:rFonts w:cstheme="minorHAnsi"/>
                <w:sz w:val="20"/>
                <w:szCs w:val="20"/>
              </w:rPr>
              <w:t>-0.23108600</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F0E0E" w14:textId="485068FE"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0.026201555</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B2BC5" w14:textId="1217AB28" w:rsidR="0015067D" w:rsidRPr="0015067D" w:rsidRDefault="0015067D" w:rsidP="003F6238">
            <w:pPr>
              <w:spacing w:after="0" w:line="240" w:lineRule="auto"/>
              <w:rPr>
                <w:rFonts w:cstheme="minorHAnsi"/>
                <w:sz w:val="20"/>
                <w:szCs w:val="20"/>
                <w:highlight w:val="yellow"/>
              </w:rPr>
            </w:pPr>
            <w:r>
              <w:rPr>
                <w:rFonts w:cstheme="minorHAnsi"/>
                <w:sz w:val="20"/>
                <w:szCs w:val="20"/>
              </w:rPr>
              <w:t>77.7845207</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AE1A2" w14:textId="3ABBABF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42E9850D"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23E85" w14:textId="13A5EB7E"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525C6" w14:textId="6957AB8E"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Male, Age 35-39</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6CBEA" w14:textId="1CE04765" w:rsidR="0015067D" w:rsidRPr="0015067D" w:rsidRDefault="0015067D" w:rsidP="003F6238">
            <w:pPr>
              <w:spacing w:after="0" w:line="240" w:lineRule="auto"/>
              <w:rPr>
                <w:rFonts w:cstheme="minorHAnsi"/>
                <w:sz w:val="20"/>
                <w:szCs w:val="20"/>
                <w:highlight w:val="yellow"/>
              </w:rPr>
            </w:pP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97F37" w14:textId="500C3991" w:rsidR="0015067D" w:rsidRPr="0015067D" w:rsidRDefault="002C3098" w:rsidP="003F6238">
            <w:pPr>
              <w:spacing w:after="0" w:line="240" w:lineRule="auto"/>
              <w:rPr>
                <w:rFonts w:cstheme="minorHAnsi"/>
                <w:sz w:val="20"/>
                <w:szCs w:val="20"/>
                <w:highlight w:val="yellow"/>
              </w:rPr>
            </w:pPr>
            <w:r>
              <w:rPr>
                <w:rFonts w:cstheme="minorHAnsi"/>
                <w:sz w:val="20"/>
                <w:szCs w:val="20"/>
              </w:rPr>
              <w:t>Referent</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22517" w14:textId="65033CD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5CCF8" w14:textId="7F8AAA9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50DA7" w14:textId="088A548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r>
      <w:tr w:rsidR="0015067D" w:rsidRPr="00180989" w14:paraId="3D9AF060"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22535" w14:textId="64F24C6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A21CB" w14:textId="0EF79516"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18-24</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F43C9" w14:textId="070A6C4B"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84418" w14:textId="7D3FC70E" w:rsidR="0015067D" w:rsidRPr="0015067D" w:rsidRDefault="0015067D" w:rsidP="003F6238">
            <w:pPr>
              <w:spacing w:after="0" w:line="240" w:lineRule="auto"/>
              <w:rPr>
                <w:rFonts w:cstheme="minorHAnsi"/>
                <w:sz w:val="20"/>
                <w:szCs w:val="20"/>
                <w:highlight w:val="yellow"/>
              </w:rPr>
            </w:pPr>
            <w:r>
              <w:rPr>
                <w:rFonts w:cstheme="minorHAnsi"/>
                <w:sz w:val="20"/>
                <w:szCs w:val="20"/>
              </w:rPr>
              <w:t>-0.35522758</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930E5" w14:textId="6C71C93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0.031039922</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5BBC7" w14:textId="1225E99F" w:rsidR="0015067D" w:rsidRPr="0015067D" w:rsidRDefault="0015067D" w:rsidP="003F6238">
            <w:pPr>
              <w:spacing w:after="0" w:line="240" w:lineRule="auto"/>
              <w:rPr>
                <w:rFonts w:cstheme="minorHAnsi"/>
                <w:sz w:val="20"/>
                <w:szCs w:val="20"/>
                <w:highlight w:val="yellow"/>
              </w:rPr>
            </w:pPr>
            <w:r>
              <w:rPr>
                <w:rFonts w:cstheme="minorHAnsi"/>
                <w:sz w:val="20"/>
                <w:szCs w:val="20"/>
              </w:rPr>
              <w:t>130.970085</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17B0F" w14:textId="06B11C8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473F68CD"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46B5D" w14:textId="1C7FAC9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7BC7B" w14:textId="3D2DF46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25-29</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69186" w14:textId="3B2C622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9AF87" w14:textId="763F5C90" w:rsidR="0015067D" w:rsidRPr="0015067D" w:rsidRDefault="0015067D" w:rsidP="003F6238">
            <w:pPr>
              <w:spacing w:after="0" w:line="240" w:lineRule="auto"/>
              <w:rPr>
                <w:rFonts w:cstheme="minorHAnsi"/>
                <w:sz w:val="20"/>
                <w:szCs w:val="20"/>
                <w:highlight w:val="yellow"/>
              </w:rPr>
            </w:pPr>
            <w:r>
              <w:rPr>
                <w:rFonts w:cstheme="minorHAnsi"/>
                <w:sz w:val="20"/>
                <w:szCs w:val="20"/>
              </w:rPr>
              <w:t>-0.19156186</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F8C75" w14:textId="7C7C463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0.03274053</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C4A1C" w14:textId="60D2E41D" w:rsidR="0015067D" w:rsidRPr="0015067D" w:rsidRDefault="0015067D" w:rsidP="003F6238">
            <w:pPr>
              <w:spacing w:after="0" w:line="240" w:lineRule="auto"/>
              <w:rPr>
                <w:rFonts w:cstheme="minorHAnsi"/>
                <w:sz w:val="20"/>
                <w:szCs w:val="20"/>
                <w:highlight w:val="yellow"/>
              </w:rPr>
            </w:pPr>
            <w:r>
              <w:rPr>
                <w:rFonts w:cstheme="minorHAnsi"/>
                <w:sz w:val="20"/>
                <w:szCs w:val="20"/>
              </w:rPr>
              <w:t>34.2331361</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3D357" w14:textId="0AA6298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7CCA64C8"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6327" w14:textId="7D5C567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CB179" w14:textId="6CB8C13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30-34</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154CA" w14:textId="73BE750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E7716" w14:textId="1586074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-0.04268203</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B7F8E" w14:textId="3155FAC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0.031482201</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9281B" w14:textId="5AC6BFF6" w:rsidR="0015067D" w:rsidRPr="0015067D" w:rsidRDefault="0015067D" w:rsidP="003F6238">
            <w:pPr>
              <w:spacing w:after="0" w:line="240" w:lineRule="auto"/>
              <w:rPr>
                <w:rFonts w:cstheme="minorHAnsi"/>
                <w:sz w:val="20"/>
                <w:szCs w:val="20"/>
                <w:highlight w:val="yellow"/>
              </w:rPr>
            </w:pPr>
            <w:r>
              <w:rPr>
                <w:rFonts w:cstheme="minorHAnsi"/>
                <w:sz w:val="20"/>
                <w:szCs w:val="20"/>
              </w:rPr>
              <w:t>1.83806134</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44C28" w14:textId="7D514A1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0.1752</w:t>
            </w:r>
          </w:p>
        </w:tc>
      </w:tr>
      <w:tr w:rsidR="0015067D" w:rsidRPr="00180989" w14:paraId="2E80A921"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94D14" w14:textId="2020EBA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AGE</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F0534" w14:textId="0E9257D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Female, Age 35-39</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78F5B" w14:textId="000958F4" w:rsidR="0015067D" w:rsidRPr="0015067D" w:rsidRDefault="0015067D" w:rsidP="003F6238">
            <w:pPr>
              <w:spacing w:after="0" w:line="240" w:lineRule="auto"/>
              <w:rPr>
                <w:rFonts w:cstheme="minorHAnsi"/>
                <w:sz w:val="20"/>
                <w:szCs w:val="20"/>
                <w:highlight w:val="yellow"/>
              </w:rPr>
            </w:pP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36C60" w14:textId="628AEEFE" w:rsidR="0015067D" w:rsidRPr="0015067D" w:rsidRDefault="002C3098" w:rsidP="003F6238">
            <w:pPr>
              <w:spacing w:after="0" w:line="240" w:lineRule="auto"/>
              <w:rPr>
                <w:rFonts w:cstheme="minorHAnsi"/>
                <w:sz w:val="20"/>
                <w:szCs w:val="20"/>
                <w:highlight w:val="yellow"/>
              </w:rPr>
            </w:pPr>
            <w:r>
              <w:rPr>
                <w:rFonts w:cstheme="minorHAnsi"/>
                <w:sz w:val="20"/>
                <w:szCs w:val="20"/>
              </w:rPr>
              <w:t>Referent</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1824E" w14:textId="08107086"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0C59A" w14:textId="5957DE51"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96191" w14:textId="51AD219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w:t>
            </w:r>
          </w:p>
        </w:tc>
      </w:tr>
      <w:tr w:rsidR="0015067D" w:rsidRPr="00180989" w14:paraId="73B97338"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52C56" w14:textId="3C7B313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299F3" w14:textId="2088FF2A"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2</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8D209" w14:textId="43FBD7D6"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E81CA" w14:textId="5B5D645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-0.00381111</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614CD" w14:textId="2BDCAA8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0.026723409</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8BDF6" w14:textId="7BB164EF" w:rsidR="0015067D" w:rsidRPr="0015067D" w:rsidRDefault="0015067D" w:rsidP="003F6238">
            <w:pPr>
              <w:spacing w:after="0" w:line="240" w:lineRule="auto"/>
              <w:rPr>
                <w:rFonts w:cstheme="minorHAnsi"/>
                <w:sz w:val="20"/>
                <w:szCs w:val="20"/>
                <w:highlight w:val="yellow"/>
              </w:rPr>
            </w:pPr>
            <w:r>
              <w:rPr>
                <w:rFonts w:cstheme="minorHAnsi"/>
                <w:sz w:val="20"/>
                <w:szCs w:val="20"/>
              </w:rPr>
              <w:t>0.02033851</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C56C3" w14:textId="0EC63C7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0.8866</w:t>
            </w:r>
          </w:p>
        </w:tc>
      </w:tr>
      <w:tr w:rsidR="0015067D" w:rsidRPr="00180989" w14:paraId="0DD23303"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61944" w14:textId="448EC69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40B2A" w14:textId="42B1C374"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3</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D0C57" w14:textId="4F38A61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F6DC0" w14:textId="6ADA3B80" w:rsidR="0015067D" w:rsidRPr="0015067D" w:rsidRDefault="0015067D" w:rsidP="003F6238">
            <w:pPr>
              <w:spacing w:after="0" w:line="240" w:lineRule="auto"/>
              <w:rPr>
                <w:rFonts w:cstheme="minorHAnsi"/>
                <w:sz w:val="20"/>
                <w:szCs w:val="20"/>
                <w:highlight w:val="yellow"/>
              </w:rPr>
            </w:pPr>
            <w:r>
              <w:rPr>
                <w:rFonts w:cstheme="minorHAnsi"/>
                <w:sz w:val="20"/>
                <w:szCs w:val="20"/>
              </w:rPr>
              <w:t>-0.02322692</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23A3C" w14:textId="64E15514"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0.02655037</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107AF" w14:textId="3FF0A979" w:rsidR="0015067D" w:rsidRPr="0015067D" w:rsidRDefault="0015067D" w:rsidP="003F6238">
            <w:pPr>
              <w:spacing w:after="0" w:line="240" w:lineRule="auto"/>
              <w:rPr>
                <w:rFonts w:cstheme="minorHAnsi"/>
                <w:sz w:val="20"/>
                <w:szCs w:val="20"/>
                <w:highlight w:val="yellow"/>
              </w:rPr>
            </w:pPr>
            <w:r>
              <w:rPr>
                <w:rFonts w:cstheme="minorHAnsi"/>
                <w:sz w:val="20"/>
                <w:szCs w:val="20"/>
              </w:rPr>
              <w:t>0.76531867</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09008" w14:textId="2312756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0.3817</w:t>
            </w:r>
          </w:p>
        </w:tc>
      </w:tr>
      <w:tr w:rsidR="0015067D" w:rsidRPr="00180989" w14:paraId="01801A87"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C518" w14:textId="2613446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C4FCBC" w14:textId="38A400C6"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4</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0C264" w14:textId="79FC89BE"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E472C" w14:textId="08708C60" w:rsidR="0015067D" w:rsidRPr="0015067D" w:rsidRDefault="0015067D" w:rsidP="003F6238">
            <w:pPr>
              <w:spacing w:after="0" w:line="240" w:lineRule="auto"/>
              <w:rPr>
                <w:rFonts w:cstheme="minorHAnsi"/>
                <w:sz w:val="20"/>
                <w:szCs w:val="20"/>
                <w:highlight w:val="yellow"/>
              </w:rPr>
            </w:pPr>
            <w:r>
              <w:rPr>
                <w:rFonts w:cstheme="minorHAnsi"/>
                <w:sz w:val="20"/>
                <w:szCs w:val="20"/>
              </w:rPr>
              <w:t>-0.01808578</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D62D0" w14:textId="2D64F27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0.026235351</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49AC1" w14:textId="28113449" w:rsidR="0015067D" w:rsidRPr="0015067D" w:rsidRDefault="0015067D" w:rsidP="003F6238">
            <w:pPr>
              <w:spacing w:after="0" w:line="240" w:lineRule="auto"/>
              <w:rPr>
                <w:rFonts w:cstheme="minorHAnsi"/>
                <w:sz w:val="20"/>
                <w:szCs w:val="20"/>
                <w:highlight w:val="yellow"/>
              </w:rPr>
            </w:pPr>
            <w:r>
              <w:rPr>
                <w:rFonts w:cstheme="minorHAnsi"/>
                <w:sz w:val="20"/>
                <w:szCs w:val="20"/>
              </w:rPr>
              <w:t>0.47522664</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1CC1C" w14:textId="18BA179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0.4906</w:t>
            </w:r>
          </w:p>
        </w:tc>
      </w:tr>
      <w:tr w:rsidR="0015067D" w:rsidRPr="00180989" w14:paraId="49B317F7"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6640B" w14:textId="35D86A5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8B9EA" w14:textId="06BE7849"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5</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102A9" w14:textId="25EEAA7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FFBE2" w14:textId="6FBAAFED" w:rsidR="0015067D" w:rsidRPr="0015067D" w:rsidRDefault="0015067D" w:rsidP="003F6238">
            <w:pPr>
              <w:spacing w:after="0" w:line="240" w:lineRule="auto"/>
              <w:rPr>
                <w:rFonts w:cstheme="minorHAnsi"/>
                <w:sz w:val="20"/>
                <w:szCs w:val="20"/>
                <w:highlight w:val="yellow"/>
              </w:rPr>
            </w:pPr>
            <w:r>
              <w:rPr>
                <w:rFonts w:cstheme="minorHAnsi"/>
                <w:sz w:val="20"/>
                <w:szCs w:val="20"/>
              </w:rPr>
              <w:t>0.16097745</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EB258" w14:textId="4A9ED782"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0.025270753</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C9802" w14:textId="4D365539" w:rsidR="0015067D" w:rsidRPr="0015067D" w:rsidRDefault="0015067D" w:rsidP="003F6238">
            <w:pPr>
              <w:spacing w:after="0" w:line="240" w:lineRule="auto"/>
              <w:rPr>
                <w:rFonts w:cstheme="minorHAnsi"/>
                <w:sz w:val="20"/>
                <w:szCs w:val="20"/>
                <w:highlight w:val="yellow"/>
              </w:rPr>
            </w:pPr>
            <w:r>
              <w:rPr>
                <w:rFonts w:cstheme="minorHAnsi"/>
                <w:sz w:val="20"/>
                <w:szCs w:val="20"/>
              </w:rPr>
              <w:t>40.5782915</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06DDA" w14:textId="4E937CD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3BC48A76"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B3B6A" w14:textId="5817B0A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345CC" w14:textId="54193F84"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6</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9795A" w14:textId="0FE749E6"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14E28" w14:textId="303832C5"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0.2223969</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033EA" w14:textId="67AD4E9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0.024676127</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47A9D" w14:textId="450C4A56" w:rsidR="0015067D" w:rsidRPr="0015067D" w:rsidRDefault="0015067D" w:rsidP="003F6238">
            <w:pPr>
              <w:spacing w:after="0" w:line="240" w:lineRule="auto"/>
              <w:rPr>
                <w:rFonts w:cstheme="minorHAnsi"/>
                <w:sz w:val="20"/>
                <w:szCs w:val="20"/>
                <w:highlight w:val="yellow"/>
              </w:rPr>
            </w:pPr>
            <w:r>
              <w:rPr>
                <w:rFonts w:cstheme="minorHAnsi"/>
                <w:sz w:val="20"/>
                <w:szCs w:val="20"/>
              </w:rPr>
              <w:t>81.2275687</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0B45F" w14:textId="10FE8AF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37C77CEE"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0A48F" w14:textId="3B38373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5FE07" w14:textId="67A6913A"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7</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F4AF4" w14:textId="69FD0B9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B4895" w14:textId="4294F343" w:rsidR="0015067D" w:rsidRPr="0015067D" w:rsidRDefault="0015067D" w:rsidP="003F6238">
            <w:pPr>
              <w:spacing w:after="0" w:line="240" w:lineRule="auto"/>
              <w:rPr>
                <w:rFonts w:cstheme="minorHAnsi"/>
                <w:sz w:val="20"/>
                <w:szCs w:val="20"/>
                <w:highlight w:val="yellow"/>
              </w:rPr>
            </w:pPr>
            <w:r>
              <w:rPr>
                <w:rFonts w:cstheme="minorHAnsi"/>
                <w:sz w:val="20"/>
                <w:szCs w:val="20"/>
              </w:rPr>
              <w:t>0.20873420</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C6314" w14:textId="63F75F5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0.024754258</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1E622" w14:textId="61FB47E0" w:rsidR="0015067D" w:rsidRPr="0015067D" w:rsidRDefault="0015067D" w:rsidP="003F6238">
            <w:pPr>
              <w:spacing w:after="0" w:line="240" w:lineRule="auto"/>
              <w:rPr>
                <w:rFonts w:cstheme="minorHAnsi"/>
                <w:sz w:val="20"/>
                <w:szCs w:val="20"/>
                <w:highlight w:val="yellow"/>
              </w:rPr>
            </w:pPr>
            <w:r>
              <w:rPr>
                <w:rFonts w:cstheme="minorHAnsi"/>
                <w:sz w:val="20"/>
                <w:szCs w:val="20"/>
              </w:rPr>
              <w:t>71.1029161</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68776" w14:textId="14DC7C0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0631C1A0"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07FBD" w14:textId="46AEB77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1683A" w14:textId="33BA591D"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8</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84892" w14:textId="4804570F"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4D829" w14:textId="4B8C3681" w:rsidR="0015067D" w:rsidRPr="0015067D" w:rsidRDefault="0015067D" w:rsidP="003F6238">
            <w:pPr>
              <w:spacing w:after="0" w:line="240" w:lineRule="auto"/>
              <w:rPr>
                <w:rFonts w:cstheme="minorHAnsi"/>
                <w:sz w:val="20"/>
                <w:szCs w:val="20"/>
                <w:highlight w:val="yellow"/>
              </w:rPr>
            </w:pPr>
            <w:r>
              <w:rPr>
                <w:rFonts w:cstheme="minorHAnsi"/>
                <w:sz w:val="20"/>
                <w:szCs w:val="20"/>
              </w:rPr>
              <w:t>0.14333891</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595E7" w14:textId="7DFBDA00"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0.025036027</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4A62C" w14:textId="5A3F64D4" w:rsidR="0015067D" w:rsidRPr="0015067D" w:rsidRDefault="0015067D" w:rsidP="003F6238">
            <w:pPr>
              <w:spacing w:after="0" w:line="240" w:lineRule="auto"/>
              <w:rPr>
                <w:rFonts w:cstheme="minorHAnsi"/>
                <w:sz w:val="20"/>
                <w:szCs w:val="20"/>
                <w:highlight w:val="yellow"/>
              </w:rPr>
            </w:pPr>
            <w:r>
              <w:rPr>
                <w:rFonts w:cstheme="minorHAnsi"/>
                <w:sz w:val="20"/>
                <w:szCs w:val="20"/>
              </w:rPr>
              <w:t>32.7791313</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7A500" w14:textId="15C2A9D6"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2A5D9106"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DDBAF" w14:textId="059C7C37"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AA23" w14:textId="0EF96D4D" w:rsidR="0015067D" w:rsidRPr="0015067D" w:rsidRDefault="00663F59" w:rsidP="003F6238">
            <w:pPr>
              <w:spacing w:after="0" w:line="240" w:lineRule="auto"/>
              <w:rPr>
                <w:rFonts w:cstheme="minorHAnsi"/>
                <w:sz w:val="20"/>
                <w:szCs w:val="20"/>
                <w:highlight w:val="yellow"/>
              </w:rPr>
            </w:pPr>
            <w:r>
              <w:rPr>
                <w:rFonts w:cstheme="minorHAnsi"/>
                <w:sz w:val="20"/>
                <w:szCs w:val="20"/>
              </w:rPr>
              <w:t xml:space="preserve">Poverty Decile </w:t>
            </w:r>
            <w:r w:rsidR="0015067D" w:rsidRPr="0015067D">
              <w:rPr>
                <w:rFonts w:cstheme="minorHAnsi"/>
                <w:sz w:val="20"/>
                <w:szCs w:val="20"/>
              </w:rPr>
              <w:t>9</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8A0DD" w14:textId="0EE85BB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FEED7" w14:textId="6310D7F2" w:rsidR="0015067D" w:rsidRPr="0015067D" w:rsidRDefault="0015067D" w:rsidP="003F6238">
            <w:pPr>
              <w:spacing w:after="0" w:line="240" w:lineRule="auto"/>
              <w:rPr>
                <w:rFonts w:cstheme="minorHAnsi"/>
                <w:sz w:val="20"/>
                <w:szCs w:val="20"/>
                <w:highlight w:val="yellow"/>
              </w:rPr>
            </w:pPr>
            <w:r>
              <w:rPr>
                <w:rFonts w:cstheme="minorHAnsi"/>
                <w:sz w:val="20"/>
                <w:szCs w:val="20"/>
              </w:rPr>
              <w:t>0.11142012</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A938C" w14:textId="05932A2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0.025997461</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B5087" w14:textId="6A76256A" w:rsidR="0015067D" w:rsidRPr="0015067D" w:rsidRDefault="0015067D" w:rsidP="003F6238">
            <w:pPr>
              <w:spacing w:after="0" w:line="240" w:lineRule="auto"/>
              <w:rPr>
                <w:rFonts w:cstheme="minorHAnsi"/>
                <w:sz w:val="20"/>
                <w:szCs w:val="20"/>
                <w:highlight w:val="yellow"/>
              </w:rPr>
            </w:pPr>
            <w:r>
              <w:rPr>
                <w:rFonts w:cstheme="minorHAnsi"/>
                <w:sz w:val="20"/>
                <w:szCs w:val="20"/>
              </w:rPr>
              <w:t>18.3681488</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D2FBF" w14:textId="6D449353"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5E9737D5" w14:textId="77777777" w:rsidTr="003C27BF">
        <w:trPr>
          <w:trHeight w:val="288"/>
        </w:trPr>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15677" w14:textId="5303080C"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POVCAT</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EF169" w14:textId="5A3278E6" w:rsidR="0015067D" w:rsidRPr="00950E74" w:rsidRDefault="00663F59" w:rsidP="003F6238">
            <w:pPr>
              <w:spacing w:after="0" w:line="240" w:lineRule="auto"/>
              <w:rPr>
                <w:rFonts w:cstheme="minorHAnsi"/>
                <w:sz w:val="20"/>
                <w:szCs w:val="20"/>
                <w:highlight w:val="yellow"/>
                <w:vertAlign w:val="superscript"/>
              </w:rPr>
            </w:pPr>
            <w:r>
              <w:rPr>
                <w:rFonts w:cstheme="minorHAnsi"/>
                <w:sz w:val="20"/>
                <w:szCs w:val="20"/>
              </w:rPr>
              <w:t>Poverty Decile</w:t>
            </w:r>
            <w:r w:rsidR="0015067D" w:rsidRPr="0015067D">
              <w:rPr>
                <w:rFonts w:cstheme="minorHAnsi"/>
                <w:sz w:val="20"/>
                <w:szCs w:val="20"/>
              </w:rPr>
              <w:t>10</w:t>
            </w:r>
            <w:r w:rsidR="003C27BF">
              <w:rPr>
                <w:rFonts w:cstheme="minorHAnsi"/>
                <w:sz w:val="20"/>
                <w:szCs w:val="20"/>
              </w:rPr>
              <w:t xml:space="preserve"> (Highest percent poverty)</w:t>
            </w:r>
            <w:r w:rsidR="003C27BF">
              <w:rPr>
                <w:rFonts w:cstheme="minorHAnsi"/>
                <w:sz w:val="20"/>
                <w:szCs w:val="20"/>
                <w:vertAlign w:val="superscript"/>
              </w:rPr>
              <w:t>1</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055B5" w14:textId="5F4CFE48"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4F7AB" w14:textId="28324B35" w:rsidR="0015067D" w:rsidRPr="0015067D" w:rsidRDefault="0015067D" w:rsidP="003F6238">
            <w:pPr>
              <w:spacing w:after="0" w:line="240" w:lineRule="auto"/>
              <w:rPr>
                <w:rFonts w:cstheme="minorHAnsi"/>
                <w:sz w:val="20"/>
                <w:szCs w:val="20"/>
                <w:highlight w:val="yellow"/>
              </w:rPr>
            </w:pPr>
            <w:r>
              <w:rPr>
                <w:rFonts w:cstheme="minorHAnsi"/>
                <w:sz w:val="20"/>
                <w:szCs w:val="20"/>
              </w:rPr>
              <w:t>0.56469829</w:t>
            </w:r>
          </w:p>
        </w:tc>
        <w:tc>
          <w:tcPr>
            <w:tcW w:w="8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E18B6" w14:textId="61A3DAB9"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0.023119412</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6E3CC" w14:textId="2996FAB1" w:rsidR="0015067D" w:rsidRPr="0015067D" w:rsidRDefault="0015067D" w:rsidP="003F6238">
            <w:pPr>
              <w:spacing w:after="0" w:line="240" w:lineRule="auto"/>
              <w:rPr>
                <w:rFonts w:cstheme="minorHAnsi"/>
                <w:sz w:val="20"/>
                <w:szCs w:val="20"/>
                <w:highlight w:val="yellow"/>
              </w:rPr>
            </w:pPr>
            <w:r>
              <w:rPr>
                <w:rFonts w:cstheme="minorHAnsi"/>
                <w:sz w:val="20"/>
                <w:szCs w:val="20"/>
              </w:rPr>
              <w:t>596.594715</w:t>
            </w: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DCF51" w14:textId="6499671A"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&lt;.0001</w:t>
            </w:r>
          </w:p>
        </w:tc>
      </w:tr>
      <w:tr w:rsidR="0015067D" w:rsidRPr="00180989" w14:paraId="1C2428C6" w14:textId="77777777" w:rsidTr="0015067D">
        <w:trPr>
          <w:trHeight w:val="28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B5837" w14:textId="12FCB89D" w:rsidR="0015067D" w:rsidRPr="0015067D" w:rsidRDefault="0015067D" w:rsidP="003F6238">
            <w:pPr>
              <w:spacing w:after="0" w:line="240" w:lineRule="auto"/>
              <w:rPr>
                <w:rFonts w:cstheme="minorHAnsi"/>
                <w:sz w:val="20"/>
                <w:szCs w:val="20"/>
                <w:highlight w:val="yellow"/>
              </w:rPr>
            </w:pPr>
            <w:r w:rsidRPr="0015067D">
              <w:rPr>
                <w:rFonts w:cstheme="minorHAnsi"/>
                <w:sz w:val="20"/>
                <w:szCs w:val="20"/>
              </w:rPr>
              <w:t>c-statistic=0.5453</w:t>
            </w:r>
          </w:p>
        </w:tc>
      </w:tr>
    </w:tbl>
    <w:p w14:paraId="5D550112" w14:textId="35E495E9" w:rsidR="003C27BF" w:rsidRDefault="003C27BF" w:rsidP="00301431">
      <w:pPr>
        <w:spacing w:after="0" w:line="240" w:lineRule="auto"/>
        <w:rPr>
          <w:rFonts w:ascii="Calibri" w:hAnsi="Calibri" w:cs="Calibri"/>
          <w:color w:val="0000FF"/>
          <w:sz w:val="20"/>
          <w:szCs w:val="20"/>
        </w:rPr>
      </w:pPr>
      <w:r w:rsidRPr="003C27BF">
        <w:rPr>
          <w:rFonts w:ascii="Calibri" w:hAnsi="Calibri" w:cs="Calibri"/>
          <w:color w:val="0000FF"/>
          <w:sz w:val="20"/>
          <w:szCs w:val="20"/>
          <w:vertAlign w:val="superscript"/>
        </w:rPr>
        <w:t>1</w:t>
      </w:r>
      <w:r w:rsidRPr="003C27BF">
        <w:rPr>
          <w:rFonts w:ascii="Calibri" w:hAnsi="Calibri" w:cs="Calibri"/>
          <w:color w:val="0000FF"/>
          <w:sz w:val="20"/>
          <w:szCs w:val="20"/>
        </w:rPr>
        <w:t>Deciles are based on the percentage of households under the federal poverty level (FPL).</w:t>
      </w:r>
    </w:p>
    <w:p w14:paraId="5803FF06" w14:textId="27EFB21B" w:rsidR="00301431" w:rsidRPr="00AD57D1" w:rsidRDefault="00301431" w:rsidP="00301431">
      <w:pPr>
        <w:spacing w:after="0" w:line="240" w:lineRule="auto"/>
        <w:rPr>
          <w:rFonts w:ascii="Calibri" w:hAnsi="Calibri" w:cs="Calibri"/>
          <w:color w:val="0000FF"/>
          <w:sz w:val="20"/>
          <w:szCs w:val="20"/>
        </w:rPr>
      </w:pPr>
      <w:r w:rsidRPr="00AD57D1">
        <w:rPr>
          <w:rFonts w:ascii="Calibri" w:hAnsi="Calibri" w:cs="Calibri"/>
          <w:color w:val="0000FF"/>
          <w:sz w:val="20"/>
          <w:szCs w:val="20"/>
        </w:rPr>
        <w:t xml:space="preserve">Source: HCUP State Inpatient Databases (SID). Healthcare Cost and </w:t>
      </w:r>
      <w:r w:rsidR="00D5725A">
        <w:rPr>
          <w:rFonts w:ascii="Calibri" w:hAnsi="Calibri" w:cs="Calibri"/>
          <w:color w:val="0000FF"/>
          <w:sz w:val="20"/>
          <w:szCs w:val="20"/>
        </w:rPr>
        <w:t xml:space="preserve">Utilization Project (HCUP). </w:t>
      </w:r>
      <w:proofErr w:type="gramStart"/>
      <w:r w:rsidR="00D5725A">
        <w:rPr>
          <w:rFonts w:ascii="Calibri" w:hAnsi="Calibri" w:cs="Calibri"/>
          <w:color w:val="0000FF"/>
          <w:sz w:val="20"/>
          <w:szCs w:val="20"/>
        </w:rPr>
        <w:t>2009</w:t>
      </w:r>
      <w:r w:rsidRPr="00AD57D1">
        <w:rPr>
          <w:rFonts w:ascii="Calibri" w:hAnsi="Calibri" w:cs="Calibri"/>
          <w:color w:val="0000FF"/>
          <w:sz w:val="20"/>
          <w:szCs w:val="20"/>
        </w:rPr>
        <w:t>-2013. Agency for Healthcare Research and Quality, Rockville, MD.</w:t>
      </w:r>
      <w:proofErr w:type="gramEnd"/>
      <w:r w:rsidRPr="00AD57D1">
        <w:rPr>
          <w:rFonts w:ascii="Calibri" w:hAnsi="Calibri" w:cs="Calibri"/>
          <w:color w:val="0000FF"/>
          <w:sz w:val="20"/>
          <w:szCs w:val="20"/>
        </w:rPr>
        <w:t xml:space="preserve"> www.hcup-us.ahrq.gov/sidoverview.jsp. (AHRQ QI Software Version 6.0)</w:t>
      </w:r>
    </w:p>
    <w:p w14:paraId="6F07A77A" w14:textId="77777777" w:rsidR="00DF63AB" w:rsidRDefault="00DF63AB" w:rsidP="00342FBD">
      <w:pPr>
        <w:pStyle w:val="Default"/>
        <w:rPr>
          <w:rFonts w:asciiTheme="minorHAnsi" w:hAnsiTheme="minorHAnsi" w:cs="Calibri"/>
          <w:color w:val="0000FF"/>
          <w:sz w:val="22"/>
          <w:szCs w:val="22"/>
        </w:rPr>
      </w:pPr>
    </w:p>
    <w:p w14:paraId="34F0B86F" w14:textId="2C5B79CC" w:rsidR="00D95FED" w:rsidRPr="00301431" w:rsidRDefault="00D95FED" w:rsidP="00301431">
      <w:pPr>
        <w:autoSpaceDE w:val="0"/>
        <w:autoSpaceDN w:val="0"/>
        <w:adjustRightInd w:val="0"/>
        <w:spacing w:after="0" w:line="240" w:lineRule="auto"/>
        <w:rPr>
          <w:rFonts w:cstheme="minorHAnsi"/>
          <w:b/>
          <w:bCs/>
        </w:rPr>
      </w:pPr>
      <w:r w:rsidRPr="00784C78">
        <w:rPr>
          <w:rFonts w:cstheme="minorHAnsi"/>
          <w:b/>
          <w:bCs/>
        </w:rPr>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0C963F93" w14:textId="3C97C599" w:rsidR="00A45DAD" w:rsidRDefault="00E72238" w:rsidP="00E45E2D">
      <w:pPr>
        <w:pStyle w:val="NQFMeasureStyle"/>
        <w:ind w:left="0"/>
        <w:rPr>
          <w:rFonts w:cs="Calibri"/>
        </w:rPr>
      </w:pPr>
      <w:r>
        <w:rPr>
          <w:rStyle w:val="NQFformChar"/>
        </w:rPr>
        <w:t xml:space="preserve">See above results from validity testing in Section 2b2.3. </w:t>
      </w:r>
    </w:p>
    <w:p w14:paraId="7B1199D4" w14:textId="77777777" w:rsidR="00A45DAD" w:rsidRDefault="00A45DAD" w:rsidP="00A45DAD">
      <w:pPr>
        <w:autoSpaceDE w:val="0"/>
        <w:autoSpaceDN w:val="0"/>
        <w:adjustRightInd w:val="0"/>
        <w:spacing w:after="0" w:line="240" w:lineRule="auto"/>
        <w:rPr>
          <w:rFonts w:ascii="Calibri" w:hAnsi="Calibri" w:cs="Calibri"/>
          <w:color w:val="0000FF"/>
        </w:rPr>
      </w:pPr>
    </w:p>
    <w:p w14:paraId="6D475964" w14:textId="77777777" w:rsidR="00A45DAD" w:rsidRDefault="00A45DAD" w:rsidP="00A45DAD">
      <w:pPr>
        <w:autoSpaceDE w:val="0"/>
        <w:autoSpaceDN w:val="0"/>
        <w:adjustRightInd w:val="0"/>
        <w:spacing w:after="0" w:line="240" w:lineRule="auto"/>
      </w:pPr>
      <w:r>
        <w:t>We also evaluated the calibration of the risk adjustment model by evaluating how closely observed and predicted rates compare across deciles of the predicted rate.  This analysis splits the sample into deciles based on predicted rates, and then compares these rates with the observed rates for the population in each decile. A well calibrated model, or one that does not over or under-estimate risk, will have comparable observed and predicted rates across the risk spectrum.</w:t>
      </w:r>
    </w:p>
    <w:p w14:paraId="11E04BED" w14:textId="77777777" w:rsidR="00D95FED" w:rsidRPr="00001D73" w:rsidRDefault="00D95FED" w:rsidP="00342FBD">
      <w:pPr>
        <w:autoSpaceDE w:val="0"/>
        <w:autoSpaceDN w:val="0"/>
        <w:adjustRightInd w:val="0"/>
        <w:spacing w:after="0" w:line="240" w:lineRule="auto"/>
        <w:rPr>
          <w:rFonts w:cstheme="minorHAnsi"/>
          <w:b/>
          <w:bCs/>
        </w:rPr>
      </w:pPr>
    </w:p>
    <w:p w14:paraId="6889782C" w14:textId="7D305D5E" w:rsidR="00092566"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xml:space="preserve">; what </w:t>
      </w:r>
      <w:r w:rsidR="006C3A4F">
        <w:rPr>
          <w:rFonts w:cstheme="minorHAnsi"/>
          <w:bCs/>
          <w:i/>
        </w:rPr>
        <w:lastRenderedPageBreak/>
        <w:t>statistical analysis was used</w:t>
      </w:r>
      <w:r w:rsidR="00092566" w:rsidRPr="00A25024">
        <w:rPr>
          <w:rFonts w:cstheme="minorHAnsi"/>
          <w:bCs/>
        </w:rPr>
        <w:t>)</w:t>
      </w:r>
      <w:r w:rsidR="00092566" w:rsidRPr="00A25024">
        <w:rPr>
          <w:rFonts w:cstheme="minorHAnsi"/>
          <w:bCs/>
        </w:rPr>
        <w:br/>
      </w:r>
    </w:p>
    <w:p w14:paraId="3C2C74AD" w14:textId="59644EE4" w:rsidR="00A45DAD" w:rsidRDefault="00A45DAD" w:rsidP="00E45E2D">
      <w:pPr>
        <w:pStyle w:val="NQFMeasureStyle"/>
        <w:ind w:left="0"/>
        <w:rPr>
          <w:rFonts w:cs="Calibri"/>
        </w:rPr>
      </w:pPr>
      <w:r w:rsidRPr="00F76955">
        <w:rPr>
          <w:rStyle w:val="NQFformChar"/>
        </w:rPr>
        <w:t xml:space="preserve">This analysis evaluates how strongly the risk adjustment model is associated with the event of interest </w:t>
      </w:r>
      <w:r w:rsidRPr="000D2A18">
        <w:rPr>
          <w:rStyle w:val="NQFformChar"/>
        </w:rPr>
        <w:t xml:space="preserve">(i.e. </w:t>
      </w:r>
      <w:r w:rsidR="00E56677" w:rsidRPr="000D2A18">
        <w:rPr>
          <w:rStyle w:val="NQFformChar"/>
        </w:rPr>
        <w:t>admission for asthma</w:t>
      </w:r>
      <w:r w:rsidRPr="000D2A18">
        <w:rPr>
          <w:rStyle w:val="NQFformChar"/>
        </w:rPr>
        <w:t>).</w:t>
      </w:r>
      <w:r w:rsidRPr="00F76955">
        <w:rPr>
          <w:rStyle w:val="NQFformChar"/>
        </w:rPr>
        <w:t xml:space="preserve">  The measure of discrimination, how well the risk adjustment model distinguishes events from non-events, is the c-statistic.   The c-statistic is computed by assigning each observation a predicted probability of the outcome from the risk-adjustment model based on the value of the observations covariates from the risk-adjustment model.  Two copies of the dataset are sorted, first from highest to lowest predicted probability and second from lowest to highest predicted probability. This creates a set of pairs of observations. Pairs that consist of one event and one non-event (discordant pairs) are kept and concordant pairs are discarded. The c-statistic is a measure of the proportion of discordant pairs of observations for which the observation with the event had a higher predicted probability from the risk-adjustment model than the non-event. C-statistics above 0.70 and below 0.80 have moderate discrimination. Above 0.80 the discrimination is high. We did not employ common “goodness of fit” tests because these tests tend to not be informative with large samples.</w:t>
      </w:r>
    </w:p>
    <w:p w14:paraId="1084DAA8" w14:textId="77777777" w:rsidR="00A45DAD" w:rsidRDefault="00A45DAD" w:rsidP="00E45E2D">
      <w:pPr>
        <w:autoSpaceDE w:val="0"/>
        <w:autoSpaceDN w:val="0"/>
        <w:adjustRightInd w:val="0"/>
        <w:spacing w:after="0" w:line="240" w:lineRule="auto"/>
        <w:rPr>
          <w:rFonts w:ascii="Calibri" w:hAnsi="Calibri" w:cs="Calibri"/>
          <w:color w:val="0000FF"/>
        </w:rPr>
      </w:pPr>
    </w:p>
    <w:p w14:paraId="53C50F49" w14:textId="77777777" w:rsidR="00A45DAD" w:rsidRDefault="00A45DAD" w:rsidP="00E45E2D">
      <w:pPr>
        <w:pStyle w:val="NQFMeasureStyle"/>
        <w:ind w:left="0"/>
      </w:pPr>
      <w:r>
        <w:t>We also evaluated the calibration of the risk adjustment model by evaluating how closely observed and predicted rates compare across deciles of the predicted rate.  This analysis splits the sample into deciles based on predicted rates, and then compares these rates with the observed rates for the population in each decile. A well calibrated model, or one that does not over or under-estimate risk, will have comparable observed and predicted rates across the risk spectrum.</w:t>
      </w:r>
    </w:p>
    <w:p w14:paraId="49E83C76" w14:textId="77777777" w:rsidR="00A45DAD" w:rsidRDefault="00A45DAD" w:rsidP="00092566">
      <w:pPr>
        <w:autoSpaceDE w:val="0"/>
        <w:autoSpaceDN w:val="0"/>
        <w:adjustRightInd w:val="0"/>
        <w:spacing w:after="0" w:line="240" w:lineRule="auto"/>
        <w:rPr>
          <w:rFonts w:cstheme="minorHAnsi"/>
          <w:bCs/>
          <w:i/>
        </w:rPr>
      </w:pPr>
    </w:p>
    <w:p w14:paraId="7CD4150F"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84C78">
        <w:rPr>
          <w:rFonts w:cstheme="minorHAnsi"/>
          <w:b/>
          <w:bCs/>
          <w:i/>
        </w:rPr>
        <w:t>If</w:t>
      </w:r>
      <w:r w:rsidR="00743E46" w:rsidRPr="00784C78">
        <w:rPr>
          <w:rFonts w:cstheme="minorHAnsi"/>
          <w:b/>
          <w:bCs/>
          <w:i/>
        </w:rPr>
        <w:t xml:space="preserve"> stratified, skip to </w:t>
      </w:r>
      <w:hyperlink w:anchor="question2b49" w:history="1">
        <w:r w:rsidR="00743E46" w:rsidRPr="00784C78">
          <w:rPr>
            <w:rStyle w:val="Hyperlink"/>
            <w:rFonts w:cstheme="minorHAnsi"/>
            <w:b/>
            <w:bCs/>
            <w:i/>
          </w:rPr>
          <w:t>2b4.9</w:t>
        </w:r>
      </w:hyperlink>
    </w:p>
    <w:p w14:paraId="6F38E1EC" w14:textId="77777777" w:rsidR="00743E46" w:rsidRDefault="00743E46" w:rsidP="00092566">
      <w:pPr>
        <w:autoSpaceDE w:val="0"/>
        <w:autoSpaceDN w:val="0"/>
        <w:adjustRightInd w:val="0"/>
        <w:spacing w:after="0" w:line="240" w:lineRule="auto"/>
        <w:rPr>
          <w:rFonts w:cstheme="minorHAnsi"/>
          <w:b/>
          <w:bCs/>
        </w:rPr>
      </w:pPr>
    </w:p>
    <w:p w14:paraId="66FAE19C" w14:textId="475F2C91" w:rsidR="006D1FC8" w:rsidRPr="00094E9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41ADF8A3" w14:textId="77777777" w:rsidR="006D1FC8" w:rsidRDefault="006D1FC8" w:rsidP="00092566">
      <w:pPr>
        <w:autoSpaceDE w:val="0"/>
        <w:autoSpaceDN w:val="0"/>
        <w:adjustRightInd w:val="0"/>
        <w:spacing w:after="0" w:line="240" w:lineRule="auto"/>
        <w:rPr>
          <w:rFonts w:cstheme="minorHAnsi"/>
          <w:b/>
          <w:bCs/>
        </w:rPr>
      </w:pPr>
    </w:p>
    <w:p w14:paraId="7E622352" w14:textId="06FF629C" w:rsidR="00A45DAD" w:rsidRPr="003F6238" w:rsidRDefault="00A45DAD" w:rsidP="00A45DAD">
      <w:pPr>
        <w:autoSpaceDE w:val="0"/>
        <w:autoSpaceDN w:val="0"/>
        <w:adjustRightInd w:val="0"/>
        <w:spacing w:after="0" w:line="240" w:lineRule="auto"/>
        <w:ind w:left="90"/>
        <w:rPr>
          <w:rFonts w:ascii="Calibri" w:hAnsi="Calibri" w:cstheme="minorHAnsi"/>
          <w:b/>
          <w:bCs/>
          <w:color w:val="0000FF"/>
          <w:sz w:val="24"/>
          <w:szCs w:val="24"/>
        </w:rPr>
      </w:pPr>
      <w:proofErr w:type="gramStart"/>
      <w:r w:rsidRPr="003F6238">
        <w:rPr>
          <w:rFonts w:ascii="Calibri" w:hAnsi="Calibri" w:cstheme="minorHAnsi"/>
          <w:b/>
          <w:bCs/>
          <w:color w:val="0000FF"/>
          <w:sz w:val="24"/>
          <w:szCs w:val="24"/>
        </w:rPr>
        <w:t>Table 5a.</w:t>
      </w:r>
      <w:proofErr w:type="gramEnd"/>
      <w:r w:rsidRPr="003F6238">
        <w:rPr>
          <w:rFonts w:ascii="Calibri" w:hAnsi="Calibri" w:cstheme="minorHAnsi"/>
          <w:b/>
          <w:bCs/>
          <w:color w:val="0000FF"/>
          <w:sz w:val="24"/>
          <w:szCs w:val="24"/>
        </w:rPr>
        <w:t xml:space="preserve"> Age-sex Risk adjustment Model</w:t>
      </w:r>
      <w:r w:rsidR="003F6238" w:rsidRPr="003F6238">
        <w:rPr>
          <w:rFonts w:ascii="Calibri" w:hAnsi="Calibri" w:cstheme="minorHAnsi"/>
          <w:b/>
          <w:bCs/>
          <w:color w:val="0000FF"/>
          <w:sz w:val="24"/>
          <w:szCs w:val="24"/>
        </w:rPr>
        <w:t xml:space="preserve"> Discrimination and Calibration, for </w:t>
      </w:r>
      <w:r w:rsidR="003F6238" w:rsidRPr="003F6238">
        <w:rPr>
          <w:rFonts w:ascii="Calibri" w:eastAsia="Times New Roman" w:hAnsi="Calibri" w:cs="Calibri"/>
          <w:b/>
          <w:bCs/>
          <w:color w:val="0000FF"/>
          <w:sz w:val="24"/>
          <w:szCs w:val="24"/>
        </w:rPr>
        <w:t>PQI</w:t>
      </w:r>
      <w:r w:rsidR="002C3098">
        <w:rPr>
          <w:rFonts w:ascii="Calibri" w:eastAsia="Times New Roman" w:hAnsi="Calibri" w:cs="Calibri"/>
          <w:b/>
          <w:bCs/>
          <w:color w:val="0000FF"/>
          <w:sz w:val="24"/>
          <w:szCs w:val="24"/>
        </w:rPr>
        <w:t xml:space="preserve"> </w:t>
      </w:r>
      <w:r w:rsidR="003F6238" w:rsidRPr="003F6238">
        <w:rPr>
          <w:rFonts w:ascii="Calibri" w:eastAsia="Times New Roman" w:hAnsi="Calibri" w:cs="Calibri"/>
          <w:b/>
          <w:bCs/>
          <w:color w:val="0000FF"/>
          <w:sz w:val="24"/>
          <w:szCs w:val="24"/>
        </w:rPr>
        <w:t>15 Asthma in Younger Adults Admission Rate</w:t>
      </w:r>
    </w:p>
    <w:tbl>
      <w:tblPr>
        <w:tblW w:w="8821" w:type="dxa"/>
        <w:tblInd w:w="90" w:type="dxa"/>
        <w:tblLayout w:type="fixed"/>
        <w:tblCellMar>
          <w:left w:w="0" w:type="dxa"/>
          <w:right w:w="0" w:type="dxa"/>
        </w:tblCellMar>
        <w:tblLook w:val="01E0" w:firstRow="1" w:lastRow="1" w:firstColumn="1" w:lastColumn="1" w:noHBand="0" w:noVBand="0"/>
      </w:tblPr>
      <w:tblGrid>
        <w:gridCol w:w="2070"/>
        <w:gridCol w:w="3007"/>
        <w:gridCol w:w="2214"/>
        <w:gridCol w:w="1530"/>
      </w:tblGrid>
      <w:tr w:rsidR="00A45DAD" w14:paraId="3A9DC7E6" w14:textId="77777777" w:rsidTr="008A47FA">
        <w:trPr>
          <w:trHeight w:hRule="exact" w:val="570"/>
          <w:tblHeader/>
        </w:trPr>
        <w:tc>
          <w:tcPr>
            <w:tcW w:w="2070" w:type="dxa"/>
            <w:tcBorders>
              <w:top w:val="single" w:sz="6" w:space="0" w:color="000000"/>
              <w:left w:val="nil"/>
              <w:bottom w:val="single" w:sz="6" w:space="0" w:color="000000"/>
              <w:right w:val="nil"/>
            </w:tcBorders>
            <w:shd w:val="clear" w:color="auto" w:fill="D9D9D9" w:themeFill="background1" w:themeFillShade="D9"/>
            <w:hideMark/>
          </w:tcPr>
          <w:p w14:paraId="15F200C5" w14:textId="77777777" w:rsidR="00A45DAD" w:rsidRDefault="00A45DAD" w:rsidP="00BC108C">
            <w:pPr>
              <w:pStyle w:val="TableParagraph"/>
              <w:spacing w:line="276" w:lineRule="auto"/>
              <w:ind w:left="108" w:right="694"/>
              <w:rPr>
                <w:rFonts w:ascii="Calibri" w:eastAsia="Times New Roman" w:hAnsi="Calibri" w:cstheme="minorHAnsi"/>
                <w:color w:val="0000FF"/>
              </w:rPr>
            </w:pPr>
            <w:r>
              <w:rPr>
                <w:rFonts w:ascii="Calibri" w:hAnsi="Calibri" w:cstheme="minorHAnsi"/>
                <w:b/>
                <w:color w:val="0000FF"/>
              </w:rPr>
              <w:t>Predicted</w:t>
            </w:r>
            <w:r>
              <w:rPr>
                <w:rFonts w:ascii="Calibri" w:hAnsi="Calibri" w:cstheme="minorHAnsi"/>
                <w:b/>
                <w:color w:val="0000FF"/>
                <w:w w:val="99"/>
              </w:rPr>
              <w:t xml:space="preserve"> </w:t>
            </w:r>
            <w:r>
              <w:rPr>
                <w:rFonts w:ascii="Calibri" w:hAnsi="Calibri" w:cstheme="minorHAnsi"/>
                <w:b/>
                <w:color w:val="0000FF"/>
              </w:rPr>
              <w:t>Rate Decile</w:t>
            </w:r>
          </w:p>
        </w:tc>
        <w:tc>
          <w:tcPr>
            <w:tcW w:w="3007" w:type="dxa"/>
            <w:tcBorders>
              <w:top w:val="single" w:sz="6" w:space="0" w:color="000000"/>
              <w:left w:val="nil"/>
              <w:bottom w:val="single" w:sz="6" w:space="0" w:color="000000"/>
              <w:right w:val="nil"/>
            </w:tcBorders>
            <w:shd w:val="clear" w:color="auto" w:fill="D9D9D9" w:themeFill="background1" w:themeFillShade="D9"/>
            <w:hideMark/>
          </w:tcPr>
          <w:p w14:paraId="00144256" w14:textId="77777777" w:rsidR="00A45DAD" w:rsidRDefault="00A45DAD" w:rsidP="00BC108C">
            <w:pPr>
              <w:pStyle w:val="TableParagraph"/>
              <w:spacing w:line="228" w:lineRule="exact"/>
              <w:ind w:left="8"/>
              <w:rPr>
                <w:rFonts w:ascii="Calibri" w:eastAsia="Times New Roman" w:hAnsi="Calibri" w:cstheme="minorHAnsi"/>
                <w:color w:val="0000FF"/>
              </w:rPr>
            </w:pPr>
            <w:r>
              <w:rPr>
                <w:rFonts w:ascii="Calibri" w:hAnsi="Calibri" w:cstheme="minorHAnsi"/>
                <w:b/>
                <w:color w:val="0000FF"/>
              </w:rPr>
              <w:t>Number of Discharges</w:t>
            </w:r>
          </w:p>
          <w:p w14:paraId="24419CA2" w14:textId="77777777" w:rsidR="00A45DAD" w:rsidRDefault="00A45DAD" w:rsidP="00BC108C">
            <w:pPr>
              <w:pStyle w:val="TableParagraph"/>
              <w:spacing w:line="228" w:lineRule="exact"/>
              <w:ind w:left="8"/>
              <w:rPr>
                <w:rFonts w:ascii="Calibri" w:eastAsia="Times New Roman" w:hAnsi="Calibri" w:cstheme="minorHAnsi"/>
                <w:color w:val="0000FF"/>
              </w:rPr>
            </w:pPr>
            <w:r>
              <w:rPr>
                <w:rFonts w:ascii="Calibri" w:hAnsi="Calibri" w:cstheme="minorHAnsi"/>
                <w:b/>
                <w:color w:val="0000FF"/>
              </w:rPr>
              <w:t>per Decile</w:t>
            </w:r>
          </w:p>
        </w:tc>
        <w:tc>
          <w:tcPr>
            <w:tcW w:w="2214" w:type="dxa"/>
            <w:tcBorders>
              <w:top w:val="single" w:sz="6" w:space="0" w:color="000000"/>
              <w:left w:val="nil"/>
              <w:bottom w:val="single" w:sz="6" w:space="0" w:color="000000"/>
              <w:right w:val="nil"/>
            </w:tcBorders>
            <w:shd w:val="clear" w:color="auto" w:fill="D9D9D9" w:themeFill="background1" w:themeFillShade="D9"/>
            <w:hideMark/>
          </w:tcPr>
          <w:p w14:paraId="0422BFF5" w14:textId="77777777" w:rsidR="00A45DAD" w:rsidRDefault="00A45DAD" w:rsidP="00BC108C">
            <w:pPr>
              <w:pStyle w:val="TableParagraph"/>
              <w:spacing w:line="228" w:lineRule="exact"/>
              <w:ind w:right="1"/>
              <w:rPr>
                <w:rFonts w:ascii="Calibri" w:eastAsia="Times New Roman" w:hAnsi="Calibri" w:cstheme="minorHAnsi"/>
                <w:color w:val="0000FF"/>
              </w:rPr>
            </w:pPr>
            <w:r>
              <w:rPr>
                <w:rFonts w:ascii="Calibri" w:hAnsi="Calibri" w:cstheme="minorHAnsi"/>
                <w:b/>
                <w:color w:val="0000FF"/>
              </w:rPr>
              <w:t>Predicted</w:t>
            </w:r>
            <w:r>
              <w:rPr>
                <w:rFonts w:ascii="Calibri" w:eastAsia="Times New Roman" w:hAnsi="Calibri" w:cstheme="minorHAnsi"/>
                <w:color w:val="0000FF"/>
              </w:rPr>
              <w:t xml:space="preserve"> </w:t>
            </w:r>
            <w:r>
              <w:rPr>
                <w:rFonts w:ascii="Calibri" w:hAnsi="Calibri" w:cstheme="minorHAnsi"/>
                <w:b/>
                <w:color w:val="0000FF"/>
              </w:rPr>
              <w:t>Rate</w:t>
            </w:r>
          </w:p>
        </w:tc>
        <w:tc>
          <w:tcPr>
            <w:tcW w:w="1530" w:type="dxa"/>
            <w:tcBorders>
              <w:top w:val="single" w:sz="6" w:space="0" w:color="000000"/>
              <w:left w:val="nil"/>
              <w:bottom w:val="single" w:sz="6" w:space="0" w:color="000000"/>
              <w:right w:val="nil"/>
            </w:tcBorders>
            <w:shd w:val="clear" w:color="auto" w:fill="D9D9D9" w:themeFill="background1" w:themeFillShade="D9"/>
            <w:hideMark/>
          </w:tcPr>
          <w:p w14:paraId="442AD798" w14:textId="77777777" w:rsidR="00A45DAD" w:rsidRDefault="00A45DAD" w:rsidP="00BC108C">
            <w:pPr>
              <w:pStyle w:val="TableParagraph"/>
              <w:tabs>
                <w:tab w:val="left" w:pos="1620"/>
              </w:tabs>
              <w:spacing w:line="228" w:lineRule="exact"/>
              <w:ind w:right="180"/>
              <w:rPr>
                <w:rFonts w:ascii="Calibri" w:eastAsia="Times New Roman" w:hAnsi="Calibri" w:cstheme="minorHAnsi"/>
                <w:color w:val="0000FF"/>
              </w:rPr>
            </w:pPr>
            <w:r>
              <w:rPr>
                <w:rFonts w:ascii="Calibri" w:hAnsi="Calibri" w:cstheme="minorHAnsi"/>
                <w:b/>
                <w:color w:val="0000FF"/>
                <w:w w:val="95"/>
              </w:rPr>
              <w:t>Observed</w:t>
            </w:r>
            <w:r>
              <w:rPr>
                <w:rFonts w:ascii="Calibri" w:eastAsia="Times New Roman" w:hAnsi="Calibri" w:cstheme="minorHAnsi"/>
                <w:color w:val="0000FF"/>
              </w:rPr>
              <w:t xml:space="preserve"> </w:t>
            </w:r>
            <w:r>
              <w:rPr>
                <w:rFonts w:ascii="Calibri" w:hAnsi="Calibri" w:cstheme="minorHAnsi"/>
                <w:b/>
                <w:color w:val="0000FF"/>
                <w:w w:val="95"/>
              </w:rPr>
              <w:t>Rate</w:t>
            </w:r>
          </w:p>
        </w:tc>
      </w:tr>
      <w:tr w:rsidR="008A47FA" w14:paraId="47CD5E2F" w14:textId="77777777" w:rsidTr="008A47FA">
        <w:trPr>
          <w:trHeight w:hRule="exact" w:val="340"/>
        </w:trPr>
        <w:tc>
          <w:tcPr>
            <w:tcW w:w="2070" w:type="dxa"/>
            <w:tcBorders>
              <w:top w:val="single" w:sz="6" w:space="0" w:color="000000"/>
              <w:left w:val="nil"/>
              <w:bottom w:val="nil"/>
              <w:right w:val="nil"/>
            </w:tcBorders>
            <w:vAlign w:val="bottom"/>
            <w:hideMark/>
          </w:tcPr>
          <w:p w14:paraId="520A88B0" w14:textId="77777777" w:rsidR="008A47FA" w:rsidRPr="00C00E30" w:rsidRDefault="008A47FA" w:rsidP="00BC108C">
            <w:pPr>
              <w:rPr>
                <w:rFonts w:ascii="Calibri" w:hAnsi="Calibri"/>
              </w:rPr>
            </w:pPr>
            <w:r w:rsidRPr="00C00E30">
              <w:rPr>
                <w:rFonts w:ascii="Calibri" w:hAnsi="Calibri"/>
              </w:rPr>
              <w:t>1</w:t>
            </w:r>
          </w:p>
        </w:tc>
        <w:tc>
          <w:tcPr>
            <w:tcW w:w="3007" w:type="dxa"/>
            <w:tcBorders>
              <w:top w:val="single" w:sz="6" w:space="0" w:color="000000"/>
              <w:left w:val="nil"/>
              <w:bottom w:val="nil"/>
              <w:right w:val="nil"/>
            </w:tcBorders>
            <w:vAlign w:val="bottom"/>
          </w:tcPr>
          <w:p w14:paraId="792AA25F" w14:textId="2DD2FD16" w:rsidR="008A47FA" w:rsidRDefault="008A47FA" w:rsidP="00BC108C">
            <w:pPr>
              <w:rPr>
                <w:rFonts w:ascii="Calibri" w:hAnsi="Calibri"/>
                <w:color w:val="0000FF"/>
              </w:rPr>
            </w:pPr>
            <w:r>
              <w:rPr>
                <w:rFonts w:ascii="Calibri" w:hAnsi="Calibri"/>
                <w:color w:val="000000"/>
              </w:rPr>
              <w:t>12,349,460</w:t>
            </w:r>
          </w:p>
        </w:tc>
        <w:tc>
          <w:tcPr>
            <w:tcW w:w="2214" w:type="dxa"/>
            <w:tcBorders>
              <w:top w:val="single" w:sz="6" w:space="0" w:color="000000"/>
              <w:left w:val="nil"/>
              <w:bottom w:val="nil"/>
              <w:right w:val="nil"/>
            </w:tcBorders>
            <w:vAlign w:val="bottom"/>
          </w:tcPr>
          <w:p w14:paraId="73A41FED" w14:textId="53A444F8" w:rsidR="008A47FA" w:rsidRDefault="008A47FA" w:rsidP="00BC108C">
            <w:pPr>
              <w:rPr>
                <w:rFonts w:ascii="Calibri" w:hAnsi="Calibri"/>
                <w:color w:val="0000FF"/>
              </w:rPr>
            </w:pPr>
            <w:r>
              <w:rPr>
                <w:rFonts w:ascii="Calibri" w:hAnsi="Calibri"/>
                <w:color w:val="000000"/>
              </w:rPr>
              <w:t>0.000218</w:t>
            </w:r>
          </w:p>
        </w:tc>
        <w:tc>
          <w:tcPr>
            <w:tcW w:w="1530" w:type="dxa"/>
            <w:tcBorders>
              <w:top w:val="single" w:sz="6" w:space="0" w:color="000000"/>
              <w:left w:val="nil"/>
              <w:bottom w:val="nil"/>
              <w:right w:val="nil"/>
            </w:tcBorders>
            <w:vAlign w:val="bottom"/>
          </w:tcPr>
          <w:p w14:paraId="7A69CC3E" w14:textId="1995FF7F" w:rsidR="008A47FA" w:rsidRDefault="008A47FA" w:rsidP="00BC108C">
            <w:pPr>
              <w:rPr>
                <w:rFonts w:ascii="Calibri" w:hAnsi="Calibri"/>
                <w:color w:val="0000FF"/>
              </w:rPr>
            </w:pPr>
            <w:r>
              <w:rPr>
                <w:rFonts w:ascii="Calibri" w:hAnsi="Calibri"/>
                <w:color w:val="000000"/>
              </w:rPr>
              <w:t>0.000228</w:t>
            </w:r>
          </w:p>
        </w:tc>
      </w:tr>
      <w:tr w:rsidR="008A47FA" w14:paraId="0377B33D" w14:textId="77777777" w:rsidTr="008A47FA">
        <w:trPr>
          <w:trHeight w:hRule="exact" w:val="300"/>
        </w:trPr>
        <w:tc>
          <w:tcPr>
            <w:tcW w:w="2070" w:type="dxa"/>
            <w:vAlign w:val="bottom"/>
            <w:hideMark/>
          </w:tcPr>
          <w:p w14:paraId="2CA30E10" w14:textId="77777777" w:rsidR="008A47FA" w:rsidRPr="00C00E30" w:rsidRDefault="008A47FA" w:rsidP="00BC108C">
            <w:pPr>
              <w:rPr>
                <w:rFonts w:ascii="Calibri" w:hAnsi="Calibri"/>
              </w:rPr>
            </w:pPr>
            <w:r w:rsidRPr="00C00E30">
              <w:rPr>
                <w:rFonts w:ascii="Calibri" w:hAnsi="Calibri"/>
              </w:rPr>
              <w:t>2</w:t>
            </w:r>
          </w:p>
        </w:tc>
        <w:tc>
          <w:tcPr>
            <w:tcW w:w="3007" w:type="dxa"/>
            <w:vAlign w:val="bottom"/>
          </w:tcPr>
          <w:p w14:paraId="065F3F40" w14:textId="40D73A4F" w:rsidR="008A47FA" w:rsidRDefault="008A47FA" w:rsidP="00BC108C">
            <w:pPr>
              <w:rPr>
                <w:rFonts w:ascii="Calibri" w:hAnsi="Calibri"/>
                <w:color w:val="0000FF"/>
              </w:rPr>
            </w:pPr>
            <w:r>
              <w:rPr>
                <w:rFonts w:ascii="Calibri" w:hAnsi="Calibri"/>
                <w:color w:val="000000"/>
              </w:rPr>
              <w:t>9,715,818</w:t>
            </w:r>
          </w:p>
        </w:tc>
        <w:tc>
          <w:tcPr>
            <w:tcW w:w="2214" w:type="dxa"/>
            <w:vAlign w:val="bottom"/>
          </w:tcPr>
          <w:p w14:paraId="0F0A4003" w14:textId="33F66390" w:rsidR="008A47FA" w:rsidRDefault="008A47FA" w:rsidP="00BC108C">
            <w:pPr>
              <w:rPr>
                <w:rFonts w:ascii="Calibri" w:hAnsi="Calibri"/>
                <w:color w:val="0000FF"/>
              </w:rPr>
            </w:pPr>
            <w:r>
              <w:rPr>
                <w:rFonts w:ascii="Calibri" w:hAnsi="Calibri"/>
                <w:color w:val="000000"/>
              </w:rPr>
              <w:t>0.000226</w:t>
            </w:r>
          </w:p>
        </w:tc>
        <w:tc>
          <w:tcPr>
            <w:tcW w:w="1530" w:type="dxa"/>
            <w:vAlign w:val="bottom"/>
          </w:tcPr>
          <w:p w14:paraId="17466AB0" w14:textId="20A4BB2C" w:rsidR="008A47FA" w:rsidRDefault="008A47FA" w:rsidP="00BC108C">
            <w:pPr>
              <w:rPr>
                <w:rFonts w:ascii="Calibri" w:hAnsi="Calibri"/>
                <w:color w:val="0000FF"/>
              </w:rPr>
            </w:pPr>
            <w:r>
              <w:rPr>
                <w:rFonts w:ascii="Calibri" w:hAnsi="Calibri"/>
                <w:color w:val="000000"/>
              </w:rPr>
              <w:t>0.00021</w:t>
            </w:r>
          </w:p>
        </w:tc>
      </w:tr>
      <w:tr w:rsidR="008A47FA" w14:paraId="6BD324E6" w14:textId="77777777" w:rsidTr="008A47FA">
        <w:trPr>
          <w:trHeight w:hRule="exact" w:val="300"/>
        </w:trPr>
        <w:tc>
          <w:tcPr>
            <w:tcW w:w="2070" w:type="dxa"/>
            <w:vAlign w:val="bottom"/>
            <w:hideMark/>
          </w:tcPr>
          <w:p w14:paraId="2223E1B6" w14:textId="77777777" w:rsidR="008A47FA" w:rsidRPr="00C00E30" w:rsidRDefault="008A47FA" w:rsidP="00BC108C">
            <w:pPr>
              <w:rPr>
                <w:rFonts w:ascii="Calibri" w:hAnsi="Calibri"/>
              </w:rPr>
            </w:pPr>
            <w:r w:rsidRPr="00C00E30">
              <w:rPr>
                <w:rFonts w:ascii="Calibri" w:hAnsi="Calibri"/>
              </w:rPr>
              <w:t>3</w:t>
            </w:r>
          </w:p>
        </w:tc>
        <w:tc>
          <w:tcPr>
            <w:tcW w:w="3007" w:type="dxa"/>
            <w:vAlign w:val="bottom"/>
          </w:tcPr>
          <w:p w14:paraId="5596BF95" w14:textId="17825AAC" w:rsidR="008A47FA" w:rsidRDefault="008A47FA" w:rsidP="00BC108C">
            <w:pPr>
              <w:rPr>
                <w:rFonts w:ascii="Calibri" w:hAnsi="Calibri"/>
                <w:color w:val="0000FF"/>
              </w:rPr>
            </w:pPr>
            <w:r>
              <w:rPr>
                <w:rFonts w:ascii="Calibri" w:hAnsi="Calibri"/>
                <w:color w:val="000000"/>
              </w:rPr>
              <w:t>9,514,092</w:t>
            </w:r>
          </w:p>
        </w:tc>
        <w:tc>
          <w:tcPr>
            <w:tcW w:w="2214" w:type="dxa"/>
            <w:vAlign w:val="bottom"/>
          </w:tcPr>
          <w:p w14:paraId="1340A760" w14:textId="0944E781" w:rsidR="008A47FA" w:rsidRDefault="008A47FA" w:rsidP="00BC108C">
            <w:pPr>
              <w:rPr>
                <w:rFonts w:ascii="Calibri" w:hAnsi="Calibri"/>
                <w:color w:val="0000FF"/>
              </w:rPr>
            </w:pPr>
            <w:r>
              <w:rPr>
                <w:rFonts w:ascii="Calibri" w:hAnsi="Calibri"/>
                <w:color w:val="000000"/>
              </w:rPr>
              <w:t>0.000244</w:t>
            </w:r>
          </w:p>
        </w:tc>
        <w:tc>
          <w:tcPr>
            <w:tcW w:w="1530" w:type="dxa"/>
            <w:vAlign w:val="bottom"/>
          </w:tcPr>
          <w:p w14:paraId="3261C519" w14:textId="356EA3D5" w:rsidR="008A47FA" w:rsidRDefault="008A47FA" w:rsidP="00BC108C">
            <w:pPr>
              <w:rPr>
                <w:rFonts w:ascii="Calibri" w:hAnsi="Calibri"/>
                <w:color w:val="0000FF"/>
              </w:rPr>
            </w:pPr>
            <w:r>
              <w:rPr>
                <w:rFonts w:ascii="Calibri" w:hAnsi="Calibri"/>
                <w:color w:val="000000"/>
              </w:rPr>
              <w:t>0.000235</w:t>
            </w:r>
          </w:p>
        </w:tc>
      </w:tr>
      <w:tr w:rsidR="008A47FA" w14:paraId="3D93E1F6" w14:textId="77777777" w:rsidTr="008A47FA">
        <w:trPr>
          <w:trHeight w:hRule="exact" w:val="300"/>
        </w:trPr>
        <w:tc>
          <w:tcPr>
            <w:tcW w:w="2070" w:type="dxa"/>
            <w:vAlign w:val="bottom"/>
            <w:hideMark/>
          </w:tcPr>
          <w:p w14:paraId="1E3B7D13" w14:textId="77777777" w:rsidR="008A47FA" w:rsidRPr="00C00E30" w:rsidRDefault="008A47FA" w:rsidP="00BC108C">
            <w:pPr>
              <w:rPr>
                <w:rFonts w:ascii="Calibri" w:hAnsi="Calibri"/>
              </w:rPr>
            </w:pPr>
            <w:r w:rsidRPr="00C00E30">
              <w:rPr>
                <w:rFonts w:ascii="Calibri" w:hAnsi="Calibri"/>
              </w:rPr>
              <w:t>4</w:t>
            </w:r>
          </w:p>
        </w:tc>
        <w:tc>
          <w:tcPr>
            <w:tcW w:w="3007" w:type="dxa"/>
            <w:vAlign w:val="bottom"/>
          </w:tcPr>
          <w:p w14:paraId="6B39FC92" w14:textId="5AA431DD" w:rsidR="008A47FA" w:rsidRDefault="008A47FA" w:rsidP="00BC108C">
            <w:pPr>
              <w:rPr>
                <w:rFonts w:ascii="Calibri" w:hAnsi="Calibri"/>
                <w:color w:val="0000FF"/>
              </w:rPr>
            </w:pPr>
            <w:r>
              <w:rPr>
                <w:rFonts w:ascii="Calibri" w:hAnsi="Calibri"/>
                <w:color w:val="000000"/>
              </w:rPr>
              <w:t>8,412,305</w:t>
            </w:r>
          </w:p>
        </w:tc>
        <w:tc>
          <w:tcPr>
            <w:tcW w:w="2214" w:type="dxa"/>
            <w:vAlign w:val="bottom"/>
          </w:tcPr>
          <w:p w14:paraId="2A9B4F7F" w14:textId="43E4FDAC" w:rsidR="008A47FA" w:rsidRDefault="008A47FA" w:rsidP="00BC108C">
            <w:pPr>
              <w:rPr>
                <w:rFonts w:ascii="Calibri" w:hAnsi="Calibri"/>
                <w:color w:val="0000FF"/>
              </w:rPr>
            </w:pPr>
            <w:r>
              <w:rPr>
                <w:rFonts w:ascii="Calibri" w:hAnsi="Calibri"/>
                <w:color w:val="000000"/>
              </w:rPr>
              <w:t>0.000282</w:t>
            </w:r>
          </w:p>
        </w:tc>
        <w:tc>
          <w:tcPr>
            <w:tcW w:w="1530" w:type="dxa"/>
            <w:vAlign w:val="bottom"/>
          </w:tcPr>
          <w:p w14:paraId="2345888A" w14:textId="5224E177" w:rsidR="008A47FA" w:rsidRDefault="008A47FA" w:rsidP="00BC108C">
            <w:pPr>
              <w:rPr>
                <w:rFonts w:ascii="Calibri" w:hAnsi="Calibri"/>
                <w:color w:val="0000FF"/>
              </w:rPr>
            </w:pPr>
            <w:r>
              <w:rPr>
                <w:rFonts w:ascii="Calibri" w:hAnsi="Calibri"/>
                <w:color w:val="000000"/>
              </w:rPr>
              <w:t>0.000306</w:t>
            </w:r>
          </w:p>
        </w:tc>
      </w:tr>
      <w:tr w:rsidR="008A47FA" w14:paraId="75171B04" w14:textId="77777777" w:rsidTr="008A47FA">
        <w:trPr>
          <w:trHeight w:hRule="exact" w:val="300"/>
        </w:trPr>
        <w:tc>
          <w:tcPr>
            <w:tcW w:w="2070" w:type="dxa"/>
            <w:vAlign w:val="bottom"/>
            <w:hideMark/>
          </w:tcPr>
          <w:p w14:paraId="6D506D4F" w14:textId="77777777" w:rsidR="008A47FA" w:rsidRPr="00C00E30" w:rsidRDefault="008A47FA" w:rsidP="00BC108C">
            <w:pPr>
              <w:rPr>
                <w:rFonts w:ascii="Calibri" w:hAnsi="Calibri"/>
              </w:rPr>
            </w:pPr>
            <w:r w:rsidRPr="00C00E30">
              <w:rPr>
                <w:rFonts w:ascii="Calibri" w:hAnsi="Calibri"/>
              </w:rPr>
              <w:t>5</w:t>
            </w:r>
          </w:p>
        </w:tc>
        <w:tc>
          <w:tcPr>
            <w:tcW w:w="3007" w:type="dxa"/>
            <w:vAlign w:val="bottom"/>
          </w:tcPr>
          <w:p w14:paraId="417E72D3" w14:textId="1BED3874" w:rsidR="008A47FA" w:rsidRDefault="008A47FA" w:rsidP="00BC108C">
            <w:pPr>
              <w:rPr>
                <w:rFonts w:ascii="Calibri" w:hAnsi="Calibri"/>
                <w:color w:val="0000FF"/>
              </w:rPr>
            </w:pPr>
            <w:r>
              <w:rPr>
                <w:rFonts w:ascii="Calibri" w:hAnsi="Calibri"/>
                <w:color w:val="000000"/>
              </w:rPr>
              <w:t>8,817,911</w:t>
            </w:r>
          </w:p>
        </w:tc>
        <w:tc>
          <w:tcPr>
            <w:tcW w:w="2214" w:type="dxa"/>
            <w:vAlign w:val="bottom"/>
          </w:tcPr>
          <w:p w14:paraId="2B07DD8C" w14:textId="46E8341E" w:rsidR="008A47FA" w:rsidRDefault="008A47FA" w:rsidP="00BC108C">
            <w:pPr>
              <w:rPr>
                <w:rFonts w:ascii="Calibri" w:hAnsi="Calibri"/>
                <w:color w:val="0000FF"/>
              </w:rPr>
            </w:pPr>
            <w:r>
              <w:rPr>
                <w:rFonts w:ascii="Calibri" w:hAnsi="Calibri"/>
                <w:color w:val="000000"/>
              </w:rPr>
              <w:t>0.000329</w:t>
            </w:r>
          </w:p>
        </w:tc>
        <w:tc>
          <w:tcPr>
            <w:tcW w:w="1530" w:type="dxa"/>
            <w:vAlign w:val="bottom"/>
          </w:tcPr>
          <w:p w14:paraId="67CB15FB" w14:textId="6AF2E80E" w:rsidR="008A47FA" w:rsidRDefault="008A47FA" w:rsidP="00BC108C">
            <w:pPr>
              <w:rPr>
                <w:rFonts w:ascii="Calibri" w:hAnsi="Calibri"/>
                <w:color w:val="0000FF"/>
              </w:rPr>
            </w:pPr>
            <w:r>
              <w:rPr>
                <w:rFonts w:ascii="Calibri" w:hAnsi="Calibri"/>
                <w:color w:val="000000"/>
              </w:rPr>
              <w:t>0.000302</w:t>
            </w:r>
          </w:p>
        </w:tc>
      </w:tr>
      <w:tr w:rsidR="008A47FA" w14:paraId="63700ED1" w14:textId="77777777" w:rsidTr="008A47FA">
        <w:trPr>
          <w:trHeight w:hRule="exact" w:val="300"/>
        </w:trPr>
        <w:tc>
          <w:tcPr>
            <w:tcW w:w="2070" w:type="dxa"/>
            <w:vAlign w:val="bottom"/>
            <w:hideMark/>
          </w:tcPr>
          <w:p w14:paraId="12746AAE" w14:textId="77777777" w:rsidR="008A47FA" w:rsidRPr="00C00E30" w:rsidRDefault="008A47FA" w:rsidP="00BC108C">
            <w:pPr>
              <w:rPr>
                <w:rFonts w:ascii="Calibri" w:hAnsi="Calibri"/>
              </w:rPr>
            </w:pPr>
            <w:r w:rsidRPr="00C00E30">
              <w:rPr>
                <w:rFonts w:ascii="Calibri" w:hAnsi="Calibri"/>
              </w:rPr>
              <w:t>6</w:t>
            </w:r>
          </w:p>
        </w:tc>
        <w:tc>
          <w:tcPr>
            <w:tcW w:w="3007" w:type="dxa"/>
            <w:vAlign w:val="bottom"/>
          </w:tcPr>
          <w:p w14:paraId="172D6337" w14:textId="0E312059" w:rsidR="008A47FA" w:rsidRDefault="008A47FA" w:rsidP="00BC108C">
            <w:pPr>
              <w:rPr>
                <w:rFonts w:ascii="Calibri" w:hAnsi="Calibri"/>
                <w:color w:val="0000FF"/>
              </w:rPr>
            </w:pPr>
            <w:r>
              <w:rPr>
                <w:rFonts w:ascii="Calibri" w:hAnsi="Calibri"/>
                <w:color w:val="000000"/>
              </w:rPr>
              <w:t>11,333,912</w:t>
            </w:r>
          </w:p>
        </w:tc>
        <w:tc>
          <w:tcPr>
            <w:tcW w:w="2214" w:type="dxa"/>
            <w:vAlign w:val="bottom"/>
          </w:tcPr>
          <w:p w14:paraId="4343EBD4" w14:textId="19D01FE2" w:rsidR="008A47FA" w:rsidRDefault="008A47FA" w:rsidP="00BC108C">
            <w:pPr>
              <w:rPr>
                <w:rFonts w:ascii="Calibri" w:hAnsi="Calibri"/>
                <w:color w:val="0000FF"/>
              </w:rPr>
            </w:pPr>
            <w:r>
              <w:rPr>
                <w:rFonts w:ascii="Calibri" w:hAnsi="Calibri"/>
                <w:color w:val="000000"/>
              </w:rPr>
              <w:t>0.000354</w:t>
            </w:r>
          </w:p>
        </w:tc>
        <w:tc>
          <w:tcPr>
            <w:tcW w:w="1530" w:type="dxa"/>
            <w:vAlign w:val="bottom"/>
          </w:tcPr>
          <w:p w14:paraId="1FBAFC5C" w14:textId="72B38E5B" w:rsidR="008A47FA" w:rsidRDefault="008A47FA" w:rsidP="00BC108C">
            <w:pPr>
              <w:rPr>
                <w:rFonts w:ascii="Calibri" w:hAnsi="Calibri"/>
                <w:color w:val="0000FF"/>
              </w:rPr>
            </w:pPr>
            <w:r>
              <w:rPr>
                <w:rFonts w:ascii="Calibri" w:hAnsi="Calibri"/>
                <w:color w:val="000000"/>
              </w:rPr>
              <w:t>0.000371</w:t>
            </w:r>
          </w:p>
        </w:tc>
      </w:tr>
      <w:tr w:rsidR="008A47FA" w14:paraId="7C7FBF8A" w14:textId="77777777" w:rsidTr="008A47FA">
        <w:trPr>
          <w:trHeight w:hRule="exact" w:val="300"/>
        </w:trPr>
        <w:tc>
          <w:tcPr>
            <w:tcW w:w="2070" w:type="dxa"/>
            <w:vAlign w:val="bottom"/>
            <w:hideMark/>
          </w:tcPr>
          <w:p w14:paraId="5CF54702" w14:textId="77777777" w:rsidR="008A47FA" w:rsidRPr="00C00E30" w:rsidRDefault="008A47FA" w:rsidP="00BC108C">
            <w:pPr>
              <w:rPr>
                <w:rFonts w:ascii="Calibri" w:hAnsi="Calibri"/>
              </w:rPr>
            </w:pPr>
            <w:r w:rsidRPr="00C00E30">
              <w:rPr>
                <w:rFonts w:ascii="Calibri" w:hAnsi="Calibri"/>
              </w:rPr>
              <w:t>7</w:t>
            </w:r>
          </w:p>
        </w:tc>
        <w:tc>
          <w:tcPr>
            <w:tcW w:w="3007" w:type="dxa"/>
            <w:vAlign w:val="bottom"/>
          </w:tcPr>
          <w:p w14:paraId="48B204D2" w14:textId="75C7138A" w:rsidR="008A47FA" w:rsidRDefault="008A47FA" w:rsidP="00BC108C">
            <w:pPr>
              <w:rPr>
                <w:rFonts w:ascii="Calibri" w:hAnsi="Calibri"/>
                <w:color w:val="0000FF"/>
              </w:rPr>
            </w:pPr>
            <w:r>
              <w:rPr>
                <w:rFonts w:ascii="Calibri" w:hAnsi="Calibri"/>
                <w:color w:val="000000"/>
              </w:rPr>
              <w:t>8,192,981</w:t>
            </w:r>
          </w:p>
        </w:tc>
        <w:tc>
          <w:tcPr>
            <w:tcW w:w="2214" w:type="dxa"/>
            <w:vAlign w:val="bottom"/>
          </w:tcPr>
          <w:p w14:paraId="706FD81C" w14:textId="139BEBB8" w:rsidR="008A47FA" w:rsidRDefault="008A47FA" w:rsidP="00BC108C">
            <w:pPr>
              <w:rPr>
                <w:rFonts w:ascii="Calibri" w:hAnsi="Calibri"/>
                <w:color w:val="0000FF"/>
              </w:rPr>
            </w:pPr>
            <w:r>
              <w:rPr>
                <w:rFonts w:ascii="Calibri" w:hAnsi="Calibri"/>
                <w:color w:val="000000"/>
              </w:rPr>
              <w:t>0.000432</w:t>
            </w:r>
          </w:p>
        </w:tc>
        <w:tc>
          <w:tcPr>
            <w:tcW w:w="1530" w:type="dxa"/>
            <w:vAlign w:val="bottom"/>
          </w:tcPr>
          <w:p w14:paraId="0DC292A0" w14:textId="4B4AFDFA" w:rsidR="008A47FA" w:rsidRDefault="008A47FA" w:rsidP="00BC108C">
            <w:pPr>
              <w:rPr>
                <w:rFonts w:ascii="Calibri" w:hAnsi="Calibri"/>
                <w:color w:val="0000FF"/>
              </w:rPr>
            </w:pPr>
            <w:r>
              <w:rPr>
                <w:rFonts w:ascii="Calibri" w:hAnsi="Calibri"/>
                <w:color w:val="000000"/>
              </w:rPr>
              <w:t>0.000397</w:t>
            </w:r>
          </w:p>
        </w:tc>
      </w:tr>
      <w:tr w:rsidR="008A47FA" w14:paraId="4971BABB" w14:textId="77777777" w:rsidTr="008A47FA">
        <w:trPr>
          <w:trHeight w:hRule="exact" w:val="300"/>
        </w:trPr>
        <w:tc>
          <w:tcPr>
            <w:tcW w:w="2070" w:type="dxa"/>
            <w:vAlign w:val="bottom"/>
            <w:hideMark/>
          </w:tcPr>
          <w:p w14:paraId="4BE412E9" w14:textId="77777777" w:rsidR="008A47FA" w:rsidRPr="00C00E30" w:rsidRDefault="008A47FA" w:rsidP="00BC108C">
            <w:pPr>
              <w:rPr>
                <w:rFonts w:ascii="Calibri" w:hAnsi="Calibri"/>
              </w:rPr>
            </w:pPr>
            <w:r w:rsidRPr="00C00E30">
              <w:rPr>
                <w:rFonts w:ascii="Calibri" w:hAnsi="Calibri"/>
              </w:rPr>
              <w:t>8</w:t>
            </w:r>
          </w:p>
        </w:tc>
        <w:tc>
          <w:tcPr>
            <w:tcW w:w="3007" w:type="dxa"/>
            <w:vAlign w:val="bottom"/>
          </w:tcPr>
          <w:p w14:paraId="07B63F34" w14:textId="31B79CEA" w:rsidR="008A47FA" w:rsidRDefault="008A47FA" w:rsidP="00BC108C">
            <w:pPr>
              <w:rPr>
                <w:rFonts w:ascii="Calibri" w:hAnsi="Calibri"/>
                <w:color w:val="0000FF"/>
              </w:rPr>
            </w:pPr>
            <w:r>
              <w:rPr>
                <w:rFonts w:ascii="Calibri" w:hAnsi="Calibri"/>
                <w:color w:val="000000"/>
              </w:rPr>
              <w:t>8,340,546</w:t>
            </w:r>
          </w:p>
        </w:tc>
        <w:tc>
          <w:tcPr>
            <w:tcW w:w="2214" w:type="dxa"/>
            <w:vAlign w:val="bottom"/>
          </w:tcPr>
          <w:p w14:paraId="75A35719" w14:textId="0FEC7F71" w:rsidR="008A47FA" w:rsidRDefault="008A47FA" w:rsidP="00BC108C">
            <w:pPr>
              <w:rPr>
                <w:rFonts w:ascii="Calibri" w:hAnsi="Calibri"/>
                <w:color w:val="0000FF"/>
              </w:rPr>
            </w:pPr>
            <w:r>
              <w:rPr>
                <w:rFonts w:ascii="Calibri" w:hAnsi="Calibri"/>
                <w:color w:val="000000"/>
              </w:rPr>
              <w:t>0.00052</w:t>
            </w:r>
          </w:p>
        </w:tc>
        <w:tc>
          <w:tcPr>
            <w:tcW w:w="1530" w:type="dxa"/>
            <w:vAlign w:val="bottom"/>
          </w:tcPr>
          <w:p w14:paraId="1651568A" w14:textId="3A23B285" w:rsidR="008A47FA" w:rsidRDefault="008A47FA" w:rsidP="00BC108C">
            <w:pPr>
              <w:rPr>
                <w:rFonts w:ascii="Calibri" w:hAnsi="Calibri"/>
                <w:color w:val="0000FF"/>
              </w:rPr>
            </w:pPr>
            <w:r>
              <w:rPr>
                <w:rFonts w:ascii="Calibri" w:hAnsi="Calibri"/>
                <w:color w:val="000000"/>
              </w:rPr>
              <w:t>0.000585</w:t>
            </w:r>
          </w:p>
        </w:tc>
      </w:tr>
      <w:tr w:rsidR="008A47FA" w14:paraId="4565E48F" w14:textId="77777777" w:rsidTr="008A47FA">
        <w:trPr>
          <w:trHeight w:hRule="exact" w:val="300"/>
        </w:trPr>
        <w:tc>
          <w:tcPr>
            <w:tcW w:w="2070" w:type="dxa"/>
            <w:vAlign w:val="bottom"/>
            <w:hideMark/>
          </w:tcPr>
          <w:p w14:paraId="2B158688" w14:textId="77777777" w:rsidR="008A47FA" w:rsidRPr="00C00E30" w:rsidRDefault="008A47FA" w:rsidP="00BC108C">
            <w:pPr>
              <w:rPr>
                <w:rFonts w:ascii="Calibri" w:hAnsi="Calibri"/>
              </w:rPr>
            </w:pPr>
            <w:r w:rsidRPr="00C00E30">
              <w:rPr>
                <w:rFonts w:ascii="Calibri" w:hAnsi="Calibri"/>
              </w:rPr>
              <w:t>9</w:t>
            </w:r>
          </w:p>
        </w:tc>
        <w:tc>
          <w:tcPr>
            <w:tcW w:w="3007" w:type="dxa"/>
            <w:vAlign w:val="bottom"/>
          </w:tcPr>
          <w:p w14:paraId="73D6C6C7" w14:textId="22BD32F7" w:rsidR="008A47FA" w:rsidRDefault="008A47FA" w:rsidP="00BC108C">
            <w:pPr>
              <w:rPr>
                <w:rFonts w:ascii="Calibri" w:hAnsi="Calibri"/>
                <w:color w:val="0000FF"/>
              </w:rPr>
            </w:pPr>
            <w:r>
              <w:rPr>
                <w:rFonts w:ascii="Calibri" w:hAnsi="Calibri"/>
                <w:color w:val="000000"/>
              </w:rPr>
              <w:t>7,664,290</w:t>
            </w:r>
          </w:p>
        </w:tc>
        <w:tc>
          <w:tcPr>
            <w:tcW w:w="2214" w:type="dxa"/>
            <w:vAlign w:val="bottom"/>
          </w:tcPr>
          <w:p w14:paraId="1194A30D" w14:textId="1F9C41BD" w:rsidR="008A47FA" w:rsidRDefault="008A47FA" w:rsidP="00BC108C">
            <w:pPr>
              <w:rPr>
                <w:rFonts w:ascii="Calibri" w:hAnsi="Calibri"/>
                <w:color w:val="0000FF"/>
              </w:rPr>
            </w:pPr>
            <w:r>
              <w:rPr>
                <w:rFonts w:ascii="Calibri" w:hAnsi="Calibri"/>
                <w:color w:val="000000"/>
              </w:rPr>
              <w:t>0.000622</w:t>
            </w:r>
          </w:p>
        </w:tc>
        <w:tc>
          <w:tcPr>
            <w:tcW w:w="1530" w:type="dxa"/>
            <w:vAlign w:val="bottom"/>
          </w:tcPr>
          <w:p w14:paraId="0E3FECA3" w14:textId="3F5DA6CC" w:rsidR="008A47FA" w:rsidRDefault="008A47FA" w:rsidP="00BC108C">
            <w:pPr>
              <w:rPr>
                <w:rFonts w:ascii="Calibri" w:hAnsi="Calibri"/>
                <w:color w:val="0000FF"/>
              </w:rPr>
            </w:pPr>
            <w:r>
              <w:rPr>
                <w:rFonts w:ascii="Calibri" w:hAnsi="Calibri"/>
                <w:color w:val="000000"/>
              </w:rPr>
              <w:t>0.00055</w:t>
            </w:r>
          </w:p>
        </w:tc>
      </w:tr>
      <w:tr w:rsidR="008A47FA" w14:paraId="0DFAB20C" w14:textId="77777777" w:rsidTr="008A47FA">
        <w:trPr>
          <w:trHeight w:hRule="exact" w:val="269"/>
        </w:trPr>
        <w:tc>
          <w:tcPr>
            <w:tcW w:w="2070" w:type="dxa"/>
            <w:tcBorders>
              <w:top w:val="nil"/>
              <w:left w:val="nil"/>
              <w:bottom w:val="single" w:sz="6" w:space="0" w:color="000000"/>
              <w:right w:val="nil"/>
            </w:tcBorders>
            <w:vAlign w:val="bottom"/>
            <w:hideMark/>
          </w:tcPr>
          <w:p w14:paraId="70FE1664" w14:textId="77777777" w:rsidR="008A47FA" w:rsidRPr="00C00E30" w:rsidRDefault="008A47FA" w:rsidP="00BC108C">
            <w:pPr>
              <w:rPr>
                <w:rFonts w:ascii="Calibri" w:hAnsi="Calibri"/>
              </w:rPr>
            </w:pPr>
            <w:r w:rsidRPr="00C00E30">
              <w:rPr>
                <w:rFonts w:ascii="Calibri" w:hAnsi="Calibri"/>
              </w:rPr>
              <w:t>10</w:t>
            </w:r>
          </w:p>
        </w:tc>
        <w:tc>
          <w:tcPr>
            <w:tcW w:w="3007" w:type="dxa"/>
            <w:tcBorders>
              <w:top w:val="nil"/>
              <w:left w:val="nil"/>
              <w:bottom w:val="single" w:sz="6" w:space="0" w:color="000000"/>
              <w:right w:val="nil"/>
            </w:tcBorders>
            <w:vAlign w:val="bottom"/>
          </w:tcPr>
          <w:p w14:paraId="5EADEF5D" w14:textId="2975B662" w:rsidR="008A47FA" w:rsidRDefault="008A47FA" w:rsidP="00BC108C">
            <w:pPr>
              <w:rPr>
                <w:rFonts w:ascii="Calibri" w:hAnsi="Calibri"/>
                <w:color w:val="0000FF"/>
              </w:rPr>
            </w:pPr>
            <w:r>
              <w:rPr>
                <w:rFonts w:ascii="Calibri" w:hAnsi="Calibri"/>
                <w:color w:val="000000"/>
              </w:rPr>
              <w:t>7,325,882</w:t>
            </w:r>
          </w:p>
        </w:tc>
        <w:tc>
          <w:tcPr>
            <w:tcW w:w="2214" w:type="dxa"/>
            <w:tcBorders>
              <w:top w:val="nil"/>
              <w:left w:val="nil"/>
              <w:bottom w:val="single" w:sz="6" w:space="0" w:color="000000"/>
              <w:right w:val="nil"/>
            </w:tcBorders>
            <w:vAlign w:val="bottom"/>
          </w:tcPr>
          <w:p w14:paraId="51C4B859" w14:textId="465E8CD4" w:rsidR="008A47FA" w:rsidRDefault="008A47FA" w:rsidP="00BC108C">
            <w:pPr>
              <w:rPr>
                <w:rFonts w:ascii="Calibri" w:hAnsi="Calibri"/>
                <w:color w:val="0000FF"/>
              </w:rPr>
            </w:pPr>
            <w:r>
              <w:rPr>
                <w:rFonts w:ascii="Calibri" w:hAnsi="Calibri"/>
                <w:color w:val="000000"/>
              </w:rPr>
              <w:t>0.000739</w:t>
            </w:r>
          </w:p>
        </w:tc>
        <w:tc>
          <w:tcPr>
            <w:tcW w:w="1530" w:type="dxa"/>
            <w:tcBorders>
              <w:top w:val="nil"/>
              <w:left w:val="nil"/>
              <w:bottom w:val="single" w:sz="6" w:space="0" w:color="000000"/>
              <w:right w:val="nil"/>
            </w:tcBorders>
            <w:vAlign w:val="bottom"/>
          </w:tcPr>
          <w:p w14:paraId="02E107F3" w14:textId="1E3D94E7" w:rsidR="008A47FA" w:rsidRDefault="008A47FA" w:rsidP="00BC108C">
            <w:pPr>
              <w:rPr>
                <w:rFonts w:ascii="Calibri" w:hAnsi="Calibri"/>
                <w:color w:val="0000FF"/>
              </w:rPr>
            </w:pPr>
            <w:r>
              <w:rPr>
                <w:rFonts w:ascii="Calibri" w:hAnsi="Calibri"/>
                <w:color w:val="000000"/>
              </w:rPr>
              <w:t>0.000772</w:t>
            </w:r>
          </w:p>
        </w:tc>
      </w:tr>
      <w:tr w:rsidR="008A47FA" w14:paraId="29E5166B" w14:textId="77777777" w:rsidTr="008A47FA">
        <w:trPr>
          <w:trHeight w:hRule="exact" w:val="312"/>
        </w:trPr>
        <w:tc>
          <w:tcPr>
            <w:tcW w:w="2070" w:type="dxa"/>
            <w:tcBorders>
              <w:top w:val="single" w:sz="6" w:space="0" w:color="000000"/>
              <w:left w:val="nil"/>
              <w:bottom w:val="single" w:sz="6" w:space="0" w:color="000000"/>
              <w:right w:val="nil"/>
            </w:tcBorders>
            <w:vAlign w:val="bottom"/>
            <w:hideMark/>
          </w:tcPr>
          <w:p w14:paraId="658D35C0" w14:textId="77777777" w:rsidR="008A47FA" w:rsidRPr="00C00E30" w:rsidRDefault="008A47FA" w:rsidP="00BC108C">
            <w:pPr>
              <w:rPr>
                <w:rFonts w:ascii="Calibri" w:hAnsi="Calibri"/>
              </w:rPr>
            </w:pPr>
            <w:r w:rsidRPr="00C00E30">
              <w:rPr>
                <w:rFonts w:ascii="Calibri" w:hAnsi="Calibri"/>
              </w:rPr>
              <w:t>C-Statistic</w:t>
            </w:r>
          </w:p>
        </w:tc>
        <w:tc>
          <w:tcPr>
            <w:tcW w:w="3007" w:type="dxa"/>
            <w:tcBorders>
              <w:top w:val="single" w:sz="6" w:space="0" w:color="000000"/>
              <w:left w:val="nil"/>
              <w:bottom w:val="single" w:sz="6" w:space="0" w:color="000000"/>
              <w:right w:val="nil"/>
            </w:tcBorders>
            <w:vAlign w:val="bottom"/>
            <w:hideMark/>
          </w:tcPr>
          <w:p w14:paraId="2F65A0D0" w14:textId="22B30C92" w:rsidR="008A47FA" w:rsidRDefault="008A47FA" w:rsidP="00BC108C">
            <w:pPr>
              <w:rPr>
                <w:rFonts w:ascii="Calibri" w:hAnsi="Calibri"/>
                <w:color w:val="0000FF"/>
              </w:rPr>
            </w:pPr>
            <w:r>
              <w:rPr>
                <w:rFonts w:ascii="Calibri" w:hAnsi="Calibri"/>
                <w:color w:val="000000"/>
              </w:rPr>
              <w:t>0.56</w:t>
            </w:r>
          </w:p>
        </w:tc>
        <w:tc>
          <w:tcPr>
            <w:tcW w:w="2214" w:type="dxa"/>
            <w:tcBorders>
              <w:top w:val="single" w:sz="6" w:space="0" w:color="000000"/>
              <w:left w:val="nil"/>
              <w:bottom w:val="single" w:sz="6" w:space="0" w:color="000000"/>
              <w:right w:val="nil"/>
            </w:tcBorders>
            <w:vAlign w:val="bottom"/>
            <w:hideMark/>
          </w:tcPr>
          <w:p w14:paraId="68D70987" w14:textId="7F06DC5B" w:rsidR="008A47FA" w:rsidRDefault="008A47FA" w:rsidP="00BC108C">
            <w:pPr>
              <w:rPr>
                <w:rFonts w:ascii="Calibri" w:hAnsi="Calibri"/>
                <w:color w:val="0000FF"/>
              </w:rPr>
            </w:pPr>
            <w:r>
              <w:rPr>
                <w:rFonts w:ascii="Calibri" w:hAnsi="Calibri"/>
                <w:color w:val="000000"/>
              </w:rPr>
              <w:t> </w:t>
            </w:r>
          </w:p>
        </w:tc>
        <w:tc>
          <w:tcPr>
            <w:tcW w:w="1530" w:type="dxa"/>
            <w:tcBorders>
              <w:top w:val="single" w:sz="6" w:space="0" w:color="000000"/>
              <w:left w:val="nil"/>
              <w:bottom w:val="single" w:sz="6" w:space="0" w:color="000000"/>
              <w:right w:val="nil"/>
            </w:tcBorders>
            <w:vAlign w:val="bottom"/>
            <w:hideMark/>
          </w:tcPr>
          <w:p w14:paraId="1C956234" w14:textId="5B03B538" w:rsidR="008A47FA" w:rsidRDefault="008A47FA" w:rsidP="00BC108C">
            <w:pPr>
              <w:rPr>
                <w:rFonts w:ascii="Calibri" w:hAnsi="Calibri"/>
                <w:color w:val="0000FF"/>
              </w:rPr>
            </w:pPr>
            <w:r>
              <w:rPr>
                <w:rFonts w:ascii="Calibri" w:hAnsi="Calibri"/>
                <w:color w:val="000000"/>
              </w:rPr>
              <w:t> </w:t>
            </w:r>
          </w:p>
        </w:tc>
      </w:tr>
    </w:tbl>
    <w:p w14:paraId="2EAD5386" w14:textId="5FA006CF" w:rsidR="00A45DAD" w:rsidRPr="00C00E30" w:rsidRDefault="00A45DAD" w:rsidP="00C00E30">
      <w:pPr>
        <w:spacing w:line="237" w:lineRule="auto"/>
        <w:ind w:left="90" w:right="340"/>
        <w:rPr>
          <w:rFonts w:cstheme="minorHAnsi"/>
          <w:b/>
          <w:bCs/>
          <w:sz w:val="20"/>
          <w:szCs w:val="20"/>
        </w:rPr>
      </w:pPr>
      <w:r w:rsidRPr="003F6238">
        <w:rPr>
          <w:rFonts w:ascii="Calibri" w:hAnsi="Calibri" w:cs="Calibri"/>
          <w:color w:val="0000FF"/>
          <w:sz w:val="20"/>
          <w:szCs w:val="20"/>
        </w:rPr>
        <w:t>Source: HCUP State Inpatient Databases (SID). Healthcare Cost and Utilization Project (HCUP). 2013. Agency for</w:t>
      </w:r>
      <w:r w:rsidRPr="003F6238">
        <w:rPr>
          <w:rFonts w:ascii="Calibri" w:hAnsi="Calibri" w:cs="Calibri"/>
          <w:color w:val="0000FF"/>
          <w:w w:val="99"/>
          <w:sz w:val="20"/>
          <w:szCs w:val="20"/>
        </w:rPr>
        <w:t xml:space="preserve"> </w:t>
      </w:r>
      <w:r w:rsidRPr="003F6238">
        <w:rPr>
          <w:rFonts w:ascii="Calibri" w:hAnsi="Calibri" w:cs="Calibri"/>
          <w:color w:val="0000FF"/>
          <w:sz w:val="20"/>
          <w:szCs w:val="20"/>
        </w:rPr>
        <w:t xml:space="preserve">Healthcare Research and Quality, Rockville, MD. </w:t>
      </w:r>
      <w:hyperlink r:id="rId18" w:history="1">
        <w:r w:rsidRPr="003F6238">
          <w:rPr>
            <w:rStyle w:val="Hyperlink"/>
            <w:rFonts w:ascii="Calibri" w:hAnsi="Calibri" w:cs="Calibri"/>
            <w:color w:val="0000FF"/>
            <w:sz w:val="20"/>
            <w:szCs w:val="20"/>
          </w:rPr>
          <w:t>www.hcup-us.ahrq.gov/sidoverview.jsp.</w:t>
        </w:r>
      </w:hyperlink>
      <w:r w:rsidRPr="003F6238">
        <w:rPr>
          <w:rFonts w:ascii="Calibri" w:hAnsi="Calibri" w:cs="Calibri"/>
          <w:color w:val="0000FF"/>
          <w:sz w:val="20"/>
          <w:szCs w:val="20"/>
        </w:rPr>
        <w:t xml:space="preserve"> (AHRQ QI Software</w:t>
      </w:r>
      <w:r w:rsidRPr="003F6238">
        <w:rPr>
          <w:rFonts w:ascii="Calibri" w:hAnsi="Calibri" w:cs="Calibri"/>
          <w:color w:val="0000FF"/>
          <w:w w:val="99"/>
          <w:sz w:val="20"/>
          <w:szCs w:val="20"/>
        </w:rPr>
        <w:t xml:space="preserve"> </w:t>
      </w:r>
      <w:r w:rsidRPr="003F6238">
        <w:rPr>
          <w:rFonts w:ascii="Calibri" w:hAnsi="Calibri" w:cs="Calibri"/>
          <w:color w:val="0000FF"/>
          <w:sz w:val="20"/>
          <w:szCs w:val="20"/>
        </w:rPr>
        <w:t>Version 6.0)</w:t>
      </w:r>
      <w:r w:rsidRPr="003F6238">
        <w:rPr>
          <w:rFonts w:cstheme="minorHAnsi"/>
          <w:b/>
          <w:sz w:val="20"/>
          <w:szCs w:val="20"/>
        </w:rPr>
        <w:br/>
      </w:r>
    </w:p>
    <w:p w14:paraId="4A6A002A" w14:textId="0E769DE4" w:rsidR="00A45DAD" w:rsidRPr="003F6238" w:rsidRDefault="00A45DAD" w:rsidP="00A45DAD">
      <w:pPr>
        <w:autoSpaceDE w:val="0"/>
        <w:autoSpaceDN w:val="0"/>
        <w:adjustRightInd w:val="0"/>
        <w:spacing w:after="0" w:line="240" w:lineRule="auto"/>
        <w:ind w:left="90"/>
        <w:rPr>
          <w:rFonts w:ascii="Calibri" w:hAnsi="Calibri" w:cstheme="minorHAnsi"/>
          <w:b/>
          <w:bCs/>
          <w:color w:val="0000FF"/>
          <w:sz w:val="24"/>
          <w:szCs w:val="24"/>
        </w:rPr>
      </w:pPr>
      <w:proofErr w:type="gramStart"/>
      <w:r w:rsidRPr="003F6238">
        <w:rPr>
          <w:rFonts w:ascii="Calibri" w:hAnsi="Calibri" w:cstheme="minorHAnsi"/>
          <w:b/>
          <w:bCs/>
          <w:color w:val="0000FF"/>
          <w:sz w:val="24"/>
          <w:szCs w:val="24"/>
        </w:rPr>
        <w:lastRenderedPageBreak/>
        <w:t>Table 5b.</w:t>
      </w:r>
      <w:proofErr w:type="gramEnd"/>
      <w:r w:rsidRPr="003F6238">
        <w:rPr>
          <w:rFonts w:ascii="Calibri" w:hAnsi="Calibri" w:cstheme="minorHAnsi"/>
          <w:b/>
          <w:bCs/>
          <w:color w:val="0000FF"/>
          <w:sz w:val="24"/>
          <w:szCs w:val="24"/>
        </w:rPr>
        <w:t xml:space="preserve"> Age-sex and SES Risk adjustment Model Discrimination and Calibration</w:t>
      </w:r>
      <w:r w:rsidR="003F6238" w:rsidRPr="003F6238">
        <w:rPr>
          <w:rFonts w:ascii="Calibri" w:hAnsi="Calibri" w:cstheme="minorHAnsi"/>
          <w:b/>
          <w:bCs/>
          <w:color w:val="0000FF"/>
          <w:sz w:val="24"/>
          <w:szCs w:val="24"/>
        </w:rPr>
        <w:t>,</w:t>
      </w:r>
      <w:r w:rsidRPr="003F6238">
        <w:rPr>
          <w:rFonts w:ascii="Calibri" w:hAnsi="Calibri" w:cstheme="minorHAnsi"/>
          <w:b/>
          <w:bCs/>
          <w:color w:val="0000FF"/>
          <w:sz w:val="24"/>
          <w:szCs w:val="24"/>
        </w:rPr>
        <w:t xml:space="preserve"> </w:t>
      </w:r>
      <w:r w:rsidR="003F6238" w:rsidRPr="003F6238">
        <w:rPr>
          <w:rFonts w:ascii="Calibri" w:hAnsi="Calibri" w:cstheme="minorHAnsi"/>
          <w:b/>
          <w:bCs/>
          <w:color w:val="0000FF"/>
          <w:sz w:val="24"/>
          <w:szCs w:val="24"/>
        </w:rPr>
        <w:t xml:space="preserve">for </w:t>
      </w:r>
      <w:r w:rsidR="003F6238" w:rsidRPr="003F6238">
        <w:rPr>
          <w:rFonts w:ascii="Calibri" w:eastAsia="Times New Roman" w:hAnsi="Calibri" w:cs="Calibri"/>
          <w:b/>
          <w:bCs/>
          <w:color w:val="0000FF"/>
          <w:sz w:val="24"/>
          <w:szCs w:val="24"/>
        </w:rPr>
        <w:t>PQI</w:t>
      </w:r>
      <w:r w:rsidR="002C3098">
        <w:rPr>
          <w:rFonts w:ascii="Calibri" w:eastAsia="Times New Roman" w:hAnsi="Calibri" w:cs="Calibri"/>
          <w:b/>
          <w:bCs/>
          <w:color w:val="0000FF"/>
          <w:sz w:val="24"/>
          <w:szCs w:val="24"/>
        </w:rPr>
        <w:t xml:space="preserve"> </w:t>
      </w:r>
      <w:r w:rsidR="003F6238" w:rsidRPr="003F6238">
        <w:rPr>
          <w:rFonts w:ascii="Calibri" w:eastAsia="Times New Roman" w:hAnsi="Calibri" w:cs="Calibri"/>
          <w:b/>
          <w:bCs/>
          <w:color w:val="0000FF"/>
          <w:sz w:val="24"/>
          <w:szCs w:val="24"/>
        </w:rPr>
        <w:t>15 Asthma in Younger Adults Admission Rate</w:t>
      </w:r>
    </w:p>
    <w:tbl>
      <w:tblPr>
        <w:tblW w:w="8805" w:type="dxa"/>
        <w:tblInd w:w="106" w:type="dxa"/>
        <w:tblLayout w:type="fixed"/>
        <w:tblCellMar>
          <w:left w:w="0" w:type="dxa"/>
          <w:right w:w="0" w:type="dxa"/>
        </w:tblCellMar>
        <w:tblLook w:val="01E0" w:firstRow="1" w:lastRow="1" w:firstColumn="1" w:lastColumn="1" w:noHBand="0" w:noVBand="0"/>
      </w:tblPr>
      <w:tblGrid>
        <w:gridCol w:w="2325"/>
        <w:gridCol w:w="2736"/>
        <w:gridCol w:w="2214"/>
        <w:gridCol w:w="1530"/>
      </w:tblGrid>
      <w:tr w:rsidR="00A45DAD" w14:paraId="33F38FFA" w14:textId="77777777" w:rsidTr="00C00E30">
        <w:trPr>
          <w:trHeight w:hRule="exact" w:val="570"/>
          <w:tblHeader/>
        </w:trPr>
        <w:tc>
          <w:tcPr>
            <w:tcW w:w="2325" w:type="dxa"/>
            <w:tcBorders>
              <w:top w:val="single" w:sz="6" w:space="0" w:color="000000"/>
              <w:left w:val="nil"/>
              <w:bottom w:val="single" w:sz="6" w:space="0" w:color="000000"/>
              <w:right w:val="nil"/>
            </w:tcBorders>
            <w:shd w:val="clear" w:color="auto" w:fill="D9D9D9" w:themeFill="background1" w:themeFillShade="D9"/>
            <w:hideMark/>
          </w:tcPr>
          <w:p w14:paraId="5F9525D8" w14:textId="77777777" w:rsidR="00A45DAD" w:rsidRDefault="00A45DAD" w:rsidP="00BC108C">
            <w:pPr>
              <w:pStyle w:val="TableParagraph"/>
              <w:spacing w:line="276" w:lineRule="auto"/>
              <w:ind w:left="108" w:right="694"/>
              <w:rPr>
                <w:rFonts w:ascii="Calibri" w:eastAsia="Times New Roman" w:hAnsi="Calibri" w:cstheme="minorHAnsi"/>
                <w:color w:val="0000FF"/>
              </w:rPr>
            </w:pPr>
            <w:r>
              <w:rPr>
                <w:rFonts w:ascii="Calibri" w:hAnsi="Calibri" w:cstheme="minorHAnsi"/>
                <w:b/>
                <w:color w:val="0000FF"/>
              </w:rPr>
              <w:t>Predicted</w:t>
            </w:r>
            <w:r>
              <w:rPr>
                <w:rFonts w:ascii="Calibri" w:hAnsi="Calibri" w:cstheme="minorHAnsi"/>
                <w:b/>
                <w:color w:val="0000FF"/>
                <w:w w:val="99"/>
              </w:rPr>
              <w:t xml:space="preserve"> </w:t>
            </w:r>
            <w:r>
              <w:rPr>
                <w:rFonts w:ascii="Calibri" w:hAnsi="Calibri" w:cstheme="minorHAnsi"/>
                <w:b/>
                <w:color w:val="0000FF"/>
              </w:rPr>
              <w:t>Rate Decile</w:t>
            </w:r>
          </w:p>
        </w:tc>
        <w:tc>
          <w:tcPr>
            <w:tcW w:w="2736" w:type="dxa"/>
            <w:tcBorders>
              <w:top w:val="single" w:sz="6" w:space="0" w:color="000000"/>
              <w:left w:val="nil"/>
              <w:bottom w:val="single" w:sz="6" w:space="0" w:color="000000"/>
              <w:right w:val="nil"/>
            </w:tcBorders>
            <w:shd w:val="clear" w:color="auto" w:fill="D9D9D9" w:themeFill="background1" w:themeFillShade="D9"/>
            <w:hideMark/>
          </w:tcPr>
          <w:p w14:paraId="77D9C075" w14:textId="77777777" w:rsidR="00A45DAD" w:rsidRDefault="00A45DAD" w:rsidP="00BC108C">
            <w:pPr>
              <w:pStyle w:val="TableParagraph"/>
              <w:spacing w:line="228" w:lineRule="exact"/>
              <w:ind w:left="8"/>
              <w:rPr>
                <w:rFonts w:ascii="Calibri" w:eastAsia="Times New Roman" w:hAnsi="Calibri" w:cstheme="minorHAnsi"/>
                <w:color w:val="0000FF"/>
              </w:rPr>
            </w:pPr>
            <w:r>
              <w:rPr>
                <w:rFonts w:ascii="Calibri" w:hAnsi="Calibri" w:cstheme="minorHAnsi"/>
                <w:b/>
                <w:color w:val="0000FF"/>
              </w:rPr>
              <w:t>Number of Discharges</w:t>
            </w:r>
          </w:p>
          <w:p w14:paraId="77B94568" w14:textId="77777777" w:rsidR="00A45DAD" w:rsidRDefault="00A45DAD" w:rsidP="00BC108C">
            <w:pPr>
              <w:pStyle w:val="TableParagraph"/>
              <w:spacing w:line="228" w:lineRule="exact"/>
              <w:ind w:left="8"/>
              <w:rPr>
                <w:rFonts w:ascii="Calibri" w:eastAsia="Times New Roman" w:hAnsi="Calibri" w:cstheme="minorHAnsi"/>
                <w:color w:val="0000FF"/>
              </w:rPr>
            </w:pPr>
            <w:r>
              <w:rPr>
                <w:rFonts w:ascii="Calibri" w:hAnsi="Calibri" w:cstheme="minorHAnsi"/>
                <w:b/>
                <w:color w:val="0000FF"/>
              </w:rPr>
              <w:t>per Decile</w:t>
            </w:r>
          </w:p>
        </w:tc>
        <w:tc>
          <w:tcPr>
            <w:tcW w:w="2214" w:type="dxa"/>
            <w:tcBorders>
              <w:top w:val="single" w:sz="6" w:space="0" w:color="000000"/>
              <w:left w:val="nil"/>
              <w:bottom w:val="single" w:sz="6" w:space="0" w:color="000000"/>
              <w:right w:val="nil"/>
            </w:tcBorders>
            <w:shd w:val="clear" w:color="auto" w:fill="D9D9D9" w:themeFill="background1" w:themeFillShade="D9"/>
            <w:hideMark/>
          </w:tcPr>
          <w:p w14:paraId="19A89F32" w14:textId="77777777" w:rsidR="00A45DAD" w:rsidRDefault="00A45DAD" w:rsidP="00BC108C">
            <w:pPr>
              <w:pStyle w:val="TableParagraph"/>
              <w:spacing w:line="228" w:lineRule="exact"/>
              <w:ind w:right="1"/>
              <w:rPr>
                <w:rFonts w:ascii="Calibri" w:eastAsia="Times New Roman" w:hAnsi="Calibri" w:cstheme="minorHAnsi"/>
                <w:color w:val="0000FF"/>
              </w:rPr>
            </w:pPr>
            <w:r>
              <w:rPr>
                <w:rFonts w:ascii="Calibri" w:hAnsi="Calibri" w:cstheme="minorHAnsi"/>
                <w:b/>
                <w:color w:val="0000FF"/>
              </w:rPr>
              <w:t>Predicted</w:t>
            </w:r>
            <w:r>
              <w:rPr>
                <w:rFonts w:ascii="Calibri" w:eastAsia="Times New Roman" w:hAnsi="Calibri" w:cstheme="minorHAnsi"/>
                <w:color w:val="0000FF"/>
              </w:rPr>
              <w:t xml:space="preserve"> </w:t>
            </w:r>
            <w:r>
              <w:rPr>
                <w:rFonts w:ascii="Calibri" w:hAnsi="Calibri" w:cstheme="minorHAnsi"/>
                <w:b/>
                <w:color w:val="0000FF"/>
              </w:rPr>
              <w:t>Rate</w:t>
            </w:r>
          </w:p>
        </w:tc>
        <w:tc>
          <w:tcPr>
            <w:tcW w:w="1530" w:type="dxa"/>
            <w:tcBorders>
              <w:top w:val="single" w:sz="6" w:space="0" w:color="000000"/>
              <w:left w:val="nil"/>
              <w:bottom w:val="single" w:sz="6" w:space="0" w:color="000000"/>
              <w:right w:val="nil"/>
            </w:tcBorders>
            <w:shd w:val="clear" w:color="auto" w:fill="D9D9D9" w:themeFill="background1" w:themeFillShade="D9"/>
            <w:hideMark/>
          </w:tcPr>
          <w:p w14:paraId="74EFF0BE" w14:textId="77777777" w:rsidR="00A45DAD" w:rsidRDefault="00A45DAD" w:rsidP="00BC108C">
            <w:pPr>
              <w:pStyle w:val="TableParagraph"/>
              <w:tabs>
                <w:tab w:val="left" w:pos="1620"/>
              </w:tabs>
              <w:spacing w:line="228" w:lineRule="exact"/>
              <w:ind w:right="180"/>
              <w:rPr>
                <w:rFonts w:ascii="Calibri" w:eastAsia="Times New Roman" w:hAnsi="Calibri" w:cstheme="minorHAnsi"/>
                <w:color w:val="0000FF"/>
              </w:rPr>
            </w:pPr>
            <w:r>
              <w:rPr>
                <w:rFonts w:ascii="Calibri" w:hAnsi="Calibri" w:cstheme="minorHAnsi"/>
                <w:b/>
                <w:color w:val="0000FF"/>
                <w:w w:val="95"/>
              </w:rPr>
              <w:t>Observed</w:t>
            </w:r>
            <w:r>
              <w:rPr>
                <w:rFonts w:ascii="Calibri" w:eastAsia="Times New Roman" w:hAnsi="Calibri" w:cstheme="minorHAnsi"/>
                <w:color w:val="0000FF"/>
              </w:rPr>
              <w:t xml:space="preserve"> </w:t>
            </w:r>
            <w:r>
              <w:rPr>
                <w:rFonts w:ascii="Calibri" w:hAnsi="Calibri" w:cstheme="minorHAnsi"/>
                <w:b/>
                <w:color w:val="0000FF"/>
                <w:w w:val="95"/>
              </w:rPr>
              <w:t>Rate</w:t>
            </w:r>
          </w:p>
        </w:tc>
      </w:tr>
      <w:tr w:rsidR="008A47FA" w14:paraId="5704243A" w14:textId="77777777" w:rsidTr="00BC108C">
        <w:trPr>
          <w:trHeight w:hRule="exact" w:val="340"/>
        </w:trPr>
        <w:tc>
          <w:tcPr>
            <w:tcW w:w="2325" w:type="dxa"/>
            <w:tcBorders>
              <w:top w:val="single" w:sz="6" w:space="0" w:color="000000"/>
              <w:left w:val="nil"/>
              <w:bottom w:val="nil"/>
              <w:right w:val="nil"/>
            </w:tcBorders>
            <w:vAlign w:val="bottom"/>
            <w:hideMark/>
          </w:tcPr>
          <w:p w14:paraId="21E73354" w14:textId="77777777" w:rsidR="008A47FA" w:rsidRPr="00C00E30" w:rsidRDefault="008A47FA" w:rsidP="00BC108C">
            <w:pPr>
              <w:rPr>
                <w:rFonts w:ascii="Calibri" w:hAnsi="Calibri"/>
              </w:rPr>
            </w:pPr>
            <w:r w:rsidRPr="00C00E30">
              <w:rPr>
                <w:rFonts w:ascii="Calibri" w:hAnsi="Calibri"/>
              </w:rPr>
              <w:t>1</w:t>
            </w:r>
          </w:p>
        </w:tc>
        <w:tc>
          <w:tcPr>
            <w:tcW w:w="2736" w:type="dxa"/>
            <w:tcBorders>
              <w:top w:val="single" w:sz="6" w:space="0" w:color="000000"/>
              <w:left w:val="nil"/>
              <w:bottom w:val="nil"/>
              <w:right w:val="nil"/>
            </w:tcBorders>
            <w:vAlign w:val="bottom"/>
          </w:tcPr>
          <w:p w14:paraId="3DA8D843" w14:textId="46FE0AC6" w:rsidR="008A47FA" w:rsidRDefault="008A47FA" w:rsidP="00BC108C">
            <w:pPr>
              <w:rPr>
                <w:rFonts w:ascii="Calibri" w:hAnsi="Calibri"/>
                <w:color w:val="0000FF"/>
              </w:rPr>
            </w:pPr>
            <w:r>
              <w:rPr>
                <w:rFonts w:ascii="Calibri" w:hAnsi="Calibri"/>
                <w:color w:val="000000"/>
              </w:rPr>
              <w:t>10,727,468</w:t>
            </w:r>
          </w:p>
        </w:tc>
        <w:tc>
          <w:tcPr>
            <w:tcW w:w="2214" w:type="dxa"/>
            <w:tcBorders>
              <w:top w:val="single" w:sz="6" w:space="0" w:color="000000"/>
              <w:left w:val="nil"/>
              <w:bottom w:val="nil"/>
              <w:right w:val="nil"/>
            </w:tcBorders>
            <w:vAlign w:val="bottom"/>
          </w:tcPr>
          <w:p w14:paraId="117D4567" w14:textId="08D991C3" w:rsidR="008A47FA" w:rsidRDefault="008A47FA" w:rsidP="00BC108C">
            <w:pPr>
              <w:rPr>
                <w:rFonts w:ascii="Calibri" w:hAnsi="Calibri"/>
                <w:color w:val="0000FF"/>
              </w:rPr>
            </w:pPr>
            <w:r>
              <w:rPr>
                <w:rFonts w:ascii="Calibri" w:hAnsi="Calibri"/>
                <w:color w:val="000000"/>
              </w:rPr>
              <w:t>0.000189</w:t>
            </w:r>
          </w:p>
        </w:tc>
        <w:tc>
          <w:tcPr>
            <w:tcW w:w="1530" w:type="dxa"/>
            <w:tcBorders>
              <w:top w:val="single" w:sz="6" w:space="0" w:color="000000"/>
              <w:left w:val="nil"/>
              <w:bottom w:val="nil"/>
              <w:right w:val="nil"/>
            </w:tcBorders>
            <w:vAlign w:val="bottom"/>
          </w:tcPr>
          <w:p w14:paraId="0DDC49B4" w14:textId="7389521D" w:rsidR="008A47FA" w:rsidRDefault="008A47FA" w:rsidP="00BC108C">
            <w:pPr>
              <w:rPr>
                <w:rFonts w:ascii="Calibri" w:hAnsi="Calibri"/>
                <w:color w:val="0000FF"/>
              </w:rPr>
            </w:pPr>
            <w:r>
              <w:rPr>
                <w:rFonts w:ascii="Calibri" w:hAnsi="Calibri"/>
                <w:color w:val="000000"/>
              </w:rPr>
              <w:t>0.000195</w:t>
            </w:r>
          </w:p>
        </w:tc>
      </w:tr>
      <w:tr w:rsidR="008A47FA" w14:paraId="4B0D96A1" w14:textId="77777777" w:rsidTr="00BC108C">
        <w:trPr>
          <w:trHeight w:hRule="exact" w:val="300"/>
        </w:trPr>
        <w:tc>
          <w:tcPr>
            <w:tcW w:w="2325" w:type="dxa"/>
            <w:vAlign w:val="bottom"/>
            <w:hideMark/>
          </w:tcPr>
          <w:p w14:paraId="54EEBADB" w14:textId="77777777" w:rsidR="008A47FA" w:rsidRPr="00C00E30" w:rsidRDefault="008A47FA" w:rsidP="00BC108C">
            <w:pPr>
              <w:rPr>
                <w:rFonts w:ascii="Calibri" w:hAnsi="Calibri"/>
              </w:rPr>
            </w:pPr>
            <w:r w:rsidRPr="00C00E30">
              <w:rPr>
                <w:rFonts w:ascii="Calibri" w:hAnsi="Calibri"/>
              </w:rPr>
              <w:t>2</w:t>
            </w:r>
          </w:p>
        </w:tc>
        <w:tc>
          <w:tcPr>
            <w:tcW w:w="2736" w:type="dxa"/>
            <w:vAlign w:val="bottom"/>
          </w:tcPr>
          <w:p w14:paraId="65835213" w14:textId="47DC15AF" w:rsidR="008A47FA" w:rsidRDefault="008A47FA" w:rsidP="00BC108C">
            <w:pPr>
              <w:rPr>
                <w:rFonts w:ascii="Calibri" w:hAnsi="Calibri"/>
                <w:color w:val="0000FF"/>
              </w:rPr>
            </w:pPr>
            <w:r>
              <w:rPr>
                <w:rFonts w:ascii="Calibri" w:hAnsi="Calibri"/>
                <w:color w:val="000000"/>
              </w:rPr>
              <w:t>10,919,256</w:t>
            </w:r>
          </w:p>
        </w:tc>
        <w:tc>
          <w:tcPr>
            <w:tcW w:w="2214" w:type="dxa"/>
            <w:vAlign w:val="bottom"/>
          </w:tcPr>
          <w:p w14:paraId="79F0A008" w14:textId="5A59768E" w:rsidR="008A47FA" w:rsidRDefault="008A47FA" w:rsidP="00BC108C">
            <w:pPr>
              <w:rPr>
                <w:rFonts w:ascii="Calibri" w:hAnsi="Calibri"/>
                <w:color w:val="0000FF"/>
              </w:rPr>
            </w:pPr>
            <w:r>
              <w:rPr>
                <w:rFonts w:ascii="Calibri" w:hAnsi="Calibri"/>
                <w:color w:val="000000"/>
              </w:rPr>
              <w:t>0.000218</w:t>
            </w:r>
          </w:p>
        </w:tc>
        <w:tc>
          <w:tcPr>
            <w:tcW w:w="1530" w:type="dxa"/>
            <w:vAlign w:val="bottom"/>
          </w:tcPr>
          <w:p w14:paraId="1F3839C9" w14:textId="0E1B0665" w:rsidR="008A47FA" w:rsidRDefault="008A47FA" w:rsidP="00BC108C">
            <w:pPr>
              <w:rPr>
                <w:rFonts w:ascii="Calibri" w:hAnsi="Calibri"/>
                <w:color w:val="0000FF"/>
              </w:rPr>
            </w:pPr>
            <w:r>
              <w:rPr>
                <w:rFonts w:ascii="Calibri" w:hAnsi="Calibri"/>
                <w:color w:val="000000"/>
              </w:rPr>
              <w:t>0.000207</w:t>
            </w:r>
          </w:p>
        </w:tc>
      </w:tr>
      <w:tr w:rsidR="008A47FA" w14:paraId="406674AE" w14:textId="77777777" w:rsidTr="00BC108C">
        <w:trPr>
          <w:trHeight w:hRule="exact" w:val="300"/>
        </w:trPr>
        <w:tc>
          <w:tcPr>
            <w:tcW w:w="2325" w:type="dxa"/>
            <w:vAlign w:val="bottom"/>
            <w:hideMark/>
          </w:tcPr>
          <w:p w14:paraId="63588AAF" w14:textId="77777777" w:rsidR="008A47FA" w:rsidRPr="00C00E30" w:rsidRDefault="008A47FA" w:rsidP="00BC108C">
            <w:pPr>
              <w:rPr>
                <w:rFonts w:ascii="Calibri" w:hAnsi="Calibri"/>
              </w:rPr>
            </w:pPr>
            <w:r w:rsidRPr="00C00E30">
              <w:rPr>
                <w:rFonts w:ascii="Calibri" w:hAnsi="Calibri"/>
              </w:rPr>
              <w:t>3</w:t>
            </w:r>
          </w:p>
        </w:tc>
        <w:tc>
          <w:tcPr>
            <w:tcW w:w="2736" w:type="dxa"/>
            <w:vAlign w:val="bottom"/>
          </w:tcPr>
          <w:p w14:paraId="56CD4080" w14:textId="1540C6D1" w:rsidR="008A47FA" w:rsidRDefault="008A47FA" w:rsidP="00BC108C">
            <w:pPr>
              <w:rPr>
                <w:rFonts w:ascii="Calibri" w:hAnsi="Calibri"/>
                <w:color w:val="0000FF"/>
              </w:rPr>
            </w:pPr>
            <w:r>
              <w:rPr>
                <w:rFonts w:ascii="Calibri" w:hAnsi="Calibri"/>
                <w:color w:val="000000"/>
              </w:rPr>
              <w:t>10,888,415</w:t>
            </w:r>
          </w:p>
        </w:tc>
        <w:tc>
          <w:tcPr>
            <w:tcW w:w="2214" w:type="dxa"/>
            <w:vAlign w:val="bottom"/>
          </w:tcPr>
          <w:p w14:paraId="1B30620B" w14:textId="3E2F501C" w:rsidR="008A47FA" w:rsidRDefault="008A47FA" w:rsidP="00BC108C">
            <w:pPr>
              <w:rPr>
                <w:rFonts w:ascii="Calibri" w:hAnsi="Calibri"/>
                <w:color w:val="0000FF"/>
              </w:rPr>
            </w:pPr>
            <w:r>
              <w:rPr>
                <w:rFonts w:ascii="Calibri" w:hAnsi="Calibri"/>
                <w:color w:val="000000"/>
              </w:rPr>
              <w:t>0.000247</w:t>
            </w:r>
          </w:p>
        </w:tc>
        <w:tc>
          <w:tcPr>
            <w:tcW w:w="1530" w:type="dxa"/>
            <w:vAlign w:val="bottom"/>
          </w:tcPr>
          <w:p w14:paraId="2A2DF6EC" w14:textId="6737080A" w:rsidR="008A47FA" w:rsidRDefault="008A47FA" w:rsidP="00BC108C">
            <w:pPr>
              <w:rPr>
                <w:rFonts w:ascii="Calibri" w:hAnsi="Calibri"/>
                <w:color w:val="0000FF"/>
              </w:rPr>
            </w:pPr>
            <w:r>
              <w:rPr>
                <w:rFonts w:ascii="Calibri" w:hAnsi="Calibri"/>
                <w:color w:val="000000"/>
              </w:rPr>
              <w:t>0.000258</w:t>
            </w:r>
          </w:p>
        </w:tc>
      </w:tr>
      <w:tr w:rsidR="008A47FA" w14:paraId="27BC860A" w14:textId="77777777" w:rsidTr="00BC108C">
        <w:trPr>
          <w:trHeight w:hRule="exact" w:val="300"/>
        </w:trPr>
        <w:tc>
          <w:tcPr>
            <w:tcW w:w="2325" w:type="dxa"/>
            <w:vAlign w:val="bottom"/>
            <w:hideMark/>
          </w:tcPr>
          <w:p w14:paraId="359712D9" w14:textId="77777777" w:rsidR="008A47FA" w:rsidRPr="00C00E30" w:rsidRDefault="008A47FA" w:rsidP="00BC108C">
            <w:pPr>
              <w:rPr>
                <w:rFonts w:ascii="Calibri" w:hAnsi="Calibri"/>
              </w:rPr>
            </w:pPr>
            <w:r w:rsidRPr="00C00E30">
              <w:rPr>
                <w:rFonts w:ascii="Calibri" w:hAnsi="Calibri"/>
              </w:rPr>
              <w:t>4</w:t>
            </w:r>
          </w:p>
        </w:tc>
        <w:tc>
          <w:tcPr>
            <w:tcW w:w="2736" w:type="dxa"/>
            <w:vAlign w:val="bottom"/>
          </w:tcPr>
          <w:p w14:paraId="7FBAEE4A" w14:textId="3585BB29" w:rsidR="008A47FA" w:rsidRDefault="008A47FA" w:rsidP="00BC108C">
            <w:pPr>
              <w:rPr>
                <w:rFonts w:ascii="Calibri" w:hAnsi="Calibri"/>
                <w:color w:val="0000FF"/>
              </w:rPr>
            </w:pPr>
            <w:r>
              <w:rPr>
                <w:rFonts w:ascii="Calibri" w:hAnsi="Calibri"/>
                <w:color w:val="000000"/>
              </w:rPr>
              <w:t>9,955,771</w:t>
            </w:r>
          </w:p>
        </w:tc>
        <w:tc>
          <w:tcPr>
            <w:tcW w:w="2214" w:type="dxa"/>
            <w:vAlign w:val="bottom"/>
          </w:tcPr>
          <w:p w14:paraId="41547675" w14:textId="09B80CA0" w:rsidR="008A47FA" w:rsidRDefault="008A47FA" w:rsidP="00BC108C">
            <w:pPr>
              <w:rPr>
                <w:rFonts w:ascii="Calibri" w:hAnsi="Calibri"/>
                <w:color w:val="0000FF"/>
              </w:rPr>
            </w:pPr>
            <w:r>
              <w:rPr>
                <w:rFonts w:ascii="Calibri" w:hAnsi="Calibri"/>
                <w:color w:val="000000"/>
              </w:rPr>
              <w:t>0.000288</w:t>
            </w:r>
          </w:p>
        </w:tc>
        <w:tc>
          <w:tcPr>
            <w:tcW w:w="1530" w:type="dxa"/>
            <w:vAlign w:val="bottom"/>
          </w:tcPr>
          <w:p w14:paraId="60513DCB" w14:textId="61C6D07E" w:rsidR="008A47FA" w:rsidRDefault="008A47FA" w:rsidP="00BC108C">
            <w:pPr>
              <w:rPr>
                <w:rFonts w:ascii="Calibri" w:hAnsi="Calibri"/>
                <w:color w:val="0000FF"/>
              </w:rPr>
            </w:pPr>
            <w:r>
              <w:rPr>
                <w:rFonts w:ascii="Calibri" w:hAnsi="Calibri"/>
                <w:color w:val="000000"/>
              </w:rPr>
              <w:t>0.000281</w:t>
            </w:r>
          </w:p>
        </w:tc>
      </w:tr>
      <w:tr w:rsidR="008A47FA" w14:paraId="4D004B96" w14:textId="77777777" w:rsidTr="00BC108C">
        <w:trPr>
          <w:trHeight w:hRule="exact" w:val="300"/>
        </w:trPr>
        <w:tc>
          <w:tcPr>
            <w:tcW w:w="2325" w:type="dxa"/>
            <w:vAlign w:val="bottom"/>
            <w:hideMark/>
          </w:tcPr>
          <w:p w14:paraId="066EF9B0" w14:textId="77777777" w:rsidR="008A47FA" w:rsidRPr="00C00E30" w:rsidRDefault="008A47FA" w:rsidP="00BC108C">
            <w:pPr>
              <w:rPr>
                <w:rFonts w:ascii="Calibri" w:hAnsi="Calibri"/>
              </w:rPr>
            </w:pPr>
            <w:r w:rsidRPr="00C00E30">
              <w:rPr>
                <w:rFonts w:ascii="Calibri" w:hAnsi="Calibri"/>
              </w:rPr>
              <w:t>5</w:t>
            </w:r>
          </w:p>
        </w:tc>
        <w:tc>
          <w:tcPr>
            <w:tcW w:w="2736" w:type="dxa"/>
            <w:vAlign w:val="bottom"/>
          </w:tcPr>
          <w:p w14:paraId="6A6D966C" w14:textId="69C00491" w:rsidR="008A47FA" w:rsidRDefault="008A47FA" w:rsidP="00BC108C">
            <w:pPr>
              <w:rPr>
                <w:rFonts w:ascii="Calibri" w:hAnsi="Calibri"/>
                <w:color w:val="0000FF"/>
              </w:rPr>
            </w:pPr>
            <w:r>
              <w:rPr>
                <w:rFonts w:ascii="Calibri" w:hAnsi="Calibri"/>
                <w:color w:val="000000"/>
              </w:rPr>
              <w:t>8,509,855</w:t>
            </w:r>
          </w:p>
        </w:tc>
        <w:tc>
          <w:tcPr>
            <w:tcW w:w="2214" w:type="dxa"/>
            <w:vAlign w:val="bottom"/>
          </w:tcPr>
          <w:p w14:paraId="0930A400" w14:textId="5FE3BBAD" w:rsidR="008A47FA" w:rsidRDefault="008A47FA" w:rsidP="00BC108C">
            <w:pPr>
              <w:rPr>
                <w:rFonts w:ascii="Calibri" w:hAnsi="Calibri"/>
                <w:color w:val="0000FF"/>
              </w:rPr>
            </w:pPr>
            <w:r>
              <w:rPr>
                <w:rFonts w:ascii="Calibri" w:hAnsi="Calibri"/>
                <w:color w:val="000000"/>
              </w:rPr>
              <w:t>0.000331</w:t>
            </w:r>
          </w:p>
        </w:tc>
        <w:tc>
          <w:tcPr>
            <w:tcW w:w="1530" w:type="dxa"/>
            <w:vAlign w:val="bottom"/>
          </w:tcPr>
          <w:p w14:paraId="2A1043A8" w14:textId="29C2EF82" w:rsidR="008A47FA" w:rsidRDefault="008A47FA" w:rsidP="00BC108C">
            <w:pPr>
              <w:rPr>
                <w:rFonts w:ascii="Calibri" w:hAnsi="Calibri"/>
                <w:color w:val="0000FF"/>
              </w:rPr>
            </w:pPr>
            <w:r>
              <w:rPr>
                <w:rFonts w:ascii="Calibri" w:hAnsi="Calibri"/>
                <w:color w:val="000000"/>
              </w:rPr>
              <w:t>0.000329</w:t>
            </w:r>
          </w:p>
        </w:tc>
      </w:tr>
      <w:tr w:rsidR="008A47FA" w14:paraId="56BCDB48" w14:textId="77777777" w:rsidTr="00BC108C">
        <w:trPr>
          <w:trHeight w:hRule="exact" w:val="300"/>
        </w:trPr>
        <w:tc>
          <w:tcPr>
            <w:tcW w:w="2325" w:type="dxa"/>
            <w:vAlign w:val="bottom"/>
            <w:hideMark/>
          </w:tcPr>
          <w:p w14:paraId="1F60A53E" w14:textId="77777777" w:rsidR="008A47FA" w:rsidRPr="00C00E30" w:rsidRDefault="008A47FA" w:rsidP="00BC108C">
            <w:pPr>
              <w:rPr>
                <w:rFonts w:ascii="Calibri" w:hAnsi="Calibri"/>
              </w:rPr>
            </w:pPr>
            <w:r w:rsidRPr="00C00E30">
              <w:rPr>
                <w:rFonts w:ascii="Calibri" w:hAnsi="Calibri"/>
              </w:rPr>
              <w:t>6</w:t>
            </w:r>
          </w:p>
        </w:tc>
        <w:tc>
          <w:tcPr>
            <w:tcW w:w="2736" w:type="dxa"/>
            <w:vAlign w:val="bottom"/>
          </w:tcPr>
          <w:p w14:paraId="59AFF6A4" w14:textId="4488CCE7" w:rsidR="008A47FA" w:rsidRDefault="008A47FA" w:rsidP="00BC108C">
            <w:pPr>
              <w:rPr>
                <w:rFonts w:ascii="Calibri" w:hAnsi="Calibri"/>
                <w:color w:val="0000FF"/>
              </w:rPr>
            </w:pPr>
            <w:r>
              <w:rPr>
                <w:rFonts w:ascii="Calibri" w:hAnsi="Calibri"/>
                <w:color w:val="000000"/>
              </w:rPr>
              <w:t>10,480,717</w:t>
            </w:r>
          </w:p>
        </w:tc>
        <w:tc>
          <w:tcPr>
            <w:tcW w:w="2214" w:type="dxa"/>
            <w:vAlign w:val="bottom"/>
          </w:tcPr>
          <w:p w14:paraId="4E95D77B" w14:textId="0B8EAEB3" w:rsidR="008A47FA" w:rsidRDefault="008A47FA" w:rsidP="00BC108C">
            <w:pPr>
              <w:rPr>
                <w:rFonts w:ascii="Calibri" w:hAnsi="Calibri"/>
                <w:color w:val="0000FF"/>
              </w:rPr>
            </w:pPr>
            <w:r>
              <w:rPr>
                <w:rFonts w:ascii="Calibri" w:hAnsi="Calibri"/>
                <w:color w:val="000000"/>
              </w:rPr>
              <w:t>0.000364</w:t>
            </w:r>
          </w:p>
        </w:tc>
        <w:tc>
          <w:tcPr>
            <w:tcW w:w="1530" w:type="dxa"/>
            <w:vAlign w:val="bottom"/>
          </w:tcPr>
          <w:p w14:paraId="657864B8" w14:textId="13E79B00" w:rsidR="008A47FA" w:rsidRDefault="008A47FA" w:rsidP="00BC108C">
            <w:pPr>
              <w:rPr>
                <w:rFonts w:ascii="Calibri" w:hAnsi="Calibri"/>
                <w:color w:val="0000FF"/>
              </w:rPr>
            </w:pPr>
            <w:r>
              <w:rPr>
                <w:rFonts w:ascii="Calibri" w:hAnsi="Calibri"/>
                <w:color w:val="000000"/>
              </w:rPr>
              <w:t>0.000374</w:t>
            </w:r>
          </w:p>
        </w:tc>
      </w:tr>
      <w:tr w:rsidR="008A47FA" w14:paraId="135BA2CE" w14:textId="77777777" w:rsidTr="00BC108C">
        <w:trPr>
          <w:trHeight w:hRule="exact" w:val="300"/>
        </w:trPr>
        <w:tc>
          <w:tcPr>
            <w:tcW w:w="2325" w:type="dxa"/>
            <w:vAlign w:val="bottom"/>
            <w:hideMark/>
          </w:tcPr>
          <w:p w14:paraId="26353D56" w14:textId="77777777" w:rsidR="008A47FA" w:rsidRPr="00C00E30" w:rsidRDefault="008A47FA" w:rsidP="00BC108C">
            <w:pPr>
              <w:rPr>
                <w:rFonts w:ascii="Calibri" w:hAnsi="Calibri"/>
              </w:rPr>
            </w:pPr>
            <w:r w:rsidRPr="00C00E30">
              <w:rPr>
                <w:rFonts w:ascii="Calibri" w:hAnsi="Calibri"/>
              </w:rPr>
              <w:t>7</w:t>
            </w:r>
          </w:p>
        </w:tc>
        <w:tc>
          <w:tcPr>
            <w:tcW w:w="2736" w:type="dxa"/>
            <w:vAlign w:val="bottom"/>
          </w:tcPr>
          <w:p w14:paraId="637EE076" w14:textId="1719B707" w:rsidR="008A47FA" w:rsidRDefault="008A47FA" w:rsidP="00BC108C">
            <w:pPr>
              <w:rPr>
                <w:rFonts w:ascii="Calibri" w:hAnsi="Calibri"/>
                <w:color w:val="0000FF"/>
              </w:rPr>
            </w:pPr>
            <w:r>
              <w:rPr>
                <w:rFonts w:ascii="Calibri" w:hAnsi="Calibri"/>
                <w:color w:val="000000"/>
              </w:rPr>
              <w:t>8,302,290</w:t>
            </w:r>
          </w:p>
        </w:tc>
        <w:tc>
          <w:tcPr>
            <w:tcW w:w="2214" w:type="dxa"/>
            <w:vAlign w:val="bottom"/>
          </w:tcPr>
          <w:p w14:paraId="1575EF01" w14:textId="216AC568" w:rsidR="008A47FA" w:rsidRDefault="008A47FA" w:rsidP="00BC108C">
            <w:pPr>
              <w:rPr>
                <w:rFonts w:ascii="Calibri" w:hAnsi="Calibri"/>
                <w:color w:val="0000FF"/>
              </w:rPr>
            </w:pPr>
            <w:r>
              <w:rPr>
                <w:rFonts w:ascii="Calibri" w:hAnsi="Calibri"/>
                <w:color w:val="000000"/>
              </w:rPr>
              <w:t>0.000448</w:t>
            </w:r>
          </w:p>
        </w:tc>
        <w:tc>
          <w:tcPr>
            <w:tcW w:w="1530" w:type="dxa"/>
            <w:vAlign w:val="bottom"/>
          </w:tcPr>
          <w:p w14:paraId="685EAE8F" w14:textId="32E062FE" w:rsidR="008A47FA" w:rsidRDefault="008A47FA" w:rsidP="00BC108C">
            <w:pPr>
              <w:rPr>
                <w:rFonts w:ascii="Calibri" w:hAnsi="Calibri"/>
                <w:color w:val="0000FF"/>
              </w:rPr>
            </w:pPr>
            <w:r>
              <w:rPr>
                <w:rFonts w:ascii="Calibri" w:hAnsi="Calibri"/>
                <w:color w:val="000000"/>
              </w:rPr>
              <w:t>0.000443</w:t>
            </w:r>
          </w:p>
        </w:tc>
      </w:tr>
      <w:tr w:rsidR="008A47FA" w14:paraId="7810DCCB" w14:textId="77777777" w:rsidTr="00BC108C">
        <w:trPr>
          <w:trHeight w:hRule="exact" w:val="300"/>
        </w:trPr>
        <w:tc>
          <w:tcPr>
            <w:tcW w:w="2325" w:type="dxa"/>
            <w:vAlign w:val="bottom"/>
            <w:hideMark/>
          </w:tcPr>
          <w:p w14:paraId="3D81802B" w14:textId="77777777" w:rsidR="008A47FA" w:rsidRPr="00C00E30" w:rsidRDefault="008A47FA" w:rsidP="00BC108C">
            <w:pPr>
              <w:rPr>
                <w:rFonts w:ascii="Calibri" w:hAnsi="Calibri"/>
              </w:rPr>
            </w:pPr>
            <w:r w:rsidRPr="00C00E30">
              <w:rPr>
                <w:rFonts w:ascii="Calibri" w:hAnsi="Calibri"/>
              </w:rPr>
              <w:t>8</w:t>
            </w:r>
          </w:p>
        </w:tc>
        <w:tc>
          <w:tcPr>
            <w:tcW w:w="2736" w:type="dxa"/>
            <w:vAlign w:val="bottom"/>
          </w:tcPr>
          <w:p w14:paraId="2C1EC877" w14:textId="44855630" w:rsidR="008A47FA" w:rsidRDefault="008A47FA" w:rsidP="00BC108C">
            <w:pPr>
              <w:rPr>
                <w:rFonts w:ascii="Calibri" w:hAnsi="Calibri"/>
                <w:color w:val="0000FF"/>
              </w:rPr>
            </w:pPr>
            <w:r>
              <w:rPr>
                <w:rFonts w:ascii="Calibri" w:hAnsi="Calibri"/>
                <w:color w:val="000000"/>
              </w:rPr>
              <w:t>7,625,628</w:t>
            </w:r>
          </w:p>
        </w:tc>
        <w:tc>
          <w:tcPr>
            <w:tcW w:w="2214" w:type="dxa"/>
            <w:vAlign w:val="bottom"/>
          </w:tcPr>
          <w:p w14:paraId="33FD44B7" w14:textId="5412E4BD" w:rsidR="008A47FA" w:rsidRDefault="008A47FA" w:rsidP="00BC108C">
            <w:pPr>
              <w:rPr>
                <w:rFonts w:ascii="Calibri" w:hAnsi="Calibri"/>
                <w:color w:val="0000FF"/>
              </w:rPr>
            </w:pPr>
            <w:r>
              <w:rPr>
                <w:rFonts w:ascii="Calibri" w:hAnsi="Calibri"/>
                <w:color w:val="000000"/>
              </w:rPr>
              <w:t>0.000524</w:t>
            </w:r>
          </w:p>
        </w:tc>
        <w:tc>
          <w:tcPr>
            <w:tcW w:w="1530" w:type="dxa"/>
            <w:vAlign w:val="bottom"/>
          </w:tcPr>
          <w:p w14:paraId="1641DEE6" w14:textId="266FC40E" w:rsidR="008A47FA" w:rsidRDefault="008A47FA" w:rsidP="00BC108C">
            <w:pPr>
              <w:rPr>
                <w:rFonts w:ascii="Calibri" w:hAnsi="Calibri"/>
                <w:color w:val="0000FF"/>
              </w:rPr>
            </w:pPr>
            <w:r>
              <w:rPr>
                <w:rFonts w:ascii="Calibri" w:hAnsi="Calibri"/>
                <w:color w:val="000000"/>
              </w:rPr>
              <w:t>0.000525</w:t>
            </w:r>
          </w:p>
        </w:tc>
      </w:tr>
      <w:tr w:rsidR="008A47FA" w14:paraId="63E2B1ED" w14:textId="77777777" w:rsidTr="00BC108C">
        <w:trPr>
          <w:trHeight w:hRule="exact" w:val="300"/>
        </w:trPr>
        <w:tc>
          <w:tcPr>
            <w:tcW w:w="2325" w:type="dxa"/>
            <w:vAlign w:val="bottom"/>
            <w:hideMark/>
          </w:tcPr>
          <w:p w14:paraId="39F33D46" w14:textId="77777777" w:rsidR="008A47FA" w:rsidRPr="00C00E30" w:rsidRDefault="008A47FA" w:rsidP="00BC108C">
            <w:pPr>
              <w:rPr>
                <w:rFonts w:ascii="Calibri" w:hAnsi="Calibri"/>
              </w:rPr>
            </w:pPr>
            <w:r w:rsidRPr="00C00E30">
              <w:rPr>
                <w:rFonts w:ascii="Calibri" w:hAnsi="Calibri"/>
              </w:rPr>
              <w:t>9</w:t>
            </w:r>
          </w:p>
        </w:tc>
        <w:tc>
          <w:tcPr>
            <w:tcW w:w="2736" w:type="dxa"/>
            <w:vAlign w:val="bottom"/>
          </w:tcPr>
          <w:p w14:paraId="43828510" w14:textId="1075D805" w:rsidR="008A47FA" w:rsidRDefault="008A47FA" w:rsidP="00BC108C">
            <w:pPr>
              <w:rPr>
                <w:rFonts w:ascii="Calibri" w:hAnsi="Calibri"/>
                <w:color w:val="0000FF"/>
              </w:rPr>
            </w:pPr>
            <w:r>
              <w:rPr>
                <w:rFonts w:ascii="Calibri" w:hAnsi="Calibri"/>
                <w:color w:val="000000"/>
              </w:rPr>
              <w:t>7,726,889</w:t>
            </w:r>
          </w:p>
        </w:tc>
        <w:tc>
          <w:tcPr>
            <w:tcW w:w="2214" w:type="dxa"/>
            <w:vAlign w:val="bottom"/>
          </w:tcPr>
          <w:p w14:paraId="0137A077" w14:textId="05449451" w:rsidR="008A47FA" w:rsidRDefault="008A47FA" w:rsidP="00BC108C">
            <w:pPr>
              <w:rPr>
                <w:rFonts w:ascii="Calibri" w:hAnsi="Calibri"/>
                <w:color w:val="0000FF"/>
              </w:rPr>
            </w:pPr>
            <w:r>
              <w:rPr>
                <w:rFonts w:ascii="Calibri" w:hAnsi="Calibri"/>
                <w:color w:val="000000"/>
              </w:rPr>
              <w:t>0.000628</w:t>
            </w:r>
          </w:p>
        </w:tc>
        <w:tc>
          <w:tcPr>
            <w:tcW w:w="1530" w:type="dxa"/>
            <w:vAlign w:val="bottom"/>
          </w:tcPr>
          <w:p w14:paraId="4E13AD0D" w14:textId="51777436" w:rsidR="008A47FA" w:rsidRDefault="008A47FA" w:rsidP="00BC108C">
            <w:pPr>
              <w:rPr>
                <w:rFonts w:ascii="Calibri" w:hAnsi="Calibri"/>
                <w:color w:val="0000FF"/>
              </w:rPr>
            </w:pPr>
            <w:r>
              <w:rPr>
                <w:rFonts w:ascii="Calibri" w:hAnsi="Calibri"/>
                <w:color w:val="000000"/>
              </w:rPr>
              <w:t>0.000602</w:t>
            </w:r>
          </w:p>
        </w:tc>
      </w:tr>
      <w:tr w:rsidR="008A47FA" w14:paraId="7FAEE956" w14:textId="77777777" w:rsidTr="00BC108C">
        <w:trPr>
          <w:trHeight w:hRule="exact" w:val="269"/>
        </w:trPr>
        <w:tc>
          <w:tcPr>
            <w:tcW w:w="2325" w:type="dxa"/>
            <w:tcBorders>
              <w:top w:val="nil"/>
              <w:left w:val="nil"/>
              <w:bottom w:val="single" w:sz="6" w:space="0" w:color="000000"/>
              <w:right w:val="nil"/>
            </w:tcBorders>
            <w:vAlign w:val="bottom"/>
            <w:hideMark/>
          </w:tcPr>
          <w:p w14:paraId="0AD0AD1D" w14:textId="77777777" w:rsidR="008A47FA" w:rsidRPr="00C00E30" w:rsidRDefault="008A47FA" w:rsidP="00BC108C">
            <w:pPr>
              <w:rPr>
                <w:rFonts w:ascii="Calibri" w:hAnsi="Calibri"/>
              </w:rPr>
            </w:pPr>
            <w:r w:rsidRPr="00C00E30">
              <w:rPr>
                <w:rFonts w:ascii="Calibri" w:hAnsi="Calibri"/>
              </w:rPr>
              <w:t>10</w:t>
            </w:r>
          </w:p>
        </w:tc>
        <w:tc>
          <w:tcPr>
            <w:tcW w:w="2736" w:type="dxa"/>
            <w:tcBorders>
              <w:top w:val="nil"/>
              <w:left w:val="nil"/>
              <w:bottom w:val="single" w:sz="6" w:space="0" w:color="000000"/>
              <w:right w:val="nil"/>
            </w:tcBorders>
            <w:vAlign w:val="bottom"/>
          </w:tcPr>
          <w:p w14:paraId="028DE71D" w14:textId="438E9CEA" w:rsidR="008A47FA" w:rsidRDefault="008A47FA" w:rsidP="00BC108C">
            <w:pPr>
              <w:rPr>
                <w:rFonts w:ascii="Calibri" w:hAnsi="Calibri"/>
                <w:color w:val="0000FF"/>
              </w:rPr>
            </w:pPr>
            <w:r>
              <w:rPr>
                <w:rFonts w:ascii="Calibri" w:hAnsi="Calibri"/>
                <w:color w:val="000000"/>
              </w:rPr>
              <w:t>6,530,908</w:t>
            </w:r>
          </w:p>
        </w:tc>
        <w:tc>
          <w:tcPr>
            <w:tcW w:w="2214" w:type="dxa"/>
            <w:tcBorders>
              <w:top w:val="nil"/>
              <w:left w:val="nil"/>
              <w:bottom w:val="single" w:sz="6" w:space="0" w:color="000000"/>
              <w:right w:val="nil"/>
            </w:tcBorders>
            <w:vAlign w:val="bottom"/>
          </w:tcPr>
          <w:p w14:paraId="18E7F225" w14:textId="4F9B5E55" w:rsidR="008A47FA" w:rsidRDefault="008A47FA" w:rsidP="00BC108C">
            <w:pPr>
              <w:rPr>
                <w:rFonts w:ascii="Calibri" w:hAnsi="Calibri"/>
                <w:color w:val="0000FF"/>
              </w:rPr>
            </w:pPr>
            <w:r>
              <w:rPr>
                <w:rFonts w:ascii="Calibri" w:hAnsi="Calibri"/>
                <w:color w:val="000000"/>
              </w:rPr>
              <w:t>0.000826</w:t>
            </w:r>
          </w:p>
        </w:tc>
        <w:tc>
          <w:tcPr>
            <w:tcW w:w="1530" w:type="dxa"/>
            <w:tcBorders>
              <w:top w:val="nil"/>
              <w:left w:val="nil"/>
              <w:bottom w:val="single" w:sz="6" w:space="0" w:color="000000"/>
              <w:right w:val="nil"/>
            </w:tcBorders>
            <w:vAlign w:val="bottom"/>
          </w:tcPr>
          <w:p w14:paraId="1541282C" w14:textId="17FAE66E" w:rsidR="008A47FA" w:rsidRDefault="008A47FA" w:rsidP="00BC108C">
            <w:pPr>
              <w:rPr>
                <w:rFonts w:ascii="Calibri" w:hAnsi="Calibri"/>
                <w:color w:val="0000FF"/>
              </w:rPr>
            </w:pPr>
            <w:r>
              <w:rPr>
                <w:rFonts w:ascii="Calibri" w:hAnsi="Calibri"/>
                <w:color w:val="000000"/>
              </w:rPr>
              <w:t>0.000848</w:t>
            </w:r>
          </w:p>
        </w:tc>
      </w:tr>
      <w:tr w:rsidR="008A47FA" w14:paraId="7AFB0C25" w14:textId="77777777" w:rsidTr="00BC108C">
        <w:trPr>
          <w:trHeight w:hRule="exact" w:val="312"/>
        </w:trPr>
        <w:tc>
          <w:tcPr>
            <w:tcW w:w="2325" w:type="dxa"/>
            <w:tcBorders>
              <w:top w:val="single" w:sz="6" w:space="0" w:color="000000"/>
              <w:left w:val="nil"/>
              <w:bottom w:val="single" w:sz="6" w:space="0" w:color="000000"/>
              <w:right w:val="nil"/>
            </w:tcBorders>
            <w:vAlign w:val="bottom"/>
            <w:hideMark/>
          </w:tcPr>
          <w:p w14:paraId="743A81C6" w14:textId="77777777" w:rsidR="008A47FA" w:rsidRPr="00C00E30" w:rsidRDefault="008A47FA" w:rsidP="00BC108C">
            <w:pPr>
              <w:rPr>
                <w:rFonts w:ascii="Calibri" w:hAnsi="Calibri"/>
              </w:rPr>
            </w:pPr>
            <w:r w:rsidRPr="00C00E30">
              <w:rPr>
                <w:rFonts w:ascii="Calibri" w:hAnsi="Calibri"/>
              </w:rPr>
              <w:t>C-Statistic</w:t>
            </w:r>
          </w:p>
        </w:tc>
        <w:tc>
          <w:tcPr>
            <w:tcW w:w="2736" w:type="dxa"/>
            <w:tcBorders>
              <w:top w:val="single" w:sz="6" w:space="0" w:color="000000"/>
              <w:left w:val="nil"/>
              <w:bottom w:val="single" w:sz="6" w:space="0" w:color="000000"/>
              <w:right w:val="nil"/>
            </w:tcBorders>
            <w:vAlign w:val="bottom"/>
            <w:hideMark/>
          </w:tcPr>
          <w:p w14:paraId="7F19082F" w14:textId="76FF1B02" w:rsidR="008A47FA" w:rsidRDefault="008A47FA" w:rsidP="00BC108C">
            <w:pPr>
              <w:rPr>
                <w:rFonts w:ascii="Calibri" w:hAnsi="Calibri"/>
                <w:color w:val="0000FF"/>
              </w:rPr>
            </w:pPr>
            <w:r>
              <w:rPr>
                <w:rFonts w:ascii="Calibri" w:hAnsi="Calibri"/>
                <w:color w:val="000000"/>
              </w:rPr>
              <w:t>0.5453</w:t>
            </w:r>
          </w:p>
        </w:tc>
        <w:tc>
          <w:tcPr>
            <w:tcW w:w="2214" w:type="dxa"/>
            <w:tcBorders>
              <w:top w:val="single" w:sz="6" w:space="0" w:color="000000"/>
              <w:left w:val="nil"/>
              <w:bottom w:val="single" w:sz="6" w:space="0" w:color="000000"/>
              <w:right w:val="nil"/>
            </w:tcBorders>
            <w:vAlign w:val="bottom"/>
            <w:hideMark/>
          </w:tcPr>
          <w:p w14:paraId="7E5BF3A6" w14:textId="4F802E20" w:rsidR="008A47FA" w:rsidRDefault="008A47FA" w:rsidP="00BC108C">
            <w:pPr>
              <w:rPr>
                <w:rFonts w:ascii="Calibri" w:hAnsi="Calibri"/>
                <w:color w:val="0000FF"/>
              </w:rPr>
            </w:pPr>
            <w:r>
              <w:rPr>
                <w:rFonts w:ascii="Calibri" w:hAnsi="Calibri"/>
                <w:color w:val="000000"/>
              </w:rPr>
              <w:t> </w:t>
            </w:r>
          </w:p>
        </w:tc>
        <w:tc>
          <w:tcPr>
            <w:tcW w:w="1530" w:type="dxa"/>
            <w:tcBorders>
              <w:top w:val="single" w:sz="6" w:space="0" w:color="000000"/>
              <w:left w:val="nil"/>
              <w:bottom w:val="single" w:sz="6" w:space="0" w:color="000000"/>
              <w:right w:val="nil"/>
            </w:tcBorders>
            <w:vAlign w:val="bottom"/>
            <w:hideMark/>
          </w:tcPr>
          <w:p w14:paraId="289F1BD2" w14:textId="6F9F8A64" w:rsidR="008A47FA" w:rsidRDefault="008A47FA" w:rsidP="00BC108C">
            <w:pPr>
              <w:rPr>
                <w:rFonts w:ascii="Calibri" w:hAnsi="Calibri"/>
                <w:color w:val="0000FF"/>
              </w:rPr>
            </w:pPr>
            <w:r>
              <w:rPr>
                <w:rFonts w:ascii="Calibri" w:hAnsi="Calibri"/>
                <w:color w:val="000000"/>
              </w:rPr>
              <w:t> </w:t>
            </w:r>
          </w:p>
        </w:tc>
      </w:tr>
    </w:tbl>
    <w:p w14:paraId="1F02D86B" w14:textId="170F1EB0" w:rsidR="009320C8" w:rsidRPr="003F6238" w:rsidRDefault="00A45DAD" w:rsidP="003F6238">
      <w:pPr>
        <w:spacing w:line="237" w:lineRule="auto"/>
        <w:ind w:left="90" w:right="340"/>
        <w:rPr>
          <w:rFonts w:cstheme="minorHAnsi"/>
          <w:b/>
          <w:bCs/>
          <w:sz w:val="20"/>
          <w:szCs w:val="20"/>
        </w:rPr>
      </w:pPr>
      <w:r w:rsidRPr="003F6238">
        <w:rPr>
          <w:rFonts w:ascii="Calibri" w:hAnsi="Calibri" w:cs="Calibri"/>
          <w:color w:val="0000FF"/>
          <w:sz w:val="20"/>
          <w:szCs w:val="20"/>
        </w:rPr>
        <w:t>Source: HCUP State Inpatient Databases (SID). Healthcare Cost and Utilization Project (HCUP). 2013. Agency for</w:t>
      </w:r>
      <w:r w:rsidRPr="003F6238">
        <w:rPr>
          <w:rFonts w:ascii="Calibri" w:hAnsi="Calibri" w:cs="Calibri"/>
          <w:color w:val="0000FF"/>
          <w:w w:val="99"/>
          <w:sz w:val="20"/>
          <w:szCs w:val="20"/>
        </w:rPr>
        <w:t xml:space="preserve"> </w:t>
      </w:r>
      <w:r w:rsidRPr="003F6238">
        <w:rPr>
          <w:rFonts w:ascii="Calibri" w:hAnsi="Calibri" w:cs="Calibri"/>
          <w:color w:val="0000FF"/>
          <w:sz w:val="20"/>
          <w:szCs w:val="20"/>
        </w:rPr>
        <w:t xml:space="preserve">Healthcare Research and Quality, Rockville, MD. </w:t>
      </w:r>
      <w:hyperlink r:id="rId19" w:history="1">
        <w:r w:rsidRPr="003F6238">
          <w:rPr>
            <w:rStyle w:val="Hyperlink"/>
            <w:rFonts w:ascii="Calibri" w:hAnsi="Calibri" w:cs="Calibri"/>
            <w:color w:val="0000FF"/>
            <w:sz w:val="20"/>
            <w:szCs w:val="20"/>
          </w:rPr>
          <w:t>www.hcup-us.ahrq.gov/sidoverview.jsp.</w:t>
        </w:r>
      </w:hyperlink>
      <w:r w:rsidRPr="003F6238">
        <w:rPr>
          <w:rFonts w:ascii="Calibri" w:hAnsi="Calibri" w:cs="Calibri"/>
          <w:color w:val="0000FF"/>
          <w:sz w:val="20"/>
          <w:szCs w:val="20"/>
        </w:rPr>
        <w:t xml:space="preserve"> (AHRQ QI Software</w:t>
      </w:r>
      <w:r w:rsidRPr="003F6238">
        <w:rPr>
          <w:rFonts w:ascii="Calibri" w:hAnsi="Calibri" w:cs="Calibri"/>
          <w:color w:val="0000FF"/>
          <w:w w:val="99"/>
          <w:sz w:val="20"/>
          <w:szCs w:val="20"/>
        </w:rPr>
        <w:t xml:space="preserve"> </w:t>
      </w:r>
      <w:r w:rsidRPr="003F6238">
        <w:rPr>
          <w:rFonts w:ascii="Calibri" w:hAnsi="Calibri" w:cs="Calibri"/>
          <w:color w:val="0000FF"/>
          <w:sz w:val="20"/>
          <w:szCs w:val="20"/>
        </w:rPr>
        <w:t>Version 6.0)</w:t>
      </w:r>
      <w:r w:rsidRPr="003F6238">
        <w:rPr>
          <w:rFonts w:cstheme="minorHAnsi"/>
          <w:b/>
          <w:sz w:val="20"/>
          <w:szCs w:val="20"/>
        </w:rPr>
        <w:br/>
      </w:r>
    </w:p>
    <w:p w14:paraId="5FC2A631" w14:textId="7E800800" w:rsidR="009320C8" w:rsidRPr="00D5725A" w:rsidRDefault="00743E46" w:rsidP="00D5725A">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9320C8" w:rsidRPr="00D5725A">
        <w:rPr>
          <w:rFonts w:ascii="Calibri" w:eastAsiaTheme="minorHAnsi" w:hAnsi="Calibri"/>
          <w:color w:val="0000FF"/>
        </w:rPr>
        <w:t>See Table 5 in 2b4.6</w:t>
      </w:r>
    </w:p>
    <w:p w14:paraId="398CB22C" w14:textId="77777777" w:rsidR="009320C8" w:rsidRDefault="009320C8" w:rsidP="00092566">
      <w:pPr>
        <w:autoSpaceDE w:val="0"/>
        <w:autoSpaceDN w:val="0"/>
        <w:adjustRightInd w:val="0"/>
        <w:spacing w:after="0" w:line="240" w:lineRule="auto"/>
        <w:rPr>
          <w:rFonts w:cstheme="minorHAnsi"/>
          <w:b/>
          <w:bCs/>
        </w:rPr>
      </w:pPr>
    </w:p>
    <w:p w14:paraId="27854A42" w14:textId="610CFF06" w:rsidR="00743E46" w:rsidRDefault="00743E46" w:rsidP="00092566">
      <w:pPr>
        <w:autoSpaceDE w:val="0"/>
        <w:autoSpaceDN w:val="0"/>
        <w:adjustRightInd w:val="0"/>
        <w:spacing w:after="0" w:line="240" w:lineRule="auto"/>
        <w:rPr>
          <w:rFonts w:ascii="Calibri" w:eastAsiaTheme="minorHAnsi" w:hAnsi="Calibri"/>
          <w:color w:val="0000FF"/>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E71860" w:rsidRPr="00D5725A">
        <w:rPr>
          <w:rFonts w:ascii="Calibri" w:eastAsiaTheme="minorHAnsi" w:hAnsi="Calibri"/>
          <w:color w:val="0000FF"/>
        </w:rPr>
        <w:t>See Table 5 in 2b4.6</w:t>
      </w:r>
    </w:p>
    <w:p w14:paraId="4AA062DE" w14:textId="77777777" w:rsidR="00E71860" w:rsidRDefault="00E71860" w:rsidP="00092566">
      <w:pPr>
        <w:autoSpaceDE w:val="0"/>
        <w:autoSpaceDN w:val="0"/>
        <w:adjustRightInd w:val="0"/>
        <w:spacing w:after="0" w:line="240" w:lineRule="auto"/>
        <w:rPr>
          <w:rFonts w:cstheme="minorHAnsi"/>
          <w:b/>
        </w:rPr>
      </w:pPr>
    </w:p>
    <w:p w14:paraId="72DDBF1C" w14:textId="022670D3" w:rsidR="00092566" w:rsidRDefault="00743E46" w:rsidP="009320C8">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17C2FCF6" w14:textId="2E6F2696" w:rsidR="009320C8" w:rsidRDefault="009320C8" w:rsidP="009320C8">
      <w:pPr>
        <w:autoSpaceDE w:val="0"/>
        <w:autoSpaceDN w:val="0"/>
        <w:adjustRightInd w:val="0"/>
        <w:spacing w:after="0" w:line="240" w:lineRule="auto"/>
        <w:rPr>
          <w:rFonts w:cstheme="minorHAnsi"/>
          <w:bCs/>
          <w:color w:val="0000FF"/>
        </w:rPr>
      </w:pPr>
      <w:r>
        <w:rPr>
          <w:rFonts w:cstheme="minorHAnsi"/>
          <w:bCs/>
          <w:color w:val="0000FF"/>
        </w:rPr>
        <w:t>Not applicable</w:t>
      </w:r>
    </w:p>
    <w:p w14:paraId="79282254" w14:textId="77777777" w:rsidR="009320C8" w:rsidRPr="00A25024" w:rsidRDefault="009320C8" w:rsidP="009320C8">
      <w:pPr>
        <w:autoSpaceDE w:val="0"/>
        <w:autoSpaceDN w:val="0"/>
        <w:adjustRightInd w:val="0"/>
        <w:spacing w:after="0" w:line="240" w:lineRule="auto"/>
        <w:rPr>
          <w:rFonts w:cstheme="minorHAnsi"/>
          <w:bCs/>
        </w:rPr>
      </w:pPr>
    </w:p>
    <w:p w14:paraId="45CDC47B" w14:textId="77777777" w:rsidR="00C00E30" w:rsidRDefault="00743E46" w:rsidP="00A45DAD">
      <w:pPr>
        <w:spacing w:after="0" w:line="240" w:lineRule="auto"/>
        <w:rPr>
          <w:rFonts w:ascii="Calibri" w:hAnsi="Calibri" w:cstheme="minorHAnsi"/>
          <w:bCs/>
          <w:color w:val="0000FF"/>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49947518" w14:textId="098BE0E2" w:rsidR="00A45DAD" w:rsidRDefault="00A45DAD" w:rsidP="00E45E2D">
      <w:pPr>
        <w:pStyle w:val="NQFMeasureStyle"/>
        <w:ind w:left="0"/>
      </w:pPr>
      <w:r>
        <w:t>A model that is well calibrated will have observed values similar to predicted values across the predicted val</w:t>
      </w:r>
      <w:r w:rsidR="008A47FA">
        <w:t>ue deciles.  This indicator is well</w:t>
      </w:r>
      <w:r>
        <w:t xml:space="preserve"> calibrated, as the observed to predicted values acro</w:t>
      </w:r>
      <w:r w:rsidR="008A47FA">
        <w:t>ss the deciles range between 0.88– 1.12</w:t>
      </w:r>
      <w:r>
        <w:t xml:space="preserve">. The discrimination is </w:t>
      </w:r>
      <w:r w:rsidR="002C3098">
        <w:t>low</w:t>
      </w:r>
      <w:r>
        <w:t xml:space="preserve"> with a c-statistic of 0.56</w:t>
      </w:r>
      <w:r w:rsidR="002C3098">
        <w:t>, presumably due to the limited predictors included</w:t>
      </w:r>
      <w:r>
        <w:t xml:space="preserve">. Addition of SES to the model slightly improves the </w:t>
      </w:r>
      <w:r w:rsidR="008A47FA">
        <w:t>calibration</w:t>
      </w:r>
      <w:r>
        <w:t>, with observed to predicted values ranging acros</w:t>
      </w:r>
      <w:r w:rsidR="008A47FA">
        <w:t>s the deciles range between 0.95 – 1.0</w:t>
      </w:r>
      <w:r>
        <w:t xml:space="preserve">3. The c-statistic does not change substantially. </w:t>
      </w:r>
    </w:p>
    <w:p w14:paraId="79955CDF" w14:textId="51050B6F" w:rsidR="009320C8" w:rsidRPr="00A25024" w:rsidRDefault="009320C8" w:rsidP="00A45DAD">
      <w:pPr>
        <w:autoSpaceDE w:val="0"/>
        <w:autoSpaceDN w:val="0"/>
        <w:adjustRightInd w:val="0"/>
        <w:spacing w:after="0" w:line="240" w:lineRule="auto"/>
        <w:rPr>
          <w:rFonts w:cstheme="minorHAnsi"/>
        </w:rPr>
      </w:pPr>
    </w:p>
    <w:p w14:paraId="13123B14" w14:textId="77777777" w:rsidR="00021170" w:rsidRPr="009B1A15" w:rsidRDefault="009B1A15" w:rsidP="009B1A15">
      <w:pPr>
        <w:spacing w:after="0" w:line="240" w:lineRule="auto"/>
        <w:rPr>
          <w:rFonts w:cstheme="minorHAnsi"/>
        </w:rPr>
      </w:pPr>
      <w:r w:rsidRPr="00784C78">
        <w:rPr>
          <w:rFonts w:cstheme="minorHAnsi"/>
          <w:b/>
        </w:rPr>
        <w:t>2b4.11.</w:t>
      </w:r>
      <w:r w:rsidRPr="00784C78">
        <w:rPr>
          <w:rFonts w:cstheme="minorHAnsi"/>
        </w:rPr>
        <w:t xml:space="preserve"> </w:t>
      </w:r>
      <w:r w:rsidR="00092566" w:rsidRPr="00784C78">
        <w:rPr>
          <w:rFonts w:cstheme="minorHAnsi"/>
          <w:b/>
        </w:rPr>
        <w:t>Optional</w:t>
      </w:r>
      <w:r w:rsidRPr="00784C78">
        <w:rPr>
          <w:rFonts w:cstheme="minorHAnsi"/>
          <w:b/>
        </w:rPr>
        <w:t xml:space="preserve"> Additional Testing</w:t>
      </w:r>
      <w:r w:rsidR="004756E1" w:rsidRPr="00784C78">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D712F61" w14:textId="77777777" w:rsidR="003755CB" w:rsidRDefault="003755CB" w:rsidP="00D61410">
      <w:pPr>
        <w:autoSpaceDE w:val="0"/>
        <w:autoSpaceDN w:val="0"/>
        <w:adjustRightInd w:val="0"/>
        <w:spacing w:after="0" w:line="240" w:lineRule="auto"/>
        <w:rPr>
          <w:rFonts w:cstheme="minorHAnsi"/>
          <w:b/>
          <w:bCs/>
        </w:rPr>
      </w:pPr>
    </w:p>
    <w:p w14:paraId="3A337029"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62629927"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6B5D69F8" w14:textId="718CE9B3" w:rsidR="00D61410" w:rsidRDefault="00D61410" w:rsidP="00D61410">
      <w:pPr>
        <w:autoSpaceDE w:val="0"/>
        <w:autoSpaceDN w:val="0"/>
        <w:adjustRightInd w:val="0"/>
        <w:spacing w:after="0" w:line="240" w:lineRule="auto"/>
        <w:rPr>
          <w:rFonts w:cstheme="minorHAnsi"/>
          <w:bCs/>
        </w:rPr>
      </w:pPr>
      <w:r>
        <w:rPr>
          <w:rFonts w:cstheme="minorHAnsi"/>
          <w:b/>
          <w:bCs/>
        </w:rPr>
        <w:lastRenderedPageBreak/>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03B4FBC3" w14:textId="77777777" w:rsidR="00DF7648" w:rsidRDefault="00DF7648" w:rsidP="00E45E2D">
      <w:pPr>
        <w:pStyle w:val="NQFMeasureStyle"/>
        <w:ind w:left="0"/>
      </w:pPr>
      <w:r>
        <w:t xml:space="preserve">This analysis assesses the probability that a county is higher or lower than a benchmark or threshold, given county size. It reflects whether the indicator can discriminate the best performing counties from the lower performing counties. </w:t>
      </w:r>
    </w:p>
    <w:p w14:paraId="512B0B21" w14:textId="77777777" w:rsidR="00DF7648" w:rsidRDefault="00DF7648" w:rsidP="00E45E2D">
      <w:pPr>
        <w:pStyle w:val="NQFMeasureStyle"/>
        <w:ind w:left="0"/>
      </w:pPr>
    </w:p>
    <w:p w14:paraId="7B56E007" w14:textId="77777777" w:rsidR="00DF7648" w:rsidRDefault="00DF7648" w:rsidP="00E45E2D">
      <w:pPr>
        <w:pStyle w:val="NQFMeasureStyle"/>
        <w:ind w:left="0"/>
      </w:pPr>
      <w:r>
        <w:t>For this analysis, “benchmark” refers to the smoothed indicator rate based on the 20</w:t>
      </w:r>
      <w:r>
        <w:rPr>
          <w:vertAlign w:val="superscript"/>
        </w:rPr>
        <w:t>th</w:t>
      </w:r>
      <w:r>
        <w:t xml:space="preserve"> percentile of the reference population (i.e., 20% of counties have a lower admission rate or better performance). “Threshold” refers to the indicator rate based on the 80</w:t>
      </w:r>
      <w:r>
        <w:rPr>
          <w:vertAlign w:val="superscript"/>
        </w:rPr>
        <w:t>th</w:t>
      </w:r>
      <w:r>
        <w:t xml:space="preserve"> percentile (i.e., 80% have lower mortality or better performance). </w:t>
      </w:r>
    </w:p>
    <w:p w14:paraId="4EDD7416" w14:textId="77777777" w:rsidR="00DF7648" w:rsidRDefault="00DF7648" w:rsidP="00E45E2D">
      <w:pPr>
        <w:pStyle w:val="NQFMeasureStyle"/>
        <w:ind w:left="0"/>
      </w:pPr>
    </w:p>
    <w:p w14:paraId="20BB6076" w14:textId="77777777" w:rsidR="00DF7648" w:rsidRDefault="00DF7648" w:rsidP="00E45E2D">
      <w:pPr>
        <w:pStyle w:val="NQFMeasureStyle"/>
        <w:ind w:left="0"/>
      </w:pPr>
      <w:r>
        <w:t>The analysis is reported by size decile, based on the denominator cases, demonstrating performance across counties of various sizes.  Each county is assumed to have an underlying distribution of smoothed rates that follows a Gamma distribution.  The parameters of a Gamma distribution are shape and scale.  For each county the shape is calculated as ((smoothed rate</w:t>
      </w:r>
      <w:proofErr w:type="gramStart"/>
      <w:r>
        <w:t>)</w:t>
      </w:r>
      <w:r>
        <w:rPr>
          <w:vertAlign w:val="superscript"/>
        </w:rPr>
        <w:t>2</w:t>
      </w:r>
      <w:proofErr w:type="gramEnd"/>
      <w:r>
        <w:t xml:space="preserve">/ smoothed rate variance), and the scale is calculated as (smoothed rate variance / smoothed rate).  The smoothed rate variance (aka posterior variance) is calculated as the signal variance – (reliability weight * signal variance).   The reliability weight is calculated as (signal variance / (signal variance + noise variance)).  Counties are ranked by size and grouped into 10 equal categories of size (deciles).  The Benchmark and Threshold are compared to the Gamma distribution of the smoothed rates for each county to determine if the county rate is better or worse than the Benchmark and Threshold rates with 95% probability.  This provides a 95% confidence interval for the Benchmark and Threshold rate.  </w:t>
      </w:r>
    </w:p>
    <w:p w14:paraId="4F705AFE" w14:textId="77777777" w:rsidR="00DF7648" w:rsidRDefault="00DF7648" w:rsidP="00E45E2D">
      <w:pPr>
        <w:pStyle w:val="NQFMeasureStyle"/>
        <w:ind w:left="0"/>
      </w:pPr>
    </w:p>
    <w:p w14:paraId="245FB118" w14:textId="77777777" w:rsidR="00DF7648" w:rsidRPr="00A25024" w:rsidRDefault="00DF7648" w:rsidP="00E45E2D">
      <w:pPr>
        <w:pStyle w:val="NQFMeasureStyle"/>
        <w:ind w:left="0"/>
        <w:rPr>
          <w:bCs/>
        </w:rPr>
      </w:pPr>
      <w:r w:rsidRPr="00C00E30">
        <w:t>Table 6 reports</w:t>
      </w:r>
      <w:r>
        <w:t xml:space="preserve"> the proportion of counties above (better than) and below (worse than) the Benchmark and Threshold rates and the proportion not classified as either above or below. The proportion of counties not classified as either better or worse have rates that fall within the 95% confidence interval.</w:t>
      </w:r>
      <w:r w:rsidRPr="00A25024">
        <w:rPr>
          <w:bCs/>
        </w:rPr>
        <w:t xml:space="preserve"> </w:t>
      </w:r>
    </w:p>
    <w:p w14:paraId="42BFFFAB" w14:textId="77777777" w:rsidR="002A6F19" w:rsidRPr="00A25024" w:rsidRDefault="002A6F19" w:rsidP="00D61410">
      <w:pPr>
        <w:autoSpaceDE w:val="0"/>
        <w:autoSpaceDN w:val="0"/>
        <w:adjustRightInd w:val="0"/>
        <w:spacing w:after="0" w:line="240" w:lineRule="auto"/>
        <w:rPr>
          <w:rFonts w:cstheme="minorHAnsi"/>
          <w:bCs/>
        </w:rPr>
      </w:pPr>
    </w:p>
    <w:p w14:paraId="79B74AF2"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46ECAC4A" w14:textId="738280BC" w:rsidR="000C6B33" w:rsidRPr="00C00E30" w:rsidRDefault="000C6B33" w:rsidP="000C6B33">
      <w:pPr>
        <w:pStyle w:val="BodyText"/>
        <w:ind w:left="0"/>
        <w:rPr>
          <w:rFonts w:ascii="Calibri" w:hAnsi="Calibri" w:cstheme="minorHAnsi"/>
          <w:b/>
          <w:color w:val="0000FF"/>
          <w:sz w:val="24"/>
          <w:szCs w:val="24"/>
        </w:rPr>
      </w:pPr>
      <w:proofErr w:type="gramStart"/>
      <w:r w:rsidRPr="00C00E30">
        <w:rPr>
          <w:rFonts w:ascii="Calibri" w:hAnsi="Calibri" w:cstheme="minorHAnsi"/>
          <w:b/>
          <w:color w:val="0000FF"/>
          <w:sz w:val="24"/>
          <w:szCs w:val="24"/>
        </w:rPr>
        <w:t>Table 6</w:t>
      </w:r>
      <w:r w:rsidR="00641890">
        <w:rPr>
          <w:rFonts w:ascii="Calibri" w:hAnsi="Calibri" w:cstheme="minorHAnsi"/>
          <w:b/>
          <w:color w:val="0000FF"/>
          <w:sz w:val="24"/>
          <w:szCs w:val="24"/>
        </w:rPr>
        <w:t>a</w:t>
      </w:r>
      <w:r w:rsidRPr="00C00E30">
        <w:rPr>
          <w:rFonts w:ascii="Calibri" w:hAnsi="Calibri" w:cstheme="minorHAnsi"/>
          <w:b/>
          <w:color w:val="0000FF"/>
          <w:sz w:val="24"/>
          <w:szCs w:val="24"/>
        </w:rPr>
        <w:t>.</w:t>
      </w:r>
      <w:proofErr w:type="gramEnd"/>
      <w:r w:rsidRPr="00C00E30">
        <w:rPr>
          <w:rFonts w:ascii="Calibri" w:hAnsi="Calibri" w:cstheme="minorHAnsi"/>
          <w:b/>
          <w:color w:val="0000FF"/>
          <w:sz w:val="24"/>
          <w:szCs w:val="24"/>
        </w:rPr>
        <w:t xml:space="preserve"> Performance Categories by </w:t>
      </w:r>
      <w:r w:rsidR="00943D1E">
        <w:rPr>
          <w:rFonts w:ascii="Calibri" w:hAnsi="Calibri" w:cstheme="minorHAnsi"/>
          <w:b/>
          <w:color w:val="0000FF"/>
          <w:sz w:val="24"/>
          <w:szCs w:val="24"/>
        </w:rPr>
        <w:t>County</w:t>
      </w:r>
      <w:r w:rsidRPr="00C00E30">
        <w:rPr>
          <w:rFonts w:ascii="Calibri" w:hAnsi="Calibri" w:cstheme="minorHAnsi"/>
          <w:b/>
          <w:color w:val="0000FF"/>
          <w:sz w:val="24"/>
          <w:szCs w:val="24"/>
        </w:rPr>
        <w:t xml:space="preserve"> Size Decile</w:t>
      </w:r>
      <w:r w:rsidR="00C00E30">
        <w:rPr>
          <w:rFonts w:ascii="Calibri" w:hAnsi="Calibri" w:cstheme="minorHAnsi"/>
          <w:b/>
          <w:color w:val="0000FF"/>
          <w:sz w:val="24"/>
          <w:szCs w:val="24"/>
        </w:rPr>
        <w:t>,</w:t>
      </w:r>
      <w:r w:rsidRPr="00C00E30">
        <w:rPr>
          <w:rFonts w:ascii="Calibri" w:hAnsi="Calibri" w:cstheme="minorHAnsi"/>
          <w:b/>
          <w:color w:val="0000FF"/>
          <w:sz w:val="24"/>
          <w:szCs w:val="24"/>
        </w:rPr>
        <w:t xml:space="preserve"> </w:t>
      </w:r>
      <w:proofErr w:type="gramStart"/>
      <w:r w:rsidR="00C00E30" w:rsidRPr="00C00E30">
        <w:rPr>
          <w:rFonts w:ascii="Calibri" w:hAnsi="Calibri" w:cstheme="minorHAnsi"/>
          <w:b/>
          <w:bCs/>
          <w:color w:val="0000FF"/>
          <w:sz w:val="24"/>
          <w:szCs w:val="24"/>
        </w:rPr>
        <w:t xml:space="preserve">for </w:t>
      </w:r>
      <w:r w:rsidR="00C00E30" w:rsidRPr="00C00E30">
        <w:rPr>
          <w:rFonts w:ascii="Calibri" w:hAnsi="Calibri" w:cs="Calibri"/>
          <w:b/>
          <w:bCs/>
          <w:color w:val="0000FF"/>
          <w:sz w:val="24"/>
          <w:szCs w:val="24"/>
        </w:rPr>
        <w:t>PQI</w:t>
      </w:r>
      <w:r w:rsidR="002C3098">
        <w:rPr>
          <w:rFonts w:ascii="Calibri" w:hAnsi="Calibri" w:cs="Calibri"/>
          <w:b/>
          <w:bCs/>
          <w:color w:val="0000FF"/>
          <w:sz w:val="24"/>
          <w:szCs w:val="24"/>
        </w:rPr>
        <w:t xml:space="preserve"> </w:t>
      </w:r>
      <w:r w:rsidR="00C00E30" w:rsidRPr="00C00E30">
        <w:rPr>
          <w:rFonts w:ascii="Calibri" w:hAnsi="Calibri" w:cs="Calibri"/>
          <w:b/>
          <w:bCs/>
          <w:color w:val="0000FF"/>
          <w:sz w:val="24"/>
          <w:szCs w:val="24"/>
        </w:rPr>
        <w:t>15 Asthma in Younger Adults Admission Rate</w:t>
      </w:r>
      <w:proofErr w:type="gramEnd"/>
    </w:p>
    <w:tbl>
      <w:tblPr>
        <w:tblW w:w="9483" w:type="dxa"/>
        <w:tblInd w:w="93" w:type="dxa"/>
        <w:tblLayout w:type="fixed"/>
        <w:tblLook w:val="04A0" w:firstRow="1" w:lastRow="0" w:firstColumn="1" w:lastColumn="0" w:noHBand="0" w:noVBand="1"/>
      </w:tblPr>
      <w:tblGrid>
        <w:gridCol w:w="915"/>
        <w:gridCol w:w="900"/>
        <w:gridCol w:w="1350"/>
        <w:gridCol w:w="990"/>
        <w:gridCol w:w="990"/>
        <w:gridCol w:w="10"/>
        <w:gridCol w:w="1070"/>
        <w:gridCol w:w="1094"/>
        <w:gridCol w:w="1066"/>
        <w:gridCol w:w="1098"/>
      </w:tblGrid>
      <w:tr w:rsidR="000C6B33" w14:paraId="13DDB076" w14:textId="77777777" w:rsidTr="00950E74">
        <w:trPr>
          <w:trHeight w:val="300"/>
          <w:tblHeader/>
        </w:trPr>
        <w:tc>
          <w:tcPr>
            <w:tcW w:w="915"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009A6263" w14:textId="77777777" w:rsidR="000C6B33" w:rsidRDefault="000C6B33" w:rsidP="009C7794">
            <w:pPr>
              <w:spacing w:after="0" w:line="240" w:lineRule="auto"/>
              <w:rPr>
                <w:rFonts w:ascii="Calibri" w:eastAsia="Times New Roman" w:hAnsi="Calibri" w:cs="Times New Roman"/>
                <w:color w:val="0000FF"/>
              </w:rPr>
            </w:pPr>
            <w:r>
              <w:rPr>
                <w:rFonts w:ascii="Calibri" w:eastAsia="Times New Roman" w:hAnsi="Calibri" w:cs="Times New Roman"/>
                <w:color w:val="0000FF"/>
              </w:rPr>
              <w:t> </w:t>
            </w:r>
          </w:p>
        </w:tc>
        <w:tc>
          <w:tcPr>
            <w:tcW w:w="900" w:type="dxa"/>
            <w:tcBorders>
              <w:top w:val="single" w:sz="4" w:space="0" w:color="auto"/>
              <w:left w:val="nil"/>
              <w:bottom w:val="single" w:sz="4" w:space="0" w:color="auto"/>
              <w:right w:val="nil"/>
            </w:tcBorders>
            <w:shd w:val="clear" w:color="auto" w:fill="D9D9D9" w:themeFill="background1" w:themeFillShade="D9"/>
            <w:noWrap/>
            <w:vAlign w:val="center"/>
            <w:hideMark/>
          </w:tcPr>
          <w:p w14:paraId="3DBD18BA" w14:textId="77777777" w:rsidR="000C6B33" w:rsidRDefault="000C6B33" w:rsidP="009C7794">
            <w:pPr>
              <w:spacing w:after="0" w:line="240" w:lineRule="auto"/>
              <w:rPr>
                <w:rFonts w:ascii="Calibri" w:eastAsia="Times New Roman" w:hAnsi="Calibri" w:cs="Times New Roman"/>
                <w:b/>
                <w:bCs/>
                <w:color w:val="0000FF"/>
              </w:rPr>
            </w:pPr>
            <w:r>
              <w:rPr>
                <w:rFonts w:ascii="Calibri" w:eastAsia="Times New Roman" w:hAnsi="Calibri" w:cs="Times New Roman"/>
                <w:b/>
                <w:bCs/>
                <w:color w:val="0000FF"/>
              </w:rPr>
              <w:t xml:space="preserve"> </w:t>
            </w:r>
          </w:p>
        </w:tc>
        <w:tc>
          <w:tcPr>
            <w:tcW w:w="13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A6A6A38" w14:textId="77777777" w:rsidR="000C6B33" w:rsidRDefault="000C6B33" w:rsidP="009C7794">
            <w:pPr>
              <w:spacing w:after="0" w:line="240" w:lineRule="auto"/>
              <w:rPr>
                <w:rFonts w:ascii="Calibri" w:eastAsia="Times New Roman" w:hAnsi="Calibri" w:cs="Times New Roman"/>
                <w:b/>
                <w:bCs/>
                <w:color w:val="0000FF"/>
              </w:rPr>
            </w:pPr>
            <w:r>
              <w:rPr>
                <w:rFonts w:ascii="Calibri" w:eastAsia="Times New Roman" w:hAnsi="Calibri" w:cs="Times New Roman"/>
                <w:b/>
                <w:bCs/>
                <w:color w:val="0000FF"/>
              </w:rPr>
              <w:t xml:space="preserve"> </w:t>
            </w:r>
          </w:p>
        </w:tc>
        <w:tc>
          <w:tcPr>
            <w:tcW w:w="306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F79B2B1" w14:textId="77777777" w:rsidR="000C6B33" w:rsidRDefault="000C6B33" w:rsidP="009C7794">
            <w:pPr>
              <w:spacing w:after="0" w:line="240" w:lineRule="auto"/>
              <w:rPr>
                <w:rFonts w:ascii="Calibri" w:eastAsia="Times New Roman" w:hAnsi="Calibri" w:cs="Times New Roman"/>
                <w:b/>
                <w:bCs/>
                <w:color w:val="0000FF"/>
              </w:rPr>
            </w:pPr>
            <w:r>
              <w:rPr>
                <w:rFonts w:ascii="Calibri" w:eastAsia="Times New Roman" w:hAnsi="Calibri" w:cs="Times New Roman"/>
                <w:b/>
                <w:bCs/>
                <w:color w:val="0000FF"/>
              </w:rPr>
              <w:t>Benchmark </w:t>
            </w:r>
          </w:p>
        </w:tc>
        <w:tc>
          <w:tcPr>
            <w:tcW w:w="325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AC93405" w14:textId="77777777" w:rsidR="000C6B33" w:rsidRDefault="000C6B33" w:rsidP="009C7794">
            <w:pPr>
              <w:spacing w:after="0" w:line="240" w:lineRule="auto"/>
              <w:rPr>
                <w:rFonts w:ascii="Calibri" w:eastAsia="Times New Roman" w:hAnsi="Calibri" w:cs="Times New Roman"/>
                <w:color w:val="0000FF"/>
              </w:rPr>
            </w:pPr>
            <w:r>
              <w:rPr>
                <w:rFonts w:ascii="Calibri" w:eastAsia="Times New Roman" w:hAnsi="Calibri" w:cs="Times New Roman"/>
                <w:b/>
                <w:bCs/>
                <w:color w:val="0000FF"/>
              </w:rPr>
              <w:t>Threshold</w:t>
            </w:r>
            <w:r>
              <w:rPr>
                <w:rFonts w:ascii="Calibri" w:eastAsia="Times New Roman" w:hAnsi="Calibri" w:cs="Times New Roman"/>
                <w:color w:val="0000FF"/>
              </w:rPr>
              <w:t> </w:t>
            </w:r>
          </w:p>
        </w:tc>
      </w:tr>
      <w:tr w:rsidR="004A75CB" w14:paraId="63157AF3" w14:textId="77777777" w:rsidTr="00950E74">
        <w:trPr>
          <w:trHeight w:val="1465"/>
          <w:tblHeader/>
        </w:trPr>
        <w:tc>
          <w:tcPr>
            <w:tcW w:w="9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C75019"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Size Decile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588F86" w14:textId="2DD6466B" w:rsidR="000C6B33" w:rsidRDefault="000C6B33" w:rsidP="00943D1E">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 xml:space="preserve">Number of </w:t>
            </w:r>
            <w:r w:rsidR="00943D1E">
              <w:rPr>
                <w:rFonts w:ascii="Calibri" w:eastAsia="Times New Roman" w:hAnsi="Calibri" w:cs="Times New Roman"/>
                <w:b/>
                <w:bCs/>
                <w:color w:val="0000FF"/>
                <w:sz w:val="16"/>
                <w:szCs w:val="16"/>
              </w:rPr>
              <w:t>Counties</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86C33F"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Average Number of Denominator</w:t>
            </w:r>
          </w:p>
          <w:p w14:paraId="4FFD313C" w14:textId="18A67CF7" w:rsidR="000C6B33" w:rsidRDefault="000C6B33" w:rsidP="00943D1E">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 xml:space="preserve">Discharges Per </w:t>
            </w:r>
            <w:r w:rsidR="00943D1E">
              <w:rPr>
                <w:rFonts w:ascii="Calibri" w:eastAsia="Times New Roman" w:hAnsi="Calibri" w:cs="Times New Roman"/>
                <w:b/>
                <w:bCs/>
                <w:color w:val="0000FF"/>
                <w:sz w:val="16"/>
                <w:szCs w:val="16"/>
              </w:rPr>
              <w:t>County</w:t>
            </w:r>
          </w:p>
        </w:tc>
        <w:tc>
          <w:tcPr>
            <w:tcW w:w="990"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3F56B379"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Better</w:t>
            </w:r>
          </w:p>
        </w:tc>
        <w:tc>
          <w:tcPr>
            <w:tcW w:w="990" w:type="dxa"/>
            <w:tcBorders>
              <w:top w:val="single" w:sz="4" w:space="0" w:color="auto"/>
              <w:left w:val="nil"/>
              <w:bottom w:val="single" w:sz="4" w:space="0" w:color="auto"/>
              <w:right w:val="nil"/>
            </w:tcBorders>
            <w:shd w:val="clear" w:color="auto" w:fill="D9D9D9" w:themeFill="background1" w:themeFillShade="D9"/>
            <w:vAlign w:val="center"/>
            <w:hideMark/>
          </w:tcPr>
          <w:p w14:paraId="7C2FF947"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Worse</w:t>
            </w:r>
          </w:p>
        </w:tc>
        <w:tc>
          <w:tcPr>
            <w:tcW w:w="108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7B0E34"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 xml:space="preserve">Proportion Unclassified </w:t>
            </w:r>
          </w:p>
        </w:tc>
        <w:tc>
          <w:tcPr>
            <w:tcW w:w="1094"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26DCD302"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Better</w:t>
            </w:r>
          </w:p>
        </w:tc>
        <w:tc>
          <w:tcPr>
            <w:tcW w:w="1066" w:type="dxa"/>
            <w:tcBorders>
              <w:top w:val="single" w:sz="4" w:space="0" w:color="auto"/>
              <w:left w:val="nil"/>
              <w:bottom w:val="single" w:sz="4" w:space="0" w:color="auto"/>
              <w:right w:val="nil"/>
            </w:tcBorders>
            <w:shd w:val="clear" w:color="auto" w:fill="D9D9D9" w:themeFill="background1" w:themeFillShade="D9"/>
            <w:vAlign w:val="center"/>
            <w:hideMark/>
          </w:tcPr>
          <w:p w14:paraId="0097BFB5"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Worse</w:t>
            </w:r>
          </w:p>
        </w:tc>
        <w:tc>
          <w:tcPr>
            <w:tcW w:w="109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8A23D46" w14:textId="77777777" w:rsidR="000C6B33" w:rsidRDefault="000C6B33" w:rsidP="009C7794">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 xml:space="preserve">Proportion Unclassified </w:t>
            </w:r>
          </w:p>
        </w:tc>
      </w:tr>
      <w:tr w:rsidR="004550E1" w14:paraId="779A3BB7" w14:textId="77777777" w:rsidTr="00950E74">
        <w:trPr>
          <w:trHeight w:val="289"/>
        </w:trPr>
        <w:tc>
          <w:tcPr>
            <w:tcW w:w="915" w:type="dxa"/>
            <w:tcBorders>
              <w:top w:val="single" w:sz="4" w:space="0" w:color="auto"/>
              <w:left w:val="single" w:sz="4" w:space="0" w:color="auto"/>
              <w:bottom w:val="nil"/>
              <w:right w:val="nil"/>
            </w:tcBorders>
            <w:noWrap/>
            <w:vAlign w:val="bottom"/>
            <w:hideMark/>
          </w:tcPr>
          <w:p w14:paraId="4A1A9D62" w14:textId="77777777" w:rsidR="004550E1" w:rsidRPr="00C00E30" w:rsidRDefault="004550E1" w:rsidP="009C7794">
            <w:pPr>
              <w:spacing w:after="0" w:line="240" w:lineRule="auto"/>
              <w:jc w:val="center"/>
              <w:rPr>
                <w:rFonts w:ascii="Calibri" w:hAnsi="Calibri"/>
              </w:rPr>
            </w:pPr>
            <w:r w:rsidRPr="00C00E30">
              <w:rPr>
                <w:rFonts w:ascii="Calibri" w:hAnsi="Calibri"/>
              </w:rPr>
              <w:t>1</w:t>
            </w:r>
          </w:p>
        </w:tc>
        <w:tc>
          <w:tcPr>
            <w:tcW w:w="900" w:type="dxa"/>
            <w:tcBorders>
              <w:top w:val="single" w:sz="4" w:space="0" w:color="auto"/>
              <w:left w:val="nil"/>
              <w:bottom w:val="nil"/>
              <w:right w:val="nil"/>
            </w:tcBorders>
            <w:noWrap/>
          </w:tcPr>
          <w:p w14:paraId="7A14A206" w14:textId="7F7E01EF" w:rsidR="004550E1" w:rsidRDefault="004550E1" w:rsidP="009C7794">
            <w:pPr>
              <w:spacing w:after="0" w:line="240" w:lineRule="auto"/>
              <w:jc w:val="center"/>
              <w:rPr>
                <w:rFonts w:ascii="Calibri" w:hAnsi="Calibri"/>
                <w:color w:val="0000FF"/>
              </w:rPr>
            </w:pPr>
            <w:r w:rsidRPr="00452E05">
              <w:t>314</w:t>
            </w:r>
          </w:p>
        </w:tc>
        <w:tc>
          <w:tcPr>
            <w:tcW w:w="1350" w:type="dxa"/>
            <w:tcBorders>
              <w:top w:val="single" w:sz="4" w:space="0" w:color="auto"/>
              <w:left w:val="nil"/>
              <w:bottom w:val="nil"/>
              <w:right w:val="single" w:sz="4" w:space="0" w:color="auto"/>
            </w:tcBorders>
            <w:noWrap/>
          </w:tcPr>
          <w:p w14:paraId="0498AFD4" w14:textId="201D2869" w:rsidR="004550E1" w:rsidRDefault="004550E1" w:rsidP="009C7794">
            <w:pPr>
              <w:spacing w:after="0" w:line="240" w:lineRule="auto"/>
              <w:jc w:val="center"/>
              <w:rPr>
                <w:rFonts w:ascii="Calibri" w:hAnsi="Calibri"/>
                <w:color w:val="0000FF"/>
              </w:rPr>
            </w:pPr>
            <w:r w:rsidRPr="00452E05">
              <w:t>1,178.60</w:t>
            </w:r>
          </w:p>
        </w:tc>
        <w:tc>
          <w:tcPr>
            <w:tcW w:w="990" w:type="dxa"/>
            <w:tcBorders>
              <w:top w:val="single" w:sz="4" w:space="0" w:color="auto"/>
              <w:left w:val="single" w:sz="4" w:space="0" w:color="auto"/>
              <w:bottom w:val="nil"/>
              <w:right w:val="nil"/>
            </w:tcBorders>
            <w:noWrap/>
            <w:vAlign w:val="bottom"/>
          </w:tcPr>
          <w:p w14:paraId="709DFDDA" w14:textId="79F16748" w:rsidR="004550E1" w:rsidRDefault="004550E1" w:rsidP="009C7794">
            <w:pPr>
              <w:spacing w:after="0" w:line="240" w:lineRule="auto"/>
              <w:rPr>
                <w:rFonts w:ascii="Calibri" w:hAnsi="Calibri"/>
                <w:color w:val="0000FF"/>
              </w:rPr>
            </w:pPr>
            <w:r>
              <w:rPr>
                <w:rFonts w:ascii="Calibri" w:hAnsi="Calibri"/>
                <w:color w:val="000000"/>
              </w:rPr>
              <w:t>0.0000</w:t>
            </w:r>
          </w:p>
        </w:tc>
        <w:tc>
          <w:tcPr>
            <w:tcW w:w="1000" w:type="dxa"/>
            <w:gridSpan w:val="2"/>
            <w:tcBorders>
              <w:top w:val="single" w:sz="4" w:space="0" w:color="auto"/>
              <w:left w:val="nil"/>
              <w:bottom w:val="nil"/>
              <w:right w:val="nil"/>
            </w:tcBorders>
            <w:noWrap/>
          </w:tcPr>
          <w:p w14:paraId="782089FB" w14:textId="447157EA" w:rsidR="004550E1" w:rsidRDefault="004550E1" w:rsidP="004550E1">
            <w:pPr>
              <w:spacing w:after="0" w:line="240" w:lineRule="auto"/>
              <w:rPr>
                <w:rFonts w:ascii="Calibri" w:hAnsi="Calibri"/>
                <w:color w:val="0000FF"/>
              </w:rPr>
            </w:pPr>
            <w:r>
              <w:rPr>
                <w:rFonts w:ascii="Calibri" w:hAnsi="Calibri"/>
                <w:color w:val="000000"/>
              </w:rPr>
              <w:t>0.0669</w:t>
            </w:r>
          </w:p>
        </w:tc>
        <w:tc>
          <w:tcPr>
            <w:tcW w:w="1070" w:type="dxa"/>
            <w:tcBorders>
              <w:top w:val="single" w:sz="4" w:space="0" w:color="auto"/>
              <w:left w:val="nil"/>
              <w:bottom w:val="nil"/>
              <w:right w:val="single" w:sz="4" w:space="0" w:color="auto"/>
            </w:tcBorders>
            <w:noWrap/>
          </w:tcPr>
          <w:p w14:paraId="135A50B5" w14:textId="7965C222" w:rsidR="004550E1" w:rsidRDefault="004550E1" w:rsidP="009C7794">
            <w:pPr>
              <w:spacing w:after="0" w:line="240" w:lineRule="auto"/>
              <w:rPr>
                <w:rFonts w:ascii="Calibri" w:hAnsi="Calibri"/>
                <w:color w:val="0000FF"/>
              </w:rPr>
            </w:pPr>
            <w:r>
              <w:rPr>
                <w:rFonts w:ascii="Calibri" w:hAnsi="Calibri"/>
                <w:color w:val="000000"/>
              </w:rPr>
              <w:t>0.9331</w:t>
            </w:r>
          </w:p>
        </w:tc>
        <w:tc>
          <w:tcPr>
            <w:tcW w:w="1094" w:type="dxa"/>
            <w:tcBorders>
              <w:top w:val="single" w:sz="4" w:space="0" w:color="auto"/>
              <w:left w:val="single" w:sz="4" w:space="0" w:color="auto"/>
              <w:bottom w:val="nil"/>
              <w:right w:val="nil"/>
            </w:tcBorders>
            <w:noWrap/>
          </w:tcPr>
          <w:p w14:paraId="0AD6E03C" w14:textId="79A23378" w:rsidR="004550E1" w:rsidRDefault="004550E1" w:rsidP="004550E1">
            <w:pPr>
              <w:spacing w:after="0" w:line="240" w:lineRule="auto"/>
              <w:rPr>
                <w:rFonts w:ascii="Calibri" w:hAnsi="Calibri"/>
                <w:color w:val="0000FF"/>
              </w:rPr>
            </w:pPr>
            <w:r w:rsidRPr="00452E05">
              <w:t>0.0000</w:t>
            </w:r>
          </w:p>
        </w:tc>
        <w:tc>
          <w:tcPr>
            <w:tcW w:w="1066" w:type="dxa"/>
            <w:tcBorders>
              <w:top w:val="single" w:sz="4" w:space="0" w:color="auto"/>
              <w:left w:val="nil"/>
              <w:bottom w:val="nil"/>
              <w:right w:val="nil"/>
            </w:tcBorders>
            <w:noWrap/>
          </w:tcPr>
          <w:p w14:paraId="70652547" w14:textId="3421395B" w:rsidR="004550E1" w:rsidRDefault="004550E1" w:rsidP="004550E1">
            <w:pPr>
              <w:spacing w:after="0" w:line="240" w:lineRule="auto"/>
              <w:rPr>
                <w:rFonts w:ascii="Calibri" w:hAnsi="Calibri"/>
                <w:color w:val="0000FF"/>
              </w:rPr>
            </w:pPr>
            <w:r w:rsidRPr="00452E05">
              <w:t>0.0000</w:t>
            </w:r>
          </w:p>
        </w:tc>
        <w:tc>
          <w:tcPr>
            <w:tcW w:w="1098" w:type="dxa"/>
            <w:tcBorders>
              <w:top w:val="single" w:sz="4" w:space="0" w:color="auto"/>
              <w:left w:val="nil"/>
              <w:bottom w:val="nil"/>
              <w:right w:val="single" w:sz="4" w:space="0" w:color="auto"/>
            </w:tcBorders>
            <w:noWrap/>
          </w:tcPr>
          <w:p w14:paraId="7353F992" w14:textId="4F875935" w:rsidR="004550E1" w:rsidRDefault="004550E1" w:rsidP="009C7794">
            <w:pPr>
              <w:spacing w:after="0" w:line="240" w:lineRule="auto"/>
              <w:rPr>
                <w:rFonts w:ascii="Calibri" w:hAnsi="Calibri"/>
                <w:color w:val="0000FF"/>
              </w:rPr>
            </w:pPr>
            <w:r w:rsidRPr="00452E05">
              <w:t>1.0000</w:t>
            </w:r>
          </w:p>
        </w:tc>
      </w:tr>
      <w:tr w:rsidR="004550E1" w14:paraId="43E4CF4A" w14:textId="77777777" w:rsidTr="00950E74">
        <w:trPr>
          <w:trHeight w:val="289"/>
        </w:trPr>
        <w:tc>
          <w:tcPr>
            <w:tcW w:w="915" w:type="dxa"/>
            <w:tcBorders>
              <w:top w:val="nil"/>
              <w:left w:val="single" w:sz="4" w:space="0" w:color="auto"/>
              <w:bottom w:val="nil"/>
              <w:right w:val="nil"/>
            </w:tcBorders>
            <w:noWrap/>
            <w:vAlign w:val="bottom"/>
            <w:hideMark/>
          </w:tcPr>
          <w:p w14:paraId="72F1C80C" w14:textId="77777777" w:rsidR="004550E1" w:rsidRPr="00C00E30" w:rsidRDefault="004550E1" w:rsidP="009C7794">
            <w:pPr>
              <w:spacing w:after="0" w:line="240" w:lineRule="auto"/>
              <w:jc w:val="center"/>
              <w:rPr>
                <w:rFonts w:ascii="Calibri" w:hAnsi="Calibri"/>
              </w:rPr>
            </w:pPr>
            <w:r w:rsidRPr="00C00E30">
              <w:rPr>
                <w:rFonts w:ascii="Calibri" w:hAnsi="Calibri"/>
              </w:rPr>
              <w:t>2</w:t>
            </w:r>
          </w:p>
        </w:tc>
        <w:tc>
          <w:tcPr>
            <w:tcW w:w="900" w:type="dxa"/>
            <w:noWrap/>
          </w:tcPr>
          <w:p w14:paraId="40947C34" w14:textId="227173C0"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1B6DBCDF" w14:textId="75724C10" w:rsidR="004550E1" w:rsidRDefault="004550E1" w:rsidP="009C7794">
            <w:pPr>
              <w:spacing w:after="0" w:line="240" w:lineRule="auto"/>
              <w:jc w:val="center"/>
              <w:rPr>
                <w:rFonts w:ascii="Calibri" w:hAnsi="Calibri"/>
                <w:color w:val="0000FF"/>
              </w:rPr>
            </w:pPr>
            <w:r w:rsidRPr="00452E05">
              <w:t>2,542.00</w:t>
            </w:r>
          </w:p>
        </w:tc>
        <w:tc>
          <w:tcPr>
            <w:tcW w:w="990" w:type="dxa"/>
            <w:tcBorders>
              <w:top w:val="nil"/>
              <w:left w:val="single" w:sz="4" w:space="0" w:color="auto"/>
              <w:bottom w:val="nil"/>
              <w:right w:val="nil"/>
            </w:tcBorders>
            <w:noWrap/>
          </w:tcPr>
          <w:p w14:paraId="5BF372A7" w14:textId="23182BFB" w:rsidR="004550E1" w:rsidRDefault="004550E1" w:rsidP="004A75CB">
            <w:pPr>
              <w:spacing w:after="0" w:line="240" w:lineRule="auto"/>
              <w:rPr>
                <w:rFonts w:ascii="Calibri" w:hAnsi="Calibri"/>
                <w:color w:val="0000FF"/>
              </w:rPr>
            </w:pPr>
            <w:r w:rsidRPr="00452E05">
              <w:t>0.0000</w:t>
            </w:r>
          </w:p>
        </w:tc>
        <w:tc>
          <w:tcPr>
            <w:tcW w:w="1000" w:type="dxa"/>
            <w:gridSpan w:val="2"/>
            <w:noWrap/>
          </w:tcPr>
          <w:p w14:paraId="258260FD" w14:textId="715C0F0D" w:rsidR="004550E1" w:rsidRDefault="004550E1" w:rsidP="00944F1B">
            <w:pPr>
              <w:spacing w:after="0" w:line="240" w:lineRule="auto"/>
              <w:rPr>
                <w:rFonts w:ascii="Calibri" w:hAnsi="Calibri"/>
                <w:color w:val="0000FF"/>
              </w:rPr>
            </w:pPr>
            <w:r w:rsidRPr="00452E05">
              <w:t>0.1497</w:t>
            </w:r>
          </w:p>
        </w:tc>
        <w:tc>
          <w:tcPr>
            <w:tcW w:w="1070" w:type="dxa"/>
            <w:tcBorders>
              <w:top w:val="nil"/>
              <w:left w:val="nil"/>
              <w:bottom w:val="nil"/>
              <w:right w:val="single" w:sz="4" w:space="0" w:color="auto"/>
            </w:tcBorders>
            <w:noWrap/>
            <w:vAlign w:val="bottom"/>
          </w:tcPr>
          <w:p w14:paraId="15CF881B" w14:textId="3144B6B0" w:rsidR="004550E1" w:rsidRDefault="004550E1" w:rsidP="009C7794">
            <w:pPr>
              <w:spacing w:after="0" w:line="240" w:lineRule="auto"/>
              <w:rPr>
                <w:rFonts w:ascii="Calibri" w:hAnsi="Calibri"/>
                <w:color w:val="0000FF"/>
              </w:rPr>
            </w:pPr>
            <w:r>
              <w:rPr>
                <w:rFonts w:ascii="Calibri" w:hAnsi="Calibri"/>
                <w:color w:val="000000"/>
              </w:rPr>
              <w:t>0.8503</w:t>
            </w:r>
          </w:p>
        </w:tc>
        <w:tc>
          <w:tcPr>
            <w:tcW w:w="1094" w:type="dxa"/>
            <w:tcBorders>
              <w:top w:val="nil"/>
              <w:left w:val="single" w:sz="4" w:space="0" w:color="auto"/>
              <w:bottom w:val="nil"/>
              <w:right w:val="nil"/>
            </w:tcBorders>
            <w:noWrap/>
            <w:vAlign w:val="bottom"/>
          </w:tcPr>
          <w:p w14:paraId="55A51E24" w14:textId="05F08747" w:rsidR="004550E1" w:rsidRDefault="004550E1" w:rsidP="009C7794">
            <w:pPr>
              <w:spacing w:after="0" w:line="240" w:lineRule="auto"/>
              <w:rPr>
                <w:rFonts w:ascii="Calibri" w:hAnsi="Calibri"/>
                <w:color w:val="0000FF"/>
              </w:rPr>
            </w:pPr>
            <w:r>
              <w:rPr>
                <w:rFonts w:ascii="Calibri" w:hAnsi="Calibri"/>
                <w:color w:val="000000"/>
              </w:rPr>
              <w:t>0.0000</w:t>
            </w:r>
          </w:p>
        </w:tc>
        <w:tc>
          <w:tcPr>
            <w:tcW w:w="1066" w:type="dxa"/>
            <w:noWrap/>
            <w:vAlign w:val="bottom"/>
          </w:tcPr>
          <w:p w14:paraId="3A823CF8" w14:textId="778271DA" w:rsidR="004550E1" w:rsidRDefault="004550E1" w:rsidP="009C7794">
            <w:pPr>
              <w:spacing w:after="0" w:line="240" w:lineRule="auto"/>
              <w:rPr>
                <w:rFonts w:ascii="Calibri" w:hAnsi="Calibri"/>
                <w:color w:val="0000FF"/>
              </w:rPr>
            </w:pPr>
            <w:r>
              <w:rPr>
                <w:rFonts w:ascii="Calibri" w:hAnsi="Calibri"/>
                <w:color w:val="000000"/>
              </w:rPr>
              <w:t>0.0127</w:t>
            </w:r>
          </w:p>
        </w:tc>
        <w:tc>
          <w:tcPr>
            <w:tcW w:w="1098" w:type="dxa"/>
            <w:tcBorders>
              <w:top w:val="nil"/>
              <w:left w:val="nil"/>
              <w:bottom w:val="nil"/>
              <w:right w:val="single" w:sz="4" w:space="0" w:color="auto"/>
            </w:tcBorders>
            <w:noWrap/>
          </w:tcPr>
          <w:p w14:paraId="3169D388" w14:textId="474648DF" w:rsidR="004550E1" w:rsidRDefault="004550E1" w:rsidP="009C7794">
            <w:pPr>
              <w:spacing w:after="0" w:line="240" w:lineRule="auto"/>
              <w:rPr>
                <w:rFonts w:ascii="Calibri" w:hAnsi="Calibri"/>
                <w:color w:val="0000FF"/>
              </w:rPr>
            </w:pPr>
            <w:r w:rsidRPr="00452E05">
              <w:t>0.9873</w:t>
            </w:r>
          </w:p>
        </w:tc>
      </w:tr>
      <w:tr w:rsidR="004550E1" w14:paraId="18EEED33" w14:textId="77777777" w:rsidTr="00950E74">
        <w:trPr>
          <w:trHeight w:val="289"/>
        </w:trPr>
        <w:tc>
          <w:tcPr>
            <w:tcW w:w="915" w:type="dxa"/>
            <w:tcBorders>
              <w:top w:val="nil"/>
              <w:left w:val="single" w:sz="4" w:space="0" w:color="auto"/>
              <w:bottom w:val="nil"/>
              <w:right w:val="nil"/>
            </w:tcBorders>
            <w:noWrap/>
            <w:vAlign w:val="bottom"/>
            <w:hideMark/>
          </w:tcPr>
          <w:p w14:paraId="3BF11D47" w14:textId="77777777" w:rsidR="004550E1" w:rsidRPr="00C00E30" w:rsidRDefault="004550E1" w:rsidP="009C7794">
            <w:pPr>
              <w:spacing w:after="0" w:line="240" w:lineRule="auto"/>
              <w:jc w:val="center"/>
              <w:rPr>
                <w:rFonts w:ascii="Calibri" w:hAnsi="Calibri"/>
              </w:rPr>
            </w:pPr>
            <w:r w:rsidRPr="00C00E30">
              <w:rPr>
                <w:rFonts w:ascii="Calibri" w:hAnsi="Calibri"/>
              </w:rPr>
              <w:lastRenderedPageBreak/>
              <w:t>3</w:t>
            </w:r>
          </w:p>
        </w:tc>
        <w:tc>
          <w:tcPr>
            <w:tcW w:w="900" w:type="dxa"/>
            <w:noWrap/>
          </w:tcPr>
          <w:p w14:paraId="2BFD0D01" w14:textId="373F0E73"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25E89B88" w14:textId="091A1B36" w:rsidR="004550E1" w:rsidRDefault="004550E1" w:rsidP="009C7794">
            <w:pPr>
              <w:spacing w:after="0" w:line="240" w:lineRule="auto"/>
              <w:jc w:val="center"/>
              <w:rPr>
                <w:rFonts w:ascii="Calibri" w:hAnsi="Calibri"/>
                <w:color w:val="0000FF"/>
              </w:rPr>
            </w:pPr>
            <w:r w:rsidRPr="00452E05">
              <w:t>3,840.70</w:t>
            </w:r>
          </w:p>
        </w:tc>
        <w:tc>
          <w:tcPr>
            <w:tcW w:w="990" w:type="dxa"/>
            <w:tcBorders>
              <w:top w:val="nil"/>
              <w:left w:val="single" w:sz="4" w:space="0" w:color="auto"/>
              <w:bottom w:val="nil"/>
              <w:right w:val="nil"/>
            </w:tcBorders>
            <w:noWrap/>
          </w:tcPr>
          <w:p w14:paraId="67A384C6" w14:textId="6437F77F"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07298E01" w14:textId="709755CA" w:rsidR="004550E1" w:rsidRDefault="004550E1" w:rsidP="009C7794">
            <w:pPr>
              <w:spacing w:after="0" w:line="240" w:lineRule="auto"/>
              <w:rPr>
                <w:rFonts w:ascii="Calibri" w:hAnsi="Calibri"/>
                <w:color w:val="0000FF"/>
              </w:rPr>
            </w:pPr>
            <w:r>
              <w:rPr>
                <w:rFonts w:ascii="Calibri" w:hAnsi="Calibri"/>
                <w:color w:val="000000"/>
              </w:rPr>
              <w:t>0.2229</w:t>
            </w:r>
          </w:p>
        </w:tc>
        <w:tc>
          <w:tcPr>
            <w:tcW w:w="1070" w:type="dxa"/>
            <w:tcBorders>
              <w:top w:val="nil"/>
              <w:left w:val="nil"/>
              <w:bottom w:val="nil"/>
              <w:right w:val="single" w:sz="4" w:space="0" w:color="auto"/>
            </w:tcBorders>
            <w:noWrap/>
            <w:vAlign w:val="bottom"/>
          </w:tcPr>
          <w:p w14:paraId="60396952" w14:textId="0C92E84A" w:rsidR="004550E1" w:rsidRDefault="004550E1" w:rsidP="009C7794">
            <w:pPr>
              <w:spacing w:after="0" w:line="240" w:lineRule="auto"/>
              <w:rPr>
                <w:rFonts w:ascii="Calibri" w:hAnsi="Calibri"/>
                <w:color w:val="0000FF"/>
              </w:rPr>
            </w:pPr>
            <w:r>
              <w:rPr>
                <w:rFonts w:ascii="Calibri" w:hAnsi="Calibri"/>
                <w:color w:val="000000"/>
              </w:rPr>
              <w:t>0.7771</w:t>
            </w:r>
          </w:p>
        </w:tc>
        <w:tc>
          <w:tcPr>
            <w:tcW w:w="1094" w:type="dxa"/>
            <w:tcBorders>
              <w:top w:val="nil"/>
              <w:left w:val="single" w:sz="4" w:space="0" w:color="auto"/>
              <w:bottom w:val="nil"/>
              <w:right w:val="nil"/>
            </w:tcBorders>
            <w:noWrap/>
            <w:vAlign w:val="bottom"/>
          </w:tcPr>
          <w:p w14:paraId="158A4808" w14:textId="5F6ADEC8" w:rsidR="004550E1" w:rsidRDefault="004550E1" w:rsidP="009C7794">
            <w:pPr>
              <w:spacing w:after="0" w:line="240" w:lineRule="auto"/>
              <w:rPr>
                <w:rFonts w:ascii="Calibri" w:hAnsi="Calibri"/>
                <w:color w:val="0000FF"/>
              </w:rPr>
            </w:pPr>
            <w:r>
              <w:rPr>
                <w:rFonts w:ascii="Calibri" w:hAnsi="Calibri"/>
                <w:color w:val="000000"/>
              </w:rPr>
              <w:t>0.0000</w:t>
            </w:r>
          </w:p>
        </w:tc>
        <w:tc>
          <w:tcPr>
            <w:tcW w:w="1066" w:type="dxa"/>
            <w:noWrap/>
            <w:vAlign w:val="bottom"/>
          </w:tcPr>
          <w:p w14:paraId="74FA1B31" w14:textId="08B5B4A7" w:rsidR="004550E1" w:rsidRDefault="004550E1" w:rsidP="009C7794">
            <w:pPr>
              <w:spacing w:after="0" w:line="240" w:lineRule="auto"/>
              <w:rPr>
                <w:rFonts w:ascii="Calibri" w:hAnsi="Calibri"/>
                <w:color w:val="0000FF"/>
              </w:rPr>
            </w:pPr>
            <w:r>
              <w:rPr>
                <w:rFonts w:ascii="Calibri" w:hAnsi="Calibri"/>
                <w:color w:val="000000"/>
              </w:rPr>
              <w:t>0.0159</w:t>
            </w:r>
          </w:p>
        </w:tc>
        <w:tc>
          <w:tcPr>
            <w:tcW w:w="1098" w:type="dxa"/>
            <w:tcBorders>
              <w:top w:val="nil"/>
              <w:left w:val="nil"/>
              <w:bottom w:val="nil"/>
              <w:right w:val="single" w:sz="4" w:space="0" w:color="auto"/>
            </w:tcBorders>
            <w:noWrap/>
            <w:vAlign w:val="bottom"/>
          </w:tcPr>
          <w:p w14:paraId="39F22129" w14:textId="2D62F3C8" w:rsidR="004550E1" w:rsidRDefault="004550E1" w:rsidP="009C7794">
            <w:pPr>
              <w:spacing w:after="0" w:line="240" w:lineRule="auto"/>
              <w:rPr>
                <w:rFonts w:ascii="Calibri" w:hAnsi="Calibri"/>
                <w:color w:val="0000FF"/>
              </w:rPr>
            </w:pPr>
            <w:r>
              <w:rPr>
                <w:rFonts w:ascii="Calibri" w:hAnsi="Calibri"/>
                <w:color w:val="000000"/>
              </w:rPr>
              <w:t>0.9841</w:t>
            </w:r>
          </w:p>
        </w:tc>
      </w:tr>
      <w:tr w:rsidR="004550E1" w14:paraId="199EDBF6" w14:textId="77777777" w:rsidTr="00950E74">
        <w:trPr>
          <w:trHeight w:val="289"/>
        </w:trPr>
        <w:tc>
          <w:tcPr>
            <w:tcW w:w="915" w:type="dxa"/>
            <w:tcBorders>
              <w:top w:val="nil"/>
              <w:left w:val="single" w:sz="4" w:space="0" w:color="auto"/>
              <w:bottom w:val="nil"/>
              <w:right w:val="nil"/>
            </w:tcBorders>
            <w:noWrap/>
            <w:vAlign w:val="bottom"/>
            <w:hideMark/>
          </w:tcPr>
          <w:p w14:paraId="210E860F" w14:textId="77777777" w:rsidR="004550E1" w:rsidRPr="00C00E30" w:rsidRDefault="004550E1" w:rsidP="009C7794">
            <w:pPr>
              <w:spacing w:after="0" w:line="240" w:lineRule="auto"/>
              <w:jc w:val="center"/>
              <w:rPr>
                <w:rFonts w:ascii="Calibri" w:hAnsi="Calibri"/>
              </w:rPr>
            </w:pPr>
            <w:r w:rsidRPr="00C00E30">
              <w:rPr>
                <w:rFonts w:ascii="Calibri" w:hAnsi="Calibri"/>
              </w:rPr>
              <w:t>4</w:t>
            </w:r>
          </w:p>
        </w:tc>
        <w:tc>
          <w:tcPr>
            <w:tcW w:w="900" w:type="dxa"/>
            <w:noWrap/>
          </w:tcPr>
          <w:p w14:paraId="4539C0B2" w14:textId="13257515"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53A23EEF" w14:textId="1F0956F6" w:rsidR="004550E1" w:rsidRDefault="004550E1" w:rsidP="009C7794">
            <w:pPr>
              <w:spacing w:after="0" w:line="240" w:lineRule="auto"/>
              <w:jc w:val="center"/>
              <w:rPr>
                <w:rFonts w:ascii="Calibri" w:hAnsi="Calibri"/>
                <w:color w:val="0000FF"/>
              </w:rPr>
            </w:pPr>
            <w:r w:rsidRPr="00452E05">
              <w:t>5,181.90</w:t>
            </w:r>
          </w:p>
        </w:tc>
        <w:tc>
          <w:tcPr>
            <w:tcW w:w="990" w:type="dxa"/>
            <w:tcBorders>
              <w:top w:val="nil"/>
              <w:left w:val="single" w:sz="4" w:space="0" w:color="auto"/>
              <w:bottom w:val="nil"/>
              <w:right w:val="nil"/>
            </w:tcBorders>
            <w:noWrap/>
          </w:tcPr>
          <w:p w14:paraId="1255419A" w14:textId="521EB10E"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6BC25E33" w14:textId="4BAA9EA0" w:rsidR="004550E1" w:rsidRDefault="004550E1" w:rsidP="009C7794">
            <w:pPr>
              <w:spacing w:after="0" w:line="240" w:lineRule="auto"/>
              <w:rPr>
                <w:rFonts w:ascii="Calibri" w:hAnsi="Calibri"/>
                <w:color w:val="0000FF"/>
              </w:rPr>
            </w:pPr>
            <w:r>
              <w:rPr>
                <w:rFonts w:ascii="Calibri" w:hAnsi="Calibri"/>
                <w:color w:val="000000"/>
              </w:rPr>
              <w:t>0.1561</w:t>
            </w:r>
          </w:p>
        </w:tc>
        <w:tc>
          <w:tcPr>
            <w:tcW w:w="1070" w:type="dxa"/>
            <w:tcBorders>
              <w:top w:val="nil"/>
              <w:left w:val="nil"/>
              <w:bottom w:val="nil"/>
              <w:right w:val="single" w:sz="4" w:space="0" w:color="auto"/>
            </w:tcBorders>
            <w:noWrap/>
            <w:vAlign w:val="bottom"/>
          </w:tcPr>
          <w:p w14:paraId="1AA4BFA5" w14:textId="3262B85B" w:rsidR="004550E1" w:rsidRDefault="004550E1" w:rsidP="009C7794">
            <w:pPr>
              <w:spacing w:after="0" w:line="240" w:lineRule="auto"/>
              <w:rPr>
                <w:rFonts w:ascii="Calibri" w:hAnsi="Calibri"/>
                <w:color w:val="0000FF"/>
              </w:rPr>
            </w:pPr>
            <w:r>
              <w:rPr>
                <w:rFonts w:ascii="Calibri" w:hAnsi="Calibri"/>
                <w:color w:val="000000"/>
              </w:rPr>
              <w:t>0.8439</w:t>
            </w:r>
          </w:p>
        </w:tc>
        <w:tc>
          <w:tcPr>
            <w:tcW w:w="1094" w:type="dxa"/>
            <w:tcBorders>
              <w:top w:val="nil"/>
              <w:left w:val="single" w:sz="4" w:space="0" w:color="auto"/>
              <w:bottom w:val="nil"/>
              <w:right w:val="nil"/>
            </w:tcBorders>
            <w:noWrap/>
            <w:vAlign w:val="bottom"/>
          </w:tcPr>
          <w:p w14:paraId="3D58CCD2" w14:textId="6C913A0C" w:rsidR="004550E1" w:rsidRDefault="004550E1" w:rsidP="009C7794">
            <w:pPr>
              <w:spacing w:after="0" w:line="240" w:lineRule="auto"/>
              <w:rPr>
                <w:rFonts w:ascii="Calibri" w:hAnsi="Calibri"/>
                <w:color w:val="0000FF"/>
              </w:rPr>
            </w:pPr>
            <w:r>
              <w:rPr>
                <w:rFonts w:ascii="Calibri" w:hAnsi="Calibri"/>
                <w:color w:val="000000"/>
              </w:rPr>
              <w:t>0.1019</w:t>
            </w:r>
          </w:p>
        </w:tc>
        <w:tc>
          <w:tcPr>
            <w:tcW w:w="1066" w:type="dxa"/>
            <w:noWrap/>
            <w:vAlign w:val="bottom"/>
          </w:tcPr>
          <w:p w14:paraId="12B670C1" w14:textId="6A78555B" w:rsidR="004550E1" w:rsidRDefault="004550E1" w:rsidP="009C7794">
            <w:pPr>
              <w:spacing w:after="0" w:line="240" w:lineRule="auto"/>
              <w:rPr>
                <w:rFonts w:ascii="Calibri" w:hAnsi="Calibri"/>
                <w:color w:val="0000FF"/>
              </w:rPr>
            </w:pPr>
            <w:r>
              <w:rPr>
                <w:rFonts w:ascii="Calibri" w:hAnsi="Calibri"/>
                <w:color w:val="000000"/>
              </w:rPr>
              <w:t>0.0064</w:t>
            </w:r>
          </w:p>
        </w:tc>
        <w:tc>
          <w:tcPr>
            <w:tcW w:w="1098" w:type="dxa"/>
            <w:tcBorders>
              <w:top w:val="nil"/>
              <w:left w:val="nil"/>
              <w:bottom w:val="nil"/>
              <w:right w:val="single" w:sz="4" w:space="0" w:color="auto"/>
            </w:tcBorders>
            <w:noWrap/>
            <w:vAlign w:val="bottom"/>
          </w:tcPr>
          <w:p w14:paraId="7C105521" w14:textId="6AC99EC8" w:rsidR="004550E1" w:rsidRDefault="004550E1" w:rsidP="009C7794">
            <w:pPr>
              <w:spacing w:after="0" w:line="240" w:lineRule="auto"/>
              <w:rPr>
                <w:rFonts w:ascii="Calibri" w:hAnsi="Calibri"/>
                <w:color w:val="0000FF"/>
              </w:rPr>
            </w:pPr>
            <w:r>
              <w:rPr>
                <w:rFonts w:ascii="Calibri" w:hAnsi="Calibri"/>
                <w:color w:val="000000"/>
              </w:rPr>
              <w:t>0.8917</w:t>
            </w:r>
          </w:p>
        </w:tc>
      </w:tr>
      <w:tr w:rsidR="004550E1" w14:paraId="77CF1AA6" w14:textId="77777777" w:rsidTr="00950E74">
        <w:trPr>
          <w:trHeight w:val="289"/>
        </w:trPr>
        <w:tc>
          <w:tcPr>
            <w:tcW w:w="915" w:type="dxa"/>
            <w:tcBorders>
              <w:top w:val="nil"/>
              <w:left w:val="single" w:sz="4" w:space="0" w:color="auto"/>
              <w:bottom w:val="nil"/>
              <w:right w:val="nil"/>
            </w:tcBorders>
            <w:noWrap/>
            <w:vAlign w:val="bottom"/>
            <w:hideMark/>
          </w:tcPr>
          <w:p w14:paraId="7E692157" w14:textId="77777777" w:rsidR="004550E1" w:rsidRPr="00C00E30" w:rsidRDefault="004550E1" w:rsidP="009C7794">
            <w:pPr>
              <w:spacing w:after="0" w:line="240" w:lineRule="auto"/>
              <w:jc w:val="center"/>
              <w:rPr>
                <w:rFonts w:ascii="Calibri" w:hAnsi="Calibri"/>
              </w:rPr>
            </w:pPr>
            <w:r w:rsidRPr="00C00E30">
              <w:rPr>
                <w:rFonts w:ascii="Calibri" w:hAnsi="Calibri"/>
              </w:rPr>
              <w:t>5</w:t>
            </w:r>
          </w:p>
        </w:tc>
        <w:tc>
          <w:tcPr>
            <w:tcW w:w="900" w:type="dxa"/>
            <w:noWrap/>
          </w:tcPr>
          <w:p w14:paraId="2230F08E" w14:textId="587087D9"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4A894B48" w14:textId="701883E5" w:rsidR="004550E1" w:rsidRDefault="004550E1" w:rsidP="009C7794">
            <w:pPr>
              <w:spacing w:after="0" w:line="240" w:lineRule="auto"/>
              <w:jc w:val="center"/>
              <w:rPr>
                <w:rFonts w:ascii="Calibri" w:hAnsi="Calibri"/>
                <w:color w:val="0000FF"/>
              </w:rPr>
            </w:pPr>
            <w:r w:rsidRPr="00452E05">
              <w:t>6,922.90</w:t>
            </w:r>
          </w:p>
        </w:tc>
        <w:tc>
          <w:tcPr>
            <w:tcW w:w="990" w:type="dxa"/>
            <w:tcBorders>
              <w:top w:val="nil"/>
              <w:left w:val="single" w:sz="4" w:space="0" w:color="auto"/>
              <w:bottom w:val="nil"/>
              <w:right w:val="nil"/>
            </w:tcBorders>
            <w:noWrap/>
          </w:tcPr>
          <w:p w14:paraId="1019DEE1" w14:textId="7E7B51D4"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4B88096C" w14:textId="39E2C4F0" w:rsidR="004550E1" w:rsidRDefault="004550E1" w:rsidP="009C7794">
            <w:pPr>
              <w:spacing w:after="0" w:line="240" w:lineRule="auto"/>
              <w:rPr>
                <w:rFonts w:ascii="Calibri" w:hAnsi="Calibri"/>
                <w:color w:val="0000FF"/>
              </w:rPr>
            </w:pPr>
            <w:r>
              <w:rPr>
                <w:rFonts w:ascii="Calibri" w:hAnsi="Calibri"/>
                <w:color w:val="000000"/>
              </w:rPr>
              <w:t>0.3089</w:t>
            </w:r>
          </w:p>
        </w:tc>
        <w:tc>
          <w:tcPr>
            <w:tcW w:w="1070" w:type="dxa"/>
            <w:tcBorders>
              <w:top w:val="nil"/>
              <w:left w:val="nil"/>
              <w:bottom w:val="nil"/>
              <w:right w:val="single" w:sz="4" w:space="0" w:color="auto"/>
            </w:tcBorders>
            <w:noWrap/>
            <w:vAlign w:val="bottom"/>
          </w:tcPr>
          <w:p w14:paraId="3CDE4A1A" w14:textId="1B3402A6" w:rsidR="004550E1" w:rsidRPr="00950E74" w:rsidRDefault="004550E1" w:rsidP="009C7794">
            <w:pPr>
              <w:spacing w:after="0" w:line="240" w:lineRule="auto"/>
            </w:pPr>
            <w:r>
              <w:rPr>
                <w:rFonts w:ascii="Calibri" w:hAnsi="Calibri"/>
                <w:color w:val="000000"/>
              </w:rPr>
              <w:t>0.6911</w:t>
            </w:r>
          </w:p>
        </w:tc>
        <w:tc>
          <w:tcPr>
            <w:tcW w:w="1094" w:type="dxa"/>
            <w:tcBorders>
              <w:top w:val="nil"/>
              <w:left w:val="single" w:sz="4" w:space="0" w:color="auto"/>
              <w:bottom w:val="nil"/>
              <w:right w:val="nil"/>
            </w:tcBorders>
            <w:noWrap/>
            <w:vAlign w:val="bottom"/>
          </w:tcPr>
          <w:p w14:paraId="36CDA76E" w14:textId="597593A6" w:rsidR="004550E1" w:rsidRDefault="004550E1" w:rsidP="009C7794">
            <w:pPr>
              <w:spacing w:after="0" w:line="240" w:lineRule="auto"/>
              <w:rPr>
                <w:rFonts w:ascii="Calibri" w:hAnsi="Calibri"/>
                <w:color w:val="0000FF"/>
              </w:rPr>
            </w:pPr>
            <w:r>
              <w:rPr>
                <w:rFonts w:ascii="Calibri" w:hAnsi="Calibri"/>
                <w:color w:val="000000"/>
              </w:rPr>
              <w:t>0.3567</w:t>
            </w:r>
          </w:p>
        </w:tc>
        <w:tc>
          <w:tcPr>
            <w:tcW w:w="1066" w:type="dxa"/>
            <w:noWrap/>
            <w:vAlign w:val="bottom"/>
          </w:tcPr>
          <w:p w14:paraId="0A9CF497" w14:textId="4CC8DFEB" w:rsidR="004550E1" w:rsidRDefault="004550E1" w:rsidP="009C7794">
            <w:pPr>
              <w:spacing w:after="0" w:line="240" w:lineRule="auto"/>
              <w:rPr>
                <w:rFonts w:ascii="Calibri" w:hAnsi="Calibri"/>
                <w:color w:val="0000FF"/>
              </w:rPr>
            </w:pPr>
            <w:r>
              <w:rPr>
                <w:rFonts w:ascii="Calibri" w:hAnsi="Calibri"/>
                <w:color w:val="000000"/>
              </w:rPr>
              <w:t>0.0350</w:t>
            </w:r>
          </w:p>
        </w:tc>
        <w:tc>
          <w:tcPr>
            <w:tcW w:w="1098" w:type="dxa"/>
            <w:tcBorders>
              <w:top w:val="nil"/>
              <w:left w:val="nil"/>
              <w:bottom w:val="nil"/>
              <w:right w:val="single" w:sz="4" w:space="0" w:color="auto"/>
            </w:tcBorders>
            <w:noWrap/>
            <w:vAlign w:val="bottom"/>
          </w:tcPr>
          <w:p w14:paraId="425FFF3A" w14:textId="5F70A96B" w:rsidR="004550E1" w:rsidRDefault="004550E1" w:rsidP="009C7794">
            <w:pPr>
              <w:spacing w:after="0" w:line="240" w:lineRule="auto"/>
              <w:rPr>
                <w:rFonts w:ascii="Calibri" w:hAnsi="Calibri"/>
                <w:color w:val="0000FF"/>
              </w:rPr>
            </w:pPr>
            <w:r>
              <w:rPr>
                <w:rFonts w:ascii="Calibri" w:hAnsi="Calibri"/>
                <w:color w:val="000000"/>
              </w:rPr>
              <w:t>0.6083</w:t>
            </w:r>
          </w:p>
        </w:tc>
      </w:tr>
      <w:tr w:rsidR="004550E1" w14:paraId="00C01888" w14:textId="77777777" w:rsidTr="00950E74">
        <w:trPr>
          <w:trHeight w:val="289"/>
        </w:trPr>
        <w:tc>
          <w:tcPr>
            <w:tcW w:w="915" w:type="dxa"/>
            <w:tcBorders>
              <w:top w:val="nil"/>
              <w:left w:val="single" w:sz="4" w:space="0" w:color="auto"/>
              <w:bottom w:val="nil"/>
              <w:right w:val="nil"/>
            </w:tcBorders>
            <w:noWrap/>
            <w:vAlign w:val="bottom"/>
            <w:hideMark/>
          </w:tcPr>
          <w:p w14:paraId="5F3E568D" w14:textId="2D17C89B" w:rsidR="004550E1" w:rsidRPr="00C00E30" w:rsidRDefault="004550E1" w:rsidP="009C7794">
            <w:pPr>
              <w:spacing w:after="0" w:line="240" w:lineRule="auto"/>
              <w:jc w:val="center"/>
              <w:rPr>
                <w:rFonts w:ascii="Calibri" w:hAnsi="Calibri"/>
              </w:rPr>
            </w:pPr>
            <w:r w:rsidRPr="00C00E30">
              <w:rPr>
                <w:rFonts w:ascii="Calibri" w:hAnsi="Calibri"/>
              </w:rPr>
              <w:t>6</w:t>
            </w:r>
          </w:p>
        </w:tc>
        <w:tc>
          <w:tcPr>
            <w:tcW w:w="900" w:type="dxa"/>
            <w:noWrap/>
          </w:tcPr>
          <w:p w14:paraId="758B4FFD" w14:textId="1C9C2EF9"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7C8884E8" w14:textId="2EC2C9BE" w:rsidR="004550E1" w:rsidRDefault="004550E1" w:rsidP="009C7794">
            <w:pPr>
              <w:spacing w:after="0" w:line="240" w:lineRule="auto"/>
              <w:jc w:val="center"/>
              <w:rPr>
                <w:rFonts w:ascii="Calibri" w:hAnsi="Calibri"/>
                <w:color w:val="0000FF"/>
              </w:rPr>
            </w:pPr>
            <w:r w:rsidRPr="00452E05">
              <w:t>9,426.50</w:t>
            </w:r>
          </w:p>
        </w:tc>
        <w:tc>
          <w:tcPr>
            <w:tcW w:w="990" w:type="dxa"/>
            <w:tcBorders>
              <w:top w:val="nil"/>
              <w:left w:val="single" w:sz="4" w:space="0" w:color="auto"/>
              <w:bottom w:val="nil"/>
              <w:right w:val="nil"/>
            </w:tcBorders>
            <w:noWrap/>
          </w:tcPr>
          <w:p w14:paraId="1C5FBCFB" w14:textId="5BFF39DC"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1FE1B709" w14:textId="3DF2FE48" w:rsidR="004550E1" w:rsidRDefault="004550E1" w:rsidP="009C7794">
            <w:pPr>
              <w:spacing w:after="0" w:line="240" w:lineRule="auto"/>
              <w:rPr>
                <w:rFonts w:ascii="Calibri" w:hAnsi="Calibri"/>
                <w:color w:val="0000FF"/>
              </w:rPr>
            </w:pPr>
            <w:r>
              <w:rPr>
                <w:rFonts w:ascii="Calibri" w:hAnsi="Calibri"/>
                <w:color w:val="000000"/>
              </w:rPr>
              <w:t>0.2675</w:t>
            </w:r>
          </w:p>
        </w:tc>
        <w:tc>
          <w:tcPr>
            <w:tcW w:w="1070" w:type="dxa"/>
            <w:tcBorders>
              <w:top w:val="nil"/>
              <w:left w:val="nil"/>
              <w:bottom w:val="nil"/>
              <w:right w:val="single" w:sz="4" w:space="0" w:color="auto"/>
            </w:tcBorders>
            <w:noWrap/>
            <w:vAlign w:val="bottom"/>
          </w:tcPr>
          <w:p w14:paraId="3137A38B" w14:textId="3F6B0992" w:rsidR="004550E1" w:rsidRDefault="004550E1" w:rsidP="009C7794">
            <w:pPr>
              <w:spacing w:after="0" w:line="240" w:lineRule="auto"/>
              <w:rPr>
                <w:rFonts w:ascii="Calibri" w:hAnsi="Calibri"/>
                <w:color w:val="0000FF"/>
              </w:rPr>
            </w:pPr>
            <w:r>
              <w:rPr>
                <w:rFonts w:ascii="Calibri" w:hAnsi="Calibri"/>
                <w:color w:val="000000"/>
              </w:rPr>
              <w:t>0.7325</w:t>
            </w:r>
          </w:p>
        </w:tc>
        <w:tc>
          <w:tcPr>
            <w:tcW w:w="1094" w:type="dxa"/>
            <w:tcBorders>
              <w:top w:val="nil"/>
              <w:left w:val="single" w:sz="4" w:space="0" w:color="auto"/>
              <w:bottom w:val="nil"/>
              <w:right w:val="nil"/>
            </w:tcBorders>
            <w:noWrap/>
            <w:vAlign w:val="bottom"/>
          </w:tcPr>
          <w:p w14:paraId="3E89EC14" w14:textId="2297036D" w:rsidR="004550E1" w:rsidRDefault="004550E1" w:rsidP="009C7794">
            <w:pPr>
              <w:spacing w:after="0" w:line="240" w:lineRule="auto"/>
              <w:rPr>
                <w:rFonts w:ascii="Calibri" w:hAnsi="Calibri"/>
                <w:color w:val="0000FF"/>
              </w:rPr>
            </w:pPr>
            <w:r>
              <w:rPr>
                <w:rFonts w:ascii="Calibri" w:hAnsi="Calibri"/>
                <w:color w:val="000000"/>
              </w:rPr>
              <w:t>0.4395</w:t>
            </w:r>
          </w:p>
        </w:tc>
        <w:tc>
          <w:tcPr>
            <w:tcW w:w="1066" w:type="dxa"/>
            <w:noWrap/>
            <w:vAlign w:val="bottom"/>
          </w:tcPr>
          <w:p w14:paraId="4C329A46" w14:textId="3FC914ED" w:rsidR="004550E1" w:rsidRDefault="004550E1" w:rsidP="009C7794">
            <w:pPr>
              <w:spacing w:after="0" w:line="240" w:lineRule="auto"/>
              <w:rPr>
                <w:rFonts w:ascii="Calibri" w:hAnsi="Calibri"/>
                <w:color w:val="0000FF"/>
              </w:rPr>
            </w:pPr>
            <w:r>
              <w:rPr>
                <w:rFonts w:ascii="Calibri" w:hAnsi="Calibri"/>
                <w:color w:val="000000"/>
              </w:rPr>
              <w:t>0.0255</w:t>
            </w:r>
          </w:p>
        </w:tc>
        <w:tc>
          <w:tcPr>
            <w:tcW w:w="1098" w:type="dxa"/>
            <w:tcBorders>
              <w:top w:val="nil"/>
              <w:left w:val="nil"/>
              <w:bottom w:val="nil"/>
              <w:right w:val="single" w:sz="4" w:space="0" w:color="auto"/>
            </w:tcBorders>
            <w:noWrap/>
            <w:vAlign w:val="bottom"/>
          </w:tcPr>
          <w:p w14:paraId="4C55558E" w14:textId="08828D63" w:rsidR="004550E1" w:rsidRDefault="004550E1" w:rsidP="009C7794">
            <w:pPr>
              <w:spacing w:after="0" w:line="240" w:lineRule="auto"/>
              <w:rPr>
                <w:rFonts w:ascii="Calibri" w:hAnsi="Calibri"/>
                <w:color w:val="0000FF"/>
              </w:rPr>
            </w:pPr>
            <w:r>
              <w:rPr>
                <w:rFonts w:ascii="Calibri" w:hAnsi="Calibri"/>
                <w:color w:val="000000"/>
              </w:rPr>
              <w:t>0.5350</w:t>
            </w:r>
          </w:p>
        </w:tc>
      </w:tr>
      <w:tr w:rsidR="004550E1" w14:paraId="51F3AA97" w14:textId="77777777" w:rsidTr="00950E74">
        <w:trPr>
          <w:trHeight w:val="289"/>
        </w:trPr>
        <w:tc>
          <w:tcPr>
            <w:tcW w:w="915" w:type="dxa"/>
            <w:tcBorders>
              <w:top w:val="nil"/>
              <w:left w:val="single" w:sz="4" w:space="0" w:color="auto"/>
              <w:bottom w:val="nil"/>
              <w:right w:val="nil"/>
            </w:tcBorders>
            <w:noWrap/>
            <w:vAlign w:val="bottom"/>
            <w:hideMark/>
          </w:tcPr>
          <w:p w14:paraId="6479DB1E" w14:textId="77777777" w:rsidR="004550E1" w:rsidRPr="00C00E30" w:rsidRDefault="004550E1" w:rsidP="009C7794">
            <w:pPr>
              <w:spacing w:after="0" w:line="240" w:lineRule="auto"/>
              <w:jc w:val="center"/>
              <w:rPr>
                <w:rFonts w:ascii="Calibri" w:hAnsi="Calibri"/>
              </w:rPr>
            </w:pPr>
            <w:r w:rsidRPr="00C00E30">
              <w:rPr>
                <w:rFonts w:ascii="Calibri" w:hAnsi="Calibri"/>
              </w:rPr>
              <w:t>7</w:t>
            </w:r>
          </w:p>
        </w:tc>
        <w:tc>
          <w:tcPr>
            <w:tcW w:w="900" w:type="dxa"/>
            <w:noWrap/>
          </w:tcPr>
          <w:p w14:paraId="31D7F334" w14:textId="5839E409"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4499E702" w14:textId="3FEE095B" w:rsidR="004550E1" w:rsidRDefault="004550E1" w:rsidP="009C7794">
            <w:pPr>
              <w:spacing w:after="0" w:line="240" w:lineRule="auto"/>
              <w:jc w:val="center"/>
              <w:rPr>
                <w:rFonts w:ascii="Calibri" w:hAnsi="Calibri"/>
                <w:color w:val="0000FF"/>
              </w:rPr>
            </w:pPr>
            <w:r w:rsidRPr="00452E05">
              <w:t>12,906.60</w:t>
            </w:r>
          </w:p>
        </w:tc>
        <w:tc>
          <w:tcPr>
            <w:tcW w:w="990" w:type="dxa"/>
            <w:tcBorders>
              <w:top w:val="nil"/>
              <w:left w:val="single" w:sz="4" w:space="0" w:color="auto"/>
              <w:bottom w:val="nil"/>
              <w:right w:val="nil"/>
            </w:tcBorders>
            <w:noWrap/>
          </w:tcPr>
          <w:p w14:paraId="5F401EC0" w14:textId="695B92E6"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39E8A296" w14:textId="7C4B10E7" w:rsidR="004550E1" w:rsidRDefault="004550E1" w:rsidP="009C7794">
            <w:pPr>
              <w:spacing w:after="0" w:line="240" w:lineRule="auto"/>
              <w:rPr>
                <w:rFonts w:ascii="Calibri" w:hAnsi="Calibri"/>
                <w:color w:val="0000FF"/>
              </w:rPr>
            </w:pPr>
            <w:r>
              <w:rPr>
                <w:rFonts w:ascii="Calibri" w:hAnsi="Calibri"/>
                <w:color w:val="000000"/>
              </w:rPr>
              <w:t>0.3535</w:t>
            </w:r>
          </w:p>
        </w:tc>
        <w:tc>
          <w:tcPr>
            <w:tcW w:w="1070" w:type="dxa"/>
            <w:tcBorders>
              <w:top w:val="nil"/>
              <w:left w:val="nil"/>
              <w:bottom w:val="nil"/>
              <w:right w:val="single" w:sz="4" w:space="0" w:color="auto"/>
            </w:tcBorders>
            <w:noWrap/>
            <w:vAlign w:val="bottom"/>
          </w:tcPr>
          <w:p w14:paraId="2CB2317B" w14:textId="4698551D" w:rsidR="004550E1" w:rsidRDefault="004550E1" w:rsidP="009C7794">
            <w:pPr>
              <w:spacing w:after="0" w:line="240" w:lineRule="auto"/>
              <w:rPr>
                <w:rFonts w:ascii="Calibri" w:hAnsi="Calibri"/>
                <w:color w:val="0000FF"/>
              </w:rPr>
            </w:pPr>
            <w:r>
              <w:rPr>
                <w:rFonts w:ascii="Calibri" w:hAnsi="Calibri"/>
                <w:color w:val="000000"/>
              </w:rPr>
              <w:t>0.6465</w:t>
            </w:r>
          </w:p>
        </w:tc>
        <w:tc>
          <w:tcPr>
            <w:tcW w:w="1094" w:type="dxa"/>
            <w:tcBorders>
              <w:top w:val="nil"/>
              <w:left w:val="single" w:sz="4" w:space="0" w:color="auto"/>
              <w:bottom w:val="nil"/>
              <w:right w:val="nil"/>
            </w:tcBorders>
            <w:noWrap/>
            <w:vAlign w:val="bottom"/>
          </w:tcPr>
          <w:p w14:paraId="4B20FF1E" w14:textId="3EDBC16D" w:rsidR="004550E1" w:rsidRDefault="004550E1" w:rsidP="009C7794">
            <w:pPr>
              <w:spacing w:after="0" w:line="240" w:lineRule="auto"/>
              <w:rPr>
                <w:rFonts w:ascii="Calibri" w:hAnsi="Calibri"/>
                <w:color w:val="0000FF"/>
              </w:rPr>
            </w:pPr>
            <w:r>
              <w:rPr>
                <w:rFonts w:ascii="Calibri" w:hAnsi="Calibri"/>
                <w:color w:val="000000"/>
              </w:rPr>
              <w:t>0.5605</w:t>
            </w:r>
          </w:p>
        </w:tc>
        <w:tc>
          <w:tcPr>
            <w:tcW w:w="1066" w:type="dxa"/>
            <w:noWrap/>
            <w:vAlign w:val="bottom"/>
          </w:tcPr>
          <w:p w14:paraId="4BE80E05" w14:textId="119295F8" w:rsidR="004550E1" w:rsidRDefault="004550E1" w:rsidP="009C7794">
            <w:pPr>
              <w:spacing w:after="0" w:line="240" w:lineRule="auto"/>
              <w:rPr>
                <w:rFonts w:ascii="Calibri" w:hAnsi="Calibri"/>
                <w:color w:val="0000FF"/>
              </w:rPr>
            </w:pPr>
            <w:r>
              <w:rPr>
                <w:rFonts w:ascii="Calibri" w:hAnsi="Calibri"/>
                <w:color w:val="000000"/>
              </w:rPr>
              <w:t>0.0287</w:t>
            </w:r>
          </w:p>
        </w:tc>
        <w:tc>
          <w:tcPr>
            <w:tcW w:w="1098" w:type="dxa"/>
            <w:tcBorders>
              <w:top w:val="nil"/>
              <w:left w:val="nil"/>
              <w:bottom w:val="nil"/>
              <w:right w:val="single" w:sz="4" w:space="0" w:color="auto"/>
            </w:tcBorders>
            <w:noWrap/>
            <w:vAlign w:val="bottom"/>
          </w:tcPr>
          <w:p w14:paraId="206EB3C7" w14:textId="66C577F9" w:rsidR="004550E1" w:rsidRDefault="004550E1" w:rsidP="009C7794">
            <w:pPr>
              <w:spacing w:after="0" w:line="240" w:lineRule="auto"/>
              <w:rPr>
                <w:rFonts w:ascii="Calibri" w:hAnsi="Calibri"/>
                <w:color w:val="0000FF"/>
              </w:rPr>
            </w:pPr>
            <w:r>
              <w:rPr>
                <w:rFonts w:ascii="Calibri" w:hAnsi="Calibri"/>
                <w:color w:val="000000"/>
              </w:rPr>
              <w:t>0.4108</w:t>
            </w:r>
          </w:p>
        </w:tc>
      </w:tr>
      <w:tr w:rsidR="004550E1" w14:paraId="01F36716" w14:textId="77777777" w:rsidTr="00950E74">
        <w:trPr>
          <w:trHeight w:val="289"/>
        </w:trPr>
        <w:tc>
          <w:tcPr>
            <w:tcW w:w="915" w:type="dxa"/>
            <w:tcBorders>
              <w:top w:val="nil"/>
              <w:left w:val="single" w:sz="4" w:space="0" w:color="auto"/>
              <w:bottom w:val="nil"/>
              <w:right w:val="nil"/>
            </w:tcBorders>
            <w:noWrap/>
            <w:vAlign w:val="bottom"/>
            <w:hideMark/>
          </w:tcPr>
          <w:p w14:paraId="0BE43FC5" w14:textId="77777777" w:rsidR="004550E1" w:rsidRPr="00C00E30" w:rsidRDefault="004550E1" w:rsidP="009C7794">
            <w:pPr>
              <w:spacing w:after="0" w:line="240" w:lineRule="auto"/>
              <w:jc w:val="center"/>
              <w:rPr>
                <w:rFonts w:ascii="Calibri" w:hAnsi="Calibri"/>
              </w:rPr>
            </w:pPr>
            <w:r w:rsidRPr="00C00E30">
              <w:rPr>
                <w:rFonts w:ascii="Calibri" w:hAnsi="Calibri"/>
              </w:rPr>
              <w:t>8</w:t>
            </w:r>
          </w:p>
        </w:tc>
        <w:tc>
          <w:tcPr>
            <w:tcW w:w="900" w:type="dxa"/>
            <w:noWrap/>
          </w:tcPr>
          <w:p w14:paraId="4E6F2508" w14:textId="627EAA65"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18EC9427" w14:textId="305BCAF8" w:rsidR="004550E1" w:rsidRDefault="004550E1" w:rsidP="009C7794">
            <w:pPr>
              <w:spacing w:after="0" w:line="240" w:lineRule="auto"/>
              <w:jc w:val="center"/>
              <w:rPr>
                <w:rFonts w:ascii="Calibri" w:hAnsi="Calibri"/>
                <w:color w:val="0000FF"/>
              </w:rPr>
            </w:pPr>
            <w:r w:rsidRPr="00452E05">
              <w:t>19,998.80</w:t>
            </w:r>
          </w:p>
        </w:tc>
        <w:tc>
          <w:tcPr>
            <w:tcW w:w="990" w:type="dxa"/>
            <w:tcBorders>
              <w:top w:val="nil"/>
              <w:left w:val="single" w:sz="4" w:space="0" w:color="auto"/>
              <w:bottom w:val="nil"/>
              <w:right w:val="nil"/>
            </w:tcBorders>
            <w:noWrap/>
          </w:tcPr>
          <w:p w14:paraId="46FC5364" w14:textId="791F638F"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5917F825" w14:textId="668A7537" w:rsidR="004550E1" w:rsidRDefault="004550E1" w:rsidP="009C7794">
            <w:pPr>
              <w:spacing w:after="0" w:line="240" w:lineRule="auto"/>
              <w:rPr>
                <w:rFonts w:ascii="Calibri" w:hAnsi="Calibri"/>
                <w:color w:val="0000FF"/>
              </w:rPr>
            </w:pPr>
            <w:r>
              <w:rPr>
                <w:rFonts w:ascii="Calibri" w:hAnsi="Calibri"/>
                <w:color w:val="000000"/>
              </w:rPr>
              <w:t>0.4268</w:t>
            </w:r>
          </w:p>
        </w:tc>
        <w:tc>
          <w:tcPr>
            <w:tcW w:w="1070" w:type="dxa"/>
            <w:tcBorders>
              <w:top w:val="nil"/>
              <w:left w:val="nil"/>
              <w:bottom w:val="nil"/>
              <w:right w:val="single" w:sz="4" w:space="0" w:color="auto"/>
            </w:tcBorders>
            <w:noWrap/>
            <w:vAlign w:val="bottom"/>
          </w:tcPr>
          <w:p w14:paraId="079794F6" w14:textId="587F5D5D" w:rsidR="004550E1" w:rsidRDefault="004550E1" w:rsidP="009C7794">
            <w:pPr>
              <w:spacing w:after="0" w:line="240" w:lineRule="auto"/>
              <w:rPr>
                <w:rFonts w:ascii="Calibri" w:hAnsi="Calibri"/>
                <w:color w:val="0000FF"/>
              </w:rPr>
            </w:pPr>
            <w:r>
              <w:rPr>
                <w:rFonts w:ascii="Calibri" w:hAnsi="Calibri"/>
                <w:color w:val="000000"/>
              </w:rPr>
              <w:t>0.5732</w:t>
            </w:r>
          </w:p>
        </w:tc>
        <w:tc>
          <w:tcPr>
            <w:tcW w:w="1094" w:type="dxa"/>
            <w:tcBorders>
              <w:top w:val="nil"/>
              <w:left w:val="single" w:sz="4" w:space="0" w:color="auto"/>
              <w:bottom w:val="nil"/>
              <w:right w:val="nil"/>
            </w:tcBorders>
            <w:noWrap/>
            <w:vAlign w:val="bottom"/>
          </w:tcPr>
          <w:p w14:paraId="5D3A5BF6" w14:textId="21FAA250" w:rsidR="004550E1" w:rsidRDefault="004550E1" w:rsidP="009C7794">
            <w:pPr>
              <w:spacing w:after="0" w:line="240" w:lineRule="auto"/>
              <w:rPr>
                <w:rFonts w:ascii="Calibri" w:hAnsi="Calibri"/>
                <w:color w:val="0000FF"/>
              </w:rPr>
            </w:pPr>
            <w:r>
              <w:rPr>
                <w:rFonts w:ascii="Calibri" w:hAnsi="Calibri"/>
                <w:color w:val="000000"/>
              </w:rPr>
              <w:t>0.5955</w:t>
            </w:r>
          </w:p>
        </w:tc>
        <w:tc>
          <w:tcPr>
            <w:tcW w:w="1066" w:type="dxa"/>
            <w:noWrap/>
            <w:vAlign w:val="bottom"/>
          </w:tcPr>
          <w:p w14:paraId="22E6C7DB" w14:textId="367746BC" w:rsidR="004550E1" w:rsidRDefault="004550E1" w:rsidP="009C7794">
            <w:pPr>
              <w:spacing w:after="0" w:line="240" w:lineRule="auto"/>
              <w:rPr>
                <w:rFonts w:ascii="Calibri" w:hAnsi="Calibri"/>
                <w:color w:val="0000FF"/>
              </w:rPr>
            </w:pPr>
            <w:r>
              <w:rPr>
                <w:rFonts w:ascii="Calibri" w:hAnsi="Calibri"/>
                <w:color w:val="000000"/>
              </w:rPr>
              <w:t>0.0541</w:t>
            </w:r>
          </w:p>
        </w:tc>
        <w:tc>
          <w:tcPr>
            <w:tcW w:w="1098" w:type="dxa"/>
            <w:tcBorders>
              <w:top w:val="nil"/>
              <w:left w:val="nil"/>
              <w:bottom w:val="nil"/>
              <w:right w:val="single" w:sz="4" w:space="0" w:color="auto"/>
            </w:tcBorders>
            <w:noWrap/>
            <w:vAlign w:val="bottom"/>
          </w:tcPr>
          <w:p w14:paraId="0A8DEE16" w14:textId="5AC180C7" w:rsidR="004550E1" w:rsidRDefault="004550E1" w:rsidP="009C7794">
            <w:pPr>
              <w:spacing w:after="0" w:line="240" w:lineRule="auto"/>
              <w:rPr>
                <w:rFonts w:ascii="Calibri" w:hAnsi="Calibri"/>
                <w:color w:val="0000FF"/>
              </w:rPr>
            </w:pPr>
            <w:r>
              <w:rPr>
                <w:rFonts w:ascii="Calibri" w:hAnsi="Calibri"/>
                <w:color w:val="000000"/>
              </w:rPr>
              <w:t>0.3503</w:t>
            </w:r>
          </w:p>
        </w:tc>
      </w:tr>
      <w:tr w:rsidR="004550E1" w14:paraId="54CF6929" w14:textId="77777777" w:rsidTr="00950E74">
        <w:trPr>
          <w:trHeight w:val="289"/>
        </w:trPr>
        <w:tc>
          <w:tcPr>
            <w:tcW w:w="915" w:type="dxa"/>
            <w:tcBorders>
              <w:top w:val="nil"/>
              <w:left w:val="single" w:sz="4" w:space="0" w:color="auto"/>
              <w:bottom w:val="nil"/>
              <w:right w:val="nil"/>
            </w:tcBorders>
            <w:noWrap/>
            <w:vAlign w:val="bottom"/>
            <w:hideMark/>
          </w:tcPr>
          <w:p w14:paraId="71C66718" w14:textId="77777777" w:rsidR="004550E1" w:rsidRPr="00C00E30" w:rsidRDefault="004550E1" w:rsidP="009C7794">
            <w:pPr>
              <w:spacing w:after="0" w:line="240" w:lineRule="auto"/>
              <w:jc w:val="center"/>
              <w:rPr>
                <w:rFonts w:ascii="Calibri" w:hAnsi="Calibri"/>
              </w:rPr>
            </w:pPr>
            <w:r w:rsidRPr="00C00E30">
              <w:rPr>
                <w:rFonts w:ascii="Calibri" w:hAnsi="Calibri"/>
              </w:rPr>
              <w:t>9</w:t>
            </w:r>
          </w:p>
        </w:tc>
        <w:tc>
          <w:tcPr>
            <w:tcW w:w="900" w:type="dxa"/>
            <w:noWrap/>
          </w:tcPr>
          <w:p w14:paraId="636DF516" w14:textId="5CDF6018"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nil"/>
              <w:right w:val="single" w:sz="4" w:space="0" w:color="auto"/>
            </w:tcBorders>
            <w:noWrap/>
          </w:tcPr>
          <w:p w14:paraId="0C603705" w14:textId="007656D5" w:rsidR="004550E1" w:rsidRDefault="004550E1" w:rsidP="009C7794">
            <w:pPr>
              <w:spacing w:after="0" w:line="240" w:lineRule="auto"/>
              <w:jc w:val="center"/>
              <w:rPr>
                <w:rFonts w:ascii="Calibri" w:hAnsi="Calibri"/>
                <w:color w:val="0000FF"/>
              </w:rPr>
            </w:pPr>
            <w:r w:rsidRPr="00452E05">
              <w:t>38,396.80</w:t>
            </w:r>
          </w:p>
        </w:tc>
        <w:tc>
          <w:tcPr>
            <w:tcW w:w="990" w:type="dxa"/>
            <w:tcBorders>
              <w:top w:val="nil"/>
              <w:left w:val="single" w:sz="4" w:space="0" w:color="auto"/>
              <w:bottom w:val="nil"/>
              <w:right w:val="nil"/>
            </w:tcBorders>
            <w:noWrap/>
          </w:tcPr>
          <w:p w14:paraId="622B6F1D" w14:textId="443B5544" w:rsidR="004550E1" w:rsidRDefault="004550E1" w:rsidP="00944F1B">
            <w:pPr>
              <w:spacing w:after="0" w:line="240" w:lineRule="auto"/>
              <w:rPr>
                <w:rFonts w:ascii="Calibri" w:hAnsi="Calibri"/>
                <w:color w:val="0000FF"/>
              </w:rPr>
            </w:pPr>
            <w:r>
              <w:rPr>
                <w:rFonts w:ascii="Calibri" w:hAnsi="Calibri"/>
                <w:color w:val="000000"/>
              </w:rPr>
              <w:t>0.0000</w:t>
            </w:r>
          </w:p>
        </w:tc>
        <w:tc>
          <w:tcPr>
            <w:tcW w:w="1000" w:type="dxa"/>
            <w:gridSpan w:val="2"/>
            <w:noWrap/>
            <w:vAlign w:val="bottom"/>
          </w:tcPr>
          <w:p w14:paraId="3752A37F" w14:textId="194DAC40" w:rsidR="004550E1" w:rsidRDefault="004550E1" w:rsidP="009C7794">
            <w:pPr>
              <w:spacing w:after="0" w:line="240" w:lineRule="auto"/>
              <w:rPr>
                <w:rFonts w:ascii="Calibri" w:hAnsi="Calibri"/>
                <w:color w:val="0000FF"/>
              </w:rPr>
            </w:pPr>
            <w:r>
              <w:rPr>
                <w:rFonts w:ascii="Calibri" w:hAnsi="Calibri"/>
                <w:color w:val="000000"/>
              </w:rPr>
              <w:t>0.5287</w:t>
            </w:r>
          </w:p>
        </w:tc>
        <w:tc>
          <w:tcPr>
            <w:tcW w:w="1070" w:type="dxa"/>
            <w:tcBorders>
              <w:top w:val="nil"/>
              <w:left w:val="nil"/>
              <w:bottom w:val="nil"/>
              <w:right w:val="single" w:sz="4" w:space="0" w:color="auto"/>
            </w:tcBorders>
            <w:noWrap/>
            <w:vAlign w:val="bottom"/>
          </w:tcPr>
          <w:p w14:paraId="7857118E" w14:textId="41FD5E28" w:rsidR="004550E1" w:rsidRDefault="004550E1" w:rsidP="009C7794">
            <w:pPr>
              <w:spacing w:after="0" w:line="240" w:lineRule="auto"/>
              <w:rPr>
                <w:rFonts w:ascii="Calibri" w:hAnsi="Calibri"/>
                <w:color w:val="0000FF"/>
              </w:rPr>
            </w:pPr>
            <w:r>
              <w:rPr>
                <w:rFonts w:ascii="Calibri" w:hAnsi="Calibri"/>
                <w:color w:val="000000"/>
              </w:rPr>
              <w:t>0.4713</w:t>
            </w:r>
          </w:p>
        </w:tc>
        <w:tc>
          <w:tcPr>
            <w:tcW w:w="1094" w:type="dxa"/>
            <w:tcBorders>
              <w:top w:val="nil"/>
              <w:left w:val="single" w:sz="4" w:space="0" w:color="auto"/>
              <w:bottom w:val="nil"/>
              <w:right w:val="nil"/>
            </w:tcBorders>
            <w:noWrap/>
            <w:vAlign w:val="bottom"/>
          </w:tcPr>
          <w:p w14:paraId="3F496D4C" w14:textId="177008F0" w:rsidR="004550E1" w:rsidRDefault="004550E1" w:rsidP="009C7794">
            <w:pPr>
              <w:spacing w:after="0" w:line="240" w:lineRule="auto"/>
              <w:rPr>
                <w:rFonts w:ascii="Calibri" w:hAnsi="Calibri"/>
                <w:color w:val="0000FF"/>
              </w:rPr>
            </w:pPr>
            <w:r>
              <w:rPr>
                <w:rFonts w:ascii="Calibri" w:hAnsi="Calibri"/>
                <w:color w:val="000000"/>
              </w:rPr>
              <w:t>0.6592</w:t>
            </w:r>
          </w:p>
        </w:tc>
        <w:tc>
          <w:tcPr>
            <w:tcW w:w="1066" w:type="dxa"/>
            <w:noWrap/>
            <w:vAlign w:val="bottom"/>
          </w:tcPr>
          <w:p w14:paraId="7EF2C80F" w14:textId="64C0B2AD" w:rsidR="004550E1" w:rsidRDefault="004550E1" w:rsidP="009C7794">
            <w:pPr>
              <w:spacing w:after="0" w:line="240" w:lineRule="auto"/>
              <w:rPr>
                <w:rFonts w:ascii="Calibri" w:hAnsi="Calibri"/>
                <w:color w:val="0000FF"/>
              </w:rPr>
            </w:pPr>
            <w:r>
              <w:rPr>
                <w:rFonts w:ascii="Calibri" w:hAnsi="Calibri"/>
                <w:color w:val="000000"/>
              </w:rPr>
              <w:t>0.0510</w:t>
            </w:r>
          </w:p>
        </w:tc>
        <w:tc>
          <w:tcPr>
            <w:tcW w:w="1098" w:type="dxa"/>
            <w:tcBorders>
              <w:top w:val="nil"/>
              <w:left w:val="nil"/>
              <w:bottom w:val="nil"/>
              <w:right w:val="single" w:sz="4" w:space="0" w:color="auto"/>
            </w:tcBorders>
            <w:noWrap/>
            <w:vAlign w:val="bottom"/>
          </w:tcPr>
          <w:p w14:paraId="42F1E448" w14:textId="75CCF973" w:rsidR="004550E1" w:rsidRDefault="004550E1" w:rsidP="009C7794">
            <w:pPr>
              <w:spacing w:after="0" w:line="240" w:lineRule="auto"/>
              <w:rPr>
                <w:rFonts w:ascii="Calibri" w:hAnsi="Calibri"/>
                <w:color w:val="0000FF"/>
              </w:rPr>
            </w:pPr>
            <w:r>
              <w:rPr>
                <w:rFonts w:ascii="Calibri" w:hAnsi="Calibri"/>
                <w:color w:val="000000"/>
              </w:rPr>
              <w:t>0.2898</w:t>
            </w:r>
          </w:p>
        </w:tc>
      </w:tr>
      <w:tr w:rsidR="004550E1" w14:paraId="4B53B836" w14:textId="77777777" w:rsidTr="00950E74">
        <w:trPr>
          <w:trHeight w:val="300"/>
        </w:trPr>
        <w:tc>
          <w:tcPr>
            <w:tcW w:w="915" w:type="dxa"/>
            <w:tcBorders>
              <w:top w:val="nil"/>
              <w:left w:val="single" w:sz="4" w:space="0" w:color="auto"/>
              <w:bottom w:val="single" w:sz="4" w:space="0" w:color="auto"/>
              <w:right w:val="nil"/>
            </w:tcBorders>
            <w:noWrap/>
            <w:vAlign w:val="bottom"/>
            <w:hideMark/>
          </w:tcPr>
          <w:p w14:paraId="34021CEB" w14:textId="77777777" w:rsidR="004550E1" w:rsidRPr="00C00E30" w:rsidRDefault="004550E1" w:rsidP="009C7794">
            <w:pPr>
              <w:spacing w:after="0" w:line="240" w:lineRule="auto"/>
              <w:jc w:val="center"/>
              <w:rPr>
                <w:rFonts w:ascii="Calibri" w:hAnsi="Calibri"/>
              </w:rPr>
            </w:pPr>
            <w:r w:rsidRPr="00C00E30">
              <w:rPr>
                <w:rFonts w:ascii="Calibri" w:hAnsi="Calibri"/>
              </w:rPr>
              <w:t>10</w:t>
            </w:r>
          </w:p>
        </w:tc>
        <w:tc>
          <w:tcPr>
            <w:tcW w:w="900" w:type="dxa"/>
            <w:tcBorders>
              <w:top w:val="nil"/>
              <w:left w:val="nil"/>
              <w:bottom w:val="single" w:sz="4" w:space="0" w:color="auto"/>
              <w:right w:val="nil"/>
            </w:tcBorders>
            <w:noWrap/>
          </w:tcPr>
          <w:p w14:paraId="501C20BD" w14:textId="423D4C36" w:rsidR="004550E1" w:rsidRDefault="004550E1" w:rsidP="009C7794">
            <w:pPr>
              <w:spacing w:after="0" w:line="240" w:lineRule="auto"/>
              <w:jc w:val="center"/>
              <w:rPr>
                <w:rFonts w:ascii="Calibri" w:hAnsi="Calibri"/>
                <w:color w:val="0000FF"/>
              </w:rPr>
            </w:pPr>
            <w:r w:rsidRPr="00452E05">
              <w:t>314</w:t>
            </w:r>
          </w:p>
        </w:tc>
        <w:tc>
          <w:tcPr>
            <w:tcW w:w="1350" w:type="dxa"/>
            <w:tcBorders>
              <w:top w:val="nil"/>
              <w:left w:val="nil"/>
              <w:bottom w:val="single" w:sz="4" w:space="0" w:color="auto"/>
              <w:right w:val="single" w:sz="4" w:space="0" w:color="auto"/>
            </w:tcBorders>
            <w:noWrap/>
          </w:tcPr>
          <w:p w14:paraId="6220C36E" w14:textId="44A17F85" w:rsidR="004550E1" w:rsidRDefault="004550E1" w:rsidP="009C7794">
            <w:pPr>
              <w:spacing w:after="0" w:line="240" w:lineRule="auto"/>
              <w:jc w:val="center"/>
              <w:rPr>
                <w:rFonts w:ascii="Calibri" w:hAnsi="Calibri"/>
                <w:color w:val="0000FF"/>
              </w:rPr>
            </w:pPr>
            <w:r w:rsidRPr="00452E05">
              <w:t>191,539.10</w:t>
            </w:r>
          </w:p>
        </w:tc>
        <w:tc>
          <w:tcPr>
            <w:tcW w:w="990" w:type="dxa"/>
            <w:tcBorders>
              <w:top w:val="nil"/>
              <w:left w:val="single" w:sz="4" w:space="0" w:color="auto"/>
              <w:bottom w:val="single" w:sz="4" w:space="0" w:color="auto"/>
              <w:right w:val="nil"/>
            </w:tcBorders>
            <w:noWrap/>
            <w:vAlign w:val="bottom"/>
          </w:tcPr>
          <w:p w14:paraId="1DF64BD3" w14:textId="1E70486E" w:rsidR="004550E1" w:rsidRDefault="004550E1" w:rsidP="009C7794">
            <w:pPr>
              <w:spacing w:after="0" w:line="240" w:lineRule="auto"/>
              <w:rPr>
                <w:rFonts w:ascii="Calibri" w:hAnsi="Calibri"/>
                <w:color w:val="0000FF"/>
              </w:rPr>
            </w:pPr>
            <w:r>
              <w:rPr>
                <w:rFonts w:ascii="Calibri" w:hAnsi="Calibri"/>
                <w:color w:val="000000"/>
              </w:rPr>
              <w:t>0.0637</w:t>
            </w:r>
          </w:p>
        </w:tc>
        <w:tc>
          <w:tcPr>
            <w:tcW w:w="1000" w:type="dxa"/>
            <w:gridSpan w:val="2"/>
            <w:tcBorders>
              <w:top w:val="nil"/>
              <w:left w:val="nil"/>
              <w:bottom w:val="single" w:sz="4" w:space="0" w:color="auto"/>
              <w:right w:val="nil"/>
            </w:tcBorders>
            <w:noWrap/>
            <w:vAlign w:val="bottom"/>
          </w:tcPr>
          <w:p w14:paraId="0CC7909B" w14:textId="64862EC4" w:rsidR="004550E1" w:rsidRDefault="004550E1" w:rsidP="009C7794">
            <w:pPr>
              <w:spacing w:after="0" w:line="240" w:lineRule="auto"/>
              <w:rPr>
                <w:rFonts w:ascii="Calibri" w:hAnsi="Calibri"/>
                <w:color w:val="0000FF"/>
              </w:rPr>
            </w:pPr>
            <w:r>
              <w:rPr>
                <w:rFonts w:ascii="Calibri" w:hAnsi="Calibri"/>
                <w:color w:val="000000"/>
              </w:rPr>
              <w:t>0.7070</w:t>
            </w:r>
          </w:p>
        </w:tc>
        <w:tc>
          <w:tcPr>
            <w:tcW w:w="1070" w:type="dxa"/>
            <w:tcBorders>
              <w:top w:val="nil"/>
              <w:left w:val="nil"/>
              <w:bottom w:val="single" w:sz="4" w:space="0" w:color="auto"/>
              <w:right w:val="single" w:sz="4" w:space="0" w:color="auto"/>
            </w:tcBorders>
            <w:noWrap/>
            <w:vAlign w:val="bottom"/>
          </w:tcPr>
          <w:p w14:paraId="5F035190" w14:textId="59F81899" w:rsidR="004550E1" w:rsidRDefault="004550E1" w:rsidP="009C7794">
            <w:pPr>
              <w:spacing w:after="0" w:line="240" w:lineRule="auto"/>
              <w:rPr>
                <w:rFonts w:ascii="Calibri" w:hAnsi="Calibri"/>
                <w:color w:val="0000FF"/>
              </w:rPr>
            </w:pPr>
            <w:r>
              <w:rPr>
                <w:rFonts w:ascii="Calibri" w:hAnsi="Calibri"/>
                <w:color w:val="000000"/>
              </w:rPr>
              <w:t>0.2293</w:t>
            </w:r>
          </w:p>
        </w:tc>
        <w:tc>
          <w:tcPr>
            <w:tcW w:w="1094" w:type="dxa"/>
            <w:tcBorders>
              <w:top w:val="nil"/>
              <w:left w:val="single" w:sz="4" w:space="0" w:color="auto"/>
              <w:bottom w:val="single" w:sz="4" w:space="0" w:color="auto"/>
              <w:right w:val="nil"/>
            </w:tcBorders>
            <w:noWrap/>
            <w:vAlign w:val="bottom"/>
          </w:tcPr>
          <w:p w14:paraId="1D5CF78D" w14:textId="7B154025" w:rsidR="004550E1" w:rsidRDefault="004550E1" w:rsidP="009C7794">
            <w:pPr>
              <w:spacing w:after="0" w:line="240" w:lineRule="auto"/>
              <w:rPr>
                <w:rFonts w:ascii="Calibri" w:hAnsi="Calibri"/>
                <w:color w:val="0000FF"/>
              </w:rPr>
            </w:pPr>
            <w:r>
              <w:rPr>
                <w:rFonts w:ascii="Calibri" w:hAnsi="Calibri"/>
                <w:color w:val="000000"/>
              </w:rPr>
              <w:t>0.6879</w:t>
            </w:r>
          </w:p>
        </w:tc>
        <w:tc>
          <w:tcPr>
            <w:tcW w:w="1066" w:type="dxa"/>
            <w:tcBorders>
              <w:top w:val="nil"/>
              <w:left w:val="nil"/>
              <w:bottom w:val="single" w:sz="4" w:space="0" w:color="auto"/>
              <w:right w:val="nil"/>
            </w:tcBorders>
            <w:noWrap/>
            <w:vAlign w:val="bottom"/>
          </w:tcPr>
          <w:p w14:paraId="1291A7D4" w14:textId="0EDC472A" w:rsidR="004550E1" w:rsidRDefault="004550E1" w:rsidP="009C7794">
            <w:pPr>
              <w:spacing w:after="0" w:line="240" w:lineRule="auto"/>
              <w:rPr>
                <w:rFonts w:ascii="Calibri" w:hAnsi="Calibri"/>
                <w:color w:val="0000FF"/>
              </w:rPr>
            </w:pPr>
            <w:r>
              <w:rPr>
                <w:rFonts w:ascii="Calibri" w:hAnsi="Calibri"/>
                <w:color w:val="000000"/>
              </w:rPr>
              <w:t>0.1656</w:t>
            </w:r>
          </w:p>
        </w:tc>
        <w:tc>
          <w:tcPr>
            <w:tcW w:w="1098" w:type="dxa"/>
            <w:tcBorders>
              <w:top w:val="nil"/>
              <w:left w:val="nil"/>
              <w:bottom w:val="single" w:sz="4" w:space="0" w:color="auto"/>
              <w:right w:val="single" w:sz="4" w:space="0" w:color="auto"/>
            </w:tcBorders>
            <w:noWrap/>
            <w:vAlign w:val="bottom"/>
          </w:tcPr>
          <w:p w14:paraId="78E02E0E" w14:textId="6E31F649" w:rsidR="004550E1" w:rsidRDefault="004550E1" w:rsidP="009C7794">
            <w:pPr>
              <w:spacing w:after="0" w:line="240" w:lineRule="auto"/>
              <w:rPr>
                <w:rFonts w:ascii="Calibri" w:hAnsi="Calibri"/>
                <w:color w:val="0000FF"/>
              </w:rPr>
            </w:pPr>
            <w:r>
              <w:rPr>
                <w:rFonts w:ascii="Calibri" w:hAnsi="Calibri"/>
                <w:color w:val="000000"/>
              </w:rPr>
              <w:t>0.1465</w:t>
            </w:r>
          </w:p>
        </w:tc>
      </w:tr>
      <w:tr w:rsidR="004550E1" w14:paraId="3211AEAA" w14:textId="77777777" w:rsidTr="00950E74">
        <w:trPr>
          <w:trHeight w:val="300"/>
        </w:trPr>
        <w:tc>
          <w:tcPr>
            <w:tcW w:w="915" w:type="dxa"/>
            <w:tcBorders>
              <w:top w:val="single" w:sz="4" w:space="0" w:color="auto"/>
              <w:left w:val="single" w:sz="4" w:space="0" w:color="auto"/>
              <w:bottom w:val="single" w:sz="4" w:space="0" w:color="auto"/>
              <w:right w:val="nil"/>
            </w:tcBorders>
            <w:noWrap/>
            <w:vAlign w:val="bottom"/>
            <w:hideMark/>
          </w:tcPr>
          <w:p w14:paraId="65CEC376" w14:textId="77777777" w:rsidR="004550E1" w:rsidRDefault="004550E1" w:rsidP="009C7794">
            <w:pPr>
              <w:spacing w:after="0" w:line="240" w:lineRule="auto"/>
              <w:jc w:val="center"/>
              <w:rPr>
                <w:rFonts w:ascii="Calibri" w:hAnsi="Calibri"/>
                <w:color w:val="0000FF"/>
              </w:rPr>
            </w:pPr>
            <w:r w:rsidRPr="00C00E30">
              <w:rPr>
                <w:rFonts w:ascii="Calibri" w:hAnsi="Calibri"/>
              </w:rPr>
              <w:t>Overall</w:t>
            </w:r>
          </w:p>
        </w:tc>
        <w:tc>
          <w:tcPr>
            <w:tcW w:w="900" w:type="dxa"/>
            <w:tcBorders>
              <w:top w:val="single" w:sz="4" w:space="0" w:color="auto"/>
              <w:left w:val="nil"/>
              <w:bottom w:val="single" w:sz="4" w:space="0" w:color="auto"/>
              <w:right w:val="nil"/>
            </w:tcBorders>
            <w:noWrap/>
          </w:tcPr>
          <w:p w14:paraId="482D6986" w14:textId="38786D8E" w:rsidR="004550E1" w:rsidRDefault="004550E1" w:rsidP="009C7794">
            <w:pPr>
              <w:spacing w:after="0" w:line="240" w:lineRule="auto"/>
              <w:jc w:val="center"/>
              <w:rPr>
                <w:rFonts w:ascii="Calibri" w:hAnsi="Calibri"/>
                <w:color w:val="0000FF"/>
              </w:rPr>
            </w:pPr>
            <w:r w:rsidRPr="00452E05">
              <w:t>3,140</w:t>
            </w:r>
          </w:p>
        </w:tc>
        <w:tc>
          <w:tcPr>
            <w:tcW w:w="1350" w:type="dxa"/>
            <w:tcBorders>
              <w:top w:val="single" w:sz="4" w:space="0" w:color="auto"/>
              <w:left w:val="nil"/>
              <w:bottom w:val="single" w:sz="4" w:space="0" w:color="auto"/>
              <w:right w:val="single" w:sz="4" w:space="0" w:color="auto"/>
            </w:tcBorders>
            <w:noWrap/>
          </w:tcPr>
          <w:p w14:paraId="1136037D" w14:textId="7F0FC2E3" w:rsidR="004550E1" w:rsidRDefault="004550E1" w:rsidP="009C7794">
            <w:pPr>
              <w:spacing w:after="0" w:line="240" w:lineRule="auto"/>
              <w:jc w:val="center"/>
              <w:rPr>
                <w:rFonts w:ascii="Calibri" w:hAnsi="Calibri"/>
                <w:color w:val="0000FF"/>
              </w:rPr>
            </w:pPr>
            <w:r w:rsidRPr="00452E05">
              <w:t>29,193.40</w:t>
            </w:r>
          </w:p>
        </w:tc>
        <w:tc>
          <w:tcPr>
            <w:tcW w:w="990" w:type="dxa"/>
            <w:tcBorders>
              <w:top w:val="single" w:sz="4" w:space="0" w:color="auto"/>
              <w:left w:val="single" w:sz="4" w:space="0" w:color="auto"/>
              <w:bottom w:val="single" w:sz="4" w:space="0" w:color="auto"/>
              <w:right w:val="nil"/>
            </w:tcBorders>
            <w:noWrap/>
            <w:vAlign w:val="bottom"/>
          </w:tcPr>
          <w:p w14:paraId="603082AA" w14:textId="2F85377C" w:rsidR="004550E1" w:rsidRDefault="004550E1" w:rsidP="009C7794">
            <w:pPr>
              <w:spacing w:after="0" w:line="240" w:lineRule="auto"/>
              <w:rPr>
                <w:rFonts w:ascii="Calibri" w:hAnsi="Calibri"/>
                <w:color w:val="0000FF"/>
              </w:rPr>
            </w:pPr>
            <w:r>
              <w:rPr>
                <w:rFonts w:ascii="Calibri" w:hAnsi="Calibri"/>
                <w:color w:val="000000"/>
              </w:rPr>
              <w:t>0.0064</w:t>
            </w:r>
          </w:p>
        </w:tc>
        <w:tc>
          <w:tcPr>
            <w:tcW w:w="1000" w:type="dxa"/>
            <w:gridSpan w:val="2"/>
            <w:tcBorders>
              <w:top w:val="single" w:sz="4" w:space="0" w:color="auto"/>
              <w:left w:val="nil"/>
              <w:bottom w:val="single" w:sz="4" w:space="0" w:color="auto"/>
              <w:right w:val="nil"/>
            </w:tcBorders>
            <w:noWrap/>
            <w:vAlign w:val="bottom"/>
          </w:tcPr>
          <w:p w14:paraId="40118CB3" w14:textId="0195CD87" w:rsidR="004550E1" w:rsidRDefault="004550E1" w:rsidP="009C7794">
            <w:pPr>
              <w:spacing w:after="0" w:line="240" w:lineRule="auto"/>
              <w:rPr>
                <w:rFonts w:ascii="Calibri" w:hAnsi="Calibri"/>
                <w:color w:val="0000FF"/>
              </w:rPr>
            </w:pPr>
            <w:r>
              <w:rPr>
                <w:rFonts w:ascii="Calibri" w:hAnsi="Calibri"/>
                <w:color w:val="000000"/>
              </w:rPr>
              <w:t>0.3188</w:t>
            </w:r>
          </w:p>
        </w:tc>
        <w:tc>
          <w:tcPr>
            <w:tcW w:w="1070" w:type="dxa"/>
            <w:tcBorders>
              <w:top w:val="single" w:sz="4" w:space="0" w:color="auto"/>
              <w:left w:val="nil"/>
              <w:bottom w:val="single" w:sz="4" w:space="0" w:color="auto"/>
              <w:right w:val="single" w:sz="4" w:space="0" w:color="auto"/>
            </w:tcBorders>
            <w:noWrap/>
            <w:vAlign w:val="bottom"/>
          </w:tcPr>
          <w:p w14:paraId="7C4F79CD" w14:textId="517B4F13" w:rsidR="004550E1" w:rsidRDefault="004550E1" w:rsidP="009C7794">
            <w:pPr>
              <w:spacing w:after="0" w:line="240" w:lineRule="auto"/>
              <w:rPr>
                <w:rFonts w:ascii="Calibri" w:hAnsi="Calibri"/>
                <w:color w:val="0000FF"/>
              </w:rPr>
            </w:pPr>
            <w:r>
              <w:rPr>
                <w:rFonts w:ascii="Calibri" w:hAnsi="Calibri"/>
                <w:color w:val="000000"/>
              </w:rPr>
              <w:t>0.6748</w:t>
            </w:r>
          </w:p>
        </w:tc>
        <w:tc>
          <w:tcPr>
            <w:tcW w:w="1094" w:type="dxa"/>
            <w:tcBorders>
              <w:top w:val="single" w:sz="4" w:space="0" w:color="auto"/>
              <w:left w:val="single" w:sz="4" w:space="0" w:color="auto"/>
              <w:bottom w:val="single" w:sz="4" w:space="0" w:color="auto"/>
              <w:right w:val="nil"/>
            </w:tcBorders>
            <w:noWrap/>
            <w:vAlign w:val="bottom"/>
          </w:tcPr>
          <w:p w14:paraId="1000B851" w14:textId="2C923D5E" w:rsidR="004550E1" w:rsidRDefault="004550E1" w:rsidP="009C7794">
            <w:pPr>
              <w:spacing w:after="0" w:line="240" w:lineRule="auto"/>
              <w:rPr>
                <w:rFonts w:ascii="Calibri" w:hAnsi="Calibri"/>
                <w:color w:val="0000FF"/>
              </w:rPr>
            </w:pPr>
            <w:r>
              <w:rPr>
                <w:rFonts w:ascii="Calibri" w:hAnsi="Calibri"/>
                <w:color w:val="000000"/>
              </w:rPr>
              <w:t>0.3401</w:t>
            </w:r>
          </w:p>
        </w:tc>
        <w:tc>
          <w:tcPr>
            <w:tcW w:w="1066" w:type="dxa"/>
            <w:tcBorders>
              <w:top w:val="single" w:sz="4" w:space="0" w:color="auto"/>
              <w:left w:val="nil"/>
              <w:bottom w:val="single" w:sz="4" w:space="0" w:color="auto"/>
              <w:right w:val="nil"/>
            </w:tcBorders>
            <w:noWrap/>
            <w:vAlign w:val="bottom"/>
          </w:tcPr>
          <w:p w14:paraId="06ABC53C" w14:textId="71041EE8" w:rsidR="004550E1" w:rsidRDefault="004550E1" w:rsidP="009C7794">
            <w:pPr>
              <w:spacing w:after="0" w:line="240" w:lineRule="auto"/>
              <w:rPr>
                <w:rFonts w:ascii="Calibri" w:hAnsi="Calibri"/>
                <w:color w:val="0000FF"/>
              </w:rPr>
            </w:pPr>
            <w:r>
              <w:rPr>
                <w:rFonts w:ascii="Calibri" w:hAnsi="Calibri"/>
                <w:color w:val="000000"/>
              </w:rPr>
              <w:t>0.0395</w:t>
            </w:r>
          </w:p>
        </w:tc>
        <w:tc>
          <w:tcPr>
            <w:tcW w:w="1098" w:type="dxa"/>
            <w:tcBorders>
              <w:top w:val="single" w:sz="4" w:space="0" w:color="auto"/>
              <w:left w:val="nil"/>
              <w:bottom w:val="single" w:sz="4" w:space="0" w:color="auto"/>
              <w:right w:val="single" w:sz="4" w:space="0" w:color="auto"/>
            </w:tcBorders>
            <w:noWrap/>
            <w:vAlign w:val="bottom"/>
          </w:tcPr>
          <w:p w14:paraId="06BA3F0E" w14:textId="6CD75DE6" w:rsidR="004550E1" w:rsidRDefault="004550E1" w:rsidP="009C7794">
            <w:pPr>
              <w:spacing w:after="0" w:line="240" w:lineRule="auto"/>
              <w:rPr>
                <w:rFonts w:ascii="Calibri" w:hAnsi="Calibri"/>
                <w:color w:val="0000FF"/>
              </w:rPr>
            </w:pPr>
            <w:r>
              <w:rPr>
                <w:rFonts w:ascii="Calibri" w:hAnsi="Calibri"/>
                <w:color w:val="000000"/>
              </w:rPr>
              <w:t>0.6204</w:t>
            </w:r>
          </w:p>
        </w:tc>
      </w:tr>
    </w:tbl>
    <w:p w14:paraId="196D56B9" w14:textId="20610553" w:rsidR="002A6F19" w:rsidRPr="00C00E30" w:rsidRDefault="000C6B33" w:rsidP="002A6F19">
      <w:pPr>
        <w:autoSpaceDE w:val="0"/>
        <w:autoSpaceDN w:val="0"/>
        <w:adjustRightInd w:val="0"/>
        <w:spacing w:after="0" w:line="240" w:lineRule="auto"/>
        <w:rPr>
          <w:rFonts w:cstheme="minorHAnsi"/>
          <w:bCs/>
          <w:sz w:val="20"/>
          <w:szCs w:val="20"/>
        </w:rPr>
      </w:pPr>
      <w:r w:rsidRPr="00C00E30">
        <w:rPr>
          <w:rFonts w:ascii="Calibri" w:hAnsi="Calibri" w:cs="Calibri"/>
          <w:color w:val="0000FF"/>
          <w:sz w:val="20"/>
          <w:szCs w:val="20"/>
        </w:rPr>
        <w:t>Source: HCUP State Inpatient Databases (SID). Healthcare Cost and Utilization Project (HCUP). 20</w:t>
      </w:r>
      <w:r w:rsidR="00C00E30" w:rsidRPr="00C00E30">
        <w:rPr>
          <w:rFonts w:ascii="Calibri" w:hAnsi="Calibri" w:cs="Calibri"/>
          <w:color w:val="0000FF"/>
          <w:sz w:val="20"/>
          <w:szCs w:val="20"/>
        </w:rPr>
        <w:t>13</w:t>
      </w:r>
      <w:r w:rsidRPr="00C00E30">
        <w:rPr>
          <w:rFonts w:ascii="Calibri" w:hAnsi="Calibri" w:cs="Calibri"/>
          <w:color w:val="0000FF"/>
          <w:sz w:val="20"/>
          <w:szCs w:val="20"/>
        </w:rPr>
        <w:t>. Agency for</w:t>
      </w:r>
      <w:r w:rsidRPr="00C00E30">
        <w:rPr>
          <w:rFonts w:ascii="Calibri" w:hAnsi="Calibri" w:cs="Calibri"/>
          <w:color w:val="0000FF"/>
          <w:w w:val="99"/>
          <w:sz w:val="20"/>
          <w:szCs w:val="20"/>
        </w:rPr>
        <w:t xml:space="preserve"> </w:t>
      </w:r>
      <w:r w:rsidRPr="00C00E30">
        <w:rPr>
          <w:rFonts w:ascii="Calibri" w:hAnsi="Calibri" w:cs="Calibri"/>
          <w:color w:val="0000FF"/>
          <w:sz w:val="20"/>
          <w:szCs w:val="20"/>
        </w:rPr>
        <w:t xml:space="preserve">Healthcare Research and Quality, Rockville, MD. </w:t>
      </w:r>
      <w:hyperlink r:id="rId20" w:history="1">
        <w:r w:rsidRPr="00C00E30">
          <w:rPr>
            <w:rStyle w:val="Hyperlink"/>
            <w:rFonts w:ascii="Calibri" w:hAnsi="Calibri" w:cs="Calibri"/>
            <w:color w:val="0000FF"/>
            <w:sz w:val="20"/>
            <w:szCs w:val="20"/>
          </w:rPr>
          <w:t>www.hcup-us.ahrq.gov/sidoverview.jsp.</w:t>
        </w:r>
      </w:hyperlink>
      <w:r w:rsidRPr="00C00E30">
        <w:rPr>
          <w:rFonts w:ascii="Calibri" w:hAnsi="Calibri" w:cs="Calibri"/>
          <w:color w:val="0000FF"/>
          <w:sz w:val="20"/>
          <w:szCs w:val="20"/>
        </w:rPr>
        <w:t xml:space="preserve"> (AHRQ QI Software</w:t>
      </w:r>
      <w:r w:rsidRPr="00C00E30">
        <w:rPr>
          <w:rFonts w:ascii="Calibri" w:hAnsi="Calibri" w:cs="Calibri"/>
          <w:color w:val="0000FF"/>
          <w:w w:val="99"/>
          <w:sz w:val="20"/>
          <w:szCs w:val="20"/>
        </w:rPr>
        <w:t xml:space="preserve"> </w:t>
      </w:r>
      <w:r w:rsidR="00C00E30" w:rsidRPr="00C00E30">
        <w:rPr>
          <w:rFonts w:ascii="Calibri" w:hAnsi="Calibri" w:cs="Calibri"/>
          <w:color w:val="0000FF"/>
          <w:sz w:val="20"/>
          <w:szCs w:val="20"/>
        </w:rPr>
        <w:t>Version 6</w:t>
      </w:r>
      <w:r w:rsidRPr="00C00E30">
        <w:rPr>
          <w:rFonts w:ascii="Calibri" w:hAnsi="Calibri" w:cs="Calibri"/>
          <w:color w:val="0000FF"/>
          <w:sz w:val="20"/>
          <w:szCs w:val="20"/>
        </w:rPr>
        <w:t>.0)</w:t>
      </w:r>
      <w:r w:rsidRPr="00C00E30">
        <w:rPr>
          <w:rFonts w:cstheme="minorHAnsi"/>
          <w:bCs/>
          <w:sz w:val="20"/>
          <w:szCs w:val="20"/>
        </w:rPr>
        <w:br/>
      </w:r>
    </w:p>
    <w:p w14:paraId="2745B3C4" w14:textId="05711C4F" w:rsidR="004A75CB" w:rsidRPr="00C00E30" w:rsidRDefault="004A75CB" w:rsidP="004A75CB">
      <w:pPr>
        <w:pStyle w:val="BodyText"/>
        <w:ind w:left="0"/>
        <w:rPr>
          <w:rFonts w:ascii="Calibri" w:hAnsi="Calibri" w:cstheme="minorHAnsi"/>
          <w:b/>
          <w:color w:val="0000FF"/>
          <w:sz w:val="24"/>
          <w:szCs w:val="24"/>
        </w:rPr>
      </w:pPr>
      <w:proofErr w:type="gramStart"/>
      <w:r w:rsidRPr="00C00E30">
        <w:rPr>
          <w:rFonts w:ascii="Calibri" w:hAnsi="Calibri" w:cstheme="minorHAnsi"/>
          <w:b/>
          <w:color w:val="0000FF"/>
          <w:sz w:val="24"/>
          <w:szCs w:val="24"/>
        </w:rPr>
        <w:t>Table 6</w:t>
      </w:r>
      <w:r>
        <w:rPr>
          <w:rFonts w:ascii="Calibri" w:hAnsi="Calibri" w:cstheme="minorHAnsi"/>
          <w:b/>
          <w:color w:val="0000FF"/>
          <w:sz w:val="24"/>
          <w:szCs w:val="24"/>
        </w:rPr>
        <w:t>b</w:t>
      </w:r>
      <w:r w:rsidRPr="00C00E30">
        <w:rPr>
          <w:rFonts w:ascii="Calibri" w:hAnsi="Calibri" w:cstheme="minorHAnsi"/>
          <w:b/>
          <w:color w:val="0000FF"/>
          <w:sz w:val="24"/>
          <w:szCs w:val="24"/>
        </w:rPr>
        <w:t>.</w:t>
      </w:r>
      <w:proofErr w:type="gramEnd"/>
      <w:r w:rsidRPr="00C00E30">
        <w:rPr>
          <w:rFonts w:ascii="Calibri" w:hAnsi="Calibri" w:cstheme="minorHAnsi"/>
          <w:b/>
          <w:color w:val="0000FF"/>
          <w:sz w:val="24"/>
          <w:szCs w:val="24"/>
        </w:rPr>
        <w:t xml:space="preserve"> Performance Categories by </w:t>
      </w:r>
      <w:r>
        <w:rPr>
          <w:rFonts w:ascii="Calibri" w:hAnsi="Calibri" w:cstheme="minorHAnsi"/>
          <w:b/>
          <w:color w:val="0000FF"/>
          <w:sz w:val="24"/>
          <w:szCs w:val="24"/>
        </w:rPr>
        <w:t>County</w:t>
      </w:r>
      <w:r w:rsidRPr="00C00E30">
        <w:rPr>
          <w:rFonts w:ascii="Calibri" w:hAnsi="Calibri" w:cstheme="minorHAnsi"/>
          <w:b/>
          <w:color w:val="0000FF"/>
          <w:sz w:val="24"/>
          <w:szCs w:val="24"/>
        </w:rPr>
        <w:t xml:space="preserve"> Size Decile</w:t>
      </w:r>
      <w:r>
        <w:rPr>
          <w:rFonts w:ascii="Calibri" w:hAnsi="Calibri" w:cstheme="minorHAnsi"/>
          <w:b/>
          <w:color w:val="0000FF"/>
          <w:sz w:val="24"/>
          <w:szCs w:val="24"/>
        </w:rPr>
        <w:t>,</w:t>
      </w:r>
      <w:r w:rsidRPr="00C00E30">
        <w:rPr>
          <w:rFonts w:ascii="Calibri" w:hAnsi="Calibri" w:cstheme="minorHAnsi"/>
          <w:b/>
          <w:color w:val="0000FF"/>
          <w:sz w:val="24"/>
          <w:szCs w:val="24"/>
        </w:rPr>
        <w:t xml:space="preserve"> </w:t>
      </w:r>
      <w:proofErr w:type="gramStart"/>
      <w:r w:rsidRPr="00C00E30">
        <w:rPr>
          <w:rFonts w:ascii="Calibri" w:hAnsi="Calibri" w:cstheme="minorHAnsi"/>
          <w:b/>
          <w:bCs/>
          <w:color w:val="0000FF"/>
          <w:sz w:val="24"/>
          <w:szCs w:val="24"/>
        </w:rPr>
        <w:t xml:space="preserve">for </w:t>
      </w:r>
      <w:r w:rsidRPr="00C00E30">
        <w:rPr>
          <w:rFonts w:ascii="Calibri" w:hAnsi="Calibri" w:cs="Calibri"/>
          <w:b/>
          <w:bCs/>
          <w:color w:val="0000FF"/>
          <w:sz w:val="24"/>
          <w:szCs w:val="24"/>
        </w:rPr>
        <w:t>PQI</w:t>
      </w:r>
      <w:r w:rsidR="002C3098">
        <w:rPr>
          <w:rFonts w:ascii="Calibri" w:hAnsi="Calibri" w:cs="Calibri"/>
          <w:b/>
          <w:bCs/>
          <w:color w:val="0000FF"/>
          <w:sz w:val="24"/>
          <w:szCs w:val="24"/>
        </w:rPr>
        <w:t xml:space="preserve"> </w:t>
      </w:r>
      <w:r w:rsidRPr="00C00E30">
        <w:rPr>
          <w:rFonts w:ascii="Calibri" w:hAnsi="Calibri" w:cs="Calibri"/>
          <w:b/>
          <w:bCs/>
          <w:color w:val="0000FF"/>
          <w:sz w:val="24"/>
          <w:szCs w:val="24"/>
        </w:rPr>
        <w:t>15 Asthma in Younger Adults Admission Rate</w:t>
      </w:r>
      <w:proofErr w:type="gramEnd"/>
    </w:p>
    <w:tbl>
      <w:tblPr>
        <w:tblW w:w="9483" w:type="dxa"/>
        <w:tblInd w:w="93" w:type="dxa"/>
        <w:tblLayout w:type="fixed"/>
        <w:tblLook w:val="04A0" w:firstRow="1" w:lastRow="0" w:firstColumn="1" w:lastColumn="0" w:noHBand="0" w:noVBand="1"/>
      </w:tblPr>
      <w:tblGrid>
        <w:gridCol w:w="871"/>
        <w:gridCol w:w="869"/>
        <w:gridCol w:w="1335"/>
        <w:gridCol w:w="1192"/>
        <w:gridCol w:w="968"/>
        <w:gridCol w:w="1170"/>
        <w:gridCol w:w="990"/>
        <w:gridCol w:w="990"/>
        <w:gridCol w:w="1098"/>
      </w:tblGrid>
      <w:tr w:rsidR="004A75CB" w14:paraId="0C837374" w14:textId="77777777" w:rsidTr="00950E74">
        <w:trPr>
          <w:trHeight w:val="300"/>
          <w:tblHeader/>
        </w:trPr>
        <w:tc>
          <w:tcPr>
            <w:tcW w:w="871"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380E38A0" w14:textId="77777777" w:rsidR="004A75CB" w:rsidRDefault="004A75CB" w:rsidP="00727326">
            <w:pPr>
              <w:spacing w:after="0" w:line="240" w:lineRule="auto"/>
              <w:rPr>
                <w:rFonts w:ascii="Calibri" w:eastAsia="Times New Roman" w:hAnsi="Calibri" w:cs="Times New Roman"/>
                <w:color w:val="0000FF"/>
              </w:rPr>
            </w:pPr>
            <w:r>
              <w:rPr>
                <w:rFonts w:ascii="Calibri" w:eastAsia="Times New Roman" w:hAnsi="Calibri" w:cs="Times New Roman"/>
                <w:color w:val="0000FF"/>
              </w:rPr>
              <w:t> </w:t>
            </w:r>
          </w:p>
        </w:tc>
        <w:tc>
          <w:tcPr>
            <w:tcW w:w="869" w:type="dxa"/>
            <w:tcBorders>
              <w:top w:val="single" w:sz="4" w:space="0" w:color="auto"/>
              <w:left w:val="nil"/>
              <w:bottom w:val="single" w:sz="4" w:space="0" w:color="auto"/>
              <w:right w:val="nil"/>
            </w:tcBorders>
            <w:shd w:val="clear" w:color="auto" w:fill="D9D9D9" w:themeFill="background1" w:themeFillShade="D9"/>
            <w:noWrap/>
            <w:vAlign w:val="center"/>
            <w:hideMark/>
          </w:tcPr>
          <w:p w14:paraId="149F2479" w14:textId="77777777" w:rsidR="004A75CB" w:rsidRDefault="004A75CB" w:rsidP="00727326">
            <w:pPr>
              <w:spacing w:after="0" w:line="240" w:lineRule="auto"/>
              <w:rPr>
                <w:rFonts w:ascii="Calibri" w:eastAsia="Times New Roman" w:hAnsi="Calibri" w:cs="Times New Roman"/>
                <w:b/>
                <w:bCs/>
                <w:color w:val="0000FF"/>
              </w:rPr>
            </w:pPr>
            <w:r>
              <w:rPr>
                <w:rFonts w:ascii="Calibri" w:eastAsia="Times New Roman" w:hAnsi="Calibri" w:cs="Times New Roman"/>
                <w:b/>
                <w:bCs/>
                <w:color w:val="0000FF"/>
              </w:rPr>
              <w:t xml:space="preserve"> </w:t>
            </w:r>
          </w:p>
        </w:tc>
        <w:tc>
          <w:tcPr>
            <w:tcW w:w="13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8470156" w14:textId="77777777" w:rsidR="004A75CB" w:rsidRDefault="004A75CB" w:rsidP="00727326">
            <w:pPr>
              <w:spacing w:after="0" w:line="240" w:lineRule="auto"/>
              <w:rPr>
                <w:rFonts w:ascii="Calibri" w:eastAsia="Times New Roman" w:hAnsi="Calibri" w:cs="Times New Roman"/>
                <w:b/>
                <w:bCs/>
                <w:color w:val="0000FF"/>
              </w:rPr>
            </w:pPr>
            <w:r>
              <w:rPr>
                <w:rFonts w:ascii="Calibri" w:eastAsia="Times New Roman" w:hAnsi="Calibri" w:cs="Times New Roman"/>
                <w:b/>
                <w:bCs/>
                <w:color w:val="0000FF"/>
              </w:rPr>
              <w:t xml:space="preserve"> </w:t>
            </w:r>
          </w:p>
        </w:tc>
        <w:tc>
          <w:tcPr>
            <w:tcW w:w="333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70B0FBE" w14:textId="77777777" w:rsidR="004A75CB" w:rsidRDefault="004A75CB" w:rsidP="00727326">
            <w:pPr>
              <w:spacing w:after="0" w:line="240" w:lineRule="auto"/>
              <w:rPr>
                <w:rFonts w:ascii="Calibri" w:eastAsia="Times New Roman" w:hAnsi="Calibri" w:cs="Times New Roman"/>
                <w:b/>
                <w:bCs/>
                <w:color w:val="0000FF"/>
              </w:rPr>
            </w:pPr>
            <w:r>
              <w:rPr>
                <w:rFonts w:ascii="Calibri" w:eastAsia="Times New Roman" w:hAnsi="Calibri" w:cs="Times New Roman"/>
                <w:b/>
                <w:bCs/>
                <w:color w:val="0000FF"/>
              </w:rPr>
              <w:t>Benchmark </w:t>
            </w:r>
          </w:p>
        </w:tc>
        <w:tc>
          <w:tcPr>
            <w:tcW w:w="307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E67BB26" w14:textId="77777777" w:rsidR="004A75CB" w:rsidRDefault="004A75CB" w:rsidP="00727326">
            <w:pPr>
              <w:spacing w:after="0" w:line="240" w:lineRule="auto"/>
              <w:rPr>
                <w:rFonts w:ascii="Calibri" w:eastAsia="Times New Roman" w:hAnsi="Calibri" w:cs="Times New Roman"/>
                <w:color w:val="0000FF"/>
              </w:rPr>
            </w:pPr>
            <w:r>
              <w:rPr>
                <w:rFonts w:ascii="Calibri" w:eastAsia="Times New Roman" w:hAnsi="Calibri" w:cs="Times New Roman"/>
                <w:b/>
                <w:bCs/>
                <w:color w:val="0000FF"/>
              </w:rPr>
              <w:t>Threshold</w:t>
            </w:r>
            <w:r>
              <w:rPr>
                <w:rFonts w:ascii="Calibri" w:eastAsia="Times New Roman" w:hAnsi="Calibri" w:cs="Times New Roman"/>
                <w:color w:val="0000FF"/>
              </w:rPr>
              <w:t> </w:t>
            </w:r>
          </w:p>
        </w:tc>
      </w:tr>
      <w:tr w:rsidR="004A75CB" w14:paraId="0A8EFDBF" w14:textId="77777777" w:rsidTr="00950E74">
        <w:trPr>
          <w:trHeight w:val="1465"/>
          <w:tblHeader/>
        </w:trPr>
        <w:tc>
          <w:tcPr>
            <w:tcW w:w="8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0EA08"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Size Decile</w:t>
            </w:r>
          </w:p>
        </w:tc>
        <w:tc>
          <w:tcPr>
            <w:tcW w:w="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4EF3EC"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Number of Counties</w:t>
            </w:r>
          </w:p>
        </w:tc>
        <w:tc>
          <w:tcPr>
            <w:tcW w:w="1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F0755B"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Average Number of Denominator</w:t>
            </w:r>
          </w:p>
          <w:p w14:paraId="60D30EFB"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Discharges Per County</w:t>
            </w:r>
          </w:p>
        </w:tc>
        <w:tc>
          <w:tcPr>
            <w:tcW w:w="1192"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1BF294BE"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Better</w:t>
            </w:r>
          </w:p>
        </w:tc>
        <w:tc>
          <w:tcPr>
            <w:tcW w:w="968" w:type="dxa"/>
            <w:tcBorders>
              <w:top w:val="single" w:sz="4" w:space="0" w:color="auto"/>
              <w:left w:val="nil"/>
              <w:bottom w:val="single" w:sz="4" w:space="0" w:color="auto"/>
              <w:right w:val="nil"/>
            </w:tcBorders>
            <w:shd w:val="clear" w:color="auto" w:fill="D9D9D9" w:themeFill="background1" w:themeFillShade="D9"/>
            <w:vAlign w:val="center"/>
            <w:hideMark/>
          </w:tcPr>
          <w:p w14:paraId="44410388"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Worse</w:t>
            </w:r>
          </w:p>
        </w:tc>
        <w:tc>
          <w:tcPr>
            <w:tcW w:w="11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314F54"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 xml:space="preserve">Proportion Unclassified </w:t>
            </w:r>
          </w:p>
        </w:tc>
        <w:tc>
          <w:tcPr>
            <w:tcW w:w="990"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37BCF19A"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Better</w:t>
            </w:r>
          </w:p>
        </w:tc>
        <w:tc>
          <w:tcPr>
            <w:tcW w:w="990" w:type="dxa"/>
            <w:tcBorders>
              <w:top w:val="single" w:sz="4" w:space="0" w:color="auto"/>
              <w:left w:val="nil"/>
              <w:bottom w:val="single" w:sz="4" w:space="0" w:color="auto"/>
              <w:right w:val="nil"/>
            </w:tcBorders>
            <w:shd w:val="clear" w:color="auto" w:fill="D9D9D9" w:themeFill="background1" w:themeFillShade="D9"/>
            <w:vAlign w:val="center"/>
            <w:hideMark/>
          </w:tcPr>
          <w:p w14:paraId="668D819A"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Proportion Worse</w:t>
            </w:r>
          </w:p>
        </w:tc>
        <w:tc>
          <w:tcPr>
            <w:tcW w:w="109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B1D6EC" w14:textId="77777777" w:rsidR="004A75CB" w:rsidRDefault="004A75CB" w:rsidP="00727326">
            <w:pPr>
              <w:spacing w:after="0" w:line="240" w:lineRule="auto"/>
              <w:rPr>
                <w:rFonts w:ascii="Calibri" w:eastAsia="Times New Roman" w:hAnsi="Calibri" w:cs="Times New Roman"/>
                <w:b/>
                <w:bCs/>
                <w:color w:val="0000FF"/>
                <w:sz w:val="16"/>
                <w:szCs w:val="16"/>
              </w:rPr>
            </w:pPr>
            <w:r>
              <w:rPr>
                <w:rFonts w:ascii="Calibri" w:eastAsia="Times New Roman" w:hAnsi="Calibri" w:cs="Times New Roman"/>
                <w:b/>
                <w:bCs/>
                <w:color w:val="0000FF"/>
                <w:sz w:val="16"/>
                <w:szCs w:val="16"/>
              </w:rPr>
              <w:t xml:space="preserve">Proportion Unclassified </w:t>
            </w:r>
          </w:p>
        </w:tc>
      </w:tr>
      <w:tr w:rsidR="009F766D" w14:paraId="67CBDCB0" w14:textId="77777777" w:rsidTr="00950E74">
        <w:trPr>
          <w:trHeight w:val="289"/>
        </w:trPr>
        <w:tc>
          <w:tcPr>
            <w:tcW w:w="871" w:type="dxa"/>
            <w:tcBorders>
              <w:top w:val="single" w:sz="4" w:space="0" w:color="auto"/>
              <w:left w:val="single" w:sz="4" w:space="0" w:color="auto"/>
              <w:bottom w:val="nil"/>
              <w:right w:val="nil"/>
            </w:tcBorders>
            <w:noWrap/>
            <w:vAlign w:val="bottom"/>
            <w:hideMark/>
          </w:tcPr>
          <w:p w14:paraId="2AA92BFB" w14:textId="77777777" w:rsidR="009F766D" w:rsidRPr="00C00E30" w:rsidRDefault="009F766D" w:rsidP="00727326">
            <w:pPr>
              <w:spacing w:after="0" w:line="240" w:lineRule="auto"/>
              <w:jc w:val="center"/>
              <w:rPr>
                <w:rFonts w:ascii="Calibri" w:hAnsi="Calibri"/>
              </w:rPr>
            </w:pPr>
            <w:r w:rsidRPr="00C00E30">
              <w:rPr>
                <w:rFonts w:ascii="Calibri" w:hAnsi="Calibri"/>
              </w:rPr>
              <w:t>1</w:t>
            </w:r>
          </w:p>
        </w:tc>
        <w:tc>
          <w:tcPr>
            <w:tcW w:w="869" w:type="dxa"/>
            <w:tcBorders>
              <w:top w:val="single" w:sz="4" w:space="0" w:color="auto"/>
              <w:left w:val="nil"/>
              <w:bottom w:val="nil"/>
              <w:right w:val="nil"/>
            </w:tcBorders>
            <w:noWrap/>
          </w:tcPr>
          <w:p w14:paraId="3708FA60"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single" w:sz="4" w:space="0" w:color="auto"/>
              <w:left w:val="nil"/>
              <w:bottom w:val="nil"/>
              <w:right w:val="single" w:sz="4" w:space="0" w:color="auto"/>
            </w:tcBorders>
            <w:noWrap/>
          </w:tcPr>
          <w:p w14:paraId="6E7A0592" w14:textId="77777777" w:rsidR="009F766D" w:rsidRDefault="009F766D" w:rsidP="00727326">
            <w:pPr>
              <w:spacing w:after="0" w:line="240" w:lineRule="auto"/>
              <w:jc w:val="center"/>
              <w:rPr>
                <w:rFonts w:ascii="Calibri" w:hAnsi="Calibri"/>
                <w:color w:val="0000FF"/>
              </w:rPr>
            </w:pPr>
            <w:r w:rsidRPr="00452E05">
              <w:t>1,178.60</w:t>
            </w:r>
          </w:p>
        </w:tc>
        <w:tc>
          <w:tcPr>
            <w:tcW w:w="1192" w:type="dxa"/>
            <w:tcBorders>
              <w:top w:val="single" w:sz="4" w:space="0" w:color="auto"/>
              <w:left w:val="single" w:sz="4" w:space="0" w:color="auto"/>
              <w:bottom w:val="nil"/>
              <w:right w:val="nil"/>
            </w:tcBorders>
            <w:noWrap/>
            <w:vAlign w:val="bottom"/>
          </w:tcPr>
          <w:p w14:paraId="5A34A3EE" w14:textId="145574CF"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tcBorders>
              <w:top w:val="single" w:sz="4" w:space="0" w:color="auto"/>
              <w:left w:val="nil"/>
              <w:bottom w:val="nil"/>
              <w:right w:val="nil"/>
            </w:tcBorders>
            <w:noWrap/>
            <w:vAlign w:val="bottom"/>
          </w:tcPr>
          <w:p w14:paraId="3081BEE6" w14:textId="12BE1762" w:rsidR="009F766D" w:rsidRDefault="009F766D" w:rsidP="00727326">
            <w:pPr>
              <w:spacing w:after="0" w:line="240" w:lineRule="auto"/>
              <w:rPr>
                <w:rFonts w:ascii="Calibri" w:hAnsi="Calibri"/>
                <w:color w:val="0000FF"/>
              </w:rPr>
            </w:pPr>
            <w:r>
              <w:rPr>
                <w:rFonts w:ascii="Calibri" w:hAnsi="Calibri"/>
                <w:color w:val="000000"/>
              </w:rPr>
              <w:t>0.0541</w:t>
            </w:r>
          </w:p>
        </w:tc>
        <w:tc>
          <w:tcPr>
            <w:tcW w:w="1170" w:type="dxa"/>
            <w:tcBorders>
              <w:top w:val="single" w:sz="4" w:space="0" w:color="auto"/>
              <w:left w:val="nil"/>
              <w:bottom w:val="nil"/>
              <w:right w:val="single" w:sz="4" w:space="0" w:color="auto"/>
            </w:tcBorders>
            <w:noWrap/>
            <w:vAlign w:val="bottom"/>
          </w:tcPr>
          <w:p w14:paraId="7C85446F" w14:textId="355E0F39" w:rsidR="009F766D" w:rsidRDefault="009F766D" w:rsidP="00727326">
            <w:pPr>
              <w:spacing w:after="0" w:line="240" w:lineRule="auto"/>
              <w:rPr>
                <w:rFonts w:ascii="Calibri" w:hAnsi="Calibri"/>
                <w:color w:val="0000FF"/>
              </w:rPr>
            </w:pPr>
            <w:r>
              <w:rPr>
                <w:rFonts w:ascii="Calibri" w:hAnsi="Calibri"/>
                <w:color w:val="000000"/>
              </w:rPr>
              <w:t>0.9459</w:t>
            </w:r>
          </w:p>
        </w:tc>
        <w:tc>
          <w:tcPr>
            <w:tcW w:w="990" w:type="dxa"/>
            <w:tcBorders>
              <w:top w:val="single" w:sz="4" w:space="0" w:color="auto"/>
              <w:left w:val="single" w:sz="4" w:space="0" w:color="auto"/>
              <w:bottom w:val="nil"/>
              <w:right w:val="nil"/>
            </w:tcBorders>
            <w:noWrap/>
            <w:vAlign w:val="bottom"/>
          </w:tcPr>
          <w:p w14:paraId="1F9F5016" w14:textId="0115AADF" w:rsidR="009F766D" w:rsidRDefault="009F766D" w:rsidP="00727326">
            <w:pPr>
              <w:spacing w:after="0" w:line="240" w:lineRule="auto"/>
              <w:rPr>
                <w:rFonts w:ascii="Calibri" w:hAnsi="Calibri"/>
                <w:color w:val="0000FF"/>
              </w:rPr>
            </w:pPr>
            <w:r>
              <w:rPr>
                <w:rFonts w:ascii="Calibri" w:hAnsi="Calibri"/>
                <w:color w:val="000000"/>
              </w:rPr>
              <w:t>0.0000</w:t>
            </w:r>
          </w:p>
        </w:tc>
        <w:tc>
          <w:tcPr>
            <w:tcW w:w="990" w:type="dxa"/>
            <w:tcBorders>
              <w:top w:val="single" w:sz="4" w:space="0" w:color="auto"/>
              <w:left w:val="nil"/>
              <w:bottom w:val="nil"/>
              <w:right w:val="nil"/>
            </w:tcBorders>
            <w:noWrap/>
            <w:vAlign w:val="bottom"/>
          </w:tcPr>
          <w:p w14:paraId="3DD015EA" w14:textId="00C4F981" w:rsidR="009F766D" w:rsidRDefault="009F766D" w:rsidP="00727326">
            <w:pPr>
              <w:spacing w:after="0" w:line="240" w:lineRule="auto"/>
              <w:rPr>
                <w:rFonts w:ascii="Calibri" w:hAnsi="Calibri"/>
                <w:color w:val="0000FF"/>
              </w:rPr>
            </w:pPr>
            <w:r>
              <w:rPr>
                <w:rFonts w:ascii="Calibri" w:hAnsi="Calibri"/>
                <w:color w:val="000000"/>
              </w:rPr>
              <w:t>0.0000</w:t>
            </w:r>
          </w:p>
        </w:tc>
        <w:tc>
          <w:tcPr>
            <w:tcW w:w="1098" w:type="dxa"/>
            <w:tcBorders>
              <w:top w:val="single" w:sz="4" w:space="0" w:color="auto"/>
              <w:left w:val="nil"/>
              <w:bottom w:val="nil"/>
              <w:right w:val="single" w:sz="4" w:space="0" w:color="auto"/>
            </w:tcBorders>
            <w:noWrap/>
            <w:vAlign w:val="bottom"/>
          </w:tcPr>
          <w:p w14:paraId="72E57524" w14:textId="3E7EBED9" w:rsidR="009F766D" w:rsidRDefault="009F766D" w:rsidP="00727326">
            <w:pPr>
              <w:spacing w:after="0" w:line="240" w:lineRule="auto"/>
              <w:rPr>
                <w:rFonts w:ascii="Calibri" w:hAnsi="Calibri"/>
                <w:color w:val="0000FF"/>
              </w:rPr>
            </w:pPr>
            <w:r>
              <w:rPr>
                <w:rFonts w:ascii="Calibri" w:hAnsi="Calibri"/>
                <w:color w:val="000000"/>
              </w:rPr>
              <w:t>1.0000</w:t>
            </w:r>
          </w:p>
        </w:tc>
      </w:tr>
      <w:tr w:rsidR="009F766D" w14:paraId="32E20215" w14:textId="77777777" w:rsidTr="00950E74">
        <w:trPr>
          <w:trHeight w:val="289"/>
        </w:trPr>
        <w:tc>
          <w:tcPr>
            <w:tcW w:w="871" w:type="dxa"/>
            <w:tcBorders>
              <w:top w:val="nil"/>
              <w:left w:val="single" w:sz="4" w:space="0" w:color="auto"/>
              <w:bottom w:val="nil"/>
              <w:right w:val="nil"/>
            </w:tcBorders>
            <w:noWrap/>
            <w:vAlign w:val="bottom"/>
            <w:hideMark/>
          </w:tcPr>
          <w:p w14:paraId="12DE3A76" w14:textId="77777777" w:rsidR="009F766D" w:rsidRPr="00C00E30" w:rsidRDefault="009F766D" w:rsidP="00727326">
            <w:pPr>
              <w:spacing w:after="0" w:line="240" w:lineRule="auto"/>
              <w:jc w:val="center"/>
              <w:rPr>
                <w:rFonts w:ascii="Calibri" w:hAnsi="Calibri"/>
              </w:rPr>
            </w:pPr>
            <w:r w:rsidRPr="00C00E30">
              <w:rPr>
                <w:rFonts w:ascii="Calibri" w:hAnsi="Calibri"/>
              </w:rPr>
              <w:t>2</w:t>
            </w:r>
          </w:p>
        </w:tc>
        <w:tc>
          <w:tcPr>
            <w:tcW w:w="869" w:type="dxa"/>
            <w:noWrap/>
          </w:tcPr>
          <w:p w14:paraId="72757145"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1E874AF2" w14:textId="77777777" w:rsidR="009F766D" w:rsidRDefault="009F766D" w:rsidP="00727326">
            <w:pPr>
              <w:spacing w:after="0" w:line="240" w:lineRule="auto"/>
              <w:jc w:val="center"/>
              <w:rPr>
                <w:rFonts w:ascii="Calibri" w:hAnsi="Calibri"/>
                <w:color w:val="0000FF"/>
              </w:rPr>
            </w:pPr>
            <w:r w:rsidRPr="00452E05">
              <w:t>2,542.00</w:t>
            </w:r>
          </w:p>
        </w:tc>
        <w:tc>
          <w:tcPr>
            <w:tcW w:w="1192" w:type="dxa"/>
            <w:tcBorders>
              <w:top w:val="nil"/>
              <w:left w:val="single" w:sz="4" w:space="0" w:color="auto"/>
              <w:bottom w:val="nil"/>
              <w:right w:val="nil"/>
            </w:tcBorders>
            <w:noWrap/>
            <w:vAlign w:val="bottom"/>
          </w:tcPr>
          <w:p w14:paraId="4752E886" w14:textId="3C7410FD"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52AF48E0" w14:textId="1CC1FB52" w:rsidR="009F766D" w:rsidRDefault="009F766D" w:rsidP="00727326">
            <w:pPr>
              <w:spacing w:after="0" w:line="240" w:lineRule="auto"/>
              <w:rPr>
                <w:rFonts w:ascii="Calibri" w:hAnsi="Calibri"/>
                <w:color w:val="0000FF"/>
              </w:rPr>
            </w:pPr>
            <w:r>
              <w:rPr>
                <w:rFonts w:ascii="Calibri" w:hAnsi="Calibri"/>
                <w:color w:val="000000"/>
              </w:rPr>
              <w:t>0.1497</w:t>
            </w:r>
          </w:p>
        </w:tc>
        <w:tc>
          <w:tcPr>
            <w:tcW w:w="1170" w:type="dxa"/>
            <w:tcBorders>
              <w:top w:val="nil"/>
              <w:left w:val="nil"/>
              <w:bottom w:val="nil"/>
              <w:right w:val="single" w:sz="4" w:space="0" w:color="auto"/>
            </w:tcBorders>
            <w:noWrap/>
            <w:vAlign w:val="bottom"/>
          </w:tcPr>
          <w:p w14:paraId="298B9E4E" w14:textId="747ABC6B" w:rsidR="009F766D" w:rsidRDefault="009F766D" w:rsidP="00727326">
            <w:pPr>
              <w:spacing w:after="0" w:line="240" w:lineRule="auto"/>
              <w:rPr>
                <w:rFonts w:ascii="Calibri" w:hAnsi="Calibri"/>
                <w:color w:val="0000FF"/>
              </w:rPr>
            </w:pPr>
            <w:r>
              <w:rPr>
                <w:rFonts w:ascii="Calibri" w:hAnsi="Calibri"/>
                <w:color w:val="000000"/>
              </w:rPr>
              <w:t>0.8503</w:t>
            </w:r>
          </w:p>
        </w:tc>
        <w:tc>
          <w:tcPr>
            <w:tcW w:w="990" w:type="dxa"/>
            <w:tcBorders>
              <w:top w:val="nil"/>
              <w:left w:val="single" w:sz="4" w:space="0" w:color="auto"/>
              <w:bottom w:val="nil"/>
              <w:right w:val="nil"/>
            </w:tcBorders>
            <w:noWrap/>
            <w:vAlign w:val="bottom"/>
          </w:tcPr>
          <w:p w14:paraId="6C44E382" w14:textId="021BFECB" w:rsidR="009F766D" w:rsidRDefault="009F766D" w:rsidP="00727326">
            <w:pPr>
              <w:spacing w:after="0" w:line="240" w:lineRule="auto"/>
              <w:rPr>
                <w:rFonts w:ascii="Calibri" w:hAnsi="Calibri"/>
                <w:color w:val="0000FF"/>
              </w:rPr>
            </w:pPr>
            <w:r>
              <w:rPr>
                <w:rFonts w:ascii="Calibri" w:hAnsi="Calibri"/>
                <w:color w:val="000000"/>
              </w:rPr>
              <w:t>0.0000</w:t>
            </w:r>
          </w:p>
        </w:tc>
        <w:tc>
          <w:tcPr>
            <w:tcW w:w="990" w:type="dxa"/>
            <w:noWrap/>
            <w:vAlign w:val="bottom"/>
          </w:tcPr>
          <w:p w14:paraId="29D8F5E1" w14:textId="36A1A8E2" w:rsidR="009F766D" w:rsidRDefault="009F766D" w:rsidP="00727326">
            <w:pPr>
              <w:spacing w:after="0" w:line="240" w:lineRule="auto"/>
              <w:rPr>
                <w:rFonts w:ascii="Calibri" w:hAnsi="Calibri"/>
                <w:color w:val="0000FF"/>
              </w:rPr>
            </w:pPr>
            <w:r>
              <w:rPr>
                <w:rFonts w:ascii="Calibri" w:hAnsi="Calibri"/>
                <w:color w:val="000000"/>
              </w:rPr>
              <w:t>0.0127</w:t>
            </w:r>
          </w:p>
        </w:tc>
        <w:tc>
          <w:tcPr>
            <w:tcW w:w="1098" w:type="dxa"/>
            <w:tcBorders>
              <w:top w:val="nil"/>
              <w:left w:val="nil"/>
              <w:bottom w:val="nil"/>
              <w:right w:val="single" w:sz="4" w:space="0" w:color="auto"/>
            </w:tcBorders>
            <w:noWrap/>
            <w:vAlign w:val="bottom"/>
          </w:tcPr>
          <w:p w14:paraId="035D71C3" w14:textId="1F6C64E6" w:rsidR="009F766D" w:rsidRDefault="009F766D" w:rsidP="00727326">
            <w:pPr>
              <w:spacing w:after="0" w:line="240" w:lineRule="auto"/>
              <w:rPr>
                <w:rFonts w:ascii="Calibri" w:hAnsi="Calibri"/>
                <w:color w:val="0000FF"/>
              </w:rPr>
            </w:pPr>
            <w:r>
              <w:rPr>
                <w:rFonts w:ascii="Calibri" w:hAnsi="Calibri"/>
                <w:color w:val="000000"/>
              </w:rPr>
              <w:t>0.9873</w:t>
            </w:r>
          </w:p>
        </w:tc>
      </w:tr>
      <w:tr w:rsidR="009F766D" w14:paraId="148A1DC8" w14:textId="77777777" w:rsidTr="00950E74">
        <w:trPr>
          <w:trHeight w:val="289"/>
        </w:trPr>
        <w:tc>
          <w:tcPr>
            <w:tcW w:w="871" w:type="dxa"/>
            <w:tcBorders>
              <w:top w:val="nil"/>
              <w:left w:val="single" w:sz="4" w:space="0" w:color="auto"/>
              <w:bottom w:val="nil"/>
              <w:right w:val="nil"/>
            </w:tcBorders>
            <w:noWrap/>
            <w:vAlign w:val="bottom"/>
            <w:hideMark/>
          </w:tcPr>
          <w:p w14:paraId="2376BAF8" w14:textId="77777777" w:rsidR="009F766D" w:rsidRPr="00C00E30" w:rsidRDefault="009F766D" w:rsidP="00727326">
            <w:pPr>
              <w:spacing w:after="0" w:line="240" w:lineRule="auto"/>
              <w:jc w:val="center"/>
              <w:rPr>
                <w:rFonts w:ascii="Calibri" w:hAnsi="Calibri"/>
              </w:rPr>
            </w:pPr>
            <w:r w:rsidRPr="00C00E30">
              <w:rPr>
                <w:rFonts w:ascii="Calibri" w:hAnsi="Calibri"/>
              </w:rPr>
              <w:t>3</w:t>
            </w:r>
          </w:p>
        </w:tc>
        <w:tc>
          <w:tcPr>
            <w:tcW w:w="869" w:type="dxa"/>
            <w:noWrap/>
          </w:tcPr>
          <w:p w14:paraId="1CEF7FAE"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2B0209E8" w14:textId="77777777" w:rsidR="009F766D" w:rsidRDefault="009F766D" w:rsidP="00727326">
            <w:pPr>
              <w:spacing w:after="0" w:line="240" w:lineRule="auto"/>
              <w:jc w:val="center"/>
              <w:rPr>
                <w:rFonts w:ascii="Calibri" w:hAnsi="Calibri"/>
                <w:color w:val="0000FF"/>
              </w:rPr>
            </w:pPr>
            <w:r w:rsidRPr="00452E05">
              <w:t>3,840.70</w:t>
            </w:r>
          </w:p>
        </w:tc>
        <w:tc>
          <w:tcPr>
            <w:tcW w:w="1192" w:type="dxa"/>
            <w:tcBorders>
              <w:top w:val="nil"/>
              <w:left w:val="single" w:sz="4" w:space="0" w:color="auto"/>
              <w:bottom w:val="nil"/>
              <w:right w:val="nil"/>
            </w:tcBorders>
            <w:noWrap/>
            <w:vAlign w:val="bottom"/>
          </w:tcPr>
          <w:p w14:paraId="0842DF01" w14:textId="3AB1A338"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0871D50D" w14:textId="6D880382" w:rsidR="009F766D" w:rsidRDefault="009F766D" w:rsidP="00727326">
            <w:pPr>
              <w:spacing w:after="0" w:line="240" w:lineRule="auto"/>
              <w:rPr>
                <w:rFonts w:ascii="Calibri" w:hAnsi="Calibri"/>
                <w:color w:val="0000FF"/>
              </w:rPr>
            </w:pPr>
            <w:r>
              <w:rPr>
                <w:rFonts w:ascii="Calibri" w:hAnsi="Calibri"/>
                <w:color w:val="000000"/>
              </w:rPr>
              <w:t>0.2070</w:t>
            </w:r>
          </w:p>
        </w:tc>
        <w:tc>
          <w:tcPr>
            <w:tcW w:w="1170" w:type="dxa"/>
            <w:tcBorders>
              <w:top w:val="nil"/>
              <w:left w:val="nil"/>
              <w:bottom w:val="nil"/>
              <w:right w:val="single" w:sz="4" w:space="0" w:color="auto"/>
            </w:tcBorders>
            <w:noWrap/>
            <w:vAlign w:val="bottom"/>
          </w:tcPr>
          <w:p w14:paraId="1207033B" w14:textId="239B5659" w:rsidR="009F766D" w:rsidRDefault="009F766D" w:rsidP="00727326">
            <w:pPr>
              <w:spacing w:after="0" w:line="240" w:lineRule="auto"/>
              <w:rPr>
                <w:rFonts w:ascii="Calibri" w:hAnsi="Calibri"/>
                <w:color w:val="0000FF"/>
              </w:rPr>
            </w:pPr>
            <w:r>
              <w:rPr>
                <w:rFonts w:ascii="Calibri" w:hAnsi="Calibri"/>
                <w:color w:val="000000"/>
              </w:rPr>
              <w:t>0.7930</w:t>
            </w:r>
          </w:p>
        </w:tc>
        <w:tc>
          <w:tcPr>
            <w:tcW w:w="990" w:type="dxa"/>
            <w:tcBorders>
              <w:top w:val="nil"/>
              <w:left w:val="single" w:sz="4" w:space="0" w:color="auto"/>
              <w:bottom w:val="nil"/>
              <w:right w:val="nil"/>
            </w:tcBorders>
            <w:noWrap/>
            <w:vAlign w:val="bottom"/>
          </w:tcPr>
          <w:p w14:paraId="3213A80E" w14:textId="00A2822E" w:rsidR="009F766D" w:rsidRDefault="009F766D" w:rsidP="00727326">
            <w:pPr>
              <w:spacing w:after="0" w:line="240" w:lineRule="auto"/>
              <w:rPr>
                <w:rFonts w:ascii="Calibri" w:hAnsi="Calibri"/>
                <w:color w:val="0000FF"/>
              </w:rPr>
            </w:pPr>
            <w:r>
              <w:rPr>
                <w:rFonts w:ascii="Calibri" w:hAnsi="Calibri"/>
                <w:color w:val="000000"/>
              </w:rPr>
              <w:t>0.0000</w:t>
            </w:r>
          </w:p>
        </w:tc>
        <w:tc>
          <w:tcPr>
            <w:tcW w:w="990" w:type="dxa"/>
            <w:noWrap/>
            <w:vAlign w:val="bottom"/>
          </w:tcPr>
          <w:p w14:paraId="3722EEB6" w14:textId="4F4364E8" w:rsidR="009F766D" w:rsidRDefault="009F766D" w:rsidP="00727326">
            <w:pPr>
              <w:spacing w:after="0" w:line="240" w:lineRule="auto"/>
              <w:rPr>
                <w:rFonts w:ascii="Calibri" w:hAnsi="Calibri"/>
                <w:color w:val="0000FF"/>
              </w:rPr>
            </w:pPr>
            <w:r>
              <w:rPr>
                <w:rFonts w:ascii="Calibri" w:hAnsi="Calibri"/>
                <w:color w:val="000000"/>
              </w:rPr>
              <w:t>0.0159</w:t>
            </w:r>
          </w:p>
        </w:tc>
        <w:tc>
          <w:tcPr>
            <w:tcW w:w="1098" w:type="dxa"/>
            <w:tcBorders>
              <w:top w:val="nil"/>
              <w:left w:val="nil"/>
              <w:bottom w:val="nil"/>
              <w:right w:val="single" w:sz="4" w:space="0" w:color="auto"/>
            </w:tcBorders>
            <w:noWrap/>
            <w:vAlign w:val="bottom"/>
          </w:tcPr>
          <w:p w14:paraId="522C9CD9" w14:textId="1C678BC5" w:rsidR="009F766D" w:rsidRDefault="009F766D" w:rsidP="00727326">
            <w:pPr>
              <w:spacing w:after="0" w:line="240" w:lineRule="auto"/>
              <w:rPr>
                <w:rFonts w:ascii="Calibri" w:hAnsi="Calibri"/>
                <w:color w:val="0000FF"/>
              </w:rPr>
            </w:pPr>
            <w:r>
              <w:rPr>
                <w:rFonts w:ascii="Calibri" w:hAnsi="Calibri"/>
                <w:color w:val="000000"/>
              </w:rPr>
              <w:t>0.9841</w:t>
            </w:r>
          </w:p>
        </w:tc>
      </w:tr>
      <w:tr w:rsidR="009F766D" w14:paraId="27A897F4" w14:textId="77777777" w:rsidTr="00950E74">
        <w:trPr>
          <w:trHeight w:val="289"/>
        </w:trPr>
        <w:tc>
          <w:tcPr>
            <w:tcW w:w="871" w:type="dxa"/>
            <w:tcBorders>
              <w:top w:val="nil"/>
              <w:left w:val="single" w:sz="4" w:space="0" w:color="auto"/>
              <w:bottom w:val="nil"/>
              <w:right w:val="nil"/>
            </w:tcBorders>
            <w:noWrap/>
            <w:vAlign w:val="bottom"/>
            <w:hideMark/>
          </w:tcPr>
          <w:p w14:paraId="11A5392E" w14:textId="77777777" w:rsidR="009F766D" w:rsidRPr="00C00E30" w:rsidRDefault="009F766D" w:rsidP="00727326">
            <w:pPr>
              <w:spacing w:after="0" w:line="240" w:lineRule="auto"/>
              <w:jc w:val="center"/>
              <w:rPr>
                <w:rFonts w:ascii="Calibri" w:hAnsi="Calibri"/>
              </w:rPr>
            </w:pPr>
            <w:r w:rsidRPr="00C00E30">
              <w:rPr>
                <w:rFonts w:ascii="Calibri" w:hAnsi="Calibri"/>
              </w:rPr>
              <w:t>4</w:t>
            </w:r>
          </w:p>
        </w:tc>
        <w:tc>
          <w:tcPr>
            <w:tcW w:w="869" w:type="dxa"/>
            <w:noWrap/>
          </w:tcPr>
          <w:p w14:paraId="0A8F640B"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39FDB4AA" w14:textId="77777777" w:rsidR="009F766D" w:rsidRDefault="009F766D" w:rsidP="00727326">
            <w:pPr>
              <w:spacing w:after="0" w:line="240" w:lineRule="auto"/>
              <w:jc w:val="center"/>
              <w:rPr>
                <w:rFonts w:ascii="Calibri" w:hAnsi="Calibri"/>
                <w:color w:val="0000FF"/>
              </w:rPr>
            </w:pPr>
            <w:r w:rsidRPr="00452E05">
              <w:t>5,181.90</w:t>
            </w:r>
          </w:p>
        </w:tc>
        <w:tc>
          <w:tcPr>
            <w:tcW w:w="1192" w:type="dxa"/>
            <w:tcBorders>
              <w:top w:val="nil"/>
              <w:left w:val="single" w:sz="4" w:space="0" w:color="auto"/>
              <w:bottom w:val="nil"/>
              <w:right w:val="nil"/>
            </w:tcBorders>
            <w:noWrap/>
            <w:vAlign w:val="bottom"/>
          </w:tcPr>
          <w:p w14:paraId="5508C036" w14:textId="6B78C262"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4BC2CB62" w14:textId="550E0EBA" w:rsidR="009F766D" w:rsidRDefault="009F766D" w:rsidP="00727326">
            <w:pPr>
              <w:spacing w:after="0" w:line="240" w:lineRule="auto"/>
              <w:rPr>
                <w:rFonts w:ascii="Calibri" w:hAnsi="Calibri"/>
                <w:color w:val="0000FF"/>
              </w:rPr>
            </w:pPr>
            <w:r>
              <w:rPr>
                <w:rFonts w:ascii="Calibri" w:hAnsi="Calibri"/>
                <w:color w:val="000000"/>
              </w:rPr>
              <w:t>0.1433</w:t>
            </w:r>
          </w:p>
        </w:tc>
        <w:tc>
          <w:tcPr>
            <w:tcW w:w="1170" w:type="dxa"/>
            <w:tcBorders>
              <w:top w:val="nil"/>
              <w:left w:val="nil"/>
              <w:bottom w:val="nil"/>
              <w:right w:val="single" w:sz="4" w:space="0" w:color="auto"/>
            </w:tcBorders>
            <w:noWrap/>
            <w:vAlign w:val="bottom"/>
          </w:tcPr>
          <w:p w14:paraId="0B013A6F" w14:textId="194C6961" w:rsidR="009F766D" w:rsidRDefault="009F766D" w:rsidP="00727326">
            <w:pPr>
              <w:spacing w:after="0" w:line="240" w:lineRule="auto"/>
              <w:rPr>
                <w:rFonts w:ascii="Calibri" w:hAnsi="Calibri"/>
                <w:color w:val="0000FF"/>
              </w:rPr>
            </w:pPr>
            <w:r>
              <w:rPr>
                <w:rFonts w:ascii="Calibri" w:hAnsi="Calibri"/>
                <w:color w:val="000000"/>
              </w:rPr>
              <w:t>0.8567</w:t>
            </w:r>
          </w:p>
        </w:tc>
        <w:tc>
          <w:tcPr>
            <w:tcW w:w="990" w:type="dxa"/>
            <w:tcBorders>
              <w:top w:val="nil"/>
              <w:left w:val="single" w:sz="4" w:space="0" w:color="auto"/>
              <w:bottom w:val="nil"/>
              <w:right w:val="nil"/>
            </w:tcBorders>
            <w:noWrap/>
            <w:vAlign w:val="bottom"/>
          </w:tcPr>
          <w:p w14:paraId="492B60E8" w14:textId="25DFDD50" w:rsidR="009F766D" w:rsidRDefault="009F766D" w:rsidP="00727326">
            <w:pPr>
              <w:spacing w:after="0" w:line="240" w:lineRule="auto"/>
              <w:rPr>
                <w:rFonts w:ascii="Calibri" w:hAnsi="Calibri"/>
                <w:color w:val="0000FF"/>
              </w:rPr>
            </w:pPr>
            <w:r>
              <w:rPr>
                <w:rFonts w:ascii="Calibri" w:hAnsi="Calibri"/>
                <w:color w:val="000000"/>
              </w:rPr>
              <w:t>0.0892</w:t>
            </w:r>
          </w:p>
        </w:tc>
        <w:tc>
          <w:tcPr>
            <w:tcW w:w="990" w:type="dxa"/>
            <w:noWrap/>
            <w:vAlign w:val="bottom"/>
          </w:tcPr>
          <w:p w14:paraId="2031810B" w14:textId="08C9F3E3" w:rsidR="009F766D" w:rsidRDefault="009F766D" w:rsidP="00727326">
            <w:pPr>
              <w:spacing w:after="0" w:line="240" w:lineRule="auto"/>
              <w:rPr>
                <w:rFonts w:ascii="Calibri" w:hAnsi="Calibri"/>
                <w:color w:val="0000FF"/>
              </w:rPr>
            </w:pPr>
            <w:r>
              <w:rPr>
                <w:rFonts w:ascii="Calibri" w:hAnsi="Calibri"/>
                <w:color w:val="000000"/>
              </w:rPr>
              <w:t>0.0096</w:t>
            </w:r>
          </w:p>
        </w:tc>
        <w:tc>
          <w:tcPr>
            <w:tcW w:w="1098" w:type="dxa"/>
            <w:tcBorders>
              <w:top w:val="nil"/>
              <w:left w:val="nil"/>
              <w:bottom w:val="nil"/>
              <w:right w:val="single" w:sz="4" w:space="0" w:color="auto"/>
            </w:tcBorders>
            <w:noWrap/>
            <w:vAlign w:val="bottom"/>
          </w:tcPr>
          <w:p w14:paraId="263057E4" w14:textId="4B69D198" w:rsidR="009F766D" w:rsidRDefault="009F766D" w:rsidP="00727326">
            <w:pPr>
              <w:spacing w:after="0" w:line="240" w:lineRule="auto"/>
              <w:rPr>
                <w:rFonts w:ascii="Calibri" w:hAnsi="Calibri"/>
                <w:color w:val="0000FF"/>
              </w:rPr>
            </w:pPr>
            <w:r>
              <w:rPr>
                <w:rFonts w:ascii="Calibri" w:hAnsi="Calibri"/>
                <w:color w:val="000000"/>
              </w:rPr>
              <w:t>0.9013</w:t>
            </w:r>
          </w:p>
        </w:tc>
      </w:tr>
      <w:tr w:rsidR="009F766D" w14:paraId="6DD7385D" w14:textId="77777777" w:rsidTr="00950E74">
        <w:trPr>
          <w:trHeight w:val="289"/>
        </w:trPr>
        <w:tc>
          <w:tcPr>
            <w:tcW w:w="871" w:type="dxa"/>
            <w:tcBorders>
              <w:top w:val="nil"/>
              <w:left w:val="single" w:sz="4" w:space="0" w:color="auto"/>
              <w:bottom w:val="nil"/>
              <w:right w:val="nil"/>
            </w:tcBorders>
            <w:noWrap/>
            <w:vAlign w:val="bottom"/>
            <w:hideMark/>
          </w:tcPr>
          <w:p w14:paraId="09DA221E" w14:textId="77777777" w:rsidR="009F766D" w:rsidRPr="00C00E30" w:rsidRDefault="009F766D" w:rsidP="00727326">
            <w:pPr>
              <w:spacing w:after="0" w:line="240" w:lineRule="auto"/>
              <w:jc w:val="center"/>
              <w:rPr>
                <w:rFonts w:ascii="Calibri" w:hAnsi="Calibri"/>
              </w:rPr>
            </w:pPr>
            <w:r w:rsidRPr="00C00E30">
              <w:rPr>
                <w:rFonts w:ascii="Calibri" w:hAnsi="Calibri"/>
              </w:rPr>
              <w:t>5</w:t>
            </w:r>
          </w:p>
        </w:tc>
        <w:tc>
          <w:tcPr>
            <w:tcW w:w="869" w:type="dxa"/>
            <w:noWrap/>
          </w:tcPr>
          <w:p w14:paraId="105B8E67"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2372AD0F" w14:textId="77777777" w:rsidR="009F766D" w:rsidRDefault="009F766D" w:rsidP="00727326">
            <w:pPr>
              <w:spacing w:after="0" w:line="240" w:lineRule="auto"/>
              <w:jc w:val="center"/>
              <w:rPr>
                <w:rFonts w:ascii="Calibri" w:hAnsi="Calibri"/>
                <w:color w:val="0000FF"/>
              </w:rPr>
            </w:pPr>
            <w:r w:rsidRPr="00452E05">
              <w:t>6,922.90</w:t>
            </w:r>
          </w:p>
        </w:tc>
        <w:tc>
          <w:tcPr>
            <w:tcW w:w="1192" w:type="dxa"/>
            <w:tcBorders>
              <w:top w:val="nil"/>
              <w:left w:val="single" w:sz="4" w:space="0" w:color="auto"/>
              <w:bottom w:val="nil"/>
              <w:right w:val="nil"/>
            </w:tcBorders>
            <w:noWrap/>
            <w:vAlign w:val="bottom"/>
          </w:tcPr>
          <w:p w14:paraId="0165CF4D" w14:textId="1E5DE516"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39CE6EF3" w14:textId="57A2F9F5" w:rsidR="009F766D" w:rsidRDefault="009F766D" w:rsidP="00727326">
            <w:pPr>
              <w:spacing w:after="0" w:line="240" w:lineRule="auto"/>
              <w:rPr>
                <w:rFonts w:ascii="Calibri" w:hAnsi="Calibri"/>
                <w:color w:val="0000FF"/>
              </w:rPr>
            </w:pPr>
            <w:r>
              <w:rPr>
                <w:rFonts w:ascii="Calibri" w:hAnsi="Calibri"/>
                <w:color w:val="000000"/>
              </w:rPr>
              <w:t>0.3057</w:t>
            </w:r>
          </w:p>
        </w:tc>
        <w:tc>
          <w:tcPr>
            <w:tcW w:w="1170" w:type="dxa"/>
            <w:tcBorders>
              <w:top w:val="nil"/>
              <w:left w:val="nil"/>
              <w:bottom w:val="nil"/>
              <w:right w:val="single" w:sz="4" w:space="0" w:color="auto"/>
            </w:tcBorders>
            <w:noWrap/>
            <w:vAlign w:val="bottom"/>
          </w:tcPr>
          <w:p w14:paraId="3F83400A" w14:textId="237367EF" w:rsidR="009F766D" w:rsidRDefault="009F766D" w:rsidP="00727326">
            <w:pPr>
              <w:spacing w:after="0" w:line="240" w:lineRule="auto"/>
              <w:rPr>
                <w:rFonts w:ascii="Calibri" w:hAnsi="Calibri"/>
                <w:color w:val="0000FF"/>
              </w:rPr>
            </w:pPr>
            <w:r>
              <w:rPr>
                <w:rFonts w:ascii="Calibri" w:hAnsi="Calibri"/>
                <w:color w:val="000000"/>
              </w:rPr>
              <w:t>0.6943</w:t>
            </w:r>
          </w:p>
        </w:tc>
        <w:tc>
          <w:tcPr>
            <w:tcW w:w="990" w:type="dxa"/>
            <w:tcBorders>
              <w:top w:val="nil"/>
              <w:left w:val="single" w:sz="4" w:space="0" w:color="auto"/>
              <w:bottom w:val="nil"/>
              <w:right w:val="nil"/>
            </w:tcBorders>
            <w:noWrap/>
            <w:vAlign w:val="bottom"/>
          </w:tcPr>
          <w:p w14:paraId="293C83D2" w14:textId="36A63116" w:rsidR="009F766D" w:rsidRDefault="009F766D" w:rsidP="00727326">
            <w:pPr>
              <w:spacing w:after="0" w:line="240" w:lineRule="auto"/>
              <w:rPr>
                <w:rFonts w:ascii="Calibri" w:hAnsi="Calibri"/>
                <w:color w:val="0000FF"/>
              </w:rPr>
            </w:pPr>
            <w:r>
              <w:rPr>
                <w:rFonts w:ascii="Calibri" w:hAnsi="Calibri"/>
                <w:color w:val="000000"/>
              </w:rPr>
              <w:t>0.3408</w:t>
            </w:r>
          </w:p>
        </w:tc>
        <w:tc>
          <w:tcPr>
            <w:tcW w:w="990" w:type="dxa"/>
            <w:noWrap/>
            <w:vAlign w:val="bottom"/>
          </w:tcPr>
          <w:p w14:paraId="1199CE02" w14:textId="7C9C84CB" w:rsidR="009F766D" w:rsidRDefault="009F766D" w:rsidP="00727326">
            <w:pPr>
              <w:spacing w:after="0" w:line="240" w:lineRule="auto"/>
              <w:rPr>
                <w:rFonts w:ascii="Calibri" w:hAnsi="Calibri"/>
                <w:color w:val="0000FF"/>
              </w:rPr>
            </w:pPr>
            <w:r>
              <w:rPr>
                <w:rFonts w:ascii="Calibri" w:hAnsi="Calibri"/>
                <w:color w:val="000000"/>
              </w:rPr>
              <w:t>0.0350</w:t>
            </w:r>
          </w:p>
        </w:tc>
        <w:tc>
          <w:tcPr>
            <w:tcW w:w="1098" w:type="dxa"/>
            <w:tcBorders>
              <w:top w:val="nil"/>
              <w:left w:val="nil"/>
              <w:bottom w:val="nil"/>
              <w:right w:val="single" w:sz="4" w:space="0" w:color="auto"/>
            </w:tcBorders>
            <w:noWrap/>
            <w:vAlign w:val="bottom"/>
          </w:tcPr>
          <w:p w14:paraId="5480D77A" w14:textId="359A8392" w:rsidR="009F766D" w:rsidRDefault="009F766D" w:rsidP="00727326">
            <w:pPr>
              <w:spacing w:after="0" w:line="240" w:lineRule="auto"/>
              <w:rPr>
                <w:rFonts w:ascii="Calibri" w:hAnsi="Calibri"/>
                <w:color w:val="0000FF"/>
              </w:rPr>
            </w:pPr>
            <w:r>
              <w:rPr>
                <w:rFonts w:ascii="Calibri" w:hAnsi="Calibri"/>
                <w:color w:val="000000"/>
              </w:rPr>
              <w:t>0.6242</w:t>
            </w:r>
          </w:p>
        </w:tc>
      </w:tr>
      <w:tr w:rsidR="009F766D" w14:paraId="44D12213" w14:textId="77777777" w:rsidTr="00950E74">
        <w:trPr>
          <w:trHeight w:val="289"/>
        </w:trPr>
        <w:tc>
          <w:tcPr>
            <w:tcW w:w="871" w:type="dxa"/>
            <w:tcBorders>
              <w:top w:val="nil"/>
              <w:left w:val="single" w:sz="4" w:space="0" w:color="auto"/>
              <w:bottom w:val="nil"/>
              <w:right w:val="nil"/>
            </w:tcBorders>
            <w:noWrap/>
            <w:vAlign w:val="bottom"/>
            <w:hideMark/>
          </w:tcPr>
          <w:p w14:paraId="749A27D7" w14:textId="77777777" w:rsidR="009F766D" w:rsidRPr="00C00E30" w:rsidRDefault="009F766D" w:rsidP="00727326">
            <w:pPr>
              <w:spacing w:after="0" w:line="240" w:lineRule="auto"/>
              <w:jc w:val="center"/>
              <w:rPr>
                <w:rFonts w:ascii="Calibri" w:hAnsi="Calibri"/>
              </w:rPr>
            </w:pPr>
            <w:r w:rsidRPr="00C00E30">
              <w:rPr>
                <w:rFonts w:ascii="Calibri" w:hAnsi="Calibri"/>
              </w:rPr>
              <w:t>6</w:t>
            </w:r>
          </w:p>
        </w:tc>
        <w:tc>
          <w:tcPr>
            <w:tcW w:w="869" w:type="dxa"/>
            <w:noWrap/>
          </w:tcPr>
          <w:p w14:paraId="58F75E10"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24E06880" w14:textId="77777777" w:rsidR="009F766D" w:rsidRDefault="009F766D" w:rsidP="00727326">
            <w:pPr>
              <w:spacing w:after="0" w:line="240" w:lineRule="auto"/>
              <w:jc w:val="center"/>
              <w:rPr>
                <w:rFonts w:ascii="Calibri" w:hAnsi="Calibri"/>
                <w:color w:val="0000FF"/>
              </w:rPr>
            </w:pPr>
            <w:r w:rsidRPr="00452E05">
              <w:t>9,426.50</w:t>
            </w:r>
          </w:p>
        </w:tc>
        <w:tc>
          <w:tcPr>
            <w:tcW w:w="1192" w:type="dxa"/>
            <w:tcBorders>
              <w:top w:val="nil"/>
              <w:left w:val="single" w:sz="4" w:space="0" w:color="auto"/>
              <w:bottom w:val="nil"/>
              <w:right w:val="nil"/>
            </w:tcBorders>
            <w:noWrap/>
            <w:vAlign w:val="bottom"/>
          </w:tcPr>
          <w:p w14:paraId="5015C46D" w14:textId="4327754D"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6E1D5FD6" w14:textId="35A04D8F" w:rsidR="009F766D" w:rsidRDefault="009F766D" w:rsidP="00727326">
            <w:pPr>
              <w:spacing w:after="0" w:line="240" w:lineRule="auto"/>
              <w:rPr>
                <w:rFonts w:ascii="Calibri" w:hAnsi="Calibri"/>
                <w:color w:val="0000FF"/>
              </w:rPr>
            </w:pPr>
            <w:r>
              <w:rPr>
                <w:rFonts w:ascii="Calibri" w:hAnsi="Calibri"/>
                <w:color w:val="000000"/>
              </w:rPr>
              <w:t>0.2611</w:t>
            </w:r>
          </w:p>
        </w:tc>
        <w:tc>
          <w:tcPr>
            <w:tcW w:w="1170" w:type="dxa"/>
            <w:tcBorders>
              <w:top w:val="nil"/>
              <w:left w:val="nil"/>
              <w:bottom w:val="nil"/>
              <w:right w:val="single" w:sz="4" w:space="0" w:color="auto"/>
            </w:tcBorders>
            <w:noWrap/>
            <w:vAlign w:val="bottom"/>
          </w:tcPr>
          <w:p w14:paraId="77F29790" w14:textId="1D67106C" w:rsidR="009F766D" w:rsidRDefault="009F766D" w:rsidP="00727326">
            <w:pPr>
              <w:spacing w:after="0" w:line="240" w:lineRule="auto"/>
              <w:rPr>
                <w:rFonts w:ascii="Calibri" w:hAnsi="Calibri"/>
                <w:color w:val="0000FF"/>
              </w:rPr>
            </w:pPr>
            <w:r>
              <w:rPr>
                <w:rFonts w:ascii="Calibri" w:hAnsi="Calibri"/>
                <w:color w:val="000000"/>
              </w:rPr>
              <w:t>0.7389</w:t>
            </w:r>
          </w:p>
        </w:tc>
        <w:tc>
          <w:tcPr>
            <w:tcW w:w="990" w:type="dxa"/>
            <w:tcBorders>
              <w:top w:val="nil"/>
              <w:left w:val="single" w:sz="4" w:space="0" w:color="auto"/>
              <w:bottom w:val="nil"/>
              <w:right w:val="nil"/>
            </w:tcBorders>
            <w:noWrap/>
            <w:vAlign w:val="bottom"/>
          </w:tcPr>
          <w:p w14:paraId="30AD7510" w14:textId="4A705333" w:rsidR="009F766D" w:rsidRDefault="009F766D" w:rsidP="00727326">
            <w:pPr>
              <w:spacing w:after="0" w:line="240" w:lineRule="auto"/>
              <w:rPr>
                <w:rFonts w:ascii="Calibri" w:hAnsi="Calibri"/>
                <w:color w:val="0000FF"/>
              </w:rPr>
            </w:pPr>
            <w:r>
              <w:rPr>
                <w:rFonts w:ascii="Calibri" w:hAnsi="Calibri"/>
                <w:color w:val="000000"/>
              </w:rPr>
              <w:t>0.4299</w:t>
            </w:r>
          </w:p>
        </w:tc>
        <w:tc>
          <w:tcPr>
            <w:tcW w:w="990" w:type="dxa"/>
            <w:noWrap/>
            <w:vAlign w:val="bottom"/>
          </w:tcPr>
          <w:p w14:paraId="0970A322" w14:textId="484E7D9B" w:rsidR="009F766D" w:rsidRDefault="009F766D" w:rsidP="00727326">
            <w:pPr>
              <w:spacing w:after="0" w:line="240" w:lineRule="auto"/>
              <w:rPr>
                <w:rFonts w:ascii="Calibri" w:hAnsi="Calibri"/>
                <w:color w:val="0000FF"/>
              </w:rPr>
            </w:pPr>
            <w:r>
              <w:rPr>
                <w:rFonts w:ascii="Calibri" w:hAnsi="Calibri"/>
                <w:color w:val="000000"/>
              </w:rPr>
              <w:t>0.0287</w:t>
            </w:r>
          </w:p>
        </w:tc>
        <w:tc>
          <w:tcPr>
            <w:tcW w:w="1098" w:type="dxa"/>
            <w:tcBorders>
              <w:top w:val="nil"/>
              <w:left w:val="nil"/>
              <w:bottom w:val="nil"/>
              <w:right w:val="single" w:sz="4" w:space="0" w:color="auto"/>
            </w:tcBorders>
            <w:noWrap/>
            <w:vAlign w:val="bottom"/>
          </w:tcPr>
          <w:p w14:paraId="412F0B4B" w14:textId="03B6393B" w:rsidR="009F766D" w:rsidRDefault="009F766D" w:rsidP="00727326">
            <w:pPr>
              <w:spacing w:after="0" w:line="240" w:lineRule="auto"/>
              <w:rPr>
                <w:rFonts w:ascii="Calibri" w:hAnsi="Calibri"/>
                <w:color w:val="0000FF"/>
              </w:rPr>
            </w:pPr>
            <w:r>
              <w:rPr>
                <w:rFonts w:ascii="Calibri" w:hAnsi="Calibri"/>
                <w:color w:val="000000"/>
              </w:rPr>
              <w:t>0.5414</w:t>
            </w:r>
          </w:p>
        </w:tc>
      </w:tr>
      <w:tr w:rsidR="009F766D" w14:paraId="68D02D0B" w14:textId="77777777" w:rsidTr="00950E74">
        <w:trPr>
          <w:trHeight w:val="289"/>
        </w:trPr>
        <w:tc>
          <w:tcPr>
            <w:tcW w:w="871" w:type="dxa"/>
            <w:tcBorders>
              <w:top w:val="nil"/>
              <w:left w:val="single" w:sz="4" w:space="0" w:color="auto"/>
              <w:bottom w:val="nil"/>
              <w:right w:val="nil"/>
            </w:tcBorders>
            <w:noWrap/>
            <w:vAlign w:val="bottom"/>
            <w:hideMark/>
          </w:tcPr>
          <w:p w14:paraId="261506F9" w14:textId="77777777" w:rsidR="009F766D" w:rsidRPr="00C00E30" w:rsidRDefault="009F766D" w:rsidP="00727326">
            <w:pPr>
              <w:spacing w:after="0" w:line="240" w:lineRule="auto"/>
              <w:jc w:val="center"/>
              <w:rPr>
                <w:rFonts w:ascii="Calibri" w:hAnsi="Calibri"/>
              </w:rPr>
            </w:pPr>
            <w:r w:rsidRPr="00C00E30">
              <w:rPr>
                <w:rFonts w:ascii="Calibri" w:hAnsi="Calibri"/>
              </w:rPr>
              <w:t>7</w:t>
            </w:r>
          </w:p>
        </w:tc>
        <w:tc>
          <w:tcPr>
            <w:tcW w:w="869" w:type="dxa"/>
            <w:noWrap/>
          </w:tcPr>
          <w:p w14:paraId="0FB950A8"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5357FA79" w14:textId="77777777" w:rsidR="009F766D" w:rsidRDefault="009F766D" w:rsidP="00727326">
            <w:pPr>
              <w:spacing w:after="0" w:line="240" w:lineRule="auto"/>
              <w:jc w:val="center"/>
              <w:rPr>
                <w:rFonts w:ascii="Calibri" w:hAnsi="Calibri"/>
                <w:color w:val="0000FF"/>
              </w:rPr>
            </w:pPr>
            <w:r w:rsidRPr="00452E05">
              <w:t>12,906.60</w:t>
            </w:r>
          </w:p>
        </w:tc>
        <w:tc>
          <w:tcPr>
            <w:tcW w:w="1192" w:type="dxa"/>
            <w:tcBorders>
              <w:top w:val="nil"/>
              <w:left w:val="single" w:sz="4" w:space="0" w:color="auto"/>
              <w:bottom w:val="nil"/>
              <w:right w:val="nil"/>
            </w:tcBorders>
            <w:noWrap/>
            <w:vAlign w:val="bottom"/>
          </w:tcPr>
          <w:p w14:paraId="7130CBB2" w14:textId="71129741"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78036066" w14:textId="7B0C4D0E" w:rsidR="009F766D" w:rsidRDefault="009F766D" w:rsidP="00727326">
            <w:pPr>
              <w:spacing w:after="0" w:line="240" w:lineRule="auto"/>
              <w:rPr>
                <w:rFonts w:ascii="Calibri" w:hAnsi="Calibri"/>
                <w:color w:val="0000FF"/>
              </w:rPr>
            </w:pPr>
            <w:r>
              <w:rPr>
                <w:rFonts w:ascii="Calibri" w:hAnsi="Calibri"/>
                <w:color w:val="000000"/>
              </w:rPr>
              <w:t>0.3439</w:t>
            </w:r>
          </w:p>
        </w:tc>
        <w:tc>
          <w:tcPr>
            <w:tcW w:w="1170" w:type="dxa"/>
            <w:tcBorders>
              <w:top w:val="nil"/>
              <w:left w:val="nil"/>
              <w:bottom w:val="nil"/>
              <w:right w:val="single" w:sz="4" w:space="0" w:color="auto"/>
            </w:tcBorders>
            <w:noWrap/>
            <w:vAlign w:val="bottom"/>
          </w:tcPr>
          <w:p w14:paraId="3496291C" w14:textId="15EDB57C" w:rsidR="009F766D" w:rsidRDefault="009F766D" w:rsidP="00727326">
            <w:pPr>
              <w:spacing w:after="0" w:line="240" w:lineRule="auto"/>
              <w:rPr>
                <w:rFonts w:ascii="Calibri" w:hAnsi="Calibri"/>
                <w:color w:val="0000FF"/>
              </w:rPr>
            </w:pPr>
            <w:r>
              <w:rPr>
                <w:rFonts w:ascii="Calibri" w:hAnsi="Calibri"/>
                <w:color w:val="000000"/>
              </w:rPr>
              <w:t>0.6561</w:t>
            </w:r>
          </w:p>
        </w:tc>
        <w:tc>
          <w:tcPr>
            <w:tcW w:w="990" w:type="dxa"/>
            <w:tcBorders>
              <w:top w:val="nil"/>
              <w:left w:val="single" w:sz="4" w:space="0" w:color="auto"/>
              <w:bottom w:val="nil"/>
              <w:right w:val="nil"/>
            </w:tcBorders>
            <w:noWrap/>
            <w:vAlign w:val="bottom"/>
          </w:tcPr>
          <w:p w14:paraId="7FB3DAFA" w14:textId="4CD84EEF" w:rsidR="009F766D" w:rsidRDefault="009F766D" w:rsidP="00727326">
            <w:pPr>
              <w:spacing w:after="0" w:line="240" w:lineRule="auto"/>
              <w:rPr>
                <w:rFonts w:ascii="Calibri" w:hAnsi="Calibri"/>
                <w:color w:val="0000FF"/>
              </w:rPr>
            </w:pPr>
            <w:r>
              <w:rPr>
                <w:rFonts w:ascii="Calibri" w:hAnsi="Calibri"/>
                <w:color w:val="000000"/>
              </w:rPr>
              <w:t>0.5350</w:t>
            </w:r>
          </w:p>
        </w:tc>
        <w:tc>
          <w:tcPr>
            <w:tcW w:w="990" w:type="dxa"/>
            <w:noWrap/>
            <w:vAlign w:val="bottom"/>
          </w:tcPr>
          <w:p w14:paraId="31E4B7C9" w14:textId="6EA6697D" w:rsidR="009F766D" w:rsidRDefault="009F766D" w:rsidP="00727326">
            <w:pPr>
              <w:spacing w:after="0" w:line="240" w:lineRule="auto"/>
              <w:rPr>
                <w:rFonts w:ascii="Calibri" w:hAnsi="Calibri"/>
                <w:color w:val="0000FF"/>
              </w:rPr>
            </w:pPr>
            <w:r>
              <w:rPr>
                <w:rFonts w:ascii="Calibri" w:hAnsi="Calibri"/>
                <w:color w:val="000000"/>
              </w:rPr>
              <w:t>0.0287</w:t>
            </w:r>
          </w:p>
        </w:tc>
        <w:tc>
          <w:tcPr>
            <w:tcW w:w="1098" w:type="dxa"/>
            <w:tcBorders>
              <w:top w:val="nil"/>
              <w:left w:val="nil"/>
              <w:bottom w:val="nil"/>
              <w:right w:val="single" w:sz="4" w:space="0" w:color="auto"/>
            </w:tcBorders>
            <w:noWrap/>
            <w:vAlign w:val="bottom"/>
          </w:tcPr>
          <w:p w14:paraId="2E6B6360" w14:textId="00BE40F6" w:rsidR="009F766D" w:rsidRDefault="009F766D" w:rsidP="00727326">
            <w:pPr>
              <w:spacing w:after="0" w:line="240" w:lineRule="auto"/>
              <w:rPr>
                <w:rFonts w:ascii="Calibri" w:hAnsi="Calibri"/>
                <w:color w:val="0000FF"/>
              </w:rPr>
            </w:pPr>
            <w:r>
              <w:rPr>
                <w:rFonts w:ascii="Calibri" w:hAnsi="Calibri"/>
                <w:color w:val="000000"/>
              </w:rPr>
              <w:t>0.4363</w:t>
            </w:r>
          </w:p>
        </w:tc>
      </w:tr>
      <w:tr w:rsidR="009F766D" w14:paraId="4E33AE3D" w14:textId="77777777" w:rsidTr="00950E74">
        <w:trPr>
          <w:trHeight w:val="289"/>
        </w:trPr>
        <w:tc>
          <w:tcPr>
            <w:tcW w:w="871" w:type="dxa"/>
            <w:tcBorders>
              <w:top w:val="nil"/>
              <w:left w:val="single" w:sz="4" w:space="0" w:color="auto"/>
              <w:bottom w:val="nil"/>
              <w:right w:val="nil"/>
            </w:tcBorders>
            <w:noWrap/>
            <w:vAlign w:val="bottom"/>
            <w:hideMark/>
          </w:tcPr>
          <w:p w14:paraId="155CF0AA" w14:textId="77777777" w:rsidR="009F766D" w:rsidRPr="00C00E30" w:rsidRDefault="009F766D" w:rsidP="00727326">
            <w:pPr>
              <w:spacing w:after="0" w:line="240" w:lineRule="auto"/>
              <w:jc w:val="center"/>
              <w:rPr>
                <w:rFonts w:ascii="Calibri" w:hAnsi="Calibri"/>
              </w:rPr>
            </w:pPr>
            <w:r w:rsidRPr="00C00E30">
              <w:rPr>
                <w:rFonts w:ascii="Calibri" w:hAnsi="Calibri"/>
              </w:rPr>
              <w:t>8</w:t>
            </w:r>
          </w:p>
        </w:tc>
        <w:tc>
          <w:tcPr>
            <w:tcW w:w="869" w:type="dxa"/>
            <w:noWrap/>
          </w:tcPr>
          <w:p w14:paraId="2989724A"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18F25421" w14:textId="77777777" w:rsidR="009F766D" w:rsidRDefault="009F766D" w:rsidP="00727326">
            <w:pPr>
              <w:spacing w:after="0" w:line="240" w:lineRule="auto"/>
              <w:jc w:val="center"/>
              <w:rPr>
                <w:rFonts w:ascii="Calibri" w:hAnsi="Calibri"/>
                <w:color w:val="0000FF"/>
              </w:rPr>
            </w:pPr>
            <w:r w:rsidRPr="00452E05">
              <w:t>19,998.80</w:t>
            </w:r>
          </w:p>
        </w:tc>
        <w:tc>
          <w:tcPr>
            <w:tcW w:w="1192" w:type="dxa"/>
            <w:tcBorders>
              <w:top w:val="nil"/>
              <w:left w:val="single" w:sz="4" w:space="0" w:color="auto"/>
              <w:bottom w:val="nil"/>
              <w:right w:val="nil"/>
            </w:tcBorders>
            <w:noWrap/>
            <w:vAlign w:val="bottom"/>
          </w:tcPr>
          <w:p w14:paraId="23924843" w14:textId="4EE01441"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3DEAF6C0" w14:textId="16035C38" w:rsidR="009F766D" w:rsidRDefault="009F766D" w:rsidP="00727326">
            <w:pPr>
              <w:spacing w:after="0" w:line="240" w:lineRule="auto"/>
              <w:rPr>
                <w:rFonts w:ascii="Calibri" w:hAnsi="Calibri"/>
                <w:color w:val="0000FF"/>
              </w:rPr>
            </w:pPr>
            <w:r>
              <w:rPr>
                <w:rFonts w:ascii="Calibri" w:hAnsi="Calibri"/>
                <w:color w:val="000000"/>
              </w:rPr>
              <w:t>0.4140</w:t>
            </w:r>
          </w:p>
        </w:tc>
        <w:tc>
          <w:tcPr>
            <w:tcW w:w="1170" w:type="dxa"/>
            <w:tcBorders>
              <w:top w:val="nil"/>
              <w:left w:val="nil"/>
              <w:bottom w:val="nil"/>
              <w:right w:val="single" w:sz="4" w:space="0" w:color="auto"/>
            </w:tcBorders>
            <w:noWrap/>
            <w:vAlign w:val="bottom"/>
          </w:tcPr>
          <w:p w14:paraId="7A08F75E" w14:textId="5B581D01" w:rsidR="009F766D" w:rsidRDefault="009F766D" w:rsidP="00727326">
            <w:pPr>
              <w:spacing w:after="0" w:line="240" w:lineRule="auto"/>
              <w:rPr>
                <w:rFonts w:ascii="Calibri" w:hAnsi="Calibri"/>
                <w:color w:val="0000FF"/>
              </w:rPr>
            </w:pPr>
            <w:r>
              <w:rPr>
                <w:rFonts w:ascii="Calibri" w:hAnsi="Calibri"/>
                <w:color w:val="000000"/>
              </w:rPr>
              <w:t>0.5860</w:t>
            </w:r>
          </w:p>
        </w:tc>
        <w:tc>
          <w:tcPr>
            <w:tcW w:w="990" w:type="dxa"/>
            <w:tcBorders>
              <w:top w:val="nil"/>
              <w:left w:val="single" w:sz="4" w:space="0" w:color="auto"/>
              <w:bottom w:val="nil"/>
              <w:right w:val="nil"/>
            </w:tcBorders>
            <w:noWrap/>
            <w:vAlign w:val="bottom"/>
          </w:tcPr>
          <w:p w14:paraId="4506C643" w14:textId="3B05C1F6" w:rsidR="009F766D" w:rsidRDefault="009F766D" w:rsidP="00727326">
            <w:pPr>
              <w:spacing w:after="0" w:line="240" w:lineRule="auto"/>
              <w:rPr>
                <w:rFonts w:ascii="Calibri" w:hAnsi="Calibri"/>
                <w:color w:val="0000FF"/>
              </w:rPr>
            </w:pPr>
            <w:r>
              <w:rPr>
                <w:rFonts w:ascii="Calibri" w:hAnsi="Calibri"/>
                <w:color w:val="000000"/>
              </w:rPr>
              <w:t>0.5924</w:t>
            </w:r>
          </w:p>
        </w:tc>
        <w:tc>
          <w:tcPr>
            <w:tcW w:w="990" w:type="dxa"/>
            <w:noWrap/>
            <w:vAlign w:val="bottom"/>
          </w:tcPr>
          <w:p w14:paraId="2FF0CE95" w14:textId="74C86172" w:rsidR="009F766D" w:rsidRDefault="009F766D" w:rsidP="00727326">
            <w:pPr>
              <w:spacing w:after="0" w:line="240" w:lineRule="auto"/>
              <w:rPr>
                <w:rFonts w:ascii="Calibri" w:hAnsi="Calibri"/>
                <w:color w:val="0000FF"/>
              </w:rPr>
            </w:pPr>
            <w:r>
              <w:rPr>
                <w:rFonts w:ascii="Calibri" w:hAnsi="Calibri"/>
                <w:color w:val="000000"/>
              </w:rPr>
              <w:t>0.0541</w:t>
            </w:r>
          </w:p>
        </w:tc>
        <w:tc>
          <w:tcPr>
            <w:tcW w:w="1098" w:type="dxa"/>
            <w:tcBorders>
              <w:top w:val="nil"/>
              <w:left w:val="nil"/>
              <w:bottom w:val="nil"/>
              <w:right w:val="single" w:sz="4" w:space="0" w:color="auto"/>
            </w:tcBorders>
            <w:noWrap/>
            <w:vAlign w:val="bottom"/>
          </w:tcPr>
          <w:p w14:paraId="44320697" w14:textId="1DCEDD82" w:rsidR="009F766D" w:rsidRDefault="009F766D" w:rsidP="00727326">
            <w:pPr>
              <w:spacing w:after="0" w:line="240" w:lineRule="auto"/>
              <w:rPr>
                <w:rFonts w:ascii="Calibri" w:hAnsi="Calibri"/>
                <w:color w:val="0000FF"/>
              </w:rPr>
            </w:pPr>
            <w:r>
              <w:rPr>
                <w:rFonts w:ascii="Calibri" w:hAnsi="Calibri"/>
                <w:color w:val="000000"/>
              </w:rPr>
              <w:t>0.3535</w:t>
            </w:r>
          </w:p>
        </w:tc>
      </w:tr>
      <w:tr w:rsidR="009F766D" w14:paraId="38C87C94" w14:textId="77777777" w:rsidTr="00950E74">
        <w:trPr>
          <w:trHeight w:val="289"/>
        </w:trPr>
        <w:tc>
          <w:tcPr>
            <w:tcW w:w="871" w:type="dxa"/>
            <w:tcBorders>
              <w:top w:val="nil"/>
              <w:left w:val="single" w:sz="4" w:space="0" w:color="auto"/>
              <w:bottom w:val="nil"/>
              <w:right w:val="nil"/>
            </w:tcBorders>
            <w:noWrap/>
            <w:vAlign w:val="bottom"/>
            <w:hideMark/>
          </w:tcPr>
          <w:p w14:paraId="2FB03CC4" w14:textId="77777777" w:rsidR="009F766D" w:rsidRPr="00C00E30" w:rsidRDefault="009F766D" w:rsidP="00727326">
            <w:pPr>
              <w:spacing w:after="0" w:line="240" w:lineRule="auto"/>
              <w:jc w:val="center"/>
              <w:rPr>
                <w:rFonts w:ascii="Calibri" w:hAnsi="Calibri"/>
              </w:rPr>
            </w:pPr>
            <w:r w:rsidRPr="00C00E30">
              <w:rPr>
                <w:rFonts w:ascii="Calibri" w:hAnsi="Calibri"/>
              </w:rPr>
              <w:t>9</w:t>
            </w:r>
          </w:p>
        </w:tc>
        <w:tc>
          <w:tcPr>
            <w:tcW w:w="869" w:type="dxa"/>
            <w:noWrap/>
          </w:tcPr>
          <w:p w14:paraId="1718068B"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nil"/>
              <w:right w:val="single" w:sz="4" w:space="0" w:color="auto"/>
            </w:tcBorders>
            <w:noWrap/>
          </w:tcPr>
          <w:p w14:paraId="0FBFC616" w14:textId="77777777" w:rsidR="009F766D" w:rsidRDefault="009F766D" w:rsidP="00727326">
            <w:pPr>
              <w:spacing w:after="0" w:line="240" w:lineRule="auto"/>
              <w:jc w:val="center"/>
              <w:rPr>
                <w:rFonts w:ascii="Calibri" w:hAnsi="Calibri"/>
                <w:color w:val="0000FF"/>
              </w:rPr>
            </w:pPr>
            <w:r w:rsidRPr="00452E05">
              <w:t>38,396.80</w:t>
            </w:r>
          </w:p>
        </w:tc>
        <w:tc>
          <w:tcPr>
            <w:tcW w:w="1192" w:type="dxa"/>
            <w:tcBorders>
              <w:top w:val="nil"/>
              <w:left w:val="single" w:sz="4" w:space="0" w:color="auto"/>
              <w:bottom w:val="nil"/>
              <w:right w:val="nil"/>
            </w:tcBorders>
            <w:noWrap/>
            <w:vAlign w:val="bottom"/>
          </w:tcPr>
          <w:p w14:paraId="4B1EE753" w14:textId="7DBD1F34" w:rsidR="009F766D" w:rsidRDefault="009F766D" w:rsidP="00727326">
            <w:pPr>
              <w:spacing w:after="0" w:line="240" w:lineRule="auto"/>
              <w:rPr>
                <w:rFonts w:ascii="Calibri" w:hAnsi="Calibri"/>
                <w:color w:val="0000FF"/>
              </w:rPr>
            </w:pPr>
            <w:r>
              <w:rPr>
                <w:rFonts w:ascii="Calibri" w:hAnsi="Calibri"/>
                <w:color w:val="000000"/>
              </w:rPr>
              <w:t>0.0000</w:t>
            </w:r>
          </w:p>
        </w:tc>
        <w:tc>
          <w:tcPr>
            <w:tcW w:w="968" w:type="dxa"/>
            <w:noWrap/>
            <w:vAlign w:val="bottom"/>
          </w:tcPr>
          <w:p w14:paraId="7B9D30DE" w14:textId="01D8A3A1" w:rsidR="009F766D" w:rsidRDefault="009F766D" w:rsidP="00727326">
            <w:pPr>
              <w:spacing w:after="0" w:line="240" w:lineRule="auto"/>
              <w:rPr>
                <w:rFonts w:ascii="Calibri" w:hAnsi="Calibri"/>
                <w:color w:val="0000FF"/>
              </w:rPr>
            </w:pPr>
            <w:r>
              <w:rPr>
                <w:rFonts w:ascii="Calibri" w:hAnsi="Calibri"/>
                <w:color w:val="000000"/>
              </w:rPr>
              <w:t>0.5127</w:t>
            </w:r>
          </w:p>
        </w:tc>
        <w:tc>
          <w:tcPr>
            <w:tcW w:w="1170" w:type="dxa"/>
            <w:tcBorders>
              <w:top w:val="nil"/>
              <w:left w:val="nil"/>
              <w:bottom w:val="nil"/>
              <w:right w:val="single" w:sz="4" w:space="0" w:color="auto"/>
            </w:tcBorders>
            <w:noWrap/>
            <w:vAlign w:val="bottom"/>
          </w:tcPr>
          <w:p w14:paraId="5868AD0F" w14:textId="5E5D89BA" w:rsidR="009F766D" w:rsidRDefault="009F766D" w:rsidP="00727326">
            <w:pPr>
              <w:spacing w:after="0" w:line="240" w:lineRule="auto"/>
              <w:rPr>
                <w:rFonts w:ascii="Calibri" w:hAnsi="Calibri"/>
                <w:color w:val="0000FF"/>
              </w:rPr>
            </w:pPr>
            <w:r>
              <w:rPr>
                <w:rFonts w:ascii="Calibri" w:hAnsi="Calibri"/>
                <w:color w:val="000000"/>
              </w:rPr>
              <w:t>0.4873</w:t>
            </w:r>
          </w:p>
        </w:tc>
        <w:tc>
          <w:tcPr>
            <w:tcW w:w="990" w:type="dxa"/>
            <w:tcBorders>
              <w:top w:val="nil"/>
              <w:left w:val="single" w:sz="4" w:space="0" w:color="auto"/>
              <w:bottom w:val="nil"/>
              <w:right w:val="nil"/>
            </w:tcBorders>
            <w:noWrap/>
            <w:vAlign w:val="bottom"/>
          </w:tcPr>
          <w:p w14:paraId="42C3EE64" w14:textId="6A721C8B" w:rsidR="009F766D" w:rsidRDefault="009F766D" w:rsidP="00727326">
            <w:pPr>
              <w:spacing w:after="0" w:line="240" w:lineRule="auto"/>
              <w:rPr>
                <w:rFonts w:ascii="Calibri" w:hAnsi="Calibri"/>
                <w:color w:val="0000FF"/>
              </w:rPr>
            </w:pPr>
            <w:r>
              <w:rPr>
                <w:rFonts w:ascii="Calibri" w:hAnsi="Calibri"/>
                <w:color w:val="000000"/>
              </w:rPr>
              <w:t>0.6561</w:t>
            </w:r>
          </w:p>
        </w:tc>
        <w:tc>
          <w:tcPr>
            <w:tcW w:w="990" w:type="dxa"/>
            <w:noWrap/>
            <w:vAlign w:val="bottom"/>
          </w:tcPr>
          <w:p w14:paraId="719D5947" w14:textId="2E0EB42A" w:rsidR="009F766D" w:rsidRDefault="009F766D" w:rsidP="00727326">
            <w:pPr>
              <w:spacing w:after="0" w:line="240" w:lineRule="auto"/>
              <w:rPr>
                <w:rFonts w:ascii="Calibri" w:hAnsi="Calibri"/>
                <w:color w:val="0000FF"/>
              </w:rPr>
            </w:pPr>
            <w:r>
              <w:rPr>
                <w:rFonts w:ascii="Calibri" w:hAnsi="Calibri"/>
                <w:color w:val="000000"/>
              </w:rPr>
              <w:t>0.0510</w:t>
            </w:r>
          </w:p>
        </w:tc>
        <w:tc>
          <w:tcPr>
            <w:tcW w:w="1098" w:type="dxa"/>
            <w:tcBorders>
              <w:top w:val="nil"/>
              <w:left w:val="nil"/>
              <w:bottom w:val="nil"/>
              <w:right w:val="single" w:sz="4" w:space="0" w:color="auto"/>
            </w:tcBorders>
            <w:noWrap/>
            <w:vAlign w:val="bottom"/>
          </w:tcPr>
          <w:p w14:paraId="3C76E8A9" w14:textId="24148A4A" w:rsidR="009F766D" w:rsidRDefault="009F766D" w:rsidP="00727326">
            <w:pPr>
              <w:spacing w:after="0" w:line="240" w:lineRule="auto"/>
              <w:rPr>
                <w:rFonts w:ascii="Calibri" w:hAnsi="Calibri"/>
                <w:color w:val="0000FF"/>
              </w:rPr>
            </w:pPr>
            <w:r>
              <w:rPr>
                <w:rFonts w:ascii="Calibri" w:hAnsi="Calibri"/>
                <w:color w:val="000000"/>
              </w:rPr>
              <w:t>0.2930</w:t>
            </w:r>
          </w:p>
        </w:tc>
      </w:tr>
      <w:tr w:rsidR="009F766D" w14:paraId="28C17DDD" w14:textId="77777777" w:rsidTr="00950E74">
        <w:trPr>
          <w:trHeight w:val="300"/>
        </w:trPr>
        <w:tc>
          <w:tcPr>
            <w:tcW w:w="871" w:type="dxa"/>
            <w:tcBorders>
              <w:top w:val="nil"/>
              <w:left w:val="single" w:sz="4" w:space="0" w:color="auto"/>
              <w:bottom w:val="single" w:sz="4" w:space="0" w:color="auto"/>
              <w:right w:val="nil"/>
            </w:tcBorders>
            <w:noWrap/>
            <w:vAlign w:val="bottom"/>
            <w:hideMark/>
          </w:tcPr>
          <w:p w14:paraId="7E6003CB" w14:textId="77777777" w:rsidR="009F766D" w:rsidRPr="00C00E30" w:rsidRDefault="009F766D" w:rsidP="00727326">
            <w:pPr>
              <w:spacing w:after="0" w:line="240" w:lineRule="auto"/>
              <w:jc w:val="center"/>
              <w:rPr>
                <w:rFonts w:ascii="Calibri" w:hAnsi="Calibri"/>
              </w:rPr>
            </w:pPr>
            <w:r w:rsidRPr="00C00E30">
              <w:rPr>
                <w:rFonts w:ascii="Calibri" w:hAnsi="Calibri"/>
              </w:rPr>
              <w:t>10</w:t>
            </w:r>
          </w:p>
        </w:tc>
        <w:tc>
          <w:tcPr>
            <w:tcW w:w="869" w:type="dxa"/>
            <w:tcBorders>
              <w:top w:val="nil"/>
              <w:left w:val="nil"/>
              <w:bottom w:val="single" w:sz="4" w:space="0" w:color="auto"/>
              <w:right w:val="nil"/>
            </w:tcBorders>
            <w:noWrap/>
          </w:tcPr>
          <w:p w14:paraId="447E6E45" w14:textId="77777777" w:rsidR="009F766D" w:rsidRDefault="009F766D" w:rsidP="00727326">
            <w:pPr>
              <w:spacing w:after="0" w:line="240" w:lineRule="auto"/>
              <w:jc w:val="center"/>
              <w:rPr>
                <w:rFonts w:ascii="Calibri" w:hAnsi="Calibri"/>
                <w:color w:val="0000FF"/>
              </w:rPr>
            </w:pPr>
            <w:r w:rsidRPr="00452E05">
              <w:t>314</w:t>
            </w:r>
          </w:p>
        </w:tc>
        <w:tc>
          <w:tcPr>
            <w:tcW w:w="1335" w:type="dxa"/>
            <w:tcBorders>
              <w:top w:val="nil"/>
              <w:left w:val="nil"/>
              <w:bottom w:val="single" w:sz="4" w:space="0" w:color="auto"/>
              <w:right w:val="single" w:sz="4" w:space="0" w:color="auto"/>
            </w:tcBorders>
            <w:noWrap/>
          </w:tcPr>
          <w:p w14:paraId="415919B8" w14:textId="77777777" w:rsidR="009F766D" w:rsidRDefault="009F766D" w:rsidP="00727326">
            <w:pPr>
              <w:spacing w:after="0" w:line="240" w:lineRule="auto"/>
              <w:jc w:val="center"/>
              <w:rPr>
                <w:rFonts w:ascii="Calibri" w:hAnsi="Calibri"/>
                <w:color w:val="0000FF"/>
              </w:rPr>
            </w:pPr>
            <w:r w:rsidRPr="00452E05">
              <w:t>191,539.10</w:t>
            </w:r>
          </w:p>
        </w:tc>
        <w:tc>
          <w:tcPr>
            <w:tcW w:w="1192" w:type="dxa"/>
            <w:tcBorders>
              <w:top w:val="nil"/>
              <w:left w:val="single" w:sz="4" w:space="0" w:color="auto"/>
              <w:bottom w:val="single" w:sz="4" w:space="0" w:color="auto"/>
              <w:right w:val="nil"/>
            </w:tcBorders>
            <w:noWrap/>
            <w:vAlign w:val="bottom"/>
          </w:tcPr>
          <w:p w14:paraId="123C7AB8" w14:textId="6D736D00" w:rsidR="009F766D" w:rsidRDefault="009F766D" w:rsidP="00727326">
            <w:pPr>
              <w:spacing w:after="0" w:line="240" w:lineRule="auto"/>
              <w:rPr>
                <w:rFonts w:ascii="Calibri" w:hAnsi="Calibri"/>
                <w:color w:val="0000FF"/>
              </w:rPr>
            </w:pPr>
            <w:r>
              <w:rPr>
                <w:rFonts w:ascii="Calibri" w:hAnsi="Calibri"/>
                <w:color w:val="000000"/>
              </w:rPr>
              <w:t>0.0732</w:t>
            </w:r>
          </w:p>
        </w:tc>
        <w:tc>
          <w:tcPr>
            <w:tcW w:w="968" w:type="dxa"/>
            <w:tcBorders>
              <w:top w:val="nil"/>
              <w:left w:val="nil"/>
              <w:bottom w:val="single" w:sz="4" w:space="0" w:color="auto"/>
              <w:right w:val="nil"/>
            </w:tcBorders>
            <w:noWrap/>
            <w:vAlign w:val="bottom"/>
          </w:tcPr>
          <w:p w14:paraId="353C9446" w14:textId="542F90EF" w:rsidR="009F766D" w:rsidRDefault="009F766D" w:rsidP="00727326">
            <w:pPr>
              <w:spacing w:after="0" w:line="240" w:lineRule="auto"/>
              <w:rPr>
                <w:rFonts w:ascii="Calibri" w:hAnsi="Calibri"/>
                <w:color w:val="0000FF"/>
              </w:rPr>
            </w:pPr>
            <w:r>
              <w:rPr>
                <w:rFonts w:ascii="Calibri" w:hAnsi="Calibri"/>
                <w:color w:val="000000"/>
              </w:rPr>
              <w:t>0.6975</w:t>
            </w:r>
          </w:p>
        </w:tc>
        <w:tc>
          <w:tcPr>
            <w:tcW w:w="1170" w:type="dxa"/>
            <w:tcBorders>
              <w:top w:val="nil"/>
              <w:left w:val="nil"/>
              <w:bottom w:val="single" w:sz="4" w:space="0" w:color="auto"/>
              <w:right w:val="single" w:sz="4" w:space="0" w:color="auto"/>
            </w:tcBorders>
            <w:noWrap/>
            <w:vAlign w:val="bottom"/>
          </w:tcPr>
          <w:p w14:paraId="70111A71" w14:textId="457980A8" w:rsidR="009F766D" w:rsidRDefault="009F766D" w:rsidP="00727326">
            <w:pPr>
              <w:spacing w:after="0" w:line="240" w:lineRule="auto"/>
              <w:rPr>
                <w:rFonts w:ascii="Calibri" w:hAnsi="Calibri"/>
                <w:color w:val="0000FF"/>
              </w:rPr>
            </w:pPr>
            <w:r>
              <w:rPr>
                <w:rFonts w:ascii="Calibri" w:hAnsi="Calibri"/>
                <w:color w:val="000000"/>
              </w:rPr>
              <w:t>0.2293</w:t>
            </w:r>
          </w:p>
        </w:tc>
        <w:tc>
          <w:tcPr>
            <w:tcW w:w="990" w:type="dxa"/>
            <w:tcBorders>
              <w:top w:val="nil"/>
              <w:left w:val="single" w:sz="4" w:space="0" w:color="auto"/>
              <w:bottom w:val="single" w:sz="4" w:space="0" w:color="auto"/>
              <w:right w:val="nil"/>
            </w:tcBorders>
            <w:noWrap/>
            <w:vAlign w:val="bottom"/>
          </w:tcPr>
          <w:p w14:paraId="5B305929" w14:textId="15911CAF" w:rsidR="009F766D" w:rsidRDefault="009F766D" w:rsidP="00727326">
            <w:pPr>
              <w:spacing w:after="0" w:line="240" w:lineRule="auto"/>
              <w:rPr>
                <w:rFonts w:ascii="Calibri" w:hAnsi="Calibri"/>
                <w:color w:val="0000FF"/>
              </w:rPr>
            </w:pPr>
            <w:r>
              <w:rPr>
                <w:rFonts w:ascii="Calibri" w:hAnsi="Calibri"/>
                <w:color w:val="000000"/>
              </w:rPr>
              <w:t>0.6879</w:t>
            </w:r>
          </w:p>
        </w:tc>
        <w:tc>
          <w:tcPr>
            <w:tcW w:w="990" w:type="dxa"/>
            <w:tcBorders>
              <w:top w:val="nil"/>
              <w:left w:val="nil"/>
              <w:bottom w:val="single" w:sz="4" w:space="0" w:color="auto"/>
              <w:right w:val="nil"/>
            </w:tcBorders>
            <w:noWrap/>
            <w:vAlign w:val="bottom"/>
          </w:tcPr>
          <w:p w14:paraId="68D95A53" w14:textId="35D6240F" w:rsidR="009F766D" w:rsidRDefault="009F766D" w:rsidP="00727326">
            <w:pPr>
              <w:spacing w:after="0" w:line="240" w:lineRule="auto"/>
              <w:rPr>
                <w:rFonts w:ascii="Calibri" w:hAnsi="Calibri"/>
                <w:color w:val="0000FF"/>
              </w:rPr>
            </w:pPr>
            <w:r>
              <w:rPr>
                <w:rFonts w:ascii="Calibri" w:hAnsi="Calibri"/>
                <w:color w:val="000000"/>
              </w:rPr>
              <w:t>0.1656</w:t>
            </w:r>
          </w:p>
        </w:tc>
        <w:tc>
          <w:tcPr>
            <w:tcW w:w="1098" w:type="dxa"/>
            <w:tcBorders>
              <w:top w:val="nil"/>
              <w:left w:val="nil"/>
              <w:bottom w:val="single" w:sz="4" w:space="0" w:color="auto"/>
              <w:right w:val="single" w:sz="4" w:space="0" w:color="auto"/>
            </w:tcBorders>
            <w:noWrap/>
            <w:vAlign w:val="bottom"/>
          </w:tcPr>
          <w:p w14:paraId="756B1996" w14:textId="4309F17E" w:rsidR="009F766D" w:rsidRDefault="009F766D" w:rsidP="00727326">
            <w:pPr>
              <w:spacing w:after="0" w:line="240" w:lineRule="auto"/>
              <w:rPr>
                <w:rFonts w:ascii="Calibri" w:hAnsi="Calibri"/>
                <w:color w:val="0000FF"/>
              </w:rPr>
            </w:pPr>
            <w:r>
              <w:rPr>
                <w:rFonts w:ascii="Calibri" w:hAnsi="Calibri"/>
                <w:color w:val="000000"/>
              </w:rPr>
              <w:t>0.1465</w:t>
            </w:r>
          </w:p>
        </w:tc>
      </w:tr>
      <w:tr w:rsidR="009F766D" w14:paraId="113C3DDC" w14:textId="77777777" w:rsidTr="00950E74">
        <w:trPr>
          <w:trHeight w:val="300"/>
        </w:trPr>
        <w:tc>
          <w:tcPr>
            <w:tcW w:w="871" w:type="dxa"/>
            <w:tcBorders>
              <w:top w:val="single" w:sz="4" w:space="0" w:color="auto"/>
              <w:left w:val="single" w:sz="4" w:space="0" w:color="auto"/>
              <w:bottom w:val="single" w:sz="4" w:space="0" w:color="auto"/>
              <w:right w:val="nil"/>
            </w:tcBorders>
            <w:noWrap/>
            <w:vAlign w:val="bottom"/>
            <w:hideMark/>
          </w:tcPr>
          <w:p w14:paraId="22065031" w14:textId="77777777" w:rsidR="009F766D" w:rsidRDefault="009F766D" w:rsidP="00727326">
            <w:pPr>
              <w:spacing w:after="0" w:line="240" w:lineRule="auto"/>
              <w:jc w:val="center"/>
              <w:rPr>
                <w:rFonts w:ascii="Calibri" w:hAnsi="Calibri"/>
                <w:color w:val="0000FF"/>
              </w:rPr>
            </w:pPr>
            <w:r w:rsidRPr="00C00E30">
              <w:rPr>
                <w:rFonts w:ascii="Calibri" w:hAnsi="Calibri"/>
              </w:rPr>
              <w:t>Overall</w:t>
            </w:r>
          </w:p>
        </w:tc>
        <w:tc>
          <w:tcPr>
            <w:tcW w:w="869" w:type="dxa"/>
            <w:tcBorders>
              <w:top w:val="single" w:sz="4" w:space="0" w:color="auto"/>
              <w:left w:val="nil"/>
              <w:bottom w:val="single" w:sz="4" w:space="0" w:color="auto"/>
              <w:right w:val="nil"/>
            </w:tcBorders>
            <w:noWrap/>
          </w:tcPr>
          <w:p w14:paraId="673F3786" w14:textId="77777777" w:rsidR="009F766D" w:rsidRDefault="009F766D" w:rsidP="00727326">
            <w:pPr>
              <w:spacing w:after="0" w:line="240" w:lineRule="auto"/>
              <w:jc w:val="center"/>
              <w:rPr>
                <w:rFonts w:ascii="Calibri" w:hAnsi="Calibri"/>
                <w:color w:val="0000FF"/>
              </w:rPr>
            </w:pPr>
            <w:r w:rsidRPr="00452E05">
              <w:t>3,140</w:t>
            </w:r>
          </w:p>
        </w:tc>
        <w:tc>
          <w:tcPr>
            <w:tcW w:w="1335" w:type="dxa"/>
            <w:tcBorders>
              <w:top w:val="single" w:sz="4" w:space="0" w:color="auto"/>
              <w:left w:val="nil"/>
              <w:bottom w:val="single" w:sz="4" w:space="0" w:color="auto"/>
              <w:right w:val="single" w:sz="4" w:space="0" w:color="auto"/>
            </w:tcBorders>
            <w:noWrap/>
          </w:tcPr>
          <w:p w14:paraId="7F41F3B5" w14:textId="77777777" w:rsidR="009F766D" w:rsidRDefault="009F766D" w:rsidP="00727326">
            <w:pPr>
              <w:spacing w:after="0" w:line="240" w:lineRule="auto"/>
              <w:jc w:val="center"/>
              <w:rPr>
                <w:rFonts w:ascii="Calibri" w:hAnsi="Calibri"/>
                <w:color w:val="0000FF"/>
              </w:rPr>
            </w:pPr>
            <w:r w:rsidRPr="00452E05">
              <w:t>29,193.40</w:t>
            </w:r>
          </w:p>
        </w:tc>
        <w:tc>
          <w:tcPr>
            <w:tcW w:w="1192" w:type="dxa"/>
            <w:tcBorders>
              <w:top w:val="single" w:sz="4" w:space="0" w:color="auto"/>
              <w:left w:val="single" w:sz="4" w:space="0" w:color="auto"/>
              <w:bottom w:val="single" w:sz="4" w:space="0" w:color="auto"/>
              <w:right w:val="nil"/>
            </w:tcBorders>
            <w:noWrap/>
            <w:vAlign w:val="bottom"/>
          </w:tcPr>
          <w:p w14:paraId="202F5367" w14:textId="5CAC80D2" w:rsidR="009F766D" w:rsidRDefault="009F766D" w:rsidP="00727326">
            <w:pPr>
              <w:spacing w:after="0" w:line="240" w:lineRule="auto"/>
              <w:rPr>
                <w:rFonts w:ascii="Calibri" w:hAnsi="Calibri"/>
                <w:color w:val="0000FF"/>
              </w:rPr>
            </w:pPr>
            <w:r>
              <w:rPr>
                <w:rFonts w:ascii="Calibri" w:hAnsi="Calibri"/>
                <w:color w:val="000000"/>
              </w:rPr>
              <w:t>0.0073</w:t>
            </w:r>
          </w:p>
        </w:tc>
        <w:tc>
          <w:tcPr>
            <w:tcW w:w="968" w:type="dxa"/>
            <w:tcBorders>
              <w:top w:val="single" w:sz="4" w:space="0" w:color="auto"/>
              <w:left w:val="nil"/>
              <w:bottom w:val="single" w:sz="4" w:space="0" w:color="auto"/>
              <w:right w:val="nil"/>
            </w:tcBorders>
            <w:noWrap/>
            <w:vAlign w:val="bottom"/>
          </w:tcPr>
          <w:p w14:paraId="529F586E" w14:textId="307DFD2A" w:rsidR="009F766D" w:rsidRDefault="009F766D" w:rsidP="00727326">
            <w:pPr>
              <w:spacing w:after="0" w:line="240" w:lineRule="auto"/>
              <w:rPr>
                <w:rFonts w:ascii="Calibri" w:hAnsi="Calibri"/>
                <w:color w:val="0000FF"/>
              </w:rPr>
            </w:pPr>
            <w:r>
              <w:rPr>
                <w:rFonts w:ascii="Calibri" w:hAnsi="Calibri"/>
                <w:color w:val="000000"/>
              </w:rPr>
              <w:t>0.3089</w:t>
            </w:r>
          </w:p>
        </w:tc>
        <w:tc>
          <w:tcPr>
            <w:tcW w:w="1170" w:type="dxa"/>
            <w:tcBorders>
              <w:top w:val="single" w:sz="4" w:space="0" w:color="auto"/>
              <w:left w:val="nil"/>
              <w:bottom w:val="single" w:sz="4" w:space="0" w:color="auto"/>
              <w:right w:val="single" w:sz="4" w:space="0" w:color="auto"/>
            </w:tcBorders>
            <w:noWrap/>
            <w:vAlign w:val="bottom"/>
          </w:tcPr>
          <w:p w14:paraId="46104EC6" w14:textId="61498FEF" w:rsidR="009F766D" w:rsidRDefault="009F766D" w:rsidP="00727326">
            <w:pPr>
              <w:spacing w:after="0" w:line="240" w:lineRule="auto"/>
              <w:rPr>
                <w:rFonts w:ascii="Calibri" w:hAnsi="Calibri"/>
                <w:color w:val="0000FF"/>
              </w:rPr>
            </w:pPr>
            <w:r>
              <w:rPr>
                <w:rFonts w:ascii="Calibri" w:hAnsi="Calibri"/>
                <w:color w:val="000000"/>
              </w:rPr>
              <w:t>0.6838</w:t>
            </w:r>
          </w:p>
        </w:tc>
        <w:tc>
          <w:tcPr>
            <w:tcW w:w="990" w:type="dxa"/>
            <w:tcBorders>
              <w:top w:val="single" w:sz="4" w:space="0" w:color="auto"/>
              <w:left w:val="single" w:sz="4" w:space="0" w:color="auto"/>
              <w:bottom w:val="single" w:sz="4" w:space="0" w:color="auto"/>
              <w:right w:val="nil"/>
            </w:tcBorders>
            <w:noWrap/>
            <w:vAlign w:val="bottom"/>
          </w:tcPr>
          <w:p w14:paraId="7AAAE176" w14:textId="62C7722E" w:rsidR="009F766D" w:rsidRDefault="009F766D" w:rsidP="00727326">
            <w:pPr>
              <w:spacing w:after="0" w:line="240" w:lineRule="auto"/>
              <w:rPr>
                <w:rFonts w:ascii="Calibri" w:hAnsi="Calibri"/>
                <w:color w:val="0000FF"/>
              </w:rPr>
            </w:pPr>
            <w:r>
              <w:rPr>
                <w:rFonts w:ascii="Calibri" w:hAnsi="Calibri"/>
                <w:color w:val="000000"/>
              </w:rPr>
              <w:t>0.3331</w:t>
            </w:r>
          </w:p>
        </w:tc>
        <w:tc>
          <w:tcPr>
            <w:tcW w:w="990" w:type="dxa"/>
            <w:tcBorders>
              <w:top w:val="single" w:sz="4" w:space="0" w:color="auto"/>
              <w:left w:val="nil"/>
              <w:bottom w:val="single" w:sz="4" w:space="0" w:color="auto"/>
              <w:right w:val="nil"/>
            </w:tcBorders>
            <w:noWrap/>
            <w:vAlign w:val="bottom"/>
          </w:tcPr>
          <w:p w14:paraId="08985C6A" w14:textId="3D7221CE" w:rsidR="009F766D" w:rsidRDefault="009F766D" w:rsidP="00727326">
            <w:pPr>
              <w:spacing w:after="0" w:line="240" w:lineRule="auto"/>
              <w:rPr>
                <w:rFonts w:ascii="Calibri" w:hAnsi="Calibri"/>
                <w:color w:val="0000FF"/>
              </w:rPr>
            </w:pPr>
            <w:r>
              <w:rPr>
                <w:rFonts w:ascii="Calibri" w:hAnsi="Calibri"/>
                <w:color w:val="000000"/>
              </w:rPr>
              <w:t>0.0401</w:t>
            </w:r>
          </w:p>
        </w:tc>
        <w:tc>
          <w:tcPr>
            <w:tcW w:w="1098" w:type="dxa"/>
            <w:tcBorders>
              <w:top w:val="single" w:sz="4" w:space="0" w:color="auto"/>
              <w:left w:val="nil"/>
              <w:bottom w:val="single" w:sz="4" w:space="0" w:color="auto"/>
              <w:right w:val="single" w:sz="4" w:space="0" w:color="auto"/>
            </w:tcBorders>
            <w:noWrap/>
            <w:vAlign w:val="bottom"/>
          </w:tcPr>
          <w:p w14:paraId="581DFB3D" w14:textId="6F823E3B" w:rsidR="009F766D" w:rsidRDefault="009F766D" w:rsidP="00727326">
            <w:pPr>
              <w:spacing w:after="0" w:line="240" w:lineRule="auto"/>
              <w:rPr>
                <w:rFonts w:ascii="Calibri" w:hAnsi="Calibri"/>
                <w:color w:val="0000FF"/>
              </w:rPr>
            </w:pPr>
            <w:r>
              <w:rPr>
                <w:rFonts w:ascii="Calibri" w:hAnsi="Calibri"/>
                <w:color w:val="000000"/>
              </w:rPr>
              <w:t>0.6268</w:t>
            </w:r>
          </w:p>
        </w:tc>
      </w:tr>
    </w:tbl>
    <w:p w14:paraId="07C32FDC" w14:textId="4F1DED93" w:rsidR="00D61410" w:rsidRPr="00927027" w:rsidRDefault="004A75CB" w:rsidP="00D61410">
      <w:pPr>
        <w:autoSpaceDE w:val="0"/>
        <w:autoSpaceDN w:val="0"/>
        <w:adjustRightInd w:val="0"/>
        <w:spacing w:after="0" w:line="240" w:lineRule="auto"/>
        <w:rPr>
          <w:rFonts w:cstheme="minorHAnsi"/>
          <w:bCs/>
        </w:rPr>
      </w:pPr>
      <w:r w:rsidRPr="00C00E30">
        <w:rPr>
          <w:rFonts w:ascii="Calibri" w:hAnsi="Calibri" w:cs="Calibri"/>
          <w:color w:val="0000FF"/>
          <w:sz w:val="20"/>
          <w:szCs w:val="20"/>
        </w:rPr>
        <w:t>Source: HCUP State Inpatient Databases (SID). Healthcare Cost and Utilization Project (HCUP). 2013. Agency for</w:t>
      </w:r>
      <w:r w:rsidRPr="00C00E30">
        <w:rPr>
          <w:rFonts w:ascii="Calibri" w:hAnsi="Calibri" w:cs="Calibri"/>
          <w:color w:val="0000FF"/>
          <w:w w:val="99"/>
          <w:sz w:val="20"/>
          <w:szCs w:val="20"/>
        </w:rPr>
        <w:t xml:space="preserve"> </w:t>
      </w:r>
      <w:r w:rsidRPr="00C00E30">
        <w:rPr>
          <w:rFonts w:ascii="Calibri" w:hAnsi="Calibri" w:cs="Calibri"/>
          <w:color w:val="0000FF"/>
          <w:sz w:val="20"/>
          <w:szCs w:val="20"/>
        </w:rPr>
        <w:t xml:space="preserve">Healthcare Research and Quality, Rockville, MD. </w:t>
      </w:r>
      <w:hyperlink r:id="rId21" w:history="1">
        <w:r w:rsidRPr="00C00E30">
          <w:rPr>
            <w:rStyle w:val="Hyperlink"/>
            <w:rFonts w:ascii="Calibri" w:hAnsi="Calibri" w:cs="Calibri"/>
            <w:color w:val="0000FF"/>
            <w:sz w:val="20"/>
            <w:szCs w:val="20"/>
          </w:rPr>
          <w:t>www.hcup-us.ahrq.gov/sidoverview.jsp.</w:t>
        </w:r>
      </w:hyperlink>
      <w:r w:rsidRPr="00C00E30">
        <w:rPr>
          <w:rFonts w:ascii="Calibri" w:hAnsi="Calibri" w:cs="Calibri"/>
          <w:color w:val="0000FF"/>
          <w:sz w:val="20"/>
          <w:szCs w:val="20"/>
        </w:rPr>
        <w:t xml:space="preserve"> (AHRQ QI Software</w:t>
      </w:r>
      <w:r w:rsidRPr="00C00E30">
        <w:rPr>
          <w:rFonts w:ascii="Calibri" w:hAnsi="Calibri" w:cs="Calibri"/>
          <w:color w:val="0000FF"/>
          <w:w w:val="99"/>
          <w:sz w:val="20"/>
          <w:szCs w:val="20"/>
        </w:rPr>
        <w:t xml:space="preserve"> </w:t>
      </w:r>
      <w:r w:rsidRPr="00C00E30">
        <w:rPr>
          <w:rFonts w:ascii="Calibri" w:hAnsi="Calibri" w:cs="Calibri"/>
          <w:color w:val="0000FF"/>
          <w:sz w:val="20"/>
          <w:szCs w:val="20"/>
        </w:rPr>
        <w:t>Version 6.0)</w:t>
      </w:r>
      <w:r w:rsidRPr="00C00E30">
        <w:rPr>
          <w:rFonts w:cstheme="minorHAnsi"/>
          <w:bCs/>
          <w:sz w:val="20"/>
          <w:szCs w:val="20"/>
        </w:rPr>
        <w:br/>
      </w:r>
    </w:p>
    <w:p w14:paraId="09C705FE" w14:textId="5DABD561" w:rsidR="000C6B33" w:rsidRPr="006A4239" w:rsidRDefault="00D61410" w:rsidP="000C6B33">
      <w:pPr>
        <w:autoSpaceDE w:val="0"/>
        <w:autoSpaceDN w:val="0"/>
        <w:adjustRightInd w:val="0"/>
        <w:spacing w:after="0" w:line="240" w:lineRule="auto"/>
        <w:rPr>
          <w:rFonts w:cs="Times New Roman"/>
          <w:color w:val="0000FF"/>
          <w:sz w:val="20"/>
          <w:szCs w:val="20"/>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00943D1E">
        <w:rPr>
          <w:rFonts w:cstheme="minorHAnsi"/>
          <w:bCs/>
        </w:rPr>
        <w:t>)</w:t>
      </w:r>
    </w:p>
    <w:p w14:paraId="660FCDD5" w14:textId="77777777" w:rsidR="00D61410" w:rsidRDefault="00D61410" w:rsidP="00D61410">
      <w:pPr>
        <w:autoSpaceDE w:val="0"/>
        <w:autoSpaceDN w:val="0"/>
        <w:adjustRightInd w:val="0"/>
        <w:spacing w:after="0" w:line="240" w:lineRule="auto"/>
        <w:rPr>
          <w:rFonts w:cstheme="minorHAnsi"/>
          <w:bCs/>
        </w:rPr>
      </w:pPr>
    </w:p>
    <w:p w14:paraId="3BA28BA5" w14:textId="5DDD791C" w:rsidR="0000708B" w:rsidRPr="00A25024" w:rsidRDefault="0000708B" w:rsidP="00E45E2D">
      <w:pPr>
        <w:pStyle w:val="NQFMeasureStyle"/>
        <w:ind w:left="0"/>
        <w:rPr>
          <w:bCs/>
        </w:rPr>
      </w:pPr>
      <w:r w:rsidRPr="002E0A82">
        <w:t xml:space="preserve">This indicator has </w:t>
      </w:r>
      <w:r w:rsidR="00E100F7" w:rsidRPr="002E0A82">
        <w:t>moderate</w:t>
      </w:r>
      <w:r w:rsidRPr="002E0A82">
        <w:t xml:space="preserve"> discrimination </w:t>
      </w:r>
      <w:r w:rsidR="00E100F7" w:rsidRPr="002E0A82">
        <w:t xml:space="preserve">to identify </w:t>
      </w:r>
      <w:r w:rsidRPr="002E0A82">
        <w:t xml:space="preserve">low performing </w:t>
      </w:r>
      <w:r w:rsidR="00E100F7" w:rsidRPr="002E0A82">
        <w:t>counties for most counties</w:t>
      </w:r>
      <w:r w:rsidRPr="002E0A82">
        <w:t xml:space="preserve">; </w:t>
      </w:r>
      <w:r w:rsidR="00E71860" w:rsidRPr="002E0A82">
        <w:t>38</w:t>
      </w:r>
      <w:r w:rsidR="00E100F7" w:rsidRPr="002E0A82">
        <w:t>% of counties</w:t>
      </w:r>
      <w:r w:rsidR="00E71860" w:rsidRPr="002E0A82">
        <w:t xml:space="preserve"> can be classified as </w:t>
      </w:r>
      <w:proofErr w:type="gramStart"/>
      <w:r w:rsidR="00E71860" w:rsidRPr="002E0A82">
        <w:t xml:space="preserve">better </w:t>
      </w:r>
      <w:r w:rsidRPr="002E0A82">
        <w:t>or</w:t>
      </w:r>
      <w:proofErr w:type="gramEnd"/>
      <w:r w:rsidRPr="002E0A82">
        <w:t xml:space="preserve"> worse than the threshold (the percentage classified as either above or below the t</w:t>
      </w:r>
      <w:bookmarkStart w:id="15" w:name="_GoBack"/>
      <w:bookmarkEnd w:id="15"/>
      <w:r w:rsidRPr="002E0A82">
        <w:t xml:space="preserve">hreshold). The indicator has </w:t>
      </w:r>
      <w:r w:rsidR="002E0A82" w:rsidRPr="002E0A82">
        <w:t xml:space="preserve">moderate </w:t>
      </w:r>
      <w:r w:rsidRPr="002E0A82">
        <w:t>d</w:t>
      </w:r>
      <w:r w:rsidR="00253EAD" w:rsidRPr="002E0A82">
        <w:t>iscrimination</w:t>
      </w:r>
      <w:r w:rsidRPr="002E0A82">
        <w:t xml:space="preserve"> to id</w:t>
      </w:r>
      <w:r w:rsidR="002E0A82" w:rsidRPr="002E0A82">
        <w:t>entify high performing counties</w:t>
      </w:r>
      <w:r w:rsidRPr="002E0A82">
        <w:t xml:space="preserve">; </w:t>
      </w:r>
      <w:r w:rsidR="00E100F7" w:rsidRPr="002E0A82">
        <w:t>32</w:t>
      </w:r>
      <w:r w:rsidR="002E0A82" w:rsidRPr="002E0A82">
        <w:t>% of counties</w:t>
      </w:r>
      <w:r w:rsidRPr="002E0A82">
        <w:t xml:space="preserve"> can be classified as better or worse than the benchmark.</w:t>
      </w:r>
      <w:r w:rsidRPr="002E0A82">
        <w:rPr>
          <w:b/>
        </w:rPr>
        <w:t xml:space="preserve">  </w:t>
      </w:r>
      <w:r w:rsidR="00E71860" w:rsidRPr="002E0A82">
        <w:t xml:space="preserve">Performance discrimination remains </w:t>
      </w:r>
      <w:r w:rsidR="00E100F7" w:rsidRPr="002E0A82">
        <w:t>moderate</w:t>
      </w:r>
      <w:r w:rsidR="00E71860" w:rsidRPr="002E0A82">
        <w:t xml:space="preserve"> when adding SES to risk adjustment.</w:t>
      </w:r>
      <w:r w:rsidR="00E71860">
        <w:rPr>
          <w:b/>
        </w:rPr>
        <w:t xml:space="preserve">  </w:t>
      </w:r>
    </w:p>
    <w:p w14:paraId="07584617" w14:textId="77777777" w:rsidR="0086464B" w:rsidRDefault="0086464B" w:rsidP="0086464B">
      <w:pPr>
        <w:spacing w:after="0" w:line="240" w:lineRule="auto"/>
        <w:rPr>
          <w:rFonts w:cstheme="minorHAnsi"/>
          <w:b/>
          <w:bCs/>
        </w:rPr>
      </w:pPr>
      <w:r>
        <w:rPr>
          <w:rFonts w:cstheme="minorHAnsi"/>
          <w:b/>
          <w:bCs/>
        </w:rPr>
        <w:t>_______________________________________</w:t>
      </w:r>
    </w:p>
    <w:p w14:paraId="60858E6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EB62D5C" w14:textId="77777777" w:rsidR="00567D12" w:rsidRPr="0086464B" w:rsidRDefault="00567D12" w:rsidP="00567D12">
      <w:pPr>
        <w:spacing w:after="0" w:line="240" w:lineRule="auto"/>
        <w:rPr>
          <w:rFonts w:cstheme="minorHAnsi"/>
          <w:b/>
          <w:bCs/>
        </w:rPr>
      </w:pPr>
      <w:r w:rsidRPr="0082084F">
        <w:rPr>
          <w:rFonts w:cstheme="minorHAnsi"/>
          <w:b/>
          <w:bCs/>
          <w:i/>
        </w:rPr>
        <w:t xml:space="preserve">If only one set of specifications, this section can be </w:t>
      </w:r>
      <w:r w:rsidR="00BE592D" w:rsidRPr="0082084F">
        <w:rPr>
          <w:rFonts w:cstheme="minorHAnsi"/>
          <w:b/>
          <w:bCs/>
          <w:i/>
        </w:rPr>
        <w:t>skipped</w:t>
      </w:r>
      <w:r w:rsidR="00BE592D" w:rsidRPr="00094E93">
        <w:rPr>
          <w:rFonts w:cstheme="minorHAnsi"/>
          <w:b/>
          <w:bCs/>
          <w:i/>
        </w:rPr>
        <w:t>.</w:t>
      </w:r>
    </w:p>
    <w:p w14:paraId="2DF717FC" w14:textId="77777777" w:rsidR="00567D12" w:rsidRPr="00A25024" w:rsidRDefault="00567D12" w:rsidP="00DB3627">
      <w:pPr>
        <w:autoSpaceDE w:val="0"/>
        <w:autoSpaceDN w:val="0"/>
        <w:adjustRightInd w:val="0"/>
        <w:spacing w:after="0" w:line="240" w:lineRule="auto"/>
        <w:rPr>
          <w:rFonts w:cstheme="minorHAnsi"/>
          <w:b/>
          <w:bCs/>
        </w:rPr>
      </w:pPr>
    </w:p>
    <w:p w14:paraId="7B5FF83C" w14:textId="7B2F0D40"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SDS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with and without SDS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618DD230" w14:textId="18C55C8C" w:rsidR="0000708B" w:rsidRDefault="0000708B" w:rsidP="00DB3627">
      <w:pPr>
        <w:autoSpaceDE w:val="0"/>
        <w:autoSpaceDN w:val="0"/>
        <w:adjustRightInd w:val="0"/>
        <w:spacing w:after="0" w:line="240" w:lineRule="auto"/>
        <w:rPr>
          <w:rFonts w:cstheme="minorHAnsi"/>
          <w:bCs/>
          <w:color w:val="0000FF"/>
        </w:rPr>
      </w:pPr>
      <w:r>
        <w:rPr>
          <w:rFonts w:cstheme="minorHAnsi"/>
          <w:bCs/>
          <w:color w:val="0000FF"/>
        </w:rPr>
        <w:t>Not applicable</w:t>
      </w:r>
    </w:p>
    <w:p w14:paraId="667C29EB" w14:textId="77777777" w:rsidR="0000708B" w:rsidRPr="00A25024" w:rsidRDefault="0000708B" w:rsidP="00DB3627">
      <w:pPr>
        <w:autoSpaceDE w:val="0"/>
        <w:autoSpaceDN w:val="0"/>
        <w:adjustRightInd w:val="0"/>
        <w:spacing w:after="0" w:line="240" w:lineRule="auto"/>
        <w:rPr>
          <w:rFonts w:cstheme="minorHAnsi"/>
          <w:bCs/>
        </w:rPr>
      </w:pPr>
    </w:p>
    <w:p w14:paraId="101ACD22" w14:textId="0168CD73" w:rsidR="000F06B5" w:rsidRDefault="00E1508F" w:rsidP="0000708B">
      <w:pPr>
        <w:autoSpaceDE w:val="0"/>
        <w:autoSpaceDN w:val="0"/>
        <w:adjustRightInd w:val="0"/>
        <w:spacing w:after="0" w:line="240" w:lineRule="auto"/>
        <w:rPr>
          <w:rFonts w:cstheme="minorHAnsi"/>
          <w:bCs/>
          <w:color w:val="0000FF"/>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0708B">
        <w:rPr>
          <w:rFonts w:cstheme="minorHAnsi"/>
          <w:bCs/>
        </w:rPr>
        <w:t>)</w:t>
      </w:r>
      <w:proofErr w:type="gramEnd"/>
      <w:r w:rsidR="0000708B">
        <w:rPr>
          <w:rFonts w:cstheme="minorHAnsi"/>
          <w:bCs/>
        </w:rPr>
        <w:br/>
      </w:r>
      <w:r w:rsidR="0000708B">
        <w:rPr>
          <w:rFonts w:cstheme="minorHAnsi"/>
          <w:bCs/>
          <w:color w:val="0000FF"/>
        </w:rPr>
        <w:t>Not applicable</w:t>
      </w:r>
    </w:p>
    <w:p w14:paraId="2C9E5BAB" w14:textId="77777777" w:rsidR="0000708B" w:rsidRPr="00A25024" w:rsidRDefault="0000708B" w:rsidP="0000708B">
      <w:pPr>
        <w:autoSpaceDE w:val="0"/>
        <w:autoSpaceDN w:val="0"/>
        <w:adjustRightInd w:val="0"/>
        <w:spacing w:after="0" w:line="240" w:lineRule="auto"/>
        <w:rPr>
          <w:rFonts w:cstheme="minorHAnsi"/>
          <w:bCs/>
        </w:rPr>
      </w:pPr>
    </w:p>
    <w:p w14:paraId="7520D695" w14:textId="75B37A54" w:rsidR="00E1508F" w:rsidRDefault="00E1508F" w:rsidP="00E1508F">
      <w:pPr>
        <w:autoSpaceDE w:val="0"/>
        <w:autoSpaceDN w:val="0"/>
        <w:adjustRightInd w:val="0"/>
        <w:spacing w:after="0" w:line="240" w:lineRule="auto"/>
        <w:rPr>
          <w:rFonts w:cstheme="minorHAnsi"/>
          <w:bCs/>
          <w:color w:val="0000FF"/>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00708B">
        <w:rPr>
          <w:rFonts w:cstheme="minorHAnsi"/>
          <w:bCs/>
          <w:color w:val="0000FF"/>
        </w:rPr>
        <w:t>Not applicable</w:t>
      </w:r>
    </w:p>
    <w:p w14:paraId="7BFB608A" w14:textId="77777777" w:rsidR="0000708B" w:rsidRPr="00E1508F" w:rsidRDefault="0000708B" w:rsidP="00E1508F">
      <w:pPr>
        <w:autoSpaceDE w:val="0"/>
        <w:autoSpaceDN w:val="0"/>
        <w:adjustRightInd w:val="0"/>
        <w:spacing w:after="0" w:line="240" w:lineRule="auto"/>
        <w:rPr>
          <w:rFonts w:cstheme="minorHAnsi"/>
          <w:bCs/>
        </w:rPr>
      </w:pPr>
    </w:p>
    <w:p w14:paraId="07D50D8A" w14:textId="522F6D03"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00708B">
        <w:rPr>
          <w:rFonts w:cstheme="minorHAnsi"/>
          <w:bCs/>
          <w:color w:val="0000FF"/>
        </w:rPr>
        <w:t>Not applicable</w:t>
      </w:r>
    </w:p>
    <w:p w14:paraId="137520E8" w14:textId="77777777" w:rsidR="008F7E67" w:rsidRDefault="008F7E67" w:rsidP="008F7E67">
      <w:pPr>
        <w:spacing w:after="0" w:line="240" w:lineRule="auto"/>
        <w:rPr>
          <w:rFonts w:cstheme="minorHAnsi"/>
          <w:b/>
          <w:bCs/>
        </w:rPr>
      </w:pPr>
      <w:r>
        <w:rPr>
          <w:rFonts w:cstheme="minorHAnsi"/>
          <w:b/>
          <w:bCs/>
        </w:rPr>
        <w:t>_______________________________________</w:t>
      </w:r>
    </w:p>
    <w:p w14:paraId="0F7C197C"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6EA5C2D" w14:textId="77777777" w:rsidR="008F7E67" w:rsidRDefault="008F7E67" w:rsidP="008F7E67">
      <w:pPr>
        <w:autoSpaceDE w:val="0"/>
        <w:autoSpaceDN w:val="0"/>
        <w:adjustRightInd w:val="0"/>
        <w:spacing w:after="0" w:line="240" w:lineRule="auto"/>
        <w:rPr>
          <w:rFonts w:cstheme="minorHAnsi"/>
          <w:bCs/>
        </w:rPr>
      </w:pPr>
    </w:p>
    <w:p w14:paraId="1D6D7EE7" w14:textId="77777777" w:rsidR="00F55F31" w:rsidRDefault="008F7E67" w:rsidP="0000708B">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0000708B">
        <w:rPr>
          <w:rFonts w:cstheme="minorHAnsi"/>
          <w:bCs/>
        </w:rPr>
        <w:t>)</w:t>
      </w:r>
    </w:p>
    <w:p w14:paraId="0EEA770E" w14:textId="5F57B580" w:rsidR="008F7E67" w:rsidRDefault="0000708B" w:rsidP="00E45E2D">
      <w:pPr>
        <w:pStyle w:val="NQFMeasureStyle"/>
        <w:ind w:left="0"/>
      </w:pPr>
      <w:r>
        <w:br/>
        <w:t xml:space="preserve">The AHRQ QIs use frequently reported administrative data variables. </w:t>
      </w:r>
      <w:r w:rsidR="00C00E30">
        <w:t>PQI</w:t>
      </w:r>
      <w:r w:rsidR="002C3098">
        <w:t xml:space="preserve"> </w:t>
      </w:r>
      <w:r w:rsidR="00C00E30">
        <w:t>15</w:t>
      </w:r>
      <w:r>
        <w:t xml:space="preserve"> excludes cases with missing discharge disposition, age, sex, discharge quarter, discharge year, and principal diagnosis. These variables are required for indicator construction and are required of all hospital discharge records. The rate of missing data for each variable is available by state and year from the AHRQ HCUP website </w:t>
      </w:r>
      <w:r>
        <w:lastRenderedPageBreak/>
        <w:t>(</w:t>
      </w:r>
      <w:hyperlink r:id="rId22" w:history="1">
        <w:r>
          <w:rPr>
            <w:rStyle w:val="Hyperlink"/>
            <w:rFonts w:cstheme="minorHAnsi"/>
            <w:bCs/>
          </w:rPr>
          <w:t>http://www.hcup-us.ahrq.gov/cdstats/cdstats_search.jsp</w:t>
        </w:r>
      </w:hyperlink>
      <w:r>
        <w:t>).</w:t>
      </w:r>
    </w:p>
    <w:p w14:paraId="3003A774" w14:textId="77777777" w:rsidR="0000708B" w:rsidRPr="00A25024" w:rsidRDefault="0000708B" w:rsidP="0000708B">
      <w:pPr>
        <w:autoSpaceDE w:val="0"/>
        <w:autoSpaceDN w:val="0"/>
        <w:adjustRightInd w:val="0"/>
        <w:spacing w:after="0" w:line="240" w:lineRule="auto"/>
        <w:rPr>
          <w:rFonts w:cstheme="minorHAnsi"/>
          <w:bCs/>
        </w:rPr>
      </w:pPr>
    </w:p>
    <w:p w14:paraId="53E61B91"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3DBC6E74" w14:textId="1CFCEC1A" w:rsidR="008F7E67" w:rsidRDefault="0000708B" w:rsidP="00E45E2D">
      <w:pPr>
        <w:pStyle w:val="NQFMeasureStyle"/>
        <w:ind w:left="0"/>
      </w:pPr>
      <w:r>
        <w:t>For these variables, rates of missing data are typically less than 1% of the state database. It is unlikely the bias would occur from such a low rate of missing data.</w:t>
      </w:r>
    </w:p>
    <w:p w14:paraId="0D0EB652" w14:textId="77777777" w:rsidR="00403E88" w:rsidRPr="00E1508F" w:rsidRDefault="00403E88" w:rsidP="008F7E67">
      <w:pPr>
        <w:autoSpaceDE w:val="0"/>
        <w:autoSpaceDN w:val="0"/>
        <w:adjustRightInd w:val="0"/>
        <w:spacing w:after="0" w:line="240" w:lineRule="auto"/>
        <w:rPr>
          <w:rFonts w:cstheme="minorHAnsi"/>
          <w:bCs/>
        </w:rPr>
      </w:pPr>
    </w:p>
    <w:p w14:paraId="00E63DBF"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7CB6B2AC" w14:textId="77777777" w:rsidR="00A900FC" w:rsidRDefault="00A900FC" w:rsidP="00C00E30">
      <w:pPr>
        <w:pStyle w:val="NQFMeasureStyle"/>
      </w:pPr>
    </w:p>
    <w:p w14:paraId="1BDB878E" w14:textId="4F769B5D" w:rsidR="00BA053B" w:rsidRPr="005560E7" w:rsidRDefault="0000708B" w:rsidP="00E45E2D">
      <w:pPr>
        <w:pStyle w:val="NQFMeasureStyle"/>
        <w:ind w:left="0"/>
      </w:pPr>
      <w:r>
        <w:t>Exclusion of cases for missing data is appropriate.</w:t>
      </w:r>
    </w:p>
    <w:sectPr w:rsidR="00BA053B" w:rsidRPr="005560E7" w:rsidSect="008505D1">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EF8A57" w14:textId="77777777" w:rsidR="00E56677" w:rsidRDefault="00E56677" w:rsidP="005C73CA">
      <w:pPr>
        <w:spacing w:after="0" w:line="240" w:lineRule="auto"/>
      </w:pPr>
      <w:r>
        <w:separator/>
      </w:r>
    </w:p>
  </w:endnote>
  <w:endnote w:type="continuationSeparator" w:id="0">
    <w:p w14:paraId="7E466B7C" w14:textId="77777777" w:rsidR="00E56677" w:rsidRDefault="00E5667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F65F" w14:textId="6409F02F" w:rsidR="00E56677" w:rsidRDefault="00E56677">
    <w:pPr>
      <w:pStyle w:val="Footer"/>
    </w:pPr>
    <w:r>
      <w:t>Version 6.5 5/1/2015</w:t>
    </w:r>
    <w:r>
      <w:ptab w:relativeTo="margin" w:alignment="right" w:leader="none"/>
    </w:r>
    <w:r>
      <w:fldChar w:fldCharType="begin"/>
    </w:r>
    <w:r>
      <w:instrText xml:space="preserve"> PAGE   \* MERGEFORMAT </w:instrText>
    </w:r>
    <w:r>
      <w:fldChar w:fldCharType="separate"/>
    </w:r>
    <w:r w:rsidR="002E0A82">
      <w:rPr>
        <w:noProof/>
      </w:rPr>
      <w:t>19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0A3C5" w14:textId="77777777" w:rsidR="00E56677" w:rsidRDefault="00E56677" w:rsidP="005C73CA">
      <w:pPr>
        <w:spacing w:after="0" w:line="240" w:lineRule="auto"/>
      </w:pPr>
      <w:r>
        <w:separator/>
      </w:r>
    </w:p>
  </w:footnote>
  <w:footnote w:type="continuationSeparator" w:id="0">
    <w:p w14:paraId="11E44F19" w14:textId="77777777" w:rsidR="00E56677" w:rsidRDefault="00E56677" w:rsidP="005C73CA">
      <w:pPr>
        <w:spacing w:after="0" w:line="240" w:lineRule="auto"/>
      </w:pPr>
      <w:r>
        <w:continuationSeparator/>
      </w:r>
    </w:p>
  </w:footnote>
  <w:footnote w:id="1">
    <w:p w14:paraId="566A2EDD" w14:textId="77777777" w:rsidR="00E56677" w:rsidRPr="00BC108C" w:rsidRDefault="00E56677" w:rsidP="00BC108C">
      <w:pPr>
        <w:pStyle w:val="NQFMeasureStyle"/>
        <w:ind w:left="0"/>
        <w:rPr>
          <w:sz w:val="20"/>
          <w:szCs w:val="20"/>
        </w:rPr>
      </w:pPr>
      <w:r w:rsidRPr="00BC108C">
        <w:rPr>
          <w:rStyle w:val="FootnoteReference"/>
          <w:sz w:val="20"/>
          <w:szCs w:val="20"/>
        </w:rPr>
        <w:footnoteRef/>
      </w:r>
      <w:r w:rsidRPr="00BC108C">
        <w:rPr>
          <w:sz w:val="20"/>
          <w:szCs w:val="20"/>
        </w:rPr>
        <w:t xml:space="preserve"> HCUP State Inpatient Databases (SID). Healthcare Cost and Utilization Project (HCUP). </w:t>
      </w:r>
      <w:proofErr w:type="gramStart"/>
      <w:r w:rsidRPr="00BC108C">
        <w:rPr>
          <w:sz w:val="20"/>
          <w:szCs w:val="20"/>
        </w:rPr>
        <w:t>2009-2013. Agency for Healthcare Research and Quality, Rockville, MD.</w:t>
      </w:r>
      <w:proofErr w:type="gramEnd"/>
      <w:r w:rsidRPr="00BC108C">
        <w:rPr>
          <w:sz w:val="20"/>
          <w:szCs w:val="20"/>
        </w:rPr>
        <w:t xml:space="preserve"> </w:t>
      </w:r>
      <w:hyperlink r:id="rId1" w:history="1">
        <w:r w:rsidRPr="00BC108C">
          <w:rPr>
            <w:rStyle w:val="Hyperlink"/>
            <w:rFonts w:cs="Calibri"/>
            <w:color w:val="0000FF"/>
            <w:sz w:val="20"/>
            <w:szCs w:val="20"/>
          </w:rPr>
          <w:t>www.hcup-us.ahrq.gov/sidoverview.jsp</w:t>
        </w:r>
      </w:hyperlink>
      <w:r w:rsidRPr="00BC108C">
        <w:rPr>
          <w:sz w:val="20"/>
          <w:szCs w:val="20"/>
        </w:rPr>
        <w:t xml:space="preserve">. (AHRQ QI Software Version 6.0) </w:t>
      </w:r>
    </w:p>
    <w:p w14:paraId="2C5247BA" w14:textId="050CC83B" w:rsidR="00E56677" w:rsidRDefault="00E56677">
      <w:pPr>
        <w:pStyle w:val="FootnoteText"/>
      </w:pPr>
    </w:p>
  </w:footnote>
  <w:footnote w:id="2">
    <w:p w14:paraId="52DEAD60" w14:textId="3D09ECA2" w:rsidR="00E56677" w:rsidRPr="00301431" w:rsidRDefault="00E56677" w:rsidP="00301431">
      <w:pPr>
        <w:pStyle w:val="FormText"/>
        <w:rPr>
          <w:sz w:val="20"/>
          <w:szCs w:val="20"/>
        </w:rPr>
      </w:pPr>
      <w:r>
        <w:rPr>
          <w:rStyle w:val="FootnoteReference"/>
        </w:rPr>
        <w:footnoteRef/>
      </w:r>
      <w:r>
        <w:t xml:space="preserve"> </w:t>
      </w:r>
      <w:proofErr w:type="gramStart"/>
      <w:r>
        <w:t>“</w:t>
      </w:r>
      <w:r w:rsidRPr="004544B2">
        <w:rPr>
          <w:iCs/>
          <w:sz w:val="20"/>
          <w:szCs w:val="20"/>
        </w:rPr>
        <w:t>County Health Rankings &amp; Roadmaps</w:t>
      </w:r>
      <w:r>
        <w:rPr>
          <w:iCs/>
          <w:sz w:val="20"/>
          <w:szCs w:val="20"/>
        </w:rPr>
        <w:t>”</w:t>
      </w:r>
      <w:r w:rsidRPr="004544B2">
        <w:rPr>
          <w:sz w:val="20"/>
          <w:szCs w:val="20"/>
        </w:rPr>
        <w:t>.</w:t>
      </w:r>
      <w:proofErr w:type="gramEnd"/>
      <w:r w:rsidRPr="008C19FE">
        <w:rPr>
          <w:sz w:val="20"/>
          <w:szCs w:val="20"/>
        </w:rPr>
        <w:t xml:space="preserve"> </w:t>
      </w:r>
      <w:proofErr w:type="gramStart"/>
      <w:r w:rsidRPr="008C19FE">
        <w:rPr>
          <w:sz w:val="20"/>
          <w:szCs w:val="20"/>
        </w:rPr>
        <w:t>University of Wisconsin Population Health Institute, 2014.</w:t>
      </w:r>
      <w:proofErr w:type="gramEnd"/>
      <w:r>
        <w:rPr>
          <w:sz w:val="20"/>
          <w:szCs w:val="20"/>
        </w:rPr>
        <w:t xml:space="preserve"> </w:t>
      </w:r>
      <w:r w:rsidRPr="008C19FE">
        <w:rPr>
          <w:sz w:val="20"/>
          <w:szCs w:val="20"/>
        </w:rPr>
        <w:t>http:</w:t>
      </w:r>
      <w:r>
        <w:rPr>
          <w:sz w:val="20"/>
          <w:szCs w:val="20"/>
        </w:rPr>
        <w:t>//www.countyhealthrankings.org</w:t>
      </w:r>
      <w:r w:rsidRPr="008C19FE">
        <w:rPr>
          <w:sz w:val="20"/>
          <w:szCs w:val="20"/>
        </w:rPr>
        <w:t xml:space="preserve">. </w:t>
      </w:r>
      <w:proofErr w:type="gramStart"/>
      <w:r>
        <w:rPr>
          <w:sz w:val="20"/>
          <w:szCs w:val="20"/>
        </w:rPr>
        <w:t xml:space="preserve">Accessed </w:t>
      </w:r>
      <w:r w:rsidRPr="008C19FE">
        <w:rPr>
          <w:sz w:val="20"/>
          <w:szCs w:val="20"/>
        </w:rPr>
        <w:t>26 Jan. 2015.</w:t>
      </w:r>
      <w:proofErr w:type="gramEnd"/>
    </w:p>
  </w:footnote>
  <w:footnote w:id="3">
    <w:p w14:paraId="1079D5E3" w14:textId="6F96627C" w:rsidR="00E56677" w:rsidRPr="00301431" w:rsidRDefault="00E56677" w:rsidP="00301431">
      <w:pPr>
        <w:pStyle w:val="FormText"/>
        <w:rPr>
          <w:rFonts w:ascii="Calibri" w:hAnsi="Calibri" w:cs="Calibri"/>
          <w:sz w:val="20"/>
          <w:szCs w:val="20"/>
        </w:rPr>
      </w:pPr>
      <w:r w:rsidRPr="00301431">
        <w:rPr>
          <w:rStyle w:val="FootnoteReference"/>
        </w:rPr>
        <w:footnoteRef/>
      </w:r>
      <w:r w:rsidRPr="00301431">
        <w:t xml:space="preserve"> </w:t>
      </w:r>
      <w:proofErr w:type="gramStart"/>
      <w:r w:rsidRPr="00511E24">
        <w:rPr>
          <w:sz w:val="20"/>
          <w:szCs w:val="20"/>
        </w:rPr>
        <w:t>"American Community Survey (ACS)." </w:t>
      </w:r>
      <w:r w:rsidRPr="004544B2">
        <w:rPr>
          <w:i/>
          <w:iCs/>
          <w:sz w:val="20"/>
          <w:szCs w:val="20"/>
        </w:rPr>
        <w:t>https://www.census.gov/programs-surveys/acs/data.html</w:t>
      </w:r>
      <w:r w:rsidRPr="00511E24">
        <w:rPr>
          <w:sz w:val="20"/>
          <w:szCs w:val="20"/>
        </w:rPr>
        <w:t>.</w:t>
      </w:r>
      <w:proofErr w:type="gramEnd"/>
      <w:r w:rsidRPr="00511E24">
        <w:rPr>
          <w:sz w:val="20"/>
          <w:szCs w:val="20"/>
        </w:rPr>
        <w:t xml:space="preserve"> </w:t>
      </w:r>
      <w:proofErr w:type="gramStart"/>
      <w:r>
        <w:rPr>
          <w:sz w:val="20"/>
          <w:szCs w:val="20"/>
        </w:rPr>
        <w:t xml:space="preserve">Accessed </w:t>
      </w:r>
      <w:r w:rsidRPr="00511E24">
        <w:rPr>
          <w:sz w:val="20"/>
          <w:szCs w:val="20"/>
        </w:rPr>
        <w:t>2015.</w:t>
      </w:r>
      <w:proofErr w:type="gramEnd"/>
    </w:p>
    <w:p w14:paraId="071A03D8" w14:textId="3071954F" w:rsidR="00E56677" w:rsidRDefault="00E56677">
      <w:pPr>
        <w:pStyle w:val="FootnoteText"/>
      </w:pPr>
    </w:p>
  </w:footnote>
  <w:footnote w:id="4">
    <w:p w14:paraId="4124CD7D" w14:textId="77777777" w:rsidR="00E56677" w:rsidRDefault="00E56677" w:rsidP="003F207C">
      <w:pPr>
        <w:pStyle w:val="FootnoteText"/>
      </w:pPr>
      <w:r>
        <w:rPr>
          <w:rStyle w:val="FootnoteReference"/>
        </w:rPr>
        <w:footnoteRef/>
      </w:r>
      <w:r w:rsidRPr="00D50F50">
        <w:t xml:space="preserve"> </w:t>
      </w:r>
      <w:r w:rsidRPr="00677C9C">
        <w:rPr>
          <w:rFonts w:ascii="Calibri" w:hAnsi="Calibri"/>
        </w:rPr>
        <w:t>Davies SM</w:t>
      </w:r>
      <w:r w:rsidRPr="00D50F50">
        <w:rPr>
          <w:rFonts w:ascii="Calibri" w:hAnsi="Calibri"/>
        </w:rPr>
        <w:t>,</w:t>
      </w:r>
      <w:r w:rsidRPr="00E07F56">
        <w:rPr>
          <w:rFonts w:ascii="Calibri" w:hAnsi="Calibri"/>
        </w:rPr>
        <w:t xml:space="preserve"> McDonald KM, Schmidt E, Schultz E, </w:t>
      </w:r>
      <w:proofErr w:type="spellStart"/>
      <w:r w:rsidRPr="00E07F56">
        <w:rPr>
          <w:rFonts w:ascii="Calibri" w:hAnsi="Calibri"/>
        </w:rPr>
        <w:t>Geppert</w:t>
      </w:r>
      <w:proofErr w:type="spellEnd"/>
      <w:r w:rsidRPr="00E07F56">
        <w:rPr>
          <w:rFonts w:ascii="Calibri" w:hAnsi="Calibri"/>
        </w:rPr>
        <w:t xml:space="preserve"> J, Romano, PS. 'Expanding the Uses of AHRQ's Prevention Quality Indicators: Validity from the Clinician Perspective'. </w:t>
      </w:r>
      <w:proofErr w:type="gramStart"/>
      <w:r w:rsidRPr="00E07F56">
        <w:rPr>
          <w:rFonts w:ascii="Calibri" w:hAnsi="Calibri"/>
          <w:i/>
          <w:iCs/>
        </w:rPr>
        <w:t>Medical Care.</w:t>
      </w:r>
      <w:proofErr w:type="gramEnd"/>
      <w:r w:rsidRPr="00E07F56">
        <w:rPr>
          <w:rFonts w:ascii="Calibri" w:hAnsi="Calibri"/>
          <w:i/>
          <w:iCs/>
        </w:rPr>
        <w:t xml:space="preserve"> </w:t>
      </w:r>
      <w:r w:rsidRPr="00E07F56">
        <w:rPr>
          <w:rFonts w:ascii="Calibri" w:hAnsi="Calibri"/>
        </w:rPr>
        <w:t>2011 Aut</w:t>
      </w:r>
      <w:proofErr w:type="gramStart"/>
      <w:r w:rsidRPr="00E07F56">
        <w:rPr>
          <w:rFonts w:ascii="Calibri" w:hAnsi="Calibri"/>
        </w:rPr>
        <w:t>;49</w:t>
      </w:r>
      <w:proofErr w:type="gramEnd"/>
      <w:r w:rsidRPr="00E07F56">
        <w:rPr>
          <w:rFonts w:ascii="Calibri" w:hAnsi="Calibri"/>
        </w:rPr>
        <w:t>(8):479-85.</w:t>
      </w:r>
    </w:p>
  </w:footnote>
  <w:footnote w:id="5">
    <w:p w14:paraId="3BEC11EC" w14:textId="77777777" w:rsidR="00E56677" w:rsidRDefault="00E56677" w:rsidP="003F207C">
      <w:pPr>
        <w:pStyle w:val="FormText"/>
      </w:pPr>
      <w:r>
        <w:rPr>
          <w:rStyle w:val="FootnoteReference"/>
        </w:rPr>
        <w:footnoteRef/>
      </w:r>
      <w:r w:rsidRPr="002C69FB">
        <w:rPr>
          <w:noProof/>
          <w:sz w:val="20"/>
          <w:szCs w:val="20"/>
        </w:rPr>
        <w:t xml:space="preserve">Davies S, Romano PS, Schmidt EM, Schultz E, Geppert JJ, McDonald KM. Assessment of a Novel Hybrid Delphi and Nominal Groups Technique to Evaluate Quality Indicators. </w:t>
      </w:r>
      <w:r w:rsidRPr="002C69FB">
        <w:rPr>
          <w:i/>
          <w:noProof/>
          <w:sz w:val="20"/>
          <w:szCs w:val="20"/>
        </w:rPr>
        <w:t xml:space="preserve">Health services research. </w:t>
      </w:r>
      <w:r w:rsidRPr="002C69FB">
        <w:rPr>
          <w:noProof/>
          <w:sz w:val="20"/>
          <w:szCs w:val="20"/>
        </w:rPr>
        <w:t>2011;46(6 Pt 1):2005-2018.</w:t>
      </w:r>
    </w:p>
  </w:footnote>
  <w:footnote w:id="6">
    <w:p w14:paraId="1272DC56" w14:textId="74AB221B" w:rsidR="00E56677" w:rsidRPr="003F6238" w:rsidRDefault="00E56677" w:rsidP="003F6238">
      <w:pPr>
        <w:pStyle w:val="FormText"/>
        <w:rPr>
          <w:sz w:val="20"/>
          <w:szCs w:val="20"/>
        </w:rPr>
      </w:pPr>
      <w:r w:rsidRPr="003F6238">
        <w:rPr>
          <w:rStyle w:val="FootnoteReference"/>
          <w:sz w:val="20"/>
          <w:szCs w:val="20"/>
        </w:rPr>
        <w:footnoteRef/>
      </w:r>
      <w:r w:rsidRPr="003F6238">
        <w:rPr>
          <w:sz w:val="20"/>
          <w:szCs w:val="20"/>
        </w:rPr>
        <w:t xml:space="preserve"> </w:t>
      </w:r>
      <w:r w:rsidRPr="003F6238">
        <w:rPr>
          <w:noProof/>
          <w:sz w:val="20"/>
          <w:szCs w:val="20"/>
        </w:rPr>
        <w:t xml:space="preserve">Krieger N, Chen JT, Waterman PD, Rehkopf DH, Subramanian S. Race/ethnicity, gender, and monitoring socioeconomic gradients in health: a comparison of area-based socioeconomic measures-the public health disparities geocoding project. </w:t>
      </w:r>
      <w:r w:rsidRPr="003F6238">
        <w:rPr>
          <w:i/>
          <w:noProof/>
          <w:sz w:val="20"/>
          <w:szCs w:val="20"/>
        </w:rPr>
        <w:t xml:space="preserve">American journal of public health. </w:t>
      </w:r>
      <w:r w:rsidRPr="003F6238">
        <w:rPr>
          <w:noProof/>
          <w:sz w:val="20"/>
          <w:szCs w:val="20"/>
        </w:rPr>
        <w:t>2003;93(10):1655-1671.</w:t>
      </w:r>
    </w:p>
  </w:footnote>
  <w:footnote w:id="7">
    <w:p w14:paraId="1C03449A" w14:textId="77777777" w:rsidR="00E56677" w:rsidRPr="003F6238" w:rsidRDefault="00E56677" w:rsidP="00D138B8">
      <w:pPr>
        <w:pStyle w:val="FormText"/>
        <w:rPr>
          <w:sz w:val="20"/>
          <w:szCs w:val="20"/>
        </w:rPr>
      </w:pPr>
      <w:r w:rsidRPr="003F6238">
        <w:rPr>
          <w:rStyle w:val="FootnoteReference"/>
          <w:sz w:val="20"/>
          <w:szCs w:val="20"/>
        </w:rPr>
        <w:footnoteRef/>
      </w:r>
      <w:r w:rsidRPr="003F6238">
        <w:rPr>
          <w:sz w:val="20"/>
          <w:szCs w:val="20"/>
        </w:rPr>
        <w:t xml:space="preserve"> </w:t>
      </w:r>
      <w:r w:rsidRPr="003F6238">
        <w:rPr>
          <w:rStyle w:val="FormTextChar"/>
          <w:rFonts w:cstheme="minorHAnsi"/>
          <w:sz w:val="20"/>
          <w:szCs w:val="20"/>
        </w:rPr>
        <w:t xml:space="preserve">Larson NI, Story MT, Nelson MC. Neighborhood environments: disparities in access to healthy foods in the US. </w:t>
      </w:r>
      <w:proofErr w:type="gramStart"/>
      <w:r w:rsidRPr="003F6238">
        <w:rPr>
          <w:rStyle w:val="FormTextChar"/>
          <w:rFonts w:cstheme="minorHAnsi"/>
          <w:sz w:val="20"/>
          <w:szCs w:val="20"/>
        </w:rPr>
        <w:t>American journal of preventive medicine.</w:t>
      </w:r>
      <w:proofErr w:type="gramEnd"/>
      <w:r w:rsidRPr="003F6238">
        <w:rPr>
          <w:rStyle w:val="FormTextChar"/>
          <w:rFonts w:cstheme="minorHAnsi"/>
          <w:sz w:val="20"/>
          <w:szCs w:val="20"/>
        </w:rPr>
        <w:t xml:space="preserve"> 2009</w:t>
      </w:r>
      <w:proofErr w:type="gramStart"/>
      <w:r w:rsidRPr="003F6238">
        <w:rPr>
          <w:rStyle w:val="FormTextChar"/>
          <w:rFonts w:cstheme="minorHAnsi"/>
          <w:sz w:val="20"/>
          <w:szCs w:val="20"/>
        </w:rPr>
        <w:t>;36</w:t>
      </w:r>
      <w:proofErr w:type="gramEnd"/>
      <w:r w:rsidRPr="003F6238">
        <w:rPr>
          <w:rStyle w:val="FormTextChar"/>
          <w:rFonts w:cstheme="minorHAnsi"/>
          <w:sz w:val="20"/>
          <w:szCs w:val="20"/>
        </w:rPr>
        <w:t>(1):74-81. e10</w:t>
      </w:r>
      <w:r w:rsidRPr="003F6238">
        <w:rPr>
          <w:noProof/>
          <w:sz w:val="20"/>
          <w:szCs w:val="20"/>
        </w:rPr>
        <w:t>.</w:t>
      </w:r>
    </w:p>
  </w:footnote>
  <w:footnote w:id="8">
    <w:p w14:paraId="446B8A2F" w14:textId="77777777" w:rsidR="00E56677" w:rsidRPr="003F6238" w:rsidRDefault="00E56677" w:rsidP="00D138B8">
      <w:pPr>
        <w:pStyle w:val="FormText"/>
        <w:rPr>
          <w:sz w:val="20"/>
          <w:szCs w:val="20"/>
        </w:rPr>
      </w:pPr>
      <w:r w:rsidRPr="003F6238">
        <w:rPr>
          <w:rStyle w:val="FootnoteReference"/>
          <w:sz w:val="20"/>
          <w:szCs w:val="20"/>
        </w:rPr>
        <w:footnoteRef/>
      </w:r>
      <w:r w:rsidRPr="003F6238">
        <w:rPr>
          <w:sz w:val="20"/>
          <w:szCs w:val="20"/>
        </w:rPr>
        <w:t xml:space="preserve"> Bell ML, Ebisu K. Environmental inequality in exposures to airborne particulate matter components in the United States. </w:t>
      </w:r>
      <w:proofErr w:type="gramStart"/>
      <w:r w:rsidRPr="003F6238">
        <w:rPr>
          <w:i/>
          <w:sz w:val="20"/>
          <w:szCs w:val="20"/>
        </w:rPr>
        <w:t>Environmental health perspectives.</w:t>
      </w:r>
      <w:proofErr w:type="gramEnd"/>
      <w:r w:rsidRPr="003F6238">
        <w:rPr>
          <w:i/>
          <w:sz w:val="20"/>
          <w:szCs w:val="20"/>
        </w:rPr>
        <w:t xml:space="preserve"> </w:t>
      </w:r>
      <w:r w:rsidRPr="003F6238">
        <w:rPr>
          <w:sz w:val="20"/>
          <w:szCs w:val="20"/>
        </w:rPr>
        <w:t>2012</w:t>
      </w:r>
      <w:proofErr w:type="gramStart"/>
      <w:r w:rsidRPr="003F6238">
        <w:rPr>
          <w:sz w:val="20"/>
          <w:szCs w:val="20"/>
        </w:rPr>
        <w:t>;120</w:t>
      </w:r>
      <w:proofErr w:type="gramEnd"/>
      <w:r w:rsidRPr="003F6238">
        <w:rPr>
          <w:sz w:val="20"/>
          <w:szCs w:val="20"/>
        </w:rPr>
        <w:t>(2):1699-1704.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AB25" w14:textId="18783095" w:rsidR="00E56677" w:rsidRPr="00105D8B" w:rsidRDefault="00E56677"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0D7F27"/>
    <w:multiLevelType w:val="hybridMultilevel"/>
    <w:tmpl w:val="487051D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C552D4D"/>
    <w:multiLevelType w:val="hybridMultilevel"/>
    <w:tmpl w:val="3F9A59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D4C0422"/>
    <w:multiLevelType w:val="hybridMultilevel"/>
    <w:tmpl w:val="DFE27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F6278F4"/>
    <w:multiLevelType w:val="hybridMultilevel"/>
    <w:tmpl w:val="E258F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1FA090E"/>
    <w:multiLevelType w:val="hybridMultilevel"/>
    <w:tmpl w:val="65AAB0D8"/>
    <w:lvl w:ilvl="0" w:tplc="730E63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EE3B65"/>
    <w:multiLevelType w:val="hybridMultilevel"/>
    <w:tmpl w:val="7DE8A7F4"/>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4F32A3"/>
    <w:multiLevelType w:val="hybridMultilevel"/>
    <w:tmpl w:val="F202F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B0D290F"/>
    <w:multiLevelType w:val="hybridMultilevel"/>
    <w:tmpl w:val="A9906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3B2A6EF2"/>
    <w:multiLevelType w:val="hybridMultilevel"/>
    <w:tmpl w:val="35DEFE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5625633"/>
    <w:multiLevelType w:val="hybridMultilevel"/>
    <w:tmpl w:val="6B2E40EA"/>
    <w:lvl w:ilvl="0" w:tplc="730E632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1551BA3"/>
    <w:multiLevelType w:val="hybridMultilevel"/>
    <w:tmpl w:val="956CE94A"/>
    <w:lvl w:ilvl="0" w:tplc="730E632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5546570"/>
    <w:multiLevelType w:val="hybridMultilevel"/>
    <w:tmpl w:val="7F44B3B4"/>
    <w:lvl w:ilvl="0" w:tplc="730E632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F34746"/>
    <w:multiLevelType w:val="hybridMultilevel"/>
    <w:tmpl w:val="91E45D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4"/>
  </w:num>
  <w:num w:numId="3">
    <w:abstractNumId w:val="4"/>
  </w:num>
  <w:num w:numId="4">
    <w:abstractNumId w:val="7"/>
  </w:num>
  <w:num w:numId="5">
    <w:abstractNumId w:val="3"/>
  </w:num>
  <w:num w:numId="6">
    <w:abstractNumId w:val="1"/>
  </w:num>
  <w:num w:numId="7">
    <w:abstractNumId w:val="5"/>
  </w:num>
  <w:num w:numId="8">
    <w:abstractNumId w:val="30"/>
  </w:num>
  <w:num w:numId="9">
    <w:abstractNumId w:val="12"/>
  </w:num>
  <w:num w:numId="10">
    <w:abstractNumId w:val="36"/>
  </w:num>
  <w:num w:numId="11">
    <w:abstractNumId w:val="16"/>
  </w:num>
  <w:num w:numId="12">
    <w:abstractNumId w:val="34"/>
  </w:num>
  <w:num w:numId="13">
    <w:abstractNumId w:val="28"/>
  </w:num>
  <w:num w:numId="14">
    <w:abstractNumId w:val="2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7"/>
  </w:num>
  <w:num w:numId="16">
    <w:abstractNumId w:val="10"/>
  </w:num>
  <w:num w:numId="17">
    <w:abstractNumId w:val="35"/>
  </w:num>
  <w:num w:numId="18">
    <w:abstractNumId w:val="32"/>
  </w:num>
  <w:num w:numId="19">
    <w:abstractNumId w:val="31"/>
  </w:num>
  <w:num w:numId="20">
    <w:abstractNumId w:val="23"/>
  </w:num>
  <w:num w:numId="21">
    <w:abstractNumId w:val="29"/>
  </w:num>
  <w:num w:numId="22">
    <w:abstractNumId w:val="21"/>
  </w:num>
  <w:num w:numId="23">
    <w:abstractNumId w:val="8"/>
  </w:num>
  <w:num w:numId="24">
    <w:abstractNumId w:val="18"/>
  </w:num>
  <w:num w:numId="25">
    <w:abstractNumId w:val="17"/>
  </w:num>
  <w:num w:numId="26">
    <w:abstractNumId w:val="37"/>
  </w:num>
  <w:num w:numId="27">
    <w:abstractNumId w:val="0"/>
  </w:num>
  <w:num w:numId="28">
    <w:abstractNumId w:val="11"/>
  </w:num>
  <w:num w:numId="29">
    <w:abstractNumId w:val="26"/>
  </w:num>
  <w:num w:numId="30">
    <w:abstractNumId w:val="20"/>
    <w:lvlOverride w:ilvl="0">
      <w:startOverride w:val="1"/>
    </w:lvlOverride>
    <w:lvlOverride w:ilvl="1"/>
    <w:lvlOverride w:ilvl="2"/>
    <w:lvlOverride w:ilvl="3"/>
    <w:lvlOverride w:ilvl="4"/>
    <w:lvlOverride w:ilvl="5"/>
    <w:lvlOverride w:ilvl="6"/>
    <w:lvlOverride w:ilvl="7"/>
    <w:lvlOverride w:ilvl="8"/>
  </w:num>
  <w:num w:numId="31">
    <w:abstractNumId w:val="22"/>
  </w:num>
  <w:num w:numId="32">
    <w:abstractNumId w:val="13"/>
  </w:num>
  <w:num w:numId="33">
    <w:abstractNumId w:val="40"/>
  </w:num>
  <w:num w:numId="34">
    <w:abstractNumId w:val="2"/>
  </w:num>
  <w:num w:numId="35">
    <w:abstractNumId w:val="24"/>
  </w:num>
  <w:num w:numId="36">
    <w:abstractNumId w:val="25"/>
  </w:num>
  <w:num w:numId="37">
    <w:abstractNumId w:val="15"/>
  </w:num>
  <w:num w:numId="38">
    <w:abstractNumId w:val="9"/>
  </w:num>
  <w:num w:numId="39">
    <w:abstractNumId w:val="19"/>
  </w:num>
  <w:num w:numId="40">
    <w:abstractNumId w:val="39"/>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ShadeFormData/>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708B"/>
    <w:rsid w:val="0001094F"/>
    <w:rsid w:val="00016EC1"/>
    <w:rsid w:val="00021170"/>
    <w:rsid w:val="0002128B"/>
    <w:rsid w:val="0002416D"/>
    <w:rsid w:val="00024DFD"/>
    <w:rsid w:val="00027AB8"/>
    <w:rsid w:val="000309DD"/>
    <w:rsid w:val="00031414"/>
    <w:rsid w:val="00033038"/>
    <w:rsid w:val="0003310B"/>
    <w:rsid w:val="00033D63"/>
    <w:rsid w:val="0003436F"/>
    <w:rsid w:val="00034829"/>
    <w:rsid w:val="000414E8"/>
    <w:rsid w:val="0004593A"/>
    <w:rsid w:val="00050A3E"/>
    <w:rsid w:val="00050ABE"/>
    <w:rsid w:val="00052A6F"/>
    <w:rsid w:val="00053F02"/>
    <w:rsid w:val="0005612B"/>
    <w:rsid w:val="000574AB"/>
    <w:rsid w:val="0006147A"/>
    <w:rsid w:val="00075287"/>
    <w:rsid w:val="000775F8"/>
    <w:rsid w:val="00080CF7"/>
    <w:rsid w:val="00083C84"/>
    <w:rsid w:val="000851B2"/>
    <w:rsid w:val="000873AB"/>
    <w:rsid w:val="00092566"/>
    <w:rsid w:val="00094E93"/>
    <w:rsid w:val="000968F8"/>
    <w:rsid w:val="00097012"/>
    <w:rsid w:val="000B032A"/>
    <w:rsid w:val="000B2DF7"/>
    <w:rsid w:val="000B3880"/>
    <w:rsid w:val="000C0FF8"/>
    <w:rsid w:val="000C6B33"/>
    <w:rsid w:val="000C736C"/>
    <w:rsid w:val="000D2A18"/>
    <w:rsid w:val="000D7948"/>
    <w:rsid w:val="000D7C84"/>
    <w:rsid w:val="000E4E13"/>
    <w:rsid w:val="000E78F6"/>
    <w:rsid w:val="000F034A"/>
    <w:rsid w:val="000F06B5"/>
    <w:rsid w:val="000F39E9"/>
    <w:rsid w:val="00104B45"/>
    <w:rsid w:val="00105D8B"/>
    <w:rsid w:val="00106283"/>
    <w:rsid w:val="0011342F"/>
    <w:rsid w:val="0011668B"/>
    <w:rsid w:val="001202E9"/>
    <w:rsid w:val="001222DB"/>
    <w:rsid w:val="0012454F"/>
    <w:rsid w:val="00125273"/>
    <w:rsid w:val="0012575E"/>
    <w:rsid w:val="00127C06"/>
    <w:rsid w:val="00133E44"/>
    <w:rsid w:val="001372F1"/>
    <w:rsid w:val="00145149"/>
    <w:rsid w:val="00145D4F"/>
    <w:rsid w:val="0014661D"/>
    <w:rsid w:val="0014773C"/>
    <w:rsid w:val="0015067D"/>
    <w:rsid w:val="00154BD5"/>
    <w:rsid w:val="0017696D"/>
    <w:rsid w:val="00177AD3"/>
    <w:rsid w:val="00180D67"/>
    <w:rsid w:val="00181AD3"/>
    <w:rsid w:val="001823C9"/>
    <w:rsid w:val="001848FC"/>
    <w:rsid w:val="00184F82"/>
    <w:rsid w:val="00193F21"/>
    <w:rsid w:val="001969C5"/>
    <w:rsid w:val="001A6CDD"/>
    <w:rsid w:val="001B35EE"/>
    <w:rsid w:val="001B7915"/>
    <w:rsid w:val="001C12EE"/>
    <w:rsid w:val="001C7B02"/>
    <w:rsid w:val="001E4DD4"/>
    <w:rsid w:val="001E69DC"/>
    <w:rsid w:val="001F169D"/>
    <w:rsid w:val="001F1DA1"/>
    <w:rsid w:val="001F6F93"/>
    <w:rsid w:val="001F7A20"/>
    <w:rsid w:val="00207E1C"/>
    <w:rsid w:val="0021054A"/>
    <w:rsid w:val="0021195A"/>
    <w:rsid w:val="00213383"/>
    <w:rsid w:val="00220250"/>
    <w:rsid w:val="0022691B"/>
    <w:rsid w:val="00232163"/>
    <w:rsid w:val="002376F8"/>
    <w:rsid w:val="002408E4"/>
    <w:rsid w:val="00241591"/>
    <w:rsid w:val="00250B4F"/>
    <w:rsid w:val="00253EAD"/>
    <w:rsid w:val="0025762F"/>
    <w:rsid w:val="0028114D"/>
    <w:rsid w:val="00287649"/>
    <w:rsid w:val="00287E84"/>
    <w:rsid w:val="0029286C"/>
    <w:rsid w:val="0029300E"/>
    <w:rsid w:val="002A6F19"/>
    <w:rsid w:val="002B0C3A"/>
    <w:rsid w:val="002B2116"/>
    <w:rsid w:val="002B2D7C"/>
    <w:rsid w:val="002B2D9B"/>
    <w:rsid w:val="002B5016"/>
    <w:rsid w:val="002B742C"/>
    <w:rsid w:val="002B7F4D"/>
    <w:rsid w:val="002C285C"/>
    <w:rsid w:val="002C3098"/>
    <w:rsid w:val="002C7BE4"/>
    <w:rsid w:val="002D03CD"/>
    <w:rsid w:val="002D3AF2"/>
    <w:rsid w:val="002D417D"/>
    <w:rsid w:val="002D5E5D"/>
    <w:rsid w:val="002E0A82"/>
    <w:rsid w:val="002E76E1"/>
    <w:rsid w:val="002E78A0"/>
    <w:rsid w:val="002F2687"/>
    <w:rsid w:val="002F48E1"/>
    <w:rsid w:val="002F4F3B"/>
    <w:rsid w:val="00301431"/>
    <w:rsid w:val="00304C86"/>
    <w:rsid w:val="003059EB"/>
    <w:rsid w:val="003116AC"/>
    <w:rsid w:val="00315567"/>
    <w:rsid w:val="00330144"/>
    <w:rsid w:val="00342FBD"/>
    <w:rsid w:val="00345CBA"/>
    <w:rsid w:val="00346245"/>
    <w:rsid w:val="00346791"/>
    <w:rsid w:val="00356267"/>
    <w:rsid w:val="00356BAD"/>
    <w:rsid w:val="003605B4"/>
    <w:rsid w:val="00361390"/>
    <w:rsid w:val="003627AC"/>
    <w:rsid w:val="00366914"/>
    <w:rsid w:val="00372E6A"/>
    <w:rsid w:val="00372FE3"/>
    <w:rsid w:val="003730E6"/>
    <w:rsid w:val="00374A2E"/>
    <w:rsid w:val="003755CB"/>
    <w:rsid w:val="00383F85"/>
    <w:rsid w:val="00387BA1"/>
    <w:rsid w:val="003A306C"/>
    <w:rsid w:val="003A7DE7"/>
    <w:rsid w:val="003B1006"/>
    <w:rsid w:val="003C27BF"/>
    <w:rsid w:val="003C5F11"/>
    <w:rsid w:val="003D294B"/>
    <w:rsid w:val="003D6401"/>
    <w:rsid w:val="003E1863"/>
    <w:rsid w:val="003F207C"/>
    <w:rsid w:val="003F6238"/>
    <w:rsid w:val="00401323"/>
    <w:rsid w:val="00403E88"/>
    <w:rsid w:val="0041606D"/>
    <w:rsid w:val="00416962"/>
    <w:rsid w:val="00427949"/>
    <w:rsid w:val="004334EB"/>
    <w:rsid w:val="004348CC"/>
    <w:rsid w:val="004550E1"/>
    <w:rsid w:val="00461BBF"/>
    <w:rsid w:val="004630CD"/>
    <w:rsid w:val="004658FF"/>
    <w:rsid w:val="00474599"/>
    <w:rsid w:val="00474ED7"/>
    <w:rsid w:val="004756E1"/>
    <w:rsid w:val="00476892"/>
    <w:rsid w:val="00476B4E"/>
    <w:rsid w:val="0048008A"/>
    <w:rsid w:val="00483E94"/>
    <w:rsid w:val="00484120"/>
    <w:rsid w:val="004853A0"/>
    <w:rsid w:val="00496B5F"/>
    <w:rsid w:val="004A2E10"/>
    <w:rsid w:val="004A75CB"/>
    <w:rsid w:val="004B17FF"/>
    <w:rsid w:val="004B1BA0"/>
    <w:rsid w:val="004B6CEE"/>
    <w:rsid w:val="004C2443"/>
    <w:rsid w:val="004C498F"/>
    <w:rsid w:val="004C5D29"/>
    <w:rsid w:val="004C681A"/>
    <w:rsid w:val="004D4D8A"/>
    <w:rsid w:val="004E3624"/>
    <w:rsid w:val="004F68EE"/>
    <w:rsid w:val="005038D5"/>
    <w:rsid w:val="00511BA4"/>
    <w:rsid w:val="005149E7"/>
    <w:rsid w:val="00516714"/>
    <w:rsid w:val="005232D6"/>
    <w:rsid w:val="00523580"/>
    <w:rsid w:val="00524DBA"/>
    <w:rsid w:val="00525D0A"/>
    <w:rsid w:val="005333CC"/>
    <w:rsid w:val="005363F1"/>
    <w:rsid w:val="00537C1B"/>
    <w:rsid w:val="00546798"/>
    <w:rsid w:val="0055007C"/>
    <w:rsid w:val="00554922"/>
    <w:rsid w:val="00555282"/>
    <w:rsid w:val="005560E7"/>
    <w:rsid w:val="00556832"/>
    <w:rsid w:val="005612CC"/>
    <w:rsid w:val="00563029"/>
    <w:rsid w:val="00566BE5"/>
    <w:rsid w:val="00567D12"/>
    <w:rsid w:val="00576062"/>
    <w:rsid w:val="005862A0"/>
    <w:rsid w:val="0059559F"/>
    <w:rsid w:val="005A49FF"/>
    <w:rsid w:val="005A6B0C"/>
    <w:rsid w:val="005A7634"/>
    <w:rsid w:val="005B09AF"/>
    <w:rsid w:val="005B6F04"/>
    <w:rsid w:val="005C0447"/>
    <w:rsid w:val="005C17C5"/>
    <w:rsid w:val="005C739F"/>
    <w:rsid w:val="005C73CA"/>
    <w:rsid w:val="005D4768"/>
    <w:rsid w:val="005D56E5"/>
    <w:rsid w:val="005E2CAB"/>
    <w:rsid w:val="005E429E"/>
    <w:rsid w:val="00601ED4"/>
    <w:rsid w:val="006030BC"/>
    <w:rsid w:val="00604D4E"/>
    <w:rsid w:val="00612866"/>
    <w:rsid w:val="00616EB5"/>
    <w:rsid w:val="006170F5"/>
    <w:rsid w:val="006267DF"/>
    <w:rsid w:val="006269D4"/>
    <w:rsid w:val="00627287"/>
    <w:rsid w:val="00627432"/>
    <w:rsid w:val="006327D8"/>
    <w:rsid w:val="0064070A"/>
    <w:rsid w:val="00641890"/>
    <w:rsid w:val="00643A01"/>
    <w:rsid w:val="00646C99"/>
    <w:rsid w:val="00655698"/>
    <w:rsid w:val="006574D2"/>
    <w:rsid w:val="00663563"/>
    <w:rsid w:val="00663F59"/>
    <w:rsid w:val="006676D4"/>
    <w:rsid w:val="00675535"/>
    <w:rsid w:val="00681359"/>
    <w:rsid w:val="0069157C"/>
    <w:rsid w:val="00696262"/>
    <w:rsid w:val="006A4239"/>
    <w:rsid w:val="006C3A4F"/>
    <w:rsid w:val="006C4845"/>
    <w:rsid w:val="006D1FC8"/>
    <w:rsid w:val="006D6BC1"/>
    <w:rsid w:val="006E2BFC"/>
    <w:rsid w:val="006E5819"/>
    <w:rsid w:val="006E5C57"/>
    <w:rsid w:val="006F22A5"/>
    <w:rsid w:val="006F6ECA"/>
    <w:rsid w:val="0070181E"/>
    <w:rsid w:val="007020FD"/>
    <w:rsid w:val="00702C73"/>
    <w:rsid w:val="00713394"/>
    <w:rsid w:val="00714340"/>
    <w:rsid w:val="00720F8C"/>
    <w:rsid w:val="007211F9"/>
    <w:rsid w:val="00724677"/>
    <w:rsid w:val="00725AC2"/>
    <w:rsid w:val="00727326"/>
    <w:rsid w:val="00730994"/>
    <w:rsid w:val="00732880"/>
    <w:rsid w:val="0073355D"/>
    <w:rsid w:val="007376EA"/>
    <w:rsid w:val="007416B9"/>
    <w:rsid w:val="007422FD"/>
    <w:rsid w:val="00743E46"/>
    <w:rsid w:val="00747C45"/>
    <w:rsid w:val="00756FDB"/>
    <w:rsid w:val="007629B6"/>
    <w:rsid w:val="007633D4"/>
    <w:rsid w:val="007665BF"/>
    <w:rsid w:val="00771B2A"/>
    <w:rsid w:val="007757CE"/>
    <w:rsid w:val="00775800"/>
    <w:rsid w:val="00784C78"/>
    <w:rsid w:val="0079180E"/>
    <w:rsid w:val="007950CC"/>
    <w:rsid w:val="00795153"/>
    <w:rsid w:val="0079538B"/>
    <w:rsid w:val="007961B8"/>
    <w:rsid w:val="00797624"/>
    <w:rsid w:val="007A4828"/>
    <w:rsid w:val="007A7361"/>
    <w:rsid w:val="007B093D"/>
    <w:rsid w:val="007B2069"/>
    <w:rsid w:val="007C04A1"/>
    <w:rsid w:val="007C21FA"/>
    <w:rsid w:val="007C471F"/>
    <w:rsid w:val="007D13B1"/>
    <w:rsid w:val="007D4351"/>
    <w:rsid w:val="007D5828"/>
    <w:rsid w:val="007D7019"/>
    <w:rsid w:val="007E18DB"/>
    <w:rsid w:val="007E6F1C"/>
    <w:rsid w:val="00804C69"/>
    <w:rsid w:val="0080711D"/>
    <w:rsid w:val="008155CD"/>
    <w:rsid w:val="0082084F"/>
    <w:rsid w:val="00823AEC"/>
    <w:rsid w:val="00833325"/>
    <w:rsid w:val="008355E8"/>
    <w:rsid w:val="00840A41"/>
    <w:rsid w:val="00842F3C"/>
    <w:rsid w:val="00843EC4"/>
    <w:rsid w:val="008505D1"/>
    <w:rsid w:val="00855158"/>
    <w:rsid w:val="00857662"/>
    <w:rsid w:val="00857EE8"/>
    <w:rsid w:val="0086464B"/>
    <w:rsid w:val="008647FC"/>
    <w:rsid w:val="00864CA8"/>
    <w:rsid w:val="00865E2D"/>
    <w:rsid w:val="00870E6C"/>
    <w:rsid w:val="00872F9A"/>
    <w:rsid w:val="00873BE1"/>
    <w:rsid w:val="00875846"/>
    <w:rsid w:val="00884486"/>
    <w:rsid w:val="00884DAD"/>
    <w:rsid w:val="008871A9"/>
    <w:rsid w:val="008916BA"/>
    <w:rsid w:val="00892176"/>
    <w:rsid w:val="008A1DB7"/>
    <w:rsid w:val="008A403A"/>
    <w:rsid w:val="008A47FA"/>
    <w:rsid w:val="008A4C13"/>
    <w:rsid w:val="008B604D"/>
    <w:rsid w:val="008C54A9"/>
    <w:rsid w:val="008D768B"/>
    <w:rsid w:val="008E67C3"/>
    <w:rsid w:val="008F09B5"/>
    <w:rsid w:val="008F589F"/>
    <w:rsid w:val="008F76A9"/>
    <w:rsid w:val="008F7E67"/>
    <w:rsid w:val="00900DBF"/>
    <w:rsid w:val="009048B9"/>
    <w:rsid w:val="00904E91"/>
    <w:rsid w:val="00912A0B"/>
    <w:rsid w:val="00915886"/>
    <w:rsid w:val="009214DC"/>
    <w:rsid w:val="0092358C"/>
    <w:rsid w:val="009267F6"/>
    <w:rsid w:val="00927027"/>
    <w:rsid w:val="009320C8"/>
    <w:rsid w:val="009344BA"/>
    <w:rsid w:val="0094229E"/>
    <w:rsid w:val="00943D1E"/>
    <w:rsid w:val="00944F1B"/>
    <w:rsid w:val="00946E61"/>
    <w:rsid w:val="00947F78"/>
    <w:rsid w:val="00950E74"/>
    <w:rsid w:val="00953234"/>
    <w:rsid w:val="00961EAF"/>
    <w:rsid w:val="0096278F"/>
    <w:rsid w:val="00963414"/>
    <w:rsid w:val="00967DE7"/>
    <w:rsid w:val="009726E1"/>
    <w:rsid w:val="00972A04"/>
    <w:rsid w:val="00977591"/>
    <w:rsid w:val="00980E75"/>
    <w:rsid w:val="009923D2"/>
    <w:rsid w:val="00994BE0"/>
    <w:rsid w:val="009A25B1"/>
    <w:rsid w:val="009A4608"/>
    <w:rsid w:val="009A6A57"/>
    <w:rsid w:val="009A70BF"/>
    <w:rsid w:val="009B1A15"/>
    <w:rsid w:val="009C0852"/>
    <w:rsid w:val="009C13CA"/>
    <w:rsid w:val="009C32C6"/>
    <w:rsid w:val="009C665F"/>
    <w:rsid w:val="009C7794"/>
    <w:rsid w:val="009D17D3"/>
    <w:rsid w:val="009D7E38"/>
    <w:rsid w:val="009E095B"/>
    <w:rsid w:val="009E1846"/>
    <w:rsid w:val="009E1C1E"/>
    <w:rsid w:val="009E78FF"/>
    <w:rsid w:val="009F766D"/>
    <w:rsid w:val="00A01494"/>
    <w:rsid w:val="00A22FA9"/>
    <w:rsid w:val="00A25024"/>
    <w:rsid w:val="00A35F8F"/>
    <w:rsid w:val="00A41377"/>
    <w:rsid w:val="00A4263D"/>
    <w:rsid w:val="00A45DAD"/>
    <w:rsid w:val="00A509B8"/>
    <w:rsid w:val="00A52AB9"/>
    <w:rsid w:val="00A6210B"/>
    <w:rsid w:val="00A64EBF"/>
    <w:rsid w:val="00A71200"/>
    <w:rsid w:val="00A7323A"/>
    <w:rsid w:val="00A8140E"/>
    <w:rsid w:val="00A831B4"/>
    <w:rsid w:val="00A900FC"/>
    <w:rsid w:val="00A920C1"/>
    <w:rsid w:val="00A97798"/>
    <w:rsid w:val="00AA5213"/>
    <w:rsid w:val="00AA65A6"/>
    <w:rsid w:val="00AC1D8E"/>
    <w:rsid w:val="00AC48FA"/>
    <w:rsid w:val="00AC6C00"/>
    <w:rsid w:val="00AD0240"/>
    <w:rsid w:val="00AD4137"/>
    <w:rsid w:val="00AD57D1"/>
    <w:rsid w:val="00AE53CE"/>
    <w:rsid w:val="00B037BA"/>
    <w:rsid w:val="00B20139"/>
    <w:rsid w:val="00B218DA"/>
    <w:rsid w:val="00B30EF5"/>
    <w:rsid w:val="00B3381B"/>
    <w:rsid w:val="00B342FA"/>
    <w:rsid w:val="00B353C8"/>
    <w:rsid w:val="00B506F9"/>
    <w:rsid w:val="00B53E8B"/>
    <w:rsid w:val="00B72FE1"/>
    <w:rsid w:val="00B774D2"/>
    <w:rsid w:val="00B8015A"/>
    <w:rsid w:val="00B82A57"/>
    <w:rsid w:val="00BA053B"/>
    <w:rsid w:val="00BB35AE"/>
    <w:rsid w:val="00BB4E63"/>
    <w:rsid w:val="00BC03A1"/>
    <w:rsid w:val="00BC0D25"/>
    <w:rsid w:val="00BC108C"/>
    <w:rsid w:val="00BC6753"/>
    <w:rsid w:val="00BD2505"/>
    <w:rsid w:val="00BE592D"/>
    <w:rsid w:val="00BF52B0"/>
    <w:rsid w:val="00BF5697"/>
    <w:rsid w:val="00C00E30"/>
    <w:rsid w:val="00C01D33"/>
    <w:rsid w:val="00C14CCC"/>
    <w:rsid w:val="00C1606E"/>
    <w:rsid w:val="00C1695E"/>
    <w:rsid w:val="00C22C1C"/>
    <w:rsid w:val="00C25063"/>
    <w:rsid w:val="00C33F2E"/>
    <w:rsid w:val="00C34936"/>
    <w:rsid w:val="00C34C14"/>
    <w:rsid w:val="00C355B9"/>
    <w:rsid w:val="00C401C4"/>
    <w:rsid w:val="00C41680"/>
    <w:rsid w:val="00C60A25"/>
    <w:rsid w:val="00C61382"/>
    <w:rsid w:val="00C765C5"/>
    <w:rsid w:val="00C81D49"/>
    <w:rsid w:val="00C82479"/>
    <w:rsid w:val="00C867F0"/>
    <w:rsid w:val="00CA01F7"/>
    <w:rsid w:val="00CA06D8"/>
    <w:rsid w:val="00CA345A"/>
    <w:rsid w:val="00CB49FF"/>
    <w:rsid w:val="00CC02CF"/>
    <w:rsid w:val="00CC0704"/>
    <w:rsid w:val="00CC086A"/>
    <w:rsid w:val="00CD0F66"/>
    <w:rsid w:val="00CD220C"/>
    <w:rsid w:val="00CD364B"/>
    <w:rsid w:val="00CE17F0"/>
    <w:rsid w:val="00CE23B8"/>
    <w:rsid w:val="00CE4E7D"/>
    <w:rsid w:val="00CE50D7"/>
    <w:rsid w:val="00CF4CBE"/>
    <w:rsid w:val="00D00344"/>
    <w:rsid w:val="00D110B3"/>
    <w:rsid w:val="00D13148"/>
    <w:rsid w:val="00D1321D"/>
    <w:rsid w:val="00D1349A"/>
    <w:rsid w:val="00D138B8"/>
    <w:rsid w:val="00D1754D"/>
    <w:rsid w:val="00D178BE"/>
    <w:rsid w:val="00D2223F"/>
    <w:rsid w:val="00D274A4"/>
    <w:rsid w:val="00D277AF"/>
    <w:rsid w:val="00D31163"/>
    <w:rsid w:val="00D320B1"/>
    <w:rsid w:val="00D33AFD"/>
    <w:rsid w:val="00D36489"/>
    <w:rsid w:val="00D42195"/>
    <w:rsid w:val="00D50704"/>
    <w:rsid w:val="00D5725A"/>
    <w:rsid w:val="00D5760A"/>
    <w:rsid w:val="00D61410"/>
    <w:rsid w:val="00D8181D"/>
    <w:rsid w:val="00D86D7F"/>
    <w:rsid w:val="00D95FED"/>
    <w:rsid w:val="00D968D8"/>
    <w:rsid w:val="00DA0103"/>
    <w:rsid w:val="00DA1920"/>
    <w:rsid w:val="00DA5341"/>
    <w:rsid w:val="00DA563D"/>
    <w:rsid w:val="00DA7277"/>
    <w:rsid w:val="00DB3627"/>
    <w:rsid w:val="00DB4724"/>
    <w:rsid w:val="00DB6944"/>
    <w:rsid w:val="00DC4746"/>
    <w:rsid w:val="00DD0AB6"/>
    <w:rsid w:val="00DE7149"/>
    <w:rsid w:val="00DF63AB"/>
    <w:rsid w:val="00DF7648"/>
    <w:rsid w:val="00E0314C"/>
    <w:rsid w:val="00E100F7"/>
    <w:rsid w:val="00E1508F"/>
    <w:rsid w:val="00E261DF"/>
    <w:rsid w:val="00E27240"/>
    <w:rsid w:val="00E27EDD"/>
    <w:rsid w:val="00E30584"/>
    <w:rsid w:val="00E310B9"/>
    <w:rsid w:val="00E37E1B"/>
    <w:rsid w:val="00E45E2D"/>
    <w:rsid w:val="00E47AEC"/>
    <w:rsid w:val="00E562C0"/>
    <w:rsid w:val="00E56677"/>
    <w:rsid w:val="00E672D6"/>
    <w:rsid w:val="00E71860"/>
    <w:rsid w:val="00E72238"/>
    <w:rsid w:val="00E76024"/>
    <w:rsid w:val="00E856A2"/>
    <w:rsid w:val="00E967AD"/>
    <w:rsid w:val="00E96884"/>
    <w:rsid w:val="00EA5435"/>
    <w:rsid w:val="00EA5F47"/>
    <w:rsid w:val="00EB455E"/>
    <w:rsid w:val="00EC79DE"/>
    <w:rsid w:val="00EC7D64"/>
    <w:rsid w:val="00ED4ACE"/>
    <w:rsid w:val="00ED7108"/>
    <w:rsid w:val="00EE4D35"/>
    <w:rsid w:val="00EF2DA7"/>
    <w:rsid w:val="00F0733E"/>
    <w:rsid w:val="00F1412B"/>
    <w:rsid w:val="00F15BFA"/>
    <w:rsid w:val="00F435AA"/>
    <w:rsid w:val="00F552F8"/>
    <w:rsid w:val="00F55F31"/>
    <w:rsid w:val="00F5738A"/>
    <w:rsid w:val="00F60B9F"/>
    <w:rsid w:val="00F611B0"/>
    <w:rsid w:val="00F612D4"/>
    <w:rsid w:val="00F77F1D"/>
    <w:rsid w:val="00F87CCB"/>
    <w:rsid w:val="00F9184E"/>
    <w:rsid w:val="00F91A52"/>
    <w:rsid w:val="00F93CD1"/>
    <w:rsid w:val="00F970BA"/>
    <w:rsid w:val="00FA48C7"/>
    <w:rsid w:val="00FB51FB"/>
    <w:rsid w:val="00FB5359"/>
    <w:rsid w:val="00FB73C1"/>
    <w:rsid w:val="00FF4C9C"/>
    <w:rsid w:val="00FF686F"/>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52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B353C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QFMeasureStyle">
    <w:name w:val="NQF Measure Style"/>
    <w:basedOn w:val="Normal"/>
    <w:link w:val="NQFMeasureStyleChar"/>
    <w:qFormat/>
    <w:rsid w:val="00B353C8"/>
    <w:pPr>
      <w:widowControl w:val="0"/>
      <w:spacing w:before="10" w:after="0" w:line="280" w:lineRule="exact"/>
      <w:ind w:left="720"/>
    </w:pPr>
    <w:rPr>
      <w:rFonts w:ascii="Calibri" w:eastAsiaTheme="minorHAnsi" w:hAnsi="Calibri"/>
      <w:color w:val="0000FF"/>
    </w:rPr>
  </w:style>
  <w:style w:type="character" w:customStyle="1" w:styleId="NQFMeasureStyleChar">
    <w:name w:val="NQF Measure Style Char"/>
    <w:basedOn w:val="DefaultParagraphFont"/>
    <w:link w:val="NQFMeasureStyle"/>
    <w:rsid w:val="00B353C8"/>
    <w:rPr>
      <w:rFonts w:ascii="Calibri" w:eastAsiaTheme="minorHAnsi" w:hAnsi="Calibri"/>
      <w:color w:val="0000FF"/>
    </w:rPr>
  </w:style>
  <w:style w:type="character" w:customStyle="1" w:styleId="NQFformChar">
    <w:name w:val="NQFform Char"/>
    <w:basedOn w:val="DefaultParagraphFont"/>
    <w:link w:val="NQFform"/>
    <w:locked/>
    <w:rsid w:val="00DA5341"/>
    <w:rPr>
      <w:rFonts w:cstheme="minorHAnsi"/>
      <w:color w:val="0000FF"/>
    </w:rPr>
  </w:style>
  <w:style w:type="paragraph" w:customStyle="1" w:styleId="NQFform">
    <w:name w:val="NQFform"/>
    <w:basedOn w:val="Normal"/>
    <w:link w:val="NQFformChar"/>
    <w:qFormat/>
    <w:rsid w:val="00DA5341"/>
    <w:pPr>
      <w:tabs>
        <w:tab w:val="left" w:pos="0"/>
      </w:tabs>
      <w:spacing w:after="0" w:line="240" w:lineRule="auto"/>
    </w:pPr>
    <w:rPr>
      <w:rFonts w:cstheme="minorHAnsi"/>
      <w:color w:val="0000FF"/>
    </w:rPr>
  </w:style>
  <w:style w:type="paragraph" w:customStyle="1" w:styleId="TableParagraph">
    <w:name w:val="Table Paragraph"/>
    <w:basedOn w:val="Normal"/>
    <w:uiPriority w:val="1"/>
    <w:qFormat/>
    <w:rsid w:val="00DA5341"/>
    <w:pPr>
      <w:widowControl w:val="0"/>
      <w:spacing w:after="0" w:line="240" w:lineRule="auto"/>
    </w:pPr>
    <w:rPr>
      <w:rFonts w:eastAsiaTheme="minorHAnsi"/>
    </w:rPr>
  </w:style>
  <w:style w:type="character" w:customStyle="1" w:styleId="FormTextChar">
    <w:name w:val="FormText Char"/>
    <w:basedOn w:val="DefaultParagraphFont"/>
    <w:link w:val="FormText"/>
    <w:locked/>
    <w:rsid w:val="00D86D7F"/>
    <w:rPr>
      <w:color w:val="0000FF"/>
    </w:rPr>
  </w:style>
  <w:style w:type="paragraph" w:customStyle="1" w:styleId="FormText">
    <w:name w:val="FormText"/>
    <w:basedOn w:val="Normal"/>
    <w:link w:val="FormTextChar"/>
    <w:qFormat/>
    <w:rsid w:val="00D86D7F"/>
    <w:pPr>
      <w:autoSpaceDE w:val="0"/>
      <w:autoSpaceDN w:val="0"/>
      <w:adjustRightInd w:val="0"/>
      <w:spacing w:after="0" w:line="240" w:lineRule="auto"/>
    </w:pPr>
    <w:rPr>
      <w:color w:val="0000FF"/>
    </w:rPr>
  </w:style>
  <w:style w:type="paragraph" w:styleId="BodyText">
    <w:name w:val="Body Text"/>
    <w:basedOn w:val="Normal"/>
    <w:link w:val="BodyTextChar"/>
    <w:uiPriority w:val="1"/>
    <w:semiHidden/>
    <w:unhideWhenUsed/>
    <w:qFormat/>
    <w:rsid w:val="002A6F19"/>
    <w:pPr>
      <w:widowControl w:val="0"/>
      <w:spacing w:after="0" w:line="240" w:lineRule="auto"/>
      <w:ind w:left="220"/>
    </w:pPr>
    <w:rPr>
      <w:rFonts w:ascii="Times New Roman" w:eastAsia="Times New Roman" w:hAnsi="Times New Roman"/>
    </w:rPr>
  </w:style>
  <w:style w:type="character" w:customStyle="1" w:styleId="BodyTextChar">
    <w:name w:val="Body Text Char"/>
    <w:basedOn w:val="DefaultParagraphFont"/>
    <w:link w:val="BodyText"/>
    <w:uiPriority w:val="1"/>
    <w:semiHidden/>
    <w:rsid w:val="002A6F19"/>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B353C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QFMeasureStyle">
    <w:name w:val="NQF Measure Style"/>
    <w:basedOn w:val="Normal"/>
    <w:link w:val="NQFMeasureStyleChar"/>
    <w:qFormat/>
    <w:rsid w:val="00B353C8"/>
    <w:pPr>
      <w:widowControl w:val="0"/>
      <w:spacing w:before="10" w:after="0" w:line="280" w:lineRule="exact"/>
      <w:ind w:left="720"/>
    </w:pPr>
    <w:rPr>
      <w:rFonts w:ascii="Calibri" w:eastAsiaTheme="minorHAnsi" w:hAnsi="Calibri"/>
      <w:color w:val="0000FF"/>
    </w:rPr>
  </w:style>
  <w:style w:type="character" w:customStyle="1" w:styleId="NQFMeasureStyleChar">
    <w:name w:val="NQF Measure Style Char"/>
    <w:basedOn w:val="DefaultParagraphFont"/>
    <w:link w:val="NQFMeasureStyle"/>
    <w:rsid w:val="00B353C8"/>
    <w:rPr>
      <w:rFonts w:ascii="Calibri" w:eastAsiaTheme="minorHAnsi" w:hAnsi="Calibri"/>
      <w:color w:val="0000FF"/>
    </w:rPr>
  </w:style>
  <w:style w:type="character" w:customStyle="1" w:styleId="NQFformChar">
    <w:name w:val="NQFform Char"/>
    <w:basedOn w:val="DefaultParagraphFont"/>
    <w:link w:val="NQFform"/>
    <w:locked/>
    <w:rsid w:val="00DA5341"/>
    <w:rPr>
      <w:rFonts w:cstheme="minorHAnsi"/>
      <w:color w:val="0000FF"/>
    </w:rPr>
  </w:style>
  <w:style w:type="paragraph" w:customStyle="1" w:styleId="NQFform">
    <w:name w:val="NQFform"/>
    <w:basedOn w:val="Normal"/>
    <w:link w:val="NQFformChar"/>
    <w:qFormat/>
    <w:rsid w:val="00DA5341"/>
    <w:pPr>
      <w:tabs>
        <w:tab w:val="left" w:pos="0"/>
      </w:tabs>
      <w:spacing w:after="0" w:line="240" w:lineRule="auto"/>
    </w:pPr>
    <w:rPr>
      <w:rFonts w:cstheme="minorHAnsi"/>
      <w:color w:val="0000FF"/>
    </w:rPr>
  </w:style>
  <w:style w:type="paragraph" w:customStyle="1" w:styleId="TableParagraph">
    <w:name w:val="Table Paragraph"/>
    <w:basedOn w:val="Normal"/>
    <w:uiPriority w:val="1"/>
    <w:qFormat/>
    <w:rsid w:val="00DA5341"/>
    <w:pPr>
      <w:widowControl w:val="0"/>
      <w:spacing w:after="0" w:line="240" w:lineRule="auto"/>
    </w:pPr>
    <w:rPr>
      <w:rFonts w:eastAsiaTheme="minorHAnsi"/>
    </w:rPr>
  </w:style>
  <w:style w:type="character" w:customStyle="1" w:styleId="FormTextChar">
    <w:name w:val="FormText Char"/>
    <w:basedOn w:val="DefaultParagraphFont"/>
    <w:link w:val="FormText"/>
    <w:locked/>
    <w:rsid w:val="00D86D7F"/>
    <w:rPr>
      <w:color w:val="0000FF"/>
    </w:rPr>
  </w:style>
  <w:style w:type="paragraph" w:customStyle="1" w:styleId="FormText">
    <w:name w:val="FormText"/>
    <w:basedOn w:val="Normal"/>
    <w:link w:val="FormTextChar"/>
    <w:qFormat/>
    <w:rsid w:val="00D86D7F"/>
    <w:pPr>
      <w:autoSpaceDE w:val="0"/>
      <w:autoSpaceDN w:val="0"/>
      <w:adjustRightInd w:val="0"/>
      <w:spacing w:after="0" w:line="240" w:lineRule="auto"/>
    </w:pPr>
    <w:rPr>
      <w:color w:val="0000FF"/>
    </w:rPr>
  </w:style>
  <w:style w:type="paragraph" w:styleId="BodyText">
    <w:name w:val="Body Text"/>
    <w:basedOn w:val="Normal"/>
    <w:link w:val="BodyTextChar"/>
    <w:uiPriority w:val="1"/>
    <w:semiHidden/>
    <w:unhideWhenUsed/>
    <w:qFormat/>
    <w:rsid w:val="002A6F19"/>
    <w:pPr>
      <w:widowControl w:val="0"/>
      <w:spacing w:after="0" w:line="240" w:lineRule="auto"/>
      <w:ind w:left="220"/>
    </w:pPr>
    <w:rPr>
      <w:rFonts w:ascii="Times New Roman" w:eastAsia="Times New Roman" w:hAnsi="Times New Roman"/>
    </w:rPr>
  </w:style>
  <w:style w:type="character" w:customStyle="1" w:styleId="BodyTextChar">
    <w:name w:val="Body Text Char"/>
    <w:basedOn w:val="DefaultParagraphFont"/>
    <w:link w:val="BodyText"/>
    <w:uiPriority w:val="1"/>
    <w:semiHidden/>
    <w:rsid w:val="002A6F1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53274064">
      <w:bodyDiv w:val="1"/>
      <w:marLeft w:val="0"/>
      <w:marRight w:val="0"/>
      <w:marTop w:val="0"/>
      <w:marBottom w:val="0"/>
      <w:divBdr>
        <w:top w:val="none" w:sz="0" w:space="0" w:color="auto"/>
        <w:left w:val="none" w:sz="0" w:space="0" w:color="auto"/>
        <w:bottom w:val="none" w:sz="0" w:space="0" w:color="auto"/>
        <w:right w:val="none" w:sz="0" w:space="0" w:color="auto"/>
      </w:divBdr>
    </w:div>
    <w:div w:id="814641165">
      <w:bodyDiv w:val="1"/>
      <w:marLeft w:val="0"/>
      <w:marRight w:val="0"/>
      <w:marTop w:val="0"/>
      <w:marBottom w:val="0"/>
      <w:divBdr>
        <w:top w:val="none" w:sz="0" w:space="0" w:color="auto"/>
        <w:left w:val="none" w:sz="0" w:space="0" w:color="auto"/>
        <w:bottom w:val="none" w:sz="0" w:space="0" w:color="auto"/>
        <w:right w:val="none" w:sz="0" w:space="0" w:color="auto"/>
      </w:divBdr>
    </w:div>
    <w:div w:id="892736037">
      <w:bodyDiv w:val="1"/>
      <w:marLeft w:val="0"/>
      <w:marRight w:val="0"/>
      <w:marTop w:val="0"/>
      <w:marBottom w:val="0"/>
      <w:divBdr>
        <w:top w:val="none" w:sz="0" w:space="0" w:color="auto"/>
        <w:left w:val="none" w:sz="0" w:space="0" w:color="auto"/>
        <w:bottom w:val="none" w:sz="0" w:space="0" w:color="auto"/>
        <w:right w:val="none" w:sz="0" w:space="0" w:color="auto"/>
      </w:divBdr>
    </w:div>
    <w:div w:id="907811769">
      <w:bodyDiv w:val="1"/>
      <w:marLeft w:val="0"/>
      <w:marRight w:val="0"/>
      <w:marTop w:val="0"/>
      <w:marBottom w:val="0"/>
      <w:divBdr>
        <w:top w:val="none" w:sz="0" w:space="0" w:color="auto"/>
        <w:left w:val="none" w:sz="0" w:space="0" w:color="auto"/>
        <w:bottom w:val="none" w:sz="0" w:space="0" w:color="auto"/>
        <w:right w:val="none" w:sz="0" w:space="0" w:color="auto"/>
      </w:divBdr>
    </w:div>
    <w:div w:id="125720979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81077056">
      <w:bodyDiv w:val="1"/>
      <w:marLeft w:val="0"/>
      <w:marRight w:val="0"/>
      <w:marTop w:val="0"/>
      <w:marBottom w:val="0"/>
      <w:divBdr>
        <w:top w:val="none" w:sz="0" w:space="0" w:color="auto"/>
        <w:left w:val="none" w:sz="0" w:space="0" w:color="auto"/>
        <w:bottom w:val="none" w:sz="0" w:space="0" w:color="auto"/>
        <w:right w:val="none" w:sz="0" w:space="0" w:color="auto"/>
      </w:divBdr>
    </w:div>
    <w:div w:id="1594243398">
      <w:bodyDiv w:val="1"/>
      <w:marLeft w:val="0"/>
      <w:marRight w:val="0"/>
      <w:marTop w:val="0"/>
      <w:marBottom w:val="0"/>
      <w:divBdr>
        <w:top w:val="none" w:sz="0" w:space="0" w:color="auto"/>
        <w:left w:val="none" w:sz="0" w:space="0" w:color="auto"/>
        <w:bottom w:val="none" w:sz="0" w:space="0" w:color="auto"/>
        <w:right w:val="none" w:sz="0" w:space="0" w:color="auto"/>
      </w:divBdr>
    </w:div>
    <w:div w:id="1616523729">
      <w:bodyDiv w:val="1"/>
      <w:marLeft w:val="0"/>
      <w:marRight w:val="0"/>
      <w:marTop w:val="0"/>
      <w:marBottom w:val="0"/>
      <w:divBdr>
        <w:top w:val="none" w:sz="0" w:space="0" w:color="auto"/>
        <w:left w:val="none" w:sz="0" w:space="0" w:color="auto"/>
        <w:bottom w:val="none" w:sz="0" w:space="0" w:color="auto"/>
        <w:right w:val="none" w:sz="0" w:space="0" w:color="auto"/>
      </w:divBdr>
    </w:div>
    <w:div w:id="1712657189">
      <w:bodyDiv w:val="1"/>
      <w:marLeft w:val="0"/>
      <w:marRight w:val="0"/>
      <w:marTop w:val="0"/>
      <w:marBottom w:val="0"/>
      <w:divBdr>
        <w:top w:val="none" w:sz="0" w:space="0" w:color="auto"/>
        <w:left w:val="none" w:sz="0" w:space="0" w:color="auto"/>
        <w:bottom w:val="none" w:sz="0" w:space="0" w:color="auto"/>
        <w:right w:val="none" w:sz="0" w:space="0" w:color="auto"/>
      </w:divBdr>
    </w:div>
    <w:div w:id="1729189561">
      <w:bodyDiv w:val="1"/>
      <w:marLeft w:val="0"/>
      <w:marRight w:val="0"/>
      <w:marTop w:val="0"/>
      <w:marBottom w:val="0"/>
      <w:divBdr>
        <w:top w:val="none" w:sz="0" w:space="0" w:color="auto"/>
        <w:left w:val="none" w:sz="0" w:space="0" w:color="auto"/>
        <w:bottom w:val="none" w:sz="0" w:space="0" w:color="auto"/>
        <w:right w:val="none" w:sz="0" w:space="0" w:color="auto"/>
      </w:divBdr>
    </w:div>
    <w:div w:id="1801150165">
      <w:bodyDiv w:val="1"/>
      <w:marLeft w:val="0"/>
      <w:marRight w:val="0"/>
      <w:marTop w:val="0"/>
      <w:marBottom w:val="0"/>
      <w:divBdr>
        <w:top w:val="none" w:sz="0" w:space="0" w:color="auto"/>
        <w:left w:val="none" w:sz="0" w:space="0" w:color="auto"/>
        <w:bottom w:val="none" w:sz="0" w:space="0" w:color="auto"/>
        <w:right w:val="none" w:sz="0" w:space="0" w:color="auto"/>
      </w:divBdr>
    </w:div>
    <w:div w:id="1804810579">
      <w:bodyDiv w:val="1"/>
      <w:marLeft w:val="0"/>
      <w:marRight w:val="0"/>
      <w:marTop w:val="0"/>
      <w:marBottom w:val="0"/>
      <w:divBdr>
        <w:top w:val="none" w:sz="0" w:space="0" w:color="auto"/>
        <w:left w:val="none" w:sz="0" w:space="0" w:color="auto"/>
        <w:bottom w:val="none" w:sz="0" w:space="0" w:color="auto"/>
        <w:right w:val="none" w:sz="0" w:space="0" w:color="auto"/>
      </w:divBdr>
    </w:div>
    <w:div w:id="1835142026">
      <w:bodyDiv w:val="1"/>
      <w:marLeft w:val="0"/>
      <w:marRight w:val="0"/>
      <w:marTop w:val="0"/>
      <w:marBottom w:val="0"/>
      <w:divBdr>
        <w:top w:val="none" w:sz="0" w:space="0" w:color="auto"/>
        <w:left w:val="none" w:sz="0" w:space="0" w:color="auto"/>
        <w:bottom w:val="none" w:sz="0" w:space="0" w:color="auto"/>
        <w:right w:val="none" w:sz="0" w:space="0" w:color="auto"/>
      </w:divBdr>
    </w:div>
    <w:div w:id="1857840387">
      <w:bodyDiv w:val="1"/>
      <w:marLeft w:val="0"/>
      <w:marRight w:val="0"/>
      <w:marTop w:val="0"/>
      <w:marBottom w:val="0"/>
      <w:divBdr>
        <w:top w:val="none" w:sz="0" w:space="0" w:color="auto"/>
        <w:left w:val="none" w:sz="0" w:space="0" w:color="auto"/>
        <w:bottom w:val="none" w:sz="0" w:space="0" w:color="auto"/>
        <w:right w:val="none" w:sz="0" w:space="0" w:color="auto"/>
      </w:divBdr>
    </w:div>
    <w:div w:id="1970478123">
      <w:bodyDiv w:val="1"/>
      <w:marLeft w:val="0"/>
      <w:marRight w:val="0"/>
      <w:marTop w:val="0"/>
      <w:marBottom w:val="0"/>
      <w:divBdr>
        <w:top w:val="none" w:sz="0" w:space="0" w:color="auto"/>
        <w:left w:val="none" w:sz="0" w:space="0" w:color="auto"/>
        <w:bottom w:val="none" w:sz="0" w:space="0" w:color="auto"/>
        <w:right w:val="none" w:sz="0" w:space="0" w:color="auto"/>
      </w:divBdr>
    </w:div>
    <w:div w:id="210475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yperlink" Target="http://www.hcup-us.ahrq.gov/sidoverview.jsp"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hcup-us.ahrq.gov/sidoverview.jsp"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hcup-us.ahrq.gov/sidoverview.js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hcup-us.ahrq.gov/sidoverview.jsp" TargetMode="External"/><Relationship Id="rId20" Type="http://schemas.openxmlformats.org/officeDocument/2006/relationships/hyperlink" Target="http://www.hcup-us.ahrq.gov/sidoverview.js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hcup-us.ahrq.gov/sidoverview.jsp"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www.hcup-us.ahrq.gov/sidoverview.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cup-us.ahrq.gov" TargetMode="External"/><Relationship Id="rId22" Type="http://schemas.openxmlformats.org/officeDocument/2006/relationships/hyperlink" Target="http://www.hcup-us.ahrq.gov/cdstats/cdstats_search.jsp"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hcup-us.ahrq.gov/sidoverview.jsp"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06C1D"/>
    <w:rsid w:val="00021F89"/>
    <w:rsid w:val="00027159"/>
    <w:rsid w:val="00121955"/>
    <w:rsid w:val="00127222"/>
    <w:rsid w:val="001736D7"/>
    <w:rsid w:val="00190AF4"/>
    <w:rsid w:val="00223FA3"/>
    <w:rsid w:val="002835F1"/>
    <w:rsid w:val="002A288F"/>
    <w:rsid w:val="002C65A7"/>
    <w:rsid w:val="002F052A"/>
    <w:rsid w:val="00350176"/>
    <w:rsid w:val="003840F0"/>
    <w:rsid w:val="00401CF4"/>
    <w:rsid w:val="00437537"/>
    <w:rsid w:val="0048101C"/>
    <w:rsid w:val="004827C8"/>
    <w:rsid w:val="004D785E"/>
    <w:rsid w:val="0053654E"/>
    <w:rsid w:val="005607A0"/>
    <w:rsid w:val="00632A7E"/>
    <w:rsid w:val="00632AB6"/>
    <w:rsid w:val="00695CAB"/>
    <w:rsid w:val="006E7FED"/>
    <w:rsid w:val="00730B33"/>
    <w:rsid w:val="00772B2A"/>
    <w:rsid w:val="007861D5"/>
    <w:rsid w:val="007C672A"/>
    <w:rsid w:val="007D4368"/>
    <w:rsid w:val="00822666"/>
    <w:rsid w:val="00823ECC"/>
    <w:rsid w:val="00826796"/>
    <w:rsid w:val="00866C97"/>
    <w:rsid w:val="009017AE"/>
    <w:rsid w:val="009C542D"/>
    <w:rsid w:val="009F597A"/>
    <w:rsid w:val="00A01A18"/>
    <w:rsid w:val="00A95183"/>
    <w:rsid w:val="00AB4AF7"/>
    <w:rsid w:val="00AD7C4F"/>
    <w:rsid w:val="00B445F5"/>
    <w:rsid w:val="00BC6EE1"/>
    <w:rsid w:val="00BD40CB"/>
    <w:rsid w:val="00C362A2"/>
    <w:rsid w:val="00C57734"/>
    <w:rsid w:val="00C90121"/>
    <w:rsid w:val="00CA1FE8"/>
    <w:rsid w:val="00CA344F"/>
    <w:rsid w:val="00D1676E"/>
    <w:rsid w:val="00DC0246"/>
    <w:rsid w:val="00E24919"/>
    <w:rsid w:val="00E6518A"/>
    <w:rsid w:val="00E669A7"/>
    <w:rsid w:val="00E86532"/>
    <w:rsid w:val="00F540AB"/>
    <w:rsid w:val="00F915BA"/>
    <w:rsid w:val="00FC769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D700C901-3C40-4C03-AF30-8401D54B3554}">
  <ds:schemaRefs>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B031C782-71DD-4ED3-A81B-13460E59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9056791-4633-4EFD-B846-B676C6681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8653</Words>
  <Characters>49327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57865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Rachel Moericke</cp:lastModifiedBy>
  <cp:revision>5</cp:revision>
  <cp:lastPrinted>2015-06-27T18:34:00Z</cp:lastPrinted>
  <dcterms:created xsi:type="dcterms:W3CDTF">2016-01-29T18:59:00Z</dcterms:created>
  <dcterms:modified xsi:type="dcterms:W3CDTF">2016-01-30T00:09:00Z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