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2CA61D9D"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7101BB">
            <w:rPr>
              <w:rStyle w:val="Style1"/>
            </w:rPr>
            <w:t>0291</w:t>
          </w:r>
        </w:sdtContent>
      </w:sdt>
    </w:p>
    <w:p w14:paraId="55B8DA2F" w14:textId="74A7F2F6"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7101BB">
            <w:t>Emergency Department Transfer Communication Measure</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1029676D"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11-23T00:00:00Z">
            <w:dateFormat w:val="M/d/yyyy"/>
            <w:lid w:val="en-US"/>
            <w:storeMappedDataAs w:val="dateTime"/>
            <w:calendar w:val="gregorian"/>
          </w:date>
        </w:sdtPr>
        <w:sdtEndPr>
          <w:rPr>
            <w:rStyle w:val="DefaultParagraphFont"/>
            <w:noProof/>
            <w:color w:val="auto"/>
            <w:u w:val="none"/>
          </w:rPr>
        </w:sdtEndPr>
        <w:sdtContent>
          <w:r w:rsidR="007101BB">
            <w:rPr>
              <w:rStyle w:val="Style2"/>
            </w:rPr>
            <w:t>11/</w:t>
          </w:r>
          <w:r w:rsidR="00B866FC">
            <w:rPr>
              <w:rStyle w:val="Style2"/>
            </w:rPr>
            <w:t>23/2019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AB62DA"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AB62DA"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2E143D34"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AB62DA"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64B0E31D" w:rsidR="00D73685" w:rsidRDefault="00AB62DA"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7101BB">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7101BB">
            <w:rPr>
              <w:rStyle w:val="Style2"/>
              <w:rFonts w:cstheme="minorHAnsi"/>
            </w:rPr>
            <w:t>documentation of sending information to a receiving facility</w:t>
          </w:r>
        </w:sdtContent>
      </w:sdt>
    </w:p>
    <w:p w14:paraId="55B8DA56" w14:textId="3E691ECD"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1"/>
            <w14:checkedState w14:val="2612" w14:font="MS Gothic"/>
            <w14:uncheckedState w14:val="2610" w14:font="MS Gothic"/>
          </w14:checkbox>
        </w:sdtPr>
        <w:sdtEndPr/>
        <w:sdtContent>
          <w:r w:rsidR="007101BB">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dtPr>
        <w:sdtEndPr>
          <w:rPr>
            <w:rStyle w:val="DefaultParagraphFont"/>
            <w:rFonts w:cstheme="minorBidi"/>
            <w:bCs/>
            <w:color w:val="auto"/>
            <w:u w:val="none"/>
          </w:rPr>
        </w:sdtEndPr>
        <w:sdtContent>
          <w:r w:rsidR="007101BB">
            <w:rPr>
              <w:rStyle w:val="Style2"/>
              <w:rFonts w:cstheme="minorHAnsi"/>
            </w:rPr>
            <w:t>documentation of info sent.</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AB62DA"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AB62DA"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48E51D49"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DCD4AF8" w14:textId="49AD242A" w:rsidR="007101BB" w:rsidRDefault="004A70A5" w:rsidP="002B06BD">
      <w:pPr>
        <w:ind w:left="432" w:hanging="432"/>
        <w:rPr>
          <w:iCs/>
        </w:rPr>
      </w:pPr>
      <w:r>
        <w:rPr>
          <w:iCs/>
          <w:noProof/>
        </w:rPr>
        <mc:AlternateContent>
          <mc:Choice Requires="wps">
            <w:drawing>
              <wp:anchor distT="0" distB="0" distL="114300" distR="114300" simplePos="0" relativeHeight="251660288" behindDoc="0" locked="0" layoutInCell="1" allowOverlap="1" wp14:anchorId="221F910E" wp14:editId="26105D8A">
                <wp:simplePos x="0" y="0"/>
                <wp:positionH relativeFrom="column">
                  <wp:posOffset>1866900</wp:posOffset>
                </wp:positionH>
                <wp:positionV relativeFrom="paragraph">
                  <wp:posOffset>172085</wp:posOffset>
                </wp:positionV>
                <wp:extent cx="1181100" cy="4381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1181100" cy="438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983A4F" w14:textId="1427211F" w:rsidR="007101BB" w:rsidRPr="004A70A5" w:rsidRDefault="007101BB" w:rsidP="007101BB">
                            <w:pPr>
                              <w:ind w:left="0"/>
                              <w:jc w:val="center"/>
                              <w:rPr>
                                <w:color w:val="000000" w:themeColor="text1"/>
                              </w:rPr>
                            </w:pPr>
                            <w:r w:rsidRPr="004A70A5">
                              <w:rPr>
                                <w:color w:val="000000" w:themeColor="text1"/>
                              </w:rPr>
                              <w:t>Care is provided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F910E" id="Rectangle 2" o:spid="_x0000_s1026" style="position:absolute;left:0;text-align:left;margin-left:147pt;margin-top:13.55pt;width:93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" fillcolor="#4f81bd [3204]" strokecolor="#243f60 [1604]" strokeweight="2pt">
                <v:textbox>
                  <w:txbxContent>
                    <w:p w14:paraId="0A983A4F" w14:textId="1427211F" w:rsidR="007101BB" w:rsidRPr="004A70A5" w:rsidRDefault="007101BB" w:rsidP="007101BB">
                      <w:pPr>
                        <w:ind w:left="0"/>
                        <w:jc w:val="center"/>
                        <w:rPr>
                          <w:color w:val="000000" w:themeColor="text1"/>
                        </w:rPr>
                      </w:pPr>
                      <w:r w:rsidRPr="004A70A5">
                        <w:rPr>
                          <w:color w:val="000000" w:themeColor="text1"/>
                        </w:rPr>
                        <w:t>Care is provided</w:t>
                      </w:r>
                    </w:p>
                  </w:txbxContent>
                </v:textbox>
              </v:rect>
            </w:pict>
          </mc:Fallback>
        </mc:AlternateContent>
      </w:r>
      <w:r>
        <w:rPr>
          <w:iCs/>
          <w:noProof/>
        </w:rPr>
        <mc:AlternateContent>
          <mc:Choice Requires="wps">
            <w:drawing>
              <wp:anchor distT="0" distB="0" distL="114300" distR="114300" simplePos="0" relativeHeight="251659264" behindDoc="0" locked="0" layoutInCell="1" allowOverlap="1" wp14:anchorId="2F509C80" wp14:editId="59EE714E">
                <wp:simplePos x="0" y="0"/>
                <wp:positionH relativeFrom="column">
                  <wp:posOffset>-165100</wp:posOffset>
                </wp:positionH>
                <wp:positionV relativeFrom="paragraph">
                  <wp:posOffset>191135</wp:posOffset>
                </wp:positionV>
                <wp:extent cx="1479550" cy="406400"/>
                <wp:effectExtent l="0" t="0" r="25400" b="12700"/>
                <wp:wrapNone/>
                <wp:docPr id="1" name="Rounded Rectangle 1"/>
                <wp:cNvGraphicFramePr/>
                <a:graphic xmlns:a="http://schemas.openxmlformats.org/drawingml/2006/main">
                  <a:graphicData uri="http://schemas.microsoft.com/office/word/2010/wordprocessingShape">
                    <wps:wsp>
                      <wps:cNvSpPr/>
                      <wps:spPr>
                        <a:xfrm>
                          <a:off x="0" y="0"/>
                          <a:ext cx="1479550" cy="4064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A02ED6F" w14:textId="48321A95" w:rsidR="007101BB" w:rsidRPr="004A70A5" w:rsidRDefault="007101BB" w:rsidP="007101BB">
                            <w:pPr>
                              <w:ind w:left="0"/>
                              <w:jc w:val="center"/>
                              <w:rPr>
                                <w:color w:val="000000" w:themeColor="text1"/>
                              </w:rPr>
                            </w:pPr>
                            <w:r w:rsidRPr="004A70A5">
                              <w:rPr>
                                <w:color w:val="000000" w:themeColor="text1"/>
                              </w:rPr>
                              <w:t>Patient enters 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509C80" id="Rounded Rectangle 1" o:spid="_x0000_s1027" style="position:absolute;left:0;text-align:left;margin-left:-13pt;margin-top:15.05pt;width:116.5pt;height: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" fillcolor="#4f81bd [3204]" strokecolor="#243f60 [1604]" strokeweight="2pt">
                <v:textbox>
                  <w:txbxContent>
                    <w:p w14:paraId="2A02ED6F" w14:textId="48321A95" w:rsidR="007101BB" w:rsidRPr="004A70A5" w:rsidRDefault="007101BB" w:rsidP="007101BB">
                      <w:pPr>
                        <w:ind w:left="0"/>
                        <w:jc w:val="center"/>
                        <w:rPr>
                          <w:color w:val="000000" w:themeColor="text1"/>
                        </w:rPr>
                      </w:pPr>
                      <w:r w:rsidRPr="004A70A5">
                        <w:rPr>
                          <w:color w:val="000000" w:themeColor="text1"/>
                        </w:rPr>
                        <w:t>Patient enters ED</w:t>
                      </w:r>
                    </w:p>
                  </w:txbxContent>
                </v:textbox>
              </v:roundrect>
            </w:pict>
          </mc:Fallback>
        </mc:AlternateContent>
      </w:r>
    </w:p>
    <w:p w14:paraId="47C1FD8A" w14:textId="779FD4A1" w:rsidR="007101BB" w:rsidRDefault="004A70A5" w:rsidP="002B06BD">
      <w:pPr>
        <w:ind w:left="432" w:hanging="432"/>
        <w:rPr>
          <w:iCs/>
        </w:rPr>
      </w:pPr>
      <w:r>
        <w:rPr>
          <w:iCs/>
          <w:noProof/>
        </w:rPr>
        <mc:AlternateContent>
          <mc:Choice Requires="wps">
            <w:drawing>
              <wp:anchor distT="0" distB="0" distL="114300" distR="114300" simplePos="0" relativeHeight="251661312" behindDoc="0" locked="0" layoutInCell="1" allowOverlap="1" wp14:anchorId="7A4F2456" wp14:editId="5B79B90B">
                <wp:simplePos x="0" y="0"/>
                <wp:positionH relativeFrom="column">
                  <wp:posOffset>3644900</wp:posOffset>
                </wp:positionH>
                <wp:positionV relativeFrom="paragraph">
                  <wp:posOffset>7620</wp:posOffset>
                </wp:positionV>
                <wp:extent cx="1574800" cy="393700"/>
                <wp:effectExtent l="0" t="0" r="25400" b="25400"/>
                <wp:wrapNone/>
                <wp:docPr id="3" name="Rectangle 3"/>
                <wp:cNvGraphicFramePr/>
                <a:graphic xmlns:a="http://schemas.openxmlformats.org/drawingml/2006/main">
                  <a:graphicData uri="http://schemas.microsoft.com/office/word/2010/wordprocessingShape">
                    <wps:wsp>
                      <wps:cNvSpPr/>
                      <wps:spPr>
                        <a:xfrm>
                          <a:off x="0" y="0"/>
                          <a:ext cx="1574800" cy="393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BA86089" w14:textId="211CAB14" w:rsidR="007101BB" w:rsidRPr="004A70A5" w:rsidRDefault="007101BB" w:rsidP="007101BB">
                            <w:pPr>
                              <w:ind w:left="0"/>
                              <w:jc w:val="center"/>
                              <w:rPr>
                                <w:color w:val="000000" w:themeColor="text1"/>
                              </w:rPr>
                            </w:pPr>
                            <w:r w:rsidRPr="004A70A5">
                              <w:rPr>
                                <w:color w:val="000000" w:themeColor="text1"/>
                              </w:rPr>
                              <w:t>Care is documented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4F2456" id="Rectangle 3" o:spid="_x0000_s1028" style="position:absolute;left:0;text-align:left;margin-left:287pt;margin-top:.6pt;width:124pt;height: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" fillcolor="#4f81bd [3204]" strokecolor="#243f60 [1604]" strokeweight="2pt">
                <v:textbox>
                  <w:txbxContent>
                    <w:p w14:paraId="2BA86089" w14:textId="211CAB14" w:rsidR="007101BB" w:rsidRPr="004A70A5" w:rsidRDefault="007101BB" w:rsidP="007101BB">
                      <w:pPr>
                        <w:ind w:left="0"/>
                        <w:jc w:val="center"/>
                        <w:rPr>
                          <w:color w:val="000000" w:themeColor="text1"/>
                        </w:rPr>
                      </w:pPr>
                      <w:r w:rsidRPr="004A70A5">
                        <w:rPr>
                          <w:color w:val="000000" w:themeColor="text1"/>
                        </w:rPr>
                        <w:t>Care is documented</w:t>
                      </w:r>
                    </w:p>
                  </w:txbxContent>
                </v:textbox>
              </v:rect>
            </w:pict>
          </mc:Fallback>
        </mc:AlternateContent>
      </w:r>
    </w:p>
    <w:p w14:paraId="782861D5" w14:textId="2CCC9C3C" w:rsidR="007101BB" w:rsidRDefault="004A70A5" w:rsidP="002B06BD">
      <w:pPr>
        <w:ind w:left="432" w:hanging="432"/>
        <w:rPr>
          <w:iCs/>
        </w:rPr>
      </w:pPr>
      <w:r>
        <w:rPr>
          <w:iCs/>
          <w:noProof/>
        </w:rPr>
        <mc:AlternateContent>
          <mc:Choice Requires="wps">
            <w:drawing>
              <wp:anchor distT="0" distB="0" distL="114300" distR="114300" simplePos="0" relativeHeight="251673600" behindDoc="0" locked="0" layoutInCell="1" allowOverlap="1" wp14:anchorId="40926AFC" wp14:editId="5217BF32">
                <wp:simplePos x="0" y="0"/>
                <wp:positionH relativeFrom="column">
                  <wp:posOffset>5283200</wp:posOffset>
                </wp:positionH>
                <wp:positionV relativeFrom="paragraph">
                  <wp:posOffset>8890</wp:posOffset>
                </wp:positionV>
                <wp:extent cx="63500" cy="387350"/>
                <wp:effectExtent l="19050" t="0" r="88900" b="50800"/>
                <wp:wrapNone/>
                <wp:docPr id="13" name="Straight Arrow Connector 13"/>
                <wp:cNvGraphicFramePr/>
                <a:graphic xmlns:a="http://schemas.openxmlformats.org/drawingml/2006/main">
                  <a:graphicData uri="http://schemas.microsoft.com/office/word/2010/wordprocessingShape">
                    <wps:wsp>
                      <wps:cNvCnPr/>
                      <wps:spPr>
                        <a:xfrm>
                          <a:off x="0" y="0"/>
                          <a:ext cx="63500" cy="387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DC1B870" id="_x0000_t32" coordsize="21600,21600" o:spt="32" o:oned="t" path="m,l21600,21600e" filled="f">
                <v:path arrowok="t" fillok="f" o:connecttype="none"/>
                <o:lock v:ext="edit" shapetype="t"/>
              </v:shapetype>
              <v:shape id="Straight Arrow Connector 13" o:spid="_x0000_s1026" type="#_x0000_t32" style="position:absolute;margin-left:416pt;margin-top:.7pt;width:5pt;height:30.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" strokecolor="#4579b8 [3044]">
                <v:stroke endarrow="block"/>
              </v:shape>
            </w:pict>
          </mc:Fallback>
        </mc:AlternateContent>
      </w:r>
      <w:r>
        <w:rPr>
          <w:iCs/>
          <w:noProof/>
        </w:rPr>
        <mc:AlternateContent>
          <mc:Choice Requires="wps">
            <w:drawing>
              <wp:anchor distT="0" distB="0" distL="114300" distR="114300" simplePos="0" relativeHeight="251672576" behindDoc="0" locked="0" layoutInCell="1" allowOverlap="1" wp14:anchorId="5B4A0EDF" wp14:editId="4915EC1F">
                <wp:simplePos x="0" y="0"/>
                <wp:positionH relativeFrom="column">
                  <wp:posOffset>3060700</wp:posOffset>
                </wp:positionH>
                <wp:positionV relativeFrom="paragraph">
                  <wp:posOffset>15240</wp:posOffset>
                </wp:positionV>
                <wp:extent cx="565150" cy="38100"/>
                <wp:effectExtent l="0" t="38100" r="44450" b="95250"/>
                <wp:wrapNone/>
                <wp:docPr id="12" name="Straight Arrow Connector 12"/>
                <wp:cNvGraphicFramePr/>
                <a:graphic xmlns:a="http://schemas.openxmlformats.org/drawingml/2006/main">
                  <a:graphicData uri="http://schemas.microsoft.com/office/word/2010/wordprocessingShape">
                    <wps:wsp>
                      <wps:cNvCnPr/>
                      <wps:spPr>
                        <a:xfrm>
                          <a:off x="0" y="0"/>
                          <a:ext cx="565150" cy="38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98BE37" id="Straight Arrow Connector 12" o:spid="_x0000_s1026" type="#_x0000_t32" style="position:absolute;margin-left:241pt;margin-top:1.2pt;width:44.5pt;height:3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" strokecolor="#4579b8 [3044]">
                <v:stroke endarrow="block"/>
              </v:shape>
            </w:pict>
          </mc:Fallback>
        </mc:AlternateContent>
      </w:r>
      <w:r>
        <w:rPr>
          <w:iCs/>
          <w:noProof/>
        </w:rPr>
        <mc:AlternateContent>
          <mc:Choice Requires="wps">
            <w:drawing>
              <wp:anchor distT="0" distB="0" distL="114300" distR="114300" simplePos="0" relativeHeight="251671552" behindDoc="0" locked="0" layoutInCell="1" allowOverlap="1" wp14:anchorId="01199E96" wp14:editId="0A31C042">
                <wp:simplePos x="0" y="0"/>
                <wp:positionH relativeFrom="column">
                  <wp:posOffset>1339850</wp:posOffset>
                </wp:positionH>
                <wp:positionV relativeFrom="paragraph">
                  <wp:posOffset>66040</wp:posOffset>
                </wp:positionV>
                <wp:extent cx="438150" cy="12700"/>
                <wp:effectExtent l="0" t="76200" r="19050" b="82550"/>
                <wp:wrapNone/>
                <wp:docPr id="11" name="Straight Arrow Connector 11"/>
                <wp:cNvGraphicFramePr/>
                <a:graphic xmlns:a="http://schemas.openxmlformats.org/drawingml/2006/main">
                  <a:graphicData uri="http://schemas.microsoft.com/office/word/2010/wordprocessingShape">
                    <wps:wsp>
                      <wps:cNvCnPr/>
                      <wps:spPr>
                        <a:xfrm flipV="1">
                          <a:off x="0" y="0"/>
                          <a:ext cx="438150" cy="12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55B9C1" id="Straight Arrow Connector 11" o:spid="_x0000_s1026" type="#_x0000_t32" style="position:absolute;margin-left:105.5pt;margin-top:5.2pt;width:34.5pt;height:1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" strokecolor="#4579b8 [3044]">
                <v:stroke endarrow="block"/>
              </v:shape>
            </w:pict>
          </mc:Fallback>
        </mc:AlternateContent>
      </w:r>
      <w:r>
        <w:rPr>
          <w:iCs/>
          <w:noProof/>
        </w:rPr>
        <mc:AlternateContent>
          <mc:Choice Requires="wps">
            <w:drawing>
              <wp:anchor distT="0" distB="0" distL="114300" distR="114300" simplePos="0" relativeHeight="251670528" behindDoc="0" locked="0" layoutInCell="1" allowOverlap="1" wp14:anchorId="30535FE1" wp14:editId="465376D1">
                <wp:simplePos x="0" y="0"/>
                <wp:positionH relativeFrom="column">
                  <wp:posOffset>1498600</wp:posOffset>
                </wp:positionH>
                <wp:positionV relativeFrom="paragraph">
                  <wp:posOffset>46990</wp:posOffset>
                </wp:positionV>
                <wp:extent cx="0" cy="0"/>
                <wp:effectExtent l="0" t="0" r="0" b="0"/>
                <wp:wrapNone/>
                <wp:docPr id="10" name="Straight Arrow Connector 10"/>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71F39EA" id="Straight Arrow Connector 10" o:spid="_x0000_s1026" type="#_x0000_t32" style="position:absolute;margin-left:118pt;margin-top:3.7pt;width:0;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" strokecolor="#4579b8 [3044]">
                <v:stroke endarrow="block"/>
              </v:shape>
            </w:pict>
          </mc:Fallback>
        </mc:AlternateContent>
      </w:r>
    </w:p>
    <w:p w14:paraId="403E2C41" w14:textId="46EE22C9" w:rsidR="007101BB" w:rsidRDefault="007101BB" w:rsidP="002B06BD">
      <w:pPr>
        <w:ind w:left="432" w:hanging="432"/>
        <w:rPr>
          <w:iCs/>
        </w:rPr>
      </w:pPr>
    </w:p>
    <w:p w14:paraId="2C348777" w14:textId="38B94DC4" w:rsidR="007101BB" w:rsidRPr="00676BD4" w:rsidRDefault="00B866FC" w:rsidP="002B06BD">
      <w:pPr>
        <w:ind w:left="432" w:hanging="432"/>
        <w:rPr>
          <w:iCs/>
        </w:rPr>
      </w:pPr>
      <w:r>
        <w:rPr>
          <w:iCs/>
          <w:noProof/>
        </w:rPr>
        <mc:AlternateContent>
          <mc:Choice Requires="wps">
            <w:drawing>
              <wp:anchor distT="0" distB="0" distL="114300" distR="114300" simplePos="0" relativeHeight="251657728" behindDoc="0" locked="0" layoutInCell="1" allowOverlap="1" wp14:anchorId="54C761E6" wp14:editId="269C7564">
                <wp:simplePos x="0" y="0"/>
                <wp:positionH relativeFrom="margin">
                  <wp:posOffset>4286250</wp:posOffset>
                </wp:positionH>
                <wp:positionV relativeFrom="paragraph">
                  <wp:posOffset>59055</wp:posOffset>
                </wp:positionV>
                <wp:extent cx="1568450" cy="482600"/>
                <wp:effectExtent l="0" t="0" r="12700" b="12700"/>
                <wp:wrapNone/>
                <wp:docPr id="4" name="Rectangle 4"/>
                <wp:cNvGraphicFramePr/>
                <a:graphic xmlns:a="http://schemas.openxmlformats.org/drawingml/2006/main">
                  <a:graphicData uri="http://schemas.microsoft.com/office/word/2010/wordprocessingShape">
                    <wps:wsp>
                      <wps:cNvSpPr/>
                      <wps:spPr>
                        <a:xfrm>
                          <a:off x="0" y="0"/>
                          <a:ext cx="1568450" cy="482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D97A3E0" w14:textId="567AB313" w:rsidR="007101BB" w:rsidRPr="004A70A5" w:rsidRDefault="007101BB" w:rsidP="007101BB">
                            <w:pPr>
                              <w:ind w:left="0" w:firstLine="0"/>
                              <w:rPr>
                                <w:color w:val="000000" w:themeColor="text1"/>
                              </w:rPr>
                            </w:pPr>
                            <w:r w:rsidRPr="004A70A5">
                              <w:rPr>
                                <w:color w:val="000000" w:themeColor="text1"/>
                              </w:rPr>
                              <w:t>Decision is made to transfer patient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C761E6" id="Rectangle 4" o:spid="_x0000_s1029" style="position:absolute;left:0;text-align:left;margin-left:337.5pt;margin-top:4.65pt;width:123.5pt;height:38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" fillcolor="#4f81bd [3204]" strokecolor="#243f60 [1604]" strokeweight="2pt">
                <v:textbox>
                  <w:txbxContent>
                    <w:p w14:paraId="5D97A3E0" w14:textId="567AB313" w:rsidR="007101BB" w:rsidRPr="004A70A5" w:rsidRDefault="007101BB" w:rsidP="007101BB">
                      <w:pPr>
                        <w:ind w:left="0" w:firstLine="0"/>
                        <w:rPr>
                          <w:color w:val="000000" w:themeColor="text1"/>
                        </w:rPr>
                      </w:pPr>
                      <w:r w:rsidRPr="004A70A5">
                        <w:rPr>
                          <w:color w:val="000000" w:themeColor="text1"/>
                        </w:rPr>
                        <w:t>Decision is made to transfer patient</w:t>
                      </w:r>
                    </w:p>
                  </w:txbxContent>
                </v:textbox>
                <w10:wrap anchorx="margin"/>
              </v:rect>
            </w:pict>
          </mc:Fallback>
        </mc:AlternateContent>
      </w:r>
      <w:r w:rsidR="004A70A5">
        <w:rPr>
          <w:iCs/>
          <w:noProof/>
        </w:rPr>
        <mc:AlternateContent>
          <mc:Choice Requires="wps">
            <w:drawing>
              <wp:anchor distT="0" distB="0" distL="114300" distR="114300" simplePos="0" relativeHeight="251658752" behindDoc="0" locked="0" layoutInCell="1" allowOverlap="1" wp14:anchorId="2BB9471B" wp14:editId="6B3FB09B">
                <wp:simplePos x="0" y="0"/>
                <wp:positionH relativeFrom="margin">
                  <wp:posOffset>2349500</wp:posOffset>
                </wp:positionH>
                <wp:positionV relativeFrom="paragraph">
                  <wp:posOffset>100330</wp:posOffset>
                </wp:positionV>
                <wp:extent cx="1568450" cy="482600"/>
                <wp:effectExtent l="0" t="0" r="12700" b="12700"/>
                <wp:wrapNone/>
                <wp:docPr id="5" name="Rectangle 5"/>
                <wp:cNvGraphicFramePr/>
                <a:graphic xmlns:a="http://schemas.openxmlformats.org/drawingml/2006/main">
                  <a:graphicData uri="http://schemas.microsoft.com/office/word/2010/wordprocessingShape">
                    <wps:wsp>
                      <wps:cNvSpPr/>
                      <wps:spPr>
                        <a:xfrm>
                          <a:off x="0" y="0"/>
                          <a:ext cx="1568450" cy="482600"/>
                        </a:xfrm>
                        <a:prstGeom prst="rect">
                          <a:avLst/>
                        </a:prstGeom>
                        <a:solidFill>
                          <a:srgbClr val="4F81BD"/>
                        </a:solidFill>
                        <a:ln w="25400" cap="flat" cmpd="sng" algn="ctr">
                          <a:solidFill>
                            <a:srgbClr val="4F81BD">
                              <a:shade val="50000"/>
                            </a:srgbClr>
                          </a:solidFill>
                          <a:prstDash val="solid"/>
                        </a:ln>
                        <a:effectLst/>
                      </wps:spPr>
                      <wps:txbx>
                        <w:txbxContent>
                          <w:p w14:paraId="31F8184C" w14:textId="2BBCE5A6" w:rsidR="007101BB" w:rsidRDefault="007101BB" w:rsidP="007101BB">
                            <w:pPr>
                              <w:ind w:left="0" w:firstLine="0"/>
                            </w:pPr>
                            <w:r>
                              <w:t>Communication occurs with receiving facility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B9471B" id="Rectangle 5" o:spid="_x0000_s1030" style="position:absolute;left:0;text-align:left;margin-left:185pt;margin-top:7.9pt;width:123.5pt;height:38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" fillcolor="#4f81bd" strokecolor="#385d8a" strokeweight="2pt">
                <v:textbox>
                  <w:txbxContent>
                    <w:p w14:paraId="31F8184C" w14:textId="2BBCE5A6" w:rsidR="007101BB" w:rsidRDefault="007101BB" w:rsidP="007101BB">
                      <w:pPr>
                        <w:ind w:left="0" w:firstLine="0"/>
                      </w:pPr>
                      <w:r>
                        <w:t>Communication occurs with receiving facility</w:t>
                      </w:r>
                    </w:p>
                  </w:txbxContent>
                </v:textbox>
                <w10:wrap anchorx="margin"/>
              </v:rect>
            </w:pict>
          </mc:Fallback>
        </mc:AlternateContent>
      </w:r>
      <w:r w:rsidR="004A70A5">
        <w:rPr>
          <w:iCs/>
          <w:noProof/>
        </w:rPr>
        <mc:AlternateContent>
          <mc:Choice Requires="wps">
            <w:drawing>
              <wp:anchor distT="0" distB="0" distL="114300" distR="114300" simplePos="0" relativeHeight="251659776" behindDoc="0" locked="0" layoutInCell="1" allowOverlap="1" wp14:anchorId="30B37DC0" wp14:editId="046DB202">
                <wp:simplePos x="0" y="0"/>
                <wp:positionH relativeFrom="margin">
                  <wp:posOffset>584200</wp:posOffset>
                </wp:positionH>
                <wp:positionV relativeFrom="paragraph">
                  <wp:posOffset>138430</wp:posOffset>
                </wp:positionV>
                <wp:extent cx="1568450" cy="482600"/>
                <wp:effectExtent l="0" t="0" r="12700" b="12700"/>
                <wp:wrapNone/>
                <wp:docPr id="6" name="Rectangle 6"/>
                <wp:cNvGraphicFramePr/>
                <a:graphic xmlns:a="http://schemas.openxmlformats.org/drawingml/2006/main">
                  <a:graphicData uri="http://schemas.microsoft.com/office/word/2010/wordprocessingShape">
                    <wps:wsp>
                      <wps:cNvSpPr/>
                      <wps:spPr>
                        <a:xfrm>
                          <a:off x="0" y="0"/>
                          <a:ext cx="1568450" cy="482600"/>
                        </a:xfrm>
                        <a:prstGeom prst="rect">
                          <a:avLst/>
                        </a:prstGeom>
                        <a:solidFill>
                          <a:srgbClr val="4F81BD"/>
                        </a:solidFill>
                        <a:ln w="25400" cap="flat" cmpd="sng" algn="ctr">
                          <a:solidFill>
                            <a:srgbClr val="4F81BD">
                              <a:shade val="50000"/>
                            </a:srgbClr>
                          </a:solidFill>
                          <a:prstDash val="solid"/>
                        </a:ln>
                        <a:effectLst/>
                      </wps:spPr>
                      <wps:txbx>
                        <w:txbxContent>
                          <w:p w14:paraId="4F84AC14" w14:textId="100A12CF" w:rsidR="007101BB" w:rsidRDefault="007101BB" w:rsidP="007101BB">
                            <w:pPr>
                              <w:ind w:left="0" w:firstLine="0"/>
                            </w:pPr>
                            <w:r>
                              <w:t>Patient is transferred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B37DC0" id="Rectangle 6" o:spid="_x0000_s1031" style="position:absolute;left:0;text-align:left;margin-left:46pt;margin-top:10.9pt;width:123.5pt;height:38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" fillcolor="#4f81bd" strokecolor="#385d8a" strokeweight="2pt">
                <v:textbox>
                  <w:txbxContent>
                    <w:p w14:paraId="4F84AC14" w14:textId="100A12CF" w:rsidR="007101BB" w:rsidRDefault="007101BB" w:rsidP="007101BB">
                      <w:pPr>
                        <w:ind w:left="0" w:firstLine="0"/>
                      </w:pPr>
                      <w:r>
                        <w:t>Patient is transferred</w:t>
                      </w:r>
                    </w:p>
                  </w:txbxContent>
                </v:textbox>
                <w10:wrap anchorx="margin"/>
              </v:rect>
            </w:pict>
          </mc:Fallback>
        </mc:AlternateContent>
      </w:r>
    </w:p>
    <w:p w14:paraId="55B8DA5B" w14:textId="5F13BCB3" w:rsidR="002B06BD" w:rsidRPr="003B1CC5" w:rsidRDefault="002B06BD" w:rsidP="002E2177">
      <w:pPr>
        <w:ind w:left="432" w:hanging="432"/>
        <w:rPr>
          <w:color w:val="0000FF"/>
        </w:rPr>
      </w:pPr>
    </w:p>
    <w:p w14:paraId="55B8DA5C" w14:textId="25465945" w:rsidR="00676BD4" w:rsidRDefault="004A70A5" w:rsidP="002E2177">
      <w:pPr>
        <w:ind w:left="432" w:hanging="432"/>
        <w:rPr>
          <w:b/>
          <w:color w:val="0000FF"/>
        </w:rPr>
      </w:pPr>
      <w:r>
        <w:rPr>
          <w:b/>
          <w:noProof/>
          <w:color w:val="0000FF"/>
        </w:rPr>
        <mc:AlternateContent>
          <mc:Choice Requires="wps">
            <w:drawing>
              <wp:anchor distT="0" distB="0" distL="114300" distR="114300" simplePos="0" relativeHeight="251676672" behindDoc="0" locked="0" layoutInCell="1" allowOverlap="1" wp14:anchorId="16DB6D2F" wp14:editId="4311778D">
                <wp:simplePos x="0" y="0"/>
                <wp:positionH relativeFrom="column">
                  <wp:posOffset>330200</wp:posOffset>
                </wp:positionH>
                <wp:positionV relativeFrom="paragraph">
                  <wp:posOffset>31750</wp:posOffset>
                </wp:positionV>
                <wp:extent cx="285750" cy="425450"/>
                <wp:effectExtent l="38100" t="0" r="19050" b="50800"/>
                <wp:wrapNone/>
                <wp:docPr id="16" name="Straight Arrow Connector 16"/>
                <wp:cNvGraphicFramePr/>
                <a:graphic xmlns:a="http://schemas.openxmlformats.org/drawingml/2006/main">
                  <a:graphicData uri="http://schemas.microsoft.com/office/word/2010/wordprocessingShape">
                    <wps:wsp>
                      <wps:cNvCnPr/>
                      <wps:spPr>
                        <a:xfrm flipH="1">
                          <a:off x="0" y="0"/>
                          <a:ext cx="285750" cy="425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B2EBF8" id="Straight Arrow Connector 16" o:spid="_x0000_s1026" type="#_x0000_t32" style="position:absolute;margin-left:26pt;margin-top:2.5pt;width:22.5pt;height:33.5pt;flip:x;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" strokecolor="#4579b8 [3044]">
                <v:stroke endarrow="block"/>
              </v:shape>
            </w:pict>
          </mc:Fallback>
        </mc:AlternateContent>
      </w:r>
      <w:r>
        <w:rPr>
          <w:b/>
          <w:noProof/>
          <w:color w:val="0000FF"/>
        </w:rPr>
        <mc:AlternateContent>
          <mc:Choice Requires="wps">
            <w:drawing>
              <wp:anchor distT="0" distB="0" distL="114300" distR="114300" simplePos="0" relativeHeight="251675648" behindDoc="0" locked="0" layoutInCell="1" allowOverlap="1" wp14:anchorId="098140C1" wp14:editId="0E6B03EA">
                <wp:simplePos x="0" y="0"/>
                <wp:positionH relativeFrom="column">
                  <wp:posOffset>2178050</wp:posOffset>
                </wp:positionH>
                <wp:positionV relativeFrom="paragraph">
                  <wp:posOffset>19050</wp:posOffset>
                </wp:positionV>
                <wp:extent cx="190500" cy="19050"/>
                <wp:effectExtent l="38100" t="57150" r="0" b="95250"/>
                <wp:wrapNone/>
                <wp:docPr id="15" name="Straight Arrow Connector 15"/>
                <wp:cNvGraphicFramePr/>
                <a:graphic xmlns:a="http://schemas.openxmlformats.org/drawingml/2006/main">
                  <a:graphicData uri="http://schemas.microsoft.com/office/word/2010/wordprocessingShape">
                    <wps:wsp>
                      <wps:cNvCnPr/>
                      <wps:spPr>
                        <a:xfrm flipH="1">
                          <a:off x="0" y="0"/>
                          <a:ext cx="190500"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4837A4" id="Straight Arrow Connector 15" o:spid="_x0000_s1026" type="#_x0000_t32" style="position:absolute;margin-left:171.5pt;margin-top:1.5pt;width:15pt;height:1.5pt;flip:x;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" strokecolor="#4579b8 [3044]">
                <v:stroke endarrow="block"/>
              </v:shape>
            </w:pict>
          </mc:Fallback>
        </mc:AlternateContent>
      </w:r>
      <w:r>
        <w:rPr>
          <w:b/>
          <w:noProof/>
          <w:color w:val="0000FF"/>
        </w:rPr>
        <mc:AlternateContent>
          <mc:Choice Requires="wps">
            <w:drawing>
              <wp:anchor distT="0" distB="0" distL="114300" distR="114300" simplePos="0" relativeHeight="251674624" behindDoc="0" locked="0" layoutInCell="1" allowOverlap="1" wp14:anchorId="4C6BD1F2" wp14:editId="48A6BE40">
                <wp:simplePos x="0" y="0"/>
                <wp:positionH relativeFrom="column">
                  <wp:posOffset>3949700</wp:posOffset>
                </wp:positionH>
                <wp:positionV relativeFrom="paragraph">
                  <wp:posOffset>50800</wp:posOffset>
                </wp:positionV>
                <wp:extent cx="342900" cy="38100"/>
                <wp:effectExtent l="38100" t="38100" r="19050" b="95250"/>
                <wp:wrapNone/>
                <wp:docPr id="14" name="Straight Arrow Connector 14"/>
                <wp:cNvGraphicFramePr/>
                <a:graphic xmlns:a="http://schemas.openxmlformats.org/drawingml/2006/main">
                  <a:graphicData uri="http://schemas.microsoft.com/office/word/2010/wordprocessingShape">
                    <wps:wsp>
                      <wps:cNvCnPr/>
                      <wps:spPr>
                        <a:xfrm flipH="1">
                          <a:off x="0" y="0"/>
                          <a:ext cx="342900" cy="38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3F7406" id="Straight Arrow Connector 14" o:spid="_x0000_s1026" type="#_x0000_t32" style="position:absolute;margin-left:311pt;margin-top:4pt;width:27pt;height:3pt;flip:x;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" strokecolor="#4579b8 [3044]">
                <v:stroke endarrow="block"/>
              </v:shape>
            </w:pict>
          </mc:Fallback>
        </mc:AlternateContent>
      </w:r>
    </w:p>
    <w:p w14:paraId="4D2DF072" w14:textId="77777777" w:rsidR="007101BB" w:rsidRDefault="007101BB" w:rsidP="002E2177">
      <w:pPr>
        <w:ind w:left="432" w:hanging="432"/>
        <w:rPr>
          <w:b/>
          <w:color w:val="0000FF"/>
        </w:rPr>
      </w:pPr>
    </w:p>
    <w:p w14:paraId="3D3A69F4" w14:textId="7BCA6727" w:rsidR="007101BB" w:rsidRDefault="004A70A5" w:rsidP="002E2177">
      <w:pPr>
        <w:ind w:left="432" w:hanging="432"/>
        <w:rPr>
          <w:b/>
          <w:color w:val="0000FF"/>
        </w:rPr>
      </w:pPr>
      <w:r>
        <w:rPr>
          <w:b/>
          <w:noProof/>
          <w:color w:val="0000FF"/>
        </w:rPr>
        <mc:AlternateContent>
          <mc:Choice Requires="wps">
            <w:drawing>
              <wp:anchor distT="0" distB="0" distL="114300" distR="114300" simplePos="0" relativeHeight="251677696" behindDoc="0" locked="0" layoutInCell="1" allowOverlap="1" wp14:anchorId="08E749B5" wp14:editId="6508EB11">
                <wp:simplePos x="0" y="0"/>
                <wp:positionH relativeFrom="column">
                  <wp:posOffset>3384550</wp:posOffset>
                </wp:positionH>
                <wp:positionV relativeFrom="paragraph">
                  <wp:posOffset>116205</wp:posOffset>
                </wp:positionV>
                <wp:extent cx="2794000" cy="1377950"/>
                <wp:effectExtent l="0" t="0" r="25400" b="12700"/>
                <wp:wrapNone/>
                <wp:docPr id="17" name="Rounded Rectangle 17"/>
                <wp:cNvGraphicFramePr/>
                <a:graphic xmlns:a="http://schemas.openxmlformats.org/drawingml/2006/main">
                  <a:graphicData uri="http://schemas.microsoft.com/office/word/2010/wordprocessingShape">
                    <wps:wsp>
                      <wps:cNvSpPr/>
                      <wps:spPr>
                        <a:xfrm>
                          <a:off x="0" y="0"/>
                          <a:ext cx="2794000" cy="1377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176A727" w14:textId="551E1742" w:rsidR="004A70A5" w:rsidRPr="004A70A5" w:rsidRDefault="004A70A5" w:rsidP="004A70A5">
                            <w:pPr>
                              <w:ind w:left="0"/>
                              <w:jc w:val="center"/>
                              <w:rPr>
                                <w:color w:val="000000" w:themeColor="text1"/>
                              </w:rPr>
                            </w:pPr>
                            <w:r w:rsidRPr="004A70A5">
                              <w:rPr>
                                <w:color w:val="000000" w:themeColor="text1"/>
                              </w:rPr>
                              <w:t>Patient</w:t>
                            </w:r>
                            <w:r>
                              <w:rPr>
                                <w:color w:val="000000" w:themeColor="text1"/>
                              </w:rPr>
                              <w:t>’</w:t>
                            </w:r>
                            <w:r w:rsidRPr="004A70A5">
                              <w:rPr>
                                <w:color w:val="000000" w:themeColor="text1"/>
                              </w:rPr>
                              <w:t xml:space="preserve">s status and test results from prior hospital are understood, medication changes are noted, leading to </w:t>
                            </w:r>
                            <w:proofErr w:type="gramStart"/>
                            <w:r w:rsidRPr="004A70A5">
                              <w:rPr>
                                <w:color w:val="000000" w:themeColor="text1"/>
                              </w:rPr>
                              <w:t>better  continuity</w:t>
                            </w:r>
                            <w:proofErr w:type="gramEnd"/>
                            <w:r w:rsidRPr="004A70A5">
                              <w:rPr>
                                <w:color w:val="000000" w:themeColor="text1"/>
                              </w:rPr>
                              <w:t xml:space="preserve"> of care, fewer repeated tests, better diagnosis and safer ongoing care.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E749B5" id="Rounded Rectangle 17" o:spid="_x0000_s1032" style="position:absolute;left:0;text-align:left;margin-left:266.5pt;margin-top:9.15pt;width:220pt;height:10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" fillcolor="#4f81bd [3204]" strokecolor="#243f60 [1604]" strokeweight="2pt">
                <v:textbox>
                  <w:txbxContent>
                    <w:p w14:paraId="4176A727" w14:textId="551E1742" w:rsidR="004A70A5" w:rsidRPr="004A70A5" w:rsidRDefault="004A70A5" w:rsidP="004A70A5">
                      <w:pPr>
                        <w:ind w:left="0"/>
                        <w:jc w:val="center"/>
                        <w:rPr>
                          <w:color w:val="000000" w:themeColor="text1"/>
                        </w:rPr>
                      </w:pPr>
                      <w:r w:rsidRPr="004A70A5">
                        <w:rPr>
                          <w:color w:val="000000" w:themeColor="text1"/>
                        </w:rPr>
                        <w:t>Patient</w:t>
                      </w:r>
                      <w:r>
                        <w:rPr>
                          <w:color w:val="000000" w:themeColor="text1"/>
                        </w:rPr>
                        <w:t>’</w:t>
                      </w:r>
                      <w:r w:rsidRPr="004A70A5">
                        <w:rPr>
                          <w:color w:val="000000" w:themeColor="text1"/>
                        </w:rPr>
                        <w:t xml:space="preserve">s status and test results from prior hospital are understood, medication changes are noted, leading to </w:t>
                      </w:r>
                      <w:proofErr w:type="gramStart"/>
                      <w:r w:rsidRPr="004A70A5">
                        <w:rPr>
                          <w:color w:val="000000" w:themeColor="text1"/>
                        </w:rPr>
                        <w:t>better  continuity</w:t>
                      </w:r>
                      <w:proofErr w:type="gramEnd"/>
                      <w:r w:rsidRPr="004A70A5">
                        <w:rPr>
                          <w:color w:val="000000" w:themeColor="text1"/>
                        </w:rPr>
                        <w:t xml:space="preserve"> of care, fewer repeated tests, better diagnosis and safer ongoing care.</w:t>
                      </w:r>
                    </w:p>
                  </w:txbxContent>
                </v:textbox>
              </v:roundrect>
            </w:pict>
          </mc:Fallback>
        </mc:AlternateContent>
      </w:r>
    </w:p>
    <w:p w14:paraId="04FF7782" w14:textId="58EBAEA0" w:rsidR="007101BB" w:rsidRDefault="004A70A5" w:rsidP="002E2177">
      <w:pPr>
        <w:ind w:left="432" w:hanging="432"/>
        <w:rPr>
          <w:b/>
          <w:color w:val="0000FF"/>
        </w:rPr>
      </w:pPr>
      <w:r>
        <w:rPr>
          <w:iCs/>
          <w:noProof/>
        </w:rPr>
        <mc:AlternateContent>
          <mc:Choice Requires="wps">
            <w:drawing>
              <wp:anchor distT="0" distB="0" distL="114300" distR="114300" simplePos="0" relativeHeight="251669504" behindDoc="0" locked="0" layoutInCell="1" allowOverlap="1" wp14:anchorId="5756A027" wp14:editId="4C359E91">
                <wp:simplePos x="0" y="0"/>
                <wp:positionH relativeFrom="column">
                  <wp:posOffset>19050</wp:posOffset>
                </wp:positionH>
                <wp:positionV relativeFrom="paragraph">
                  <wp:posOffset>27940</wp:posOffset>
                </wp:positionV>
                <wp:extent cx="3041650" cy="742950"/>
                <wp:effectExtent l="0" t="0" r="25400" b="19050"/>
                <wp:wrapNone/>
                <wp:docPr id="9" name="Rounded Rectangle 9"/>
                <wp:cNvGraphicFramePr/>
                <a:graphic xmlns:a="http://schemas.openxmlformats.org/drawingml/2006/main">
                  <a:graphicData uri="http://schemas.microsoft.com/office/word/2010/wordprocessingShape">
                    <wps:wsp>
                      <wps:cNvSpPr/>
                      <wps:spPr>
                        <a:xfrm>
                          <a:off x="0" y="0"/>
                          <a:ext cx="3041650" cy="742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3473E8F" w14:textId="77777777" w:rsidR="007101BB" w:rsidRPr="004A70A5" w:rsidRDefault="007101BB" w:rsidP="007101BB">
                            <w:pPr>
                              <w:ind w:left="0" w:firstLine="0"/>
                              <w:rPr>
                                <w:color w:val="000000" w:themeColor="text1"/>
                              </w:rPr>
                            </w:pPr>
                            <w:r w:rsidRPr="004A70A5">
                              <w:rPr>
                                <w:color w:val="000000" w:themeColor="text1"/>
                              </w:rPr>
                              <w:t>Documentation is sent to receiving hospitals within 60 minutes</w:t>
                            </w:r>
                          </w:p>
                          <w:p w14:paraId="6A2281C5" w14:textId="77777777" w:rsidR="007101BB" w:rsidRDefault="007101BB" w:rsidP="007101BB">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56A027" id="Rounded Rectangle 9" o:spid="_x0000_s1033" style="position:absolute;left:0;text-align:left;margin-left:1.5pt;margin-top:2.2pt;width:239.5pt;height:5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" fillcolor="#4f81bd [3204]" strokecolor="#243f60 [1604]" strokeweight="2pt">
                <v:textbox>
                  <w:txbxContent>
                    <w:p w14:paraId="33473E8F" w14:textId="77777777" w:rsidR="007101BB" w:rsidRPr="004A70A5" w:rsidRDefault="007101BB" w:rsidP="007101BB">
                      <w:pPr>
                        <w:ind w:left="0" w:firstLine="0"/>
                        <w:rPr>
                          <w:color w:val="000000" w:themeColor="text1"/>
                        </w:rPr>
                      </w:pPr>
                      <w:r w:rsidRPr="004A70A5">
                        <w:rPr>
                          <w:color w:val="000000" w:themeColor="text1"/>
                        </w:rPr>
                        <w:t>Documentation is sent to receiving hospitals within 60 minutes</w:t>
                      </w:r>
                    </w:p>
                    <w:p w14:paraId="6A2281C5" w14:textId="77777777" w:rsidR="007101BB" w:rsidRDefault="007101BB" w:rsidP="007101BB">
                      <w:pPr>
                        <w:ind w:left="0"/>
                        <w:jc w:val="center"/>
                      </w:pPr>
                    </w:p>
                  </w:txbxContent>
                </v:textbox>
              </v:roundrect>
            </w:pict>
          </mc:Fallback>
        </mc:AlternateContent>
      </w:r>
    </w:p>
    <w:p w14:paraId="57985CBD" w14:textId="7A146743" w:rsidR="007101BB" w:rsidRDefault="007101BB" w:rsidP="002E2177">
      <w:pPr>
        <w:ind w:left="432" w:hanging="432"/>
        <w:rPr>
          <w:b/>
          <w:color w:val="0000FF"/>
        </w:rPr>
      </w:pPr>
    </w:p>
    <w:p w14:paraId="0B2AA670" w14:textId="0B594A96" w:rsidR="007101BB" w:rsidRDefault="004A70A5" w:rsidP="002E2177">
      <w:pPr>
        <w:ind w:left="432" w:hanging="432"/>
        <w:rPr>
          <w:b/>
          <w:color w:val="0000FF"/>
        </w:rPr>
      </w:pPr>
      <w:r>
        <w:rPr>
          <w:b/>
          <w:noProof/>
          <w:color w:val="0000FF"/>
        </w:rPr>
        <mc:AlternateContent>
          <mc:Choice Requires="wps">
            <w:drawing>
              <wp:anchor distT="0" distB="0" distL="114300" distR="114300" simplePos="0" relativeHeight="251678720" behindDoc="0" locked="0" layoutInCell="1" allowOverlap="1" wp14:anchorId="7B8F1A9B" wp14:editId="4BD0FA50">
                <wp:simplePos x="0" y="0"/>
                <wp:positionH relativeFrom="column">
                  <wp:posOffset>3098800</wp:posOffset>
                </wp:positionH>
                <wp:positionV relativeFrom="paragraph">
                  <wp:posOffset>55245</wp:posOffset>
                </wp:positionV>
                <wp:extent cx="215900" cy="228600"/>
                <wp:effectExtent l="0" t="0" r="69850" b="57150"/>
                <wp:wrapNone/>
                <wp:docPr id="18" name="Straight Arrow Connector 18"/>
                <wp:cNvGraphicFramePr/>
                <a:graphic xmlns:a="http://schemas.openxmlformats.org/drawingml/2006/main">
                  <a:graphicData uri="http://schemas.microsoft.com/office/word/2010/wordprocessingShape">
                    <wps:wsp>
                      <wps:cNvCnPr/>
                      <wps:spPr>
                        <a:xfrm>
                          <a:off x="0" y="0"/>
                          <a:ext cx="215900"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DF796B" id="Straight Arrow Connector 18" o:spid="_x0000_s1026" type="#_x0000_t32" style="position:absolute;margin-left:244pt;margin-top:4.35pt;width:17pt;height:18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" strokecolor="#4579b8 [3044]">
                <v:stroke endarrow="block"/>
              </v:shape>
            </w:pict>
          </mc:Fallback>
        </mc:AlternateContent>
      </w:r>
    </w:p>
    <w:p w14:paraId="7E3FE01D" w14:textId="77777777" w:rsidR="007101BB" w:rsidRDefault="007101BB" w:rsidP="002E2177">
      <w:pPr>
        <w:ind w:left="432" w:hanging="432"/>
        <w:rPr>
          <w:b/>
          <w:color w:val="0000FF"/>
        </w:rPr>
      </w:pPr>
    </w:p>
    <w:p w14:paraId="321B46D2" w14:textId="77777777" w:rsidR="007101BB" w:rsidRDefault="007101BB" w:rsidP="002E2177">
      <w:pPr>
        <w:ind w:left="432" w:hanging="432"/>
        <w:rPr>
          <w:b/>
          <w:color w:val="0000FF"/>
        </w:rPr>
      </w:pPr>
    </w:p>
    <w:p w14:paraId="58E774A8" w14:textId="77777777" w:rsidR="007101BB" w:rsidRDefault="007101BB" w:rsidP="002E2177">
      <w:pPr>
        <w:ind w:left="432" w:hanging="432"/>
        <w:rPr>
          <w:b/>
          <w:color w:val="0000FF"/>
        </w:rPr>
      </w:pPr>
    </w:p>
    <w:p w14:paraId="668822A7" w14:textId="77777777" w:rsidR="004A70A5" w:rsidRDefault="004A70A5" w:rsidP="002E2177">
      <w:pPr>
        <w:ind w:left="432" w:hanging="432"/>
        <w:rPr>
          <w:b/>
          <w:color w:val="0000FF"/>
        </w:rPr>
      </w:pPr>
    </w:p>
    <w:p w14:paraId="0FA63C89" w14:textId="77777777" w:rsidR="004A70A5" w:rsidRDefault="004A70A5" w:rsidP="002E2177">
      <w:pPr>
        <w:ind w:left="432" w:hanging="432"/>
        <w:rPr>
          <w:b/>
          <w:color w:val="0000FF"/>
        </w:rPr>
      </w:pPr>
    </w:p>
    <w:p w14:paraId="776CFB67" w14:textId="77777777" w:rsidR="004A70A5" w:rsidRDefault="004A70A5" w:rsidP="002E2177">
      <w:pPr>
        <w:ind w:left="432" w:hanging="432"/>
        <w:rPr>
          <w:b/>
          <w:color w:val="0000FF"/>
        </w:rPr>
      </w:pPr>
    </w:p>
    <w:p w14:paraId="2AF5A1FE" w14:textId="77777777" w:rsidR="004A70A5" w:rsidRDefault="004A70A5" w:rsidP="002E2177">
      <w:pPr>
        <w:ind w:left="432" w:hanging="432"/>
        <w:rPr>
          <w:b/>
          <w:color w:val="0000FF"/>
        </w:rPr>
      </w:pPr>
    </w:p>
    <w:p w14:paraId="33C7741B" w14:textId="49B7CE61"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6" w:name="Section1a8"/>
      <w:bookmarkEnd w:id="6"/>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1944A1A2" w14:textId="77777777" w:rsidR="004A70A5" w:rsidRDefault="000E5C93" w:rsidP="002E2177">
      <w:pPr>
        <w:ind w:left="0" w:firstLine="0"/>
        <w:rPr>
          <w:b/>
        </w:rPr>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p>
    <w:p w14:paraId="3EC8141C" w14:textId="77777777" w:rsidR="00D00606" w:rsidRPr="001B5842" w:rsidRDefault="00D00606" w:rsidP="00D00606">
      <w:pPr>
        <w:rPr>
          <w:rFonts w:cstheme="minorHAnsi"/>
          <w:b/>
          <w:sz w:val="24"/>
          <w:szCs w:val="24"/>
        </w:rPr>
      </w:pPr>
      <w:r w:rsidRPr="001B5842">
        <w:rPr>
          <w:rFonts w:cstheme="minorHAnsi"/>
          <w:b/>
          <w:color w:val="0000FF"/>
          <w:sz w:val="24"/>
          <w:szCs w:val="24"/>
        </w:rPr>
        <w:t>1a.4.1</w:t>
      </w:r>
      <w:r w:rsidRPr="001B5842">
        <w:rPr>
          <w:rFonts w:cstheme="minorHAnsi"/>
          <w:color w:val="0070C0"/>
          <w:sz w:val="24"/>
          <w:szCs w:val="24"/>
        </w:rPr>
        <w:t xml:space="preserve"> </w:t>
      </w:r>
      <w:proofErr w:type="gramStart"/>
      <w:r w:rsidRPr="001B5842">
        <w:rPr>
          <w:rFonts w:cstheme="minorHAnsi"/>
          <w:b/>
          <w:sz w:val="24"/>
          <w:szCs w:val="24"/>
        </w:rPr>
        <w:t>Briefly</w:t>
      </w:r>
      <w:proofErr w:type="gramEnd"/>
      <w:r w:rsidRPr="001B5842">
        <w:rPr>
          <w:rFonts w:cstheme="minorHAnsi"/>
          <w:b/>
          <w:sz w:val="24"/>
          <w:szCs w:val="24"/>
        </w:rPr>
        <w:t xml:space="preserve"> SYNTHESIZE the evidence that supports the measure. </w:t>
      </w:r>
    </w:p>
    <w:p w14:paraId="1CB84D51" w14:textId="77777777" w:rsidR="00D00606" w:rsidRPr="001B5842" w:rsidRDefault="00D00606" w:rsidP="00D00606">
      <w:pPr>
        <w:rPr>
          <w:rFonts w:cstheme="minorHAnsi"/>
          <w:sz w:val="24"/>
          <w:szCs w:val="24"/>
        </w:rPr>
      </w:pPr>
      <w:r w:rsidRPr="001B5842">
        <w:rPr>
          <w:rFonts w:cstheme="minorHAnsi"/>
          <w:sz w:val="24"/>
          <w:szCs w:val="24"/>
        </w:rPr>
        <w:t xml:space="preserve">Background of the Measure: In 2003, an expert panel convened by the University of Minnesota Rural Health Research Center and </w:t>
      </w:r>
      <w:proofErr w:type="spellStart"/>
      <w:r w:rsidRPr="001B5842">
        <w:rPr>
          <w:rFonts w:cstheme="minorHAnsi"/>
          <w:sz w:val="24"/>
          <w:szCs w:val="24"/>
        </w:rPr>
        <w:t>Stratis</w:t>
      </w:r>
      <w:proofErr w:type="spellEnd"/>
      <w:r w:rsidRPr="001B5842">
        <w:rPr>
          <w:rFonts w:cstheme="minorHAnsi"/>
          <w:sz w:val="24"/>
          <w:szCs w:val="24"/>
        </w:rPr>
        <w:t xml:space="preserve"> Health identified ED care as an important quality assessment measurement category for rural hospitals. While emergency care is important in all hospitals, it is particularly critical in rural hospitals where the size of the hospital and geographic realities make organizing triage, stabilization, and transfer of patients more important. </w:t>
      </w:r>
    </w:p>
    <w:p w14:paraId="657AD96A" w14:textId="77777777" w:rsidR="00D00606" w:rsidRPr="001B5842" w:rsidRDefault="00D00606" w:rsidP="00D00606">
      <w:pPr>
        <w:rPr>
          <w:rFonts w:cstheme="minorHAnsi"/>
          <w:sz w:val="24"/>
          <w:szCs w:val="24"/>
        </w:rPr>
      </w:pPr>
    </w:p>
    <w:p w14:paraId="34F3B22B" w14:textId="77777777" w:rsidR="00D00606" w:rsidRPr="001B5842" w:rsidRDefault="00D00606" w:rsidP="00D00606">
      <w:pPr>
        <w:rPr>
          <w:rFonts w:cstheme="minorHAnsi"/>
          <w:sz w:val="24"/>
          <w:szCs w:val="24"/>
        </w:rPr>
      </w:pPr>
      <w:r w:rsidRPr="001B5842">
        <w:rPr>
          <w:rFonts w:cstheme="minorHAnsi"/>
          <w:sz w:val="24"/>
          <w:szCs w:val="24"/>
        </w:rPr>
        <w:t xml:space="preserve">In 2018, as part of the Rural Quality Improvement Technical Assistance (RQITA) program, </w:t>
      </w:r>
      <w:proofErr w:type="spellStart"/>
      <w:r w:rsidRPr="001B5842">
        <w:rPr>
          <w:rFonts w:cstheme="minorHAnsi"/>
          <w:sz w:val="24"/>
          <w:szCs w:val="24"/>
        </w:rPr>
        <w:t>Stratis</w:t>
      </w:r>
      <w:proofErr w:type="spellEnd"/>
      <w:r w:rsidRPr="001B5842">
        <w:rPr>
          <w:rFonts w:cstheme="minorHAnsi"/>
          <w:sz w:val="24"/>
          <w:szCs w:val="24"/>
        </w:rPr>
        <w:t xml:space="preserve"> Health, in partnership with the University </w:t>
      </w:r>
      <w:proofErr w:type="gramStart"/>
      <w:r w:rsidRPr="001B5842">
        <w:rPr>
          <w:rFonts w:cstheme="minorHAnsi"/>
          <w:sz w:val="24"/>
          <w:szCs w:val="24"/>
        </w:rPr>
        <w:t>of</w:t>
      </w:r>
      <w:proofErr w:type="gramEnd"/>
      <w:r w:rsidRPr="001B5842">
        <w:rPr>
          <w:rFonts w:cstheme="minorHAnsi"/>
          <w:sz w:val="24"/>
          <w:szCs w:val="24"/>
        </w:rPr>
        <w:t xml:space="preserve"> Minnesota Rural Health Research Center, convened a Technical Expert Panel (TEP) to review, revise, and update the EDTC measures and the related specifications manual. The Panel members represented national experts in hospital ED physicians and nurses, quality measurement, electronic health records, and data analytics. The TEP met three times via conference call to review the measure specifications and discussion was framed around three primary issues and challenges including </w:t>
      </w:r>
      <w:r w:rsidRPr="001B5842">
        <w:rPr>
          <w:rFonts w:eastAsia="Arial" w:cstheme="minorHAnsi"/>
          <w:bCs/>
          <w:sz w:val="24"/>
          <w:szCs w:val="24"/>
        </w:rPr>
        <w:t>EDTC in a "wired" world</w:t>
      </w:r>
      <w:r w:rsidRPr="001B5842">
        <w:rPr>
          <w:rFonts w:cstheme="minorHAnsi"/>
          <w:sz w:val="24"/>
          <w:szCs w:val="24"/>
        </w:rPr>
        <w:t xml:space="preserve">, appropriate </w:t>
      </w:r>
      <w:r w:rsidRPr="001B5842">
        <w:rPr>
          <w:rFonts w:eastAsia="Arial" w:cstheme="minorHAnsi"/>
          <w:bCs/>
          <w:sz w:val="24"/>
          <w:szCs w:val="24"/>
        </w:rPr>
        <w:t>population for transfers</w:t>
      </w:r>
      <w:r w:rsidRPr="001B5842">
        <w:rPr>
          <w:rFonts w:cstheme="minorHAnsi"/>
          <w:sz w:val="24"/>
          <w:szCs w:val="24"/>
        </w:rPr>
        <w:t>, and c</w:t>
      </w:r>
      <w:r w:rsidRPr="001B5842">
        <w:rPr>
          <w:rFonts w:eastAsia="Arial" w:cstheme="minorHAnsi"/>
          <w:bCs/>
          <w:sz w:val="24"/>
          <w:szCs w:val="24"/>
        </w:rPr>
        <w:t>linical relevance of specific data elements. The TEP recommended significant changes to help streamline and modernize the measure including reducing the total number of data elements from 27 to 8, updating the definition of ‘sent’ to better address communication via EHR or HIE, and clarifying specific definitions of individual data elements.</w:t>
      </w:r>
    </w:p>
    <w:p w14:paraId="0406DC5D" w14:textId="77777777" w:rsidR="00D00606" w:rsidRPr="001B5842" w:rsidRDefault="00D00606" w:rsidP="00D00606">
      <w:pPr>
        <w:rPr>
          <w:rFonts w:cstheme="minorHAnsi"/>
          <w:sz w:val="24"/>
          <w:szCs w:val="24"/>
        </w:rPr>
      </w:pPr>
    </w:p>
    <w:p w14:paraId="16408CDE" w14:textId="77777777" w:rsidR="00D00606" w:rsidRPr="001B5842" w:rsidRDefault="00D00606" w:rsidP="00D00606">
      <w:pPr>
        <w:rPr>
          <w:rFonts w:cstheme="minorHAnsi"/>
          <w:sz w:val="24"/>
          <w:szCs w:val="24"/>
        </w:rPr>
      </w:pPr>
      <w:r w:rsidRPr="001B5842">
        <w:rPr>
          <w:rFonts w:cstheme="minorHAnsi"/>
          <w:sz w:val="24"/>
          <w:szCs w:val="24"/>
        </w:rPr>
        <w:t xml:space="preserve">Communication between providers promotes continuity of care and may lead to improved patient outcomes. These measures were piloted by rural hospitals in Hawaii, Iowa, Maine, Minnesota, Missouri, Nebraska, Nevada, New York, Ohio, Oklahoma, Pennsylvania, Utah, Washington, West Virginia, Wisconsin, and Wyoming; projects took place from October 2005 through July 2014. Results of the pilot projects indicated room for improvement in ED care and transfer communication. Aggregate project results are available at http://www.flexmonitoring.org/wp-content/uploads/2014/02/ds8.pdf and http://flexmonitoring.org/documents/FlexDataSummaryReport3.pdf. </w:t>
      </w:r>
    </w:p>
    <w:p w14:paraId="4568D326" w14:textId="77777777" w:rsidR="00D00606" w:rsidRPr="001B5842" w:rsidRDefault="00D00606" w:rsidP="00D00606">
      <w:pPr>
        <w:rPr>
          <w:rFonts w:cstheme="minorHAnsi"/>
          <w:sz w:val="24"/>
          <w:szCs w:val="24"/>
        </w:rPr>
      </w:pPr>
    </w:p>
    <w:p w14:paraId="617942FA" w14:textId="77777777" w:rsidR="00D00606" w:rsidRPr="001B5842" w:rsidRDefault="00D00606" w:rsidP="00D00606">
      <w:pPr>
        <w:rPr>
          <w:rFonts w:cstheme="minorHAnsi"/>
          <w:sz w:val="24"/>
          <w:szCs w:val="24"/>
        </w:rPr>
      </w:pPr>
      <w:r w:rsidRPr="001B5842">
        <w:rPr>
          <w:rFonts w:cstheme="minorHAnsi"/>
          <w:sz w:val="24"/>
          <w:szCs w:val="24"/>
        </w:rPr>
        <w:t>This measure is being implemented by critical access hospitals (CAHs) in the Medicare Beneficiary Quality Improvement Project (MBQIP) because small rural hospitals frequently transfer a higher proportion of emergency department (ED) patients than larger urban facilities. It is an important goal of MBQIP to help hospitals improve care transitions, including ED transfers, in order to reduce preventable hospital readmissions and adverse events in hospitals. Currently, 86% of the 1,318 CAHs participating in MBQIP are reporting EDTC-All.</w:t>
      </w:r>
    </w:p>
    <w:p w14:paraId="040B596D" w14:textId="77777777" w:rsidR="00D00606" w:rsidRPr="001B5842" w:rsidRDefault="00D00606" w:rsidP="00D00606">
      <w:pPr>
        <w:rPr>
          <w:rFonts w:cstheme="minorHAnsi"/>
          <w:sz w:val="24"/>
          <w:szCs w:val="24"/>
        </w:rPr>
      </w:pPr>
    </w:p>
    <w:p w14:paraId="42724D97" w14:textId="77777777" w:rsidR="00D00606" w:rsidRPr="001B5842" w:rsidRDefault="00D00606" w:rsidP="00D00606">
      <w:pPr>
        <w:rPr>
          <w:rFonts w:cstheme="minorHAnsi"/>
          <w:sz w:val="24"/>
          <w:szCs w:val="24"/>
        </w:rPr>
      </w:pPr>
      <w:r w:rsidRPr="001B5842">
        <w:rPr>
          <w:rFonts w:cstheme="minorHAnsi"/>
          <w:sz w:val="24"/>
          <w:szCs w:val="24"/>
        </w:rPr>
        <w:t xml:space="preserve">In 2014, over 100 CAHs across eight states participated in a one-year special innovation project through the Centers for Medicare and Medicaid Services (CMS) led by </w:t>
      </w:r>
      <w:proofErr w:type="spellStart"/>
      <w:r w:rsidRPr="001B5842">
        <w:rPr>
          <w:rFonts w:cstheme="minorHAnsi"/>
          <w:sz w:val="24"/>
          <w:szCs w:val="24"/>
        </w:rPr>
        <w:t>Stratis</w:t>
      </w:r>
      <w:proofErr w:type="spellEnd"/>
      <w:r w:rsidRPr="001B5842">
        <w:rPr>
          <w:rFonts w:cstheme="minorHAnsi"/>
          <w:sz w:val="24"/>
          <w:szCs w:val="24"/>
        </w:rPr>
        <w:t xml:space="preserve"> Health. A case study discussing implementation of EDTC in Minnesota was also done by the Flex Monitoring Team (FMT), a Federal Office of Rural Health Policy (FORHP) funded consortium of research centers, in 2014. EDTC became a required MBQIP measure in 2015, and reporting rates among CAHs nationwide have risen dramatically since that time. Every EDTC sub-measure and the composite EDTC-All measure has consistently improved between Q1 2015 and Q3 2016. Most markedly, EDTC-All has risen from 51.8% to 74.3% (a 22.5 percentage point increase). Reporting rates and measure scores have improved. </w:t>
      </w:r>
    </w:p>
    <w:p w14:paraId="36176D07" w14:textId="77777777" w:rsidR="00D00606" w:rsidRPr="001B5842" w:rsidRDefault="00D00606" w:rsidP="00D00606">
      <w:pPr>
        <w:rPr>
          <w:rFonts w:cstheme="minorHAnsi"/>
          <w:sz w:val="24"/>
          <w:szCs w:val="24"/>
        </w:rPr>
      </w:pPr>
    </w:p>
    <w:p w14:paraId="3BBE70D9" w14:textId="77777777" w:rsidR="00D00606" w:rsidRPr="001B5842" w:rsidRDefault="00D00606" w:rsidP="00D00606">
      <w:pPr>
        <w:rPr>
          <w:rFonts w:cstheme="minorHAnsi"/>
          <w:sz w:val="24"/>
          <w:szCs w:val="24"/>
        </w:rPr>
      </w:pPr>
      <w:r w:rsidRPr="001B5842">
        <w:rPr>
          <w:rFonts w:cstheme="minorHAnsi"/>
          <w:sz w:val="24"/>
          <w:szCs w:val="24"/>
        </w:rPr>
        <w:t xml:space="preserve">Communication problems are a major contributing factor to adverse events in hospitals, accounting for 65% of sentinel events tracked by The Joint Commission. In addition, research indicates that deficits exist in the transfer of patient information between hospitals and primary care physicians in the community, and between hospitals and long-term facilities. Transferred patients are excluded from the calculation of most national quality measures, such as those used in Hospital Compare. The Hospital Compare Web site was created to display rates of Process of Care measures using data that are voluntarily submitted by hospitals. </w:t>
      </w:r>
    </w:p>
    <w:p w14:paraId="13FBFD5E" w14:textId="77777777" w:rsidR="00D00606" w:rsidRPr="001B5842" w:rsidRDefault="00D00606" w:rsidP="00D00606">
      <w:pPr>
        <w:rPr>
          <w:rFonts w:cstheme="minorHAnsi"/>
          <w:sz w:val="24"/>
          <w:szCs w:val="24"/>
        </w:rPr>
      </w:pPr>
    </w:p>
    <w:p w14:paraId="4533AC08" w14:textId="77777777" w:rsidR="00D00606" w:rsidRPr="001B5842" w:rsidRDefault="00D00606" w:rsidP="00D00606">
      <w:pPr>
        <w:rPr>
          <w:rFonts w:cstheme="minorHAnsi"/>
          <w:sz w:val="24"/>
          <w:szCs w:val="24"/>
        </w:rPr>
      </w:pPr>
      <w:r w:rsidRPr="001B5842">
        <w:rPr>
          <w:rFonts w:cstheme="minorHAnsi"/>
          <w:sz w:val="24"/>
          <w:szCs w:val="24"/>
        </w:rPr>
        <w:t xml:space="preserve">The Joint Commission has adopted National Patient Safety Goal 2, "Improve the Effectiveness of Communication </w:t>
      </w:r>
      <w:proofErr w:type="gramStart"/>
      <w:r w:rsidRPr="001B5842">
        <w:rPr>
          <w:rFonts w:cstheme="minorHAnsi"/>
          <w:sz w:val="24"/>
          <w:szCs w:val="24"/>
        </w:rPr>
        <w:t>Among</w:t>
      </w:r>
      <w:proofErr w:type="gramEnd"/>
      <w:r w:rsidRPr="001B5842">
        <w:rPr>
          <w:rFonts w:cstheme="minorHAnsi"/>
          <w:sz w:val="24"/>
          <w:szCs w:val="24"/>
        </w:rPr>
        <w:t xml:space="preserve"> Caregivers." This goal required all accredited hospitals to implement a standardized approach to hand- off communications, including nursing and physician handoffs from the emergency department (ED) to inpatient units, other hospitals, and other types of health care facilities. The process must include a method of communicating up-to-date information regarding the patient's care, treatment, and services; condition; and any recent or anticipated changes. (Note: The National Patient Safety Goals are reviewed and modified periodically. In 2013 a communication goal focuses on the communication of test results.) http://www.jointcommission.org/assets/1/6/HAP_NPSG_Chapter_2014.pdf Limited attention has been paid to the development and implementation of quality measures specifically focused on patient transfers between EDs and other health care facilities. Examples are patients transferred between an ED and a skilled nursing facility with their often vulnerable and fragile populations. These measures are important for all health care facilities, but especially so for small rural hospitals that transfer a higher proportion of ED patients. </w:t>
      </w:r>
    </w:p>
    <w:p w14:paraId="6A5B812D" w14:textId="77777777" w:rsidR="00D00606" w:rsidRPr="001B5842" w:rsidRDefault="00D00606" w:rsidP="00D00606">
      <w:pPr>
        <w:rPr>
          <w:rFonts w:cstheme="minorHAnsi"/>
          <w:sz w:val="24"/>
          <w:szCs w:val="24"/>
        </w:rPr>
      </w:pPr>
    </w:p>
    <w:p w14:paraId="5377861F" w14:textId="77777777" w:rsidR="00D00606" w:rsidRPr="001B5842" w:rsidRDefault="00D00606" w:rsidP="00D00606">
      <w:pPr>
        <w:rPr>
          <w:rFonts w:cstheme="minorHAnsi"/>
          <w:sz w:val="24"/>
          <w:szCs w:val="24"/>
        </w:rPr>
      </w:pPr>
      <w:r w:rsidRPr="001B5842">
        <w:rPr>
          <w:rFonts w:cstheme="minorHAnsi"/>
          <w:sz w:val="24"/>
          <w:szCs w:val="24"/>
        </w:rPr>
        <w:t xml:space="preserve">While many aspects of hospital quality are similar for urban and rural hospitals (e.g., providing heart attack patients with aspirin), the urban/rural contextual differences result in differences in emphasis on quality measurement. Because of its role in linking residents to urban referral centers, important aspects of rural hospital quality include triage-and-transfer decision making about when to provide a particular type of care, transporting patients, and coordinating information flow to specialists beyond the community. Because of their size, rural hospitals are less likely to be able to provide more specialized services, such as cardiac catheterization or trauma surgery. Rural residents often need to travel greater distances than urban residents to get to a hospital initially. In addition, their initial point of contact is less likely to have specialized services and staff found in tertiary care centers, so they are also more likely to be transferred. These size and geographic realities increase the importance of organizing triage, stabilization, and transfer in rural hospitals which, in turn, suggest that measurement of these processes is an important issue for rural hospitals. </w:t>
      </w:r>
    </w:p>
    <w:p w14:paraId="2B6126E2" w14:textId="77777777" w:rsidR="00D00606" w:rsidRPr="001B5842" w:rsidRDefault="00D00606" w:rsidP="00D00606">
      <w:pPr>
        <w:rPr>
          <w:rFonts w:cstheme="minorHAnsi"/>
          <w:sz w:val="24"/>
          <w:szCs w:val="24"/>
        </w:rPr>
      </w:pPr>
    </w:p>
    <w:p w14:paraId="491D7ADA" w14:textId="77777777" w:rsidR="00D00606" w:rsidRPr="001B5842" w:rsidRDefault="00D00606" w:rsidP="00D00606">
      <w:pPr>
        <w:rPr>
          <w:rFonts w:cstheme="minorHAnsi"/>
          <w:sz w:val="24"/>
          <w:szCs w:val="24"/>
        </w:rPr>
      </w:pPr>
      <w:r w:rsidRPr="001B5842">
        <w:rPr>
          <w:rFonts w:cstheme="minorHAnsi"/>
          <w:sz w:val="24"/>
          <w:szCs w:val="24"/>
        </w:rPr>
        <w:t xml:space="preserve">The ED Transfer Communication measure aims to provide a means of assessing how well key patient information is communicated from an ED to any healthcare facility. They are applicable to patients with a wide range of medical conditions (e.g., acute myocardial infarction, heart failure, pneumonia, respiratory compromise and trauma) and are relevant for both internal quality improvement purposes and external reporting to consumers and purchasers. The results of the field tests suggest that significant opportunity </w:t>
      </w:r>
    </w:p>
    <w:p w14:paraId="0AFED35E" w14:textId="77777777" w:rsidR="00D00606" w:rsidRPr="0096090F" w:rsidRDefault="00D00606" w:rsidP="00D00606">
      <w:pPr>
        <w:rPr>
          <w:rFonts w:cstheme="minorHAnsi"/>
          <w:b/>
          <w:color w:val="C00000"/>
          <w:sz w:val="24"/>
          <w:szCs w:val="24"/>
        </w:rPr>
      </w:pPr>
      <w:r w:rsidRPr="0096090F">
        <w:rPr>
          <w:rFonts w:cstheme="minorHAnsi"/>
          <w:b/>
          <w:color w:val="C00000"/>
          <w:sz w:val="24"/>
          <w:szCs w:val="24"/>
        </w:rPr>
        <w:t>2019 additions to background</w:t>
      </w:r>
      <w:r>
        <w:rPr>
          <w:rFonts w:cstheme="minorHAnsi"/>
          <w:b/>
          <w:color w:val="C00000"/>
          <w:sz w:val="24"/>
          <w:szCs w:val="24"/>
        </w:rPr>
        <w:t xml:space="preserve"> literature support</w:t>
      </w:r>
    </w:p>
    <w:p w14:paraId="6CFF6C47" w14:textId="77777777" w:rsidR="00D00606" w:rsidRDefault="00D00606" w:rsidP="00D00606">
      <w:pPr>
        <w:rPr>
          <w:rFonts w:cstheme="minorHAnsi"/>
          <w:color w:val="C00000"/>
          <w:sz w:val="24"/>
          <w:szCs w:val="24"/>
        </w:rPr>
      </w:pPr>
      <w:r w:rsidRPr="00BF10AA">
        <w:rPr>
          <w:rFonts w:cstheme="minorHAnsi"/>
          <w:color w:val="C00000"/>
          <w:sz w:val="24"/>
          <w:szCs w:val="24"/>
        </w:rPr>
        <w:t xml:space="preserve">There is widespread agreement that patients receiving care from multiple providers across the care spectrum are at risk for poor quality care, adverse events, higher expenditures and incomplete medication management. There are no randomized control studies that directly examine the impact of structured communication between Critical Access Hospitals (CAHs) that transfer patients to facilities for other acute and non-acute care. </w:t>
      </w:r>
      <w:r>
        <w:rPr>
          <w:rFonts w:cstheme="minorHAnsi"/>
          <w:color w:val="C00000"/>
          <w:sz w:val="24"/>
          <w:szCs w:val="24"/>
        </w:rPr>
        <w:t>Studies demonstrate th</w:t>
      </w:r>
      <w:r w:rsidRPr="00BF10AA">
        <w:rPr>
          <w:rFonts w:cstheme="minorHAnsi"/>
          <w:color w:val="C00000"/>
          <w:sz w:val="24"/>
          <w:szCs w:val="24"/>
        </w:rPr>
        <w:t xml:space="preserve">at transfer patients experience higher cost of care and poorer outcomes </w:t>
      </w:r>
    </w:p>
    <w:p w14:paraId="1DE9C34D" w14:textId="77777777" w:rsidR="00D00606" w:rsidRDefault="00D00606" w:rsidP="00D00606">
      <w:pPr>
        <w:rPr>
          <w:rFonts w:cstheme="minorHAnsi"/>
          <w:color w:val="C00000"/>
          <w:sz w:val="24"/>
          <w:szCs w:val="24"/>
        </w:rPr>
      </w:pPr>
    </w:p>
    <w:p w14:paraId="2BF61CD8" w14:textId="77777777" w:rsidR="00D00606" w:rsidRPr="00BF10AA" w:rsidRDefault="00D00606" w:rsidP="00D00606">
      <w:pPr>
        <w:rPr>
          <w:rFonts w:cstheme="minorHAnsi"/>
          <w:color w:val="C00000"/>
          <w:sz w:val="24"/>
          <w:szCs w:val="24"/>
        </w:rPr>
      </w:pPr>
      <w:r w:rsidRPr="00BF10AA">
        <w:rPr>
          <w:rFonts w:cstheme="minorHAnsi"/>
          <w:color w:val="C00000"/>
          <w:sz w:val="24"/>
          <w:szCs w:val="24"/>
        </w:rPr>
        <w:t xml:space="preserve">“Patient transfers between hospitals are becoming more common in the United States. Disease-specific studies have reported varying outcomes associated with transfer status. However, even as national quality improvement efforts and regulations are being actively adopted, forcing hospitals to become financially accountable for the quality of care provided, surprisingly little is known about transfer patients or their outcomes at a population level.” </w:t>
      </w:r>
      <w:r w:rsidRPr="00BF10AA">
        <w:rPr>
          <w:rFonts w:cstheme="minorHAnsi"/>
          <w:color w:val="C00000"/>
          <w:sz w:val="24"/>
          <w:szCs w:val="24"/>
        </w:rPr>
        <w:fldChar w:fldCharType="begin"/>
      </w:r>
      <w:r w:rsidRPr="00BF10AA">
        <w:rPr>
          <w:rFonts w:cstheme="minorHAnsi"/>
          <w:color w:val="C00000"/>
          <w:sz w:val="24"/>
          <w:szCs w:val="24"/>
        </w:rPr>
        <w:instrText xml:space="preserve"> ADDIN ZOTERO_ITEM CSL_CITATION {"citationID":"5kCnriZT","properties":{"formattedCitation":"(Hernandez-Boussard et al., 2017)","plainCitation":"(Hernandez-Boussard et al., 2017)","noteIndex":0},"citationItems":[{"id":15,"uris":["http://zotero.org/users/6268388/items/UEJUUK54"],"uri":["http://zotero.org/users/6268388/items/UEJUUK54"],"itemData":{"id":15,"type":"article-journal","abstract":"OBJECTIVES: Patient transfers between hospitals are becoming more common in the United States. Disease-specific studies have reported varying outcomes associated with transfer status. However, even as national quality improvement efforts and regulations are being actively adopted, forcing hospitals to become financially accountable for the quality of care provided, surprisingly little is known about transfer patients or their outcomes at a population level. This population-wide study provides timely analyses of the characteristics of this particularly vulnerable and sizable inpatient population. We identified and compared characteristics and outcomes of transfer and nontransfer patients.\nMETHODS: With the use of the 2009 Nationwide Inpatient Sample, a nationally representative sample of U.S. hospitalizations, we examined patient characteristics, in-hospital adverse events, and discharge disposition for transfer versus nontransfer patients in this observational study.\nRESULTS: We identified 1,397,712 transfer patients and 31,692,211 nontransfer patients. Age, sex, race, and payer were significantly associated with odds of transfer (P &lt; 0.05). Transfer patients had higher risk-adjusted inpatient mortality (4.6 versus 2.1, P &lt; 0.01), longer length of stay (13.3 versus 4.5, P &lt; 0.01), and fewer routine disposition discharges (53.6 versus 68.7, P &lt; 0.01). In-hospital adverse events were significantly higher in transfer patients compared with nontransfer patients (P &lt; 0.05).\nCONCLUSIONS: Our results suggest that transfer patients have inferior outcomes compared with nontransfer patients. Although they are clinically complex patients and assessing accountability as between the transferring and receiving hospitals is methodologically difficult, transfer patients must nonetheless be included in quality benchmark data to assess the potential impact this population has on hospital outcome profiles. With hospital accountability and value-based payments constituting an integral part of health care reform, documenting the quality of care delivered to transfer patients is essential before accurate quality assessment improvement efforts can begin in this patient population.","container-title":"Journal of Patient Safety","DOI":"10.1097/PTS.0000000000000148","ISSN":"1549-8425","issue":"4","journalAbbreviation":"J Patient Saf","language":"eng","note":"PMID: 25397857\nPMCID: PMC4956577","page":"187-191","source":"PubMed","title":"Interhospital Facility Transfers in the United States: A Nationwide Outcomes Study","title-short":"Interhospital Facility Transfers in the United States","volume":"13","author":[{"family":"Hernandez-Boussard","given":"Tina"},{"family":"Davies","given":"Sheryl"},{"family":"McDonald","given":"Kathryn"},{"family":"Wang","given":"N. Ewen"}],"issued":{"date-parts":[["2017"]]}}}],"schema":"https://github.com/citation-style-language/schema/raw/master/csl-citation.json"} </w:instrText>
      </w:r>
      <w:r w:rsidRPr="00BF10AA">
        <w:rPr>
          <w:rFonts w:cstheme="minorHAnsi"/>
          <w:color w:val="C00000"/>
          <w:sz w:val="24"/>
          <w:szCs w:val="24"/>
        </w:rPr>
        <w:fldChar w:fldCharType="separate"/>
      </w:r>
      <w:r w:rsidRPr="00BF10AA">
        <w:rPr>
          <w:rFonts w:ascii="Calibri" w:hAnsi="Calibri" w:cs="Calibri"/>
          <w:sz w:val="24"/>
        </w:rPr>
        <w:t>(Hernandez-</w:t>
      </w:r>
      <w:proofErr w:type="spellStart"/>
      <w:r w:rsidRPr="00BF10AA">
        <w:rPr>
          <w:rFonts w:ascii="Calibri" w:hAnsi="Calibri" w:cs="Calibri"/>
          <w:sz w:val="24"/>
        </w:rPr>
        <w:t>Boussard</w:t>
      </w:r>
      <w:proofErr w:type="spellEnd"/>
      <w:r w:rsidRPr="00BF10AA">
        <w:rPr>
          <w:rFonts w:ascii="Calibri" w:hAnsi="Calibri" w:cs="Calibri"/>
          <w:sz w:val="24"/>
        </w:rPr>
        <w:t xml:space="preserve"> et al., 2017)</w:t>
      </w:r>
      <w:r w:rsidRPr="00BF10AA">
        <w:rPr>
          <w:rFonts w:cstheme="minorHAnsi"/>
          <w:color w:val="C00000"/>
          <w:sz w:val="24"/>
          <w:szCs w:val="24"/>
        </w:rPr>
        <w:fldChar w:fldCharType="end"/>
      </w:r>
    </w:p>
    <w:p w14:paraId="1BBD42F8" w14:textId="77777777" w:rsidR="00D00606" w:rsidRDefault="00D00606" w:rsidP="00D00606">
      <w:pPr>
        <w:rPr>
          <w:rFonts w:cstheme="minorHAnsi"/>
          <w:color w:val="C00000"/>
          <w:sz w:val="24"/>
          <w:szCs w:val="24"/>
        </w:rPr>
      </w:pPr>
    </w:p>
    <w:p w14:paraId="46BED5EC" w14:textId="77777777" w:rsidR="00D00606" w:rsidRPr="00BF10AA" w:rsidRDefault="00D00606" w:rsidP="00D00606">
      <w:pPr>
        <w:rPr>
          <w:rFonts w:cstheme="minorHAnsi"/>
          <w:b/>
          <w:color w:val="C00000"/>
          <w:sz w:val="24"/>
          <w:szCs w:val="24"/>
        </w:rPr>
      </w:pPr>
      <w:r w:rsidRPr="00BF10AA">
        <w:rPr>
          <w:rFonts w:cstheme="minorHAnsi"/>
          <w:color w:val="C00000"/>
          <w:sz w:val="24"/>
          <w:szCs w:val="24"/>
        </w:rPr>
        <w:t>Communication, efficiency and appropriateness are key factors advanced as impacting the quality and safety of non-emergency transport services. The safety of transferred patients is sometimes compromised by poor standardization and failures in the communication process.</w:t>
      </w:r>
      <w:r w:rsidRPr="001B5842">
        <w:rPr>
          <w:rFonts w:cstheme="minorHAnsi"/>
          <w:b/>
          <w:color w:val="C00000"/>
          <w:sz w:val="24"/>
          <w:szCs w:val="24"/>
        </w:rPr>
        <w:t xml:space="preserve"> </w:t>
      </w:r>
      <w:r w:rsidRPr="00BF10AA">
        <w:rPr>
          <w:rFonts w:cstheme="minorHAnsi"/>
          <w:b/>
          <w:color w:val="C00000"/>
          <w:sz w:val="24"/>
          <w:szCs w:val="24"/>
        </w:rPr>
        <w:fldChar w:fldCharType="begin"/>
      </w:r>
      <w:r w:rsidRPr="00BF10AA">
        <w:rPr>
          <w:rFonts w:cstheme="minorHAnsi"/>
          <w:b/>
          <w:color w:val="C00000"/>
          <w:sz w:val="24"/>
          <w:szCs w:val="24"/>
        </w:rPr>
        <w:instrText xml:space="preserve"> ADDIN ZOTERO_ITEM CSL_CITATION {"citationID":"FAwJBlK0","properties":{"formattedCitation":"(Hains et al., 2011)","plainCitation":"(Hains et al., 2011)","noteIndex":0},"citationItems":[{"id":12,"uris":["http://zotero.org/users/6268388/items/7JJJFKFD"],"uri":["http://zotero.org/users/6268388/items/7JJJFKFD"],"itemData":{"id":12,"type":"article-journal","abstract":"PURPOSE: Patient transportation is an important component of health-care delivery; however, the quality and safety issues relating to non-emergency patient transport services have rarely been discussed compared with the transport of emergency patients. This systematic review examines the factors associated with the quality and safety of non-emergency transport services.\nDATA SOURCES: Medline, Pre-Medline, CINAHL and Embase databases were searched for publications between 1990 and September 2009.\nSTUDY SELECTION: Articles investigating non-emergency hospital transport services.\nDATA EXTRACTION: Study characteristic and outcome data were abstracted by one author and reviewed by a second and third author.\nRESULTS: Twelve articles from seven countries were included. Five studies examined issues relating to the structure of transport services, which focused on the use of policies and protocols to assist the transfer process. All studies addressed factors associated with the transfer process such as communication, appropriateness of personnel, time to arrange transfers, and the safety and efficiency of the process. Outcomes were measured in one study.\nCONCLUSIONS: Communication, efficiency and appropriateness are key factors that are advanced as impacting on the quality and safety of non-emergency transport services. Standardization of the non-emergency transport process shows promise in reducing risk and increasing efficiency. Applying information and communication technology to improve the quality of transport services has received little attention despite its potential benefits. Patient outcomes in relation to quality and safety of transport services are rarely measured. Available evidence suggests that safety of non-emergency patient transfers is sometimes compromised due to poor standardization and failures in communication processes.","container-title":"International Journal for Quality in Health Care: Journal of the International Society for Quality in Health Care","DOI":"10.1093/intqhc/mzq076","ISSN":"1464-3677","issue":"1","journalAbbreviation":"Int J Qual Health Care","language":"eng","note":"PMID: 21123188","page":"68-75","source":"PubMed","title":"Non-emergency patient transport: what are the quality and safety issues? A systematic review","title-short":"Non-emergency patient transport","volume":"23","author":[{"family":"Hains","given":"Isla M."},{"family":"Marks","given":"Anne"},{"family":"Georgiou","given":"Andrew"},{"family":"Westbrook","given":"Johanna I."}],"issued":{"date-parts":[["2011",2]]}}}],"schema":"https://github.com/citation-style-language/schema/raw/master/csl-citation.json"} </w:instrText>
      </w:r>
      <w:r w:rsidRPr="00BF10AA">
        <w:rPr>
          <w:rFonts w:cstheme="minorHAnsi"/>
          <w:b/>
          <w:color w:val="C00000"/>
          <w:sz w:val="24"/>
          <w:szCs w:val="24"/>
        </w:rPr>
        <w:fldChar w:fldCharType="separate"/>
      </w:r>
      <w:r w:rsidRPr="00BF10AA">
        <w:rPr>
          <w:rFonts w:cstheme="minorHAnsi"/>
          <w:color w:val="C00000"/>
          <w:sz w:val="24"/>
          <w:szCs w:val="24"/>
        </w:rPr>
        <w:t>(</w:t>
      </w:r>
      <w:proofErr w:type="spellStart"/>
      <w:r w:rsidRPr="00BF10AA">
        <w:rPr>
          <w:rFonts w:cstheme="minorHAnsi"/>
          <w:color w:val="C00000"/>
          <w:sz w:val="24"/>
          <w:szCs w:val="24"/>
        </w:rPr>
        <w:t>Hains</w:t>
      </w:r>
      <w:proofErr w:type="spellEnd"/>
      <w:r w:rsidRPr="00BF10AA">
        <w:rPr>
          <w:rFonts w:cstheme="minorHAnsi"/>
          <w:color w:val="C00000"/>
          <w:sz w:val="24"/>
          <w:szCs w:val="24"/>
        </w:rPr>
        <w:t xml:space="preserve"> et al., 2011)</w:t>
      </w:r>
      <w:r w:rsidRPr="00BF10AA">
        <w:rPr>
          <w:rFonts w:cstheme="minorHAnsi"/>
          <w:b/>
          <w:color w:val="C00000"/>
          <w:sz w:val="24"/>
          <w:szCs w:val="24"/>
        </w:rPr>
        <w:fldChar w:fldCharType="end"/>
      </w:r>
      <w:r w:rsidRPr="00BF10AA">
        <w:rPr>
          <w:rFonts w:cstheme="minorHAnsi"/>
          <w:b/>
          <w:color w:val="C00000"/>
          <w:sz w:val="24"/>
          <w:szCs w:val="24"/>
        </w:rPr>
        <w:t xml:space="preserve"> </w:t>
      </w:r>
      <w:r w:rsidRPr="00C17E23">
        <w:rPr>
          <w:rFonts w:eastAsia="Times New Roman" w:cstheme="minorHAnsi"/>
          <w:color w:val="C00000"/>
          <w:sz w:val="24"/>
          <w:szCs w:val="24"/>
        </w:rPr>
        <w:t>Patient care during inter-facility </w:t>
      </w:r>
      <w:r w:rsidRPr="001B5842">
        <w:rPr>
          <w:rFonts w:eastAsia="Times New Roman" w:cstheme="minorHAnsi"/>
          <w:color w:val="C00000"/>
          <w:sz w:val="24"/>
          <w:szCs w:val="24"/>
        </w:rPr>
        <w:t>transfer</w:t>
      </w:r>
      <w:r w:rsidRPr="00C17E23">
        <w:rPr>
          <w:rFonts w:eastAsia="Times New Roman" w:cstheme="minorHAnsi"/>
          <w:color w:val="C00000"/>
          <w:sz w:val="24"/>
          <w:szCs w:val="24"/>
        </w:rPr>
        <w:t> depends not only on the expertise provided by the receiving facility, but also on timely and accurate patient information received from the </w:t>
      </w:r>
      <w:r w:rsidRPr="001B5842">
        <w:rPr>
          <w:rFonts w:eastAsia="Times New Roman" w:cstheme="minorHAnsi"/>
          <w:color w:val="C00000"/>
          <w:sz w:val="24"/>
          <w:szCs w:val="24"/>
        </w:rPr>
        <w:t>transferring</w:t>
      </w:r>
      <w:r w:rsidRPr="00C17E23">
        <w:rPr>
          <w:rFonts w:eastAsia="Times New Roman" w:cstheme="minorHAnsi"/>
          <w:color w:val="C00000"/>
          <w:sz w:val="24"/>
          <w:szCs w:val="24"/>
        </w:rPr>
        <w:t> institution.</w:t>
      </w:r>
      <w:r w:rsidRPr="00BF10AA">
        <w:rPr>
          <w:rFonts w:eastAsia="Times New Roman" w:cstheme="minorHAnsi"/>
          <w:color w:val="C00000"/>
          <w:sz w:val="24"/>
          <w:szCs w:val="24"/>
        </w:rPr>
        <w:fldChar w:fldCharType="begin"/>
      </w:r>
      <w:r w:rsidRPr="00BF10AA">
        <w:rPr>
          <w:rFonts w:eastAsia="Times New Roman" w:cstheme="minorHAnsi"/>
          <w:color w:val="C00000"/>
          <w:sz w:val="24"/>
          <w:szCs w:val="24"/>
        </w:rPr>
        <w:instrText xml:space="preserve"> ADDIN ZOTERO_ITEM CSL_CITATION {"citationID":"pcg0ISr2","properties":{"formattedCitation":"(Szary et al., 2010)","plainCitation":"(Szary et al., 2010)","noteIndex":0},"citationItems":[{"id":1,"uris":["http://zotero.org/users/6268388/items/KQKVFIR7"],"uri":["http://zotero.org/users/6268388/items/KQKVFIR7"],"itemData":{"id":1,"type":"article-journal","abstract":"Patient care during inter-facility transfer depends not only on the expertise provided by the receiving facility, but also on timely and accurate patient information received from the transferring institution. Our prospective study quantified compliance with inter-facility transfer communication and revealed an opportunity for improvement. Introduction of a simple written template to enhance communication between providers improved the quality of transfer information.","container-title":"Missouri Medicine","ISSN":"0026-6620","issue":"2","journalAbbreviation":"Mo Med","language":"eng","note":"PMID: 20446521\nPMCID: PMC6188263","page":"127-130","source":"PubMed","title":"Transfer of care communication: improving communication during inter-facility patient transfer","title-short":"Transfer of care communication","volume":"107","author":[{"family":"Szary","given":"Nicholas M."},{"family":"Sarwal","given":"Aarti"},{"family":"Boshard","given":"Barbara J."},{"family":"Hall","given":"Leslie W."}],"issued":{"date-parts":[["2010",4]]}}}],"schema":"https://github.com/citation-style-language/schema/raw/master/csl-citation.json"} </w:instrText>
      </w:r>
      <w:r w:rsidRPr="00BF10AA">
        <w:rPr>
          <w:rFonts w:eastAsia="Times New Roman" w:cstheme="minorHAnsi"/>
          <w:color w:val="C00000"/>
          <w:sz w:val="24"/>
          <w:szCs w:val="24"/>
        </w:rPr>
        <w:fldChar w:fldCharType="separate"/>
      </w:r>
      <w:r w:rsidRPr="00BF10AA">
        <w:rPr>
          <w:rFonts w:ascii="Calibri" w:hAnsi="Calibri" w:cs="Calibri"/>
          <w:color w:val="C00000"/>
          <w:sz w:val="24"/>
        </w:rPr>
        <w:t>(</w:t>
      </w:r>
      <w:proofErr w:type="spellStart"/>
      <w:r w:rsidRPr="00BF10AA">
        <w:rPr>
          <w:rFonts w:ascii="Calibri" w:hAnsi="Calibri" w:cs="Calibri"/>
          <w:color w:val="C00000"/>
          <w:sz w:val="24"/>
        </w:rPr>
        <w:t>Szary</w:t>
      </w:r>
      <w:proofErr w:type="spellEnd"/>
      <w:r w:rsidRPr="00BF10AA">
        <w:rPr>
          <w:rFonts w:ascii="Calibri" w:hAnsi="Calibri" w:cs="Calibri"/>
          <w:color w:val="C00000"/>
          <w:sz w:val="24"/>
        </w:rPr>
        <w:t xml:space="preserve"> et al., 2010)</w:t>
      </w:r>
      <w:r w:rsidRPr="00BF10AA">
        <w:rPr>
          <w:rFonts w:eastAsia="Times New Roman" w:cstheme="minorHAnsi"/>
          <w:color w:val="C00000"/>
          <w:sz w:val="24"/>
          <w:szCs w:val="24"/>
        </w:rPr>
        <w:fldChar w:fldCharType="end"/>
      </w:r>
    </w:p>
    <w:p w14:paraId="2221908F" w14:textId="77777777" w:rsidR="00D00606" w:rsidRPr="00BF10AA" w:rsidRDefault="00D00606" w:rsidP="00D00606">
      <w:pPr>
        <w:rPr>
          <w:rFonts w:cstheme="minorHAnsi"/>
          <w:color w:val="C00000"/>
          <w:sz w:val="24"/>
          <w:szCs w:val="24"/>
        </w:rPr>
      </w:pPr>
    </w:p>
    <w:p w14:paraId="7CB37EE9" w14:textId="77777777" w:rsidR="00D00606" w:rsidRDefault="00D00606" w:rsidP="00D00606">
      <w:pPr>
        <w:rPr>
          <w:rFonts w:cstheme="minorHAnsi"/>
          <w:color w:val="C00000"/>
          <w:sz w:val="24"/>
          <w:szCs w:val="24"/>
        </w:rPr>
      </w:pPr>
      <w:r w:rsidRPr="00BF10AA">
        <w:rPr>
          <w:rFonts w:cstheme="minorHAnsi"/>
          <w:color w:val="C00000"/>
          <w:sz w:val="24"/>
          <w:szCs w:val="24"/>
        </w:rPr>
        <w:t>In a large national study of academic health center 2011-2012 discharges inter hospital transfer (IHT) patients are at a higher risk of inpatient mortality after controlling for patient characteristics and risk of mortality measures (odds ratio: 1.36, 95% conﬁdence interval: 1.29–1.43).</w:t>
      </w:r>
      <w:r w:rsidRPr="0096090F">
        <w:rPr>
          <w:rFonts w:cstheme="minorHAnsi"/>
          <w:color w:val="C00000"/>
          <w:sz w:val="24"/>
          <w:szCs w:val="24"/>
        </w:rPr>
        <w:fldChar w:fldCharType="begin"/>
      </w:r>
      <w:r w:rsidRPr="0096090F">
        <w:rPr>
          <w:rFonts w:cstheme="minorHAnsi"/>
          <w:color w:val="C00000"/>
          <w:sz w:val="24"/>
          <w:szCs w:val="24"/>
        </w:rPr>
        <w:instrText xml:space="preserve"> ADDIN ZOTERO_ITEM CSL_CITATION {"citationID":"XulKwrkf","properties":{"formattedCitation":"(Sokol-Hessner et al., 2016)","plainCitation":"(Sokol-Hessner et al., 2016)","noteIndex":0},"citationItems":[{"id":9,"uris":["http://zotero.org/users/6268388/items/TY8VAPEP"],"uri":["http://zotero.org/users/6268388/items/TY8VAPEP"],"itemData":{"id":9,"type":"article-journal","abstract":"BACKGROUND: Prior work suggests interhospital transfer (IHT) may be a risky event. Outcomes for patients transferred from another acute care institution and discharged by hospitalists and general internists at academic health systems are not well described.\nOBJECTIVE: Investigate the characteristics and outcomes of IHT patients compared with patients admitted from the emergency department (ED) to academic health systems.\nDESIGN: Retrospective cohort study.\nSETTING/PATIENTS: A total of 885,392 adult inpatients discharged by hospitalists or general internal medicine physicians from 158 academic medical centers and affiliated hospitals participating in the University HealthSystem Consortium Clinical Database and Resource Manager from April 1, 2011 to March 31, 2012.\nMETHODS: Patient cohorts were defined by admission source: those from another acute care institution were IHTs, and those coming through the ED whose source of origination was not another hospital or ambulatory surgery site were ED admissions. In-hospital mortality was our primary outcome. We analyzed our data using descriptive statistics, t tests, χ(2) tests, and logistic regression.\nRESULTS: Compared with ED admissions, IHT patients had a longer average length of stay, higher proportion of time spent in the intensive care unit, higher costs per hospital day, lower frequency of discharges home, and higher inpatient mortality (4.1% vs 1.8%, P &lt; 0.01). After adjusting for patient characteristics and risk of mortality measures, IHT patients had a higher risk of in-hospital death (odds ratio: 1.36, 95% confidence interval: 1.29-1.43).\nCONCLUSIONS: In this large national sample, IHT status is independently associated with inpatient mortality.","container-title":"Journal of Hospital Medicine","DOI":"10.1002/jhm.2515","ISSN":"1553-5606","issue":"4","journalAbbreviation":"J Hosp Med","language":"eng","note":"PMID: 26588825\nPMCID: PMC5242336","page":"245-250","source":"PubMed","title":"Interhospital transfer patients discharged by academic hospitalists and general internists: Characteristics and outcomes","title-short":"Interhospital transfer patients discharged by academic hospitalists and general internists","volume":"11","author":[{"family":"Sokol-Hessner","given":"Lauge"},{"family":"White","given":"Andrew A."},{"family":"Davis","given":"Katherine F."},{"family":"Herzig","given":"Shoshana J."},{"family":"Hohmann","given":"Samuel F."}],"issued":{"date-parts":[["2016",4]]}}}],"schema":"https://github.com/citation-style-language/schema/raw/master/csl-citation.json"} </w:instrText>
      </w:r>
      <w:r w:rsidRPr="0096090F">
        <w:rPr>
          <w:rFonts w:cstheme="minorHAnsi"/>
          <w:color w:val="C00000"/>
          <w:sz w:val="24"/>
          <w:szCs w:val="24"/>
        </w:rPr>
        <w:fldChar w:fldCharType="separate"/>
      </w:r>
      <w:r w:rsidRPr="0096090F">
        <w:rPr>
          <w:rFonts w:ascii="Calibri" w:hAnsi="Calibri" w:cs="Calibri"/>
          <w:color w:val="C00000"/>
          <w:sz w:val="24"/>
        </w:rPr>
        <w:t>(</w:t>
      </w:r>
      <w:proofErr w:type="spellStart"/>
      <w:r w:rsidRPr="0096090F">
        <w:rPr>
          <w:rFonts w:ascii="Calibri" w:hAnsi="Calibri" w:cs="Calibri"/>
          <w:color w:val="C00000"/>
          <w:sz w:val="24"/>
        </w:rPr>
        <w:t>Sokol-Hessner</w:t>
      </w:r>
      <w:proofErr w:type="spellEnd"/>
      <w:r w:rsidRPr="0096090F">
        <w:rPr>
          <w:rFonts w:ascii="Calibri" w:hAnsi="Calibri" w:cs="Calibri"/>
          <w:color w:val="C00000"/>
          <w:sz w:val="24"/>
        </w:rPr>
        <w:t xml:space="preserve"> et al., 2016)</w:t>
      </w:r>
      <w:r w:rsidRPr="0096090F">
        <w:rPr>
          <w:rFonts w:cstheme="minorHAnsi"/>
          <w:color w:val="C00000"/>
          <w:sz w:val="24"/>
          <w:szCs w:val="24"/>
        </w:rPr>
        <w:fldChar w:fldCharType="end"/>
      </w:r>
    </w:p>
    <w:p w14:paraId="0D189CFF" w14:textId="77777777" w:rsidR="00D00606" w:rsidRPr="00BF10AA" w:rsidRDefault="00D00606" w:rsidP="00D00606">
      <w:pPr>
        <w:rPr>
          <w:rFonts w:cstheme="minorHAnsi"/>
          <w:color w:val="C00000"/>
          <w:sz w:val="24"/>
          <w:szCs w:val="24"/>
        </w:rPr>
      </w:pPr>
    </w:p>
    <w:p w14:paraId="044B88EE" w14:textId="77777777" w:rsidR="00D00606" w:rsidRDefault="00D00606" w:rsidP="00D00606">
      <w:pPr>
        <w:rPr>
          <w:rFonts w:cstheme="minorHAnsi"/>
          <w:color w:val="C00000"/>
          <w:sz w:val="24"/>
          <w:szCs w:val="24"/>
        </w:rPr>
      </w:pPr>
      <w:r w:rsidRPr="00BF10AA">
        <w:rPr>
          <w:rFonts w:cstheme="minorHAnsi"/>
          <w:color w:val="C00000"/>
          <w:sz w:val="24"/>
          <w:szCs w:val="24"/>
        </w:rPr>
        <w:t xml:space="preserve">Transfer patients in the lowest risk group have longer length of hospital stay and ICU stays.  </w:t>
      </w:r>
      <w:r w:rsidRPr="0096090F">
        <w:rPr>
          <w:rFonts w:cstheme="minorHAnsi"/>
          <w:color w:val="C00000"/>
          <w:sz w:val="24"/>
          <w:szCs w:val="24"/>
        </w:rPr>
        <w:fldChar w:fldCharType="begin"/>
      </w:r>
      <w:r w:rsidRPr="0096090F">
        <w:rPr>
          <w:rFonts w:cstheme="minorHAnsi"/>
          <w:color w:val="C00000"/>
          <w:sz w:val="24"/>
          <w:szCs w:val="24"/>
        </w:rPr>
        <w:instrText xml:space="preserve"> ADDIN ZOTERO_ITEM CSL_CITATION {"citationID":"p2zbQGaP","properties":{"formattedCitation":"(Golestanian et al., 2007)","plainCitation":"(Golestanian et al., 2007)","noteIndex":0},"citationItems":[{"id":18,"uris":["http://zotero.org/users/6268388/items/72PCR9UB"],"uri":["http://zotero.org/users/6268388/items/72PCR9UB"],"itemData":{"id":18,"type":"article-journal","abstract":"OBJECTIVE: Mortality and length of stay are two outcome variables commonly used as benchmarks in rating the performance of medical centers. Acceptance of transfer patients has been shown to affect both outcomes and the costs of health care. Our objective was to compare observed and predicted lengths of stay, observed and predicted mortality, and resource consumption between patients directly admitted and those transferred to the intensive care unit (ICU) of a large academic medical center.\nDESIGN: Observational cohort study.\nSETTING: Mixed medical/surgical ICU of a university hospital.\nPATIENTS: A total of 4,569 consecutive patients admitted to a tertiary care ICU from April 1, 1997, to March 30, 2000.\nINTERVENTIONS: None.\nMEASUREMENTS: Acute Physiology and Chronic Health Evaluation (APACHE) III score, actual and predicted ICU and hospital lengths of stay, actual and predicted ICU and hospital mortality, and costs per admission.\nMAIN RESULTS: Crude comparison of directly admitted and transfer patients revealed that transfer patients had significantly higher APACHE III scores (mean, 60.5 vs. 49.7, p &lt; .001), ICU mortality (14% vs. 8%, p &lt; .001), and hospital mortality (22% vs. 14%, p &lt; .001). Transfer patients also had longer ICU lengths of stay (mean, 6.0 vs. 3.8 days, p &lt; .001) and hospital lengths of stay (mean, 20 vs. 15.9 days, p &lt; .001). Stratified by disease severity using the APACHE III model, there was no difference in either ICU or hospital mortality between the two populations. However, in the transfer group with the lowest predicted mortality of 0-20%, ICU and hospital lengths of stay were significantly higher. In crude cost analysis, transfer patients' costs were $9,600 higher per ICU admission compared with nontransfer patients (95% confidence interval, $6,000-$13,400). Risk stratification revealed that the higher per-patient cost was entirely confined to the transfer patients with the lowest predicted mortality.\nCONCLUSIONS: Patients transferred to a tertiary care ICU are generally more severely ill and consume more resources. However, they have similar adjusted mortality outcomes when compared with directly admitted patients. The difference in resource consumption is mainly attributable to the group of patients in the lowest predicted risk bracket.","container-title":"Critical Care Medicine","DOI":"10.1097/01.CCM.0000265741.16192.D9","ISSN":"0090-3493","issue":"6","journalAbbreviation":"Crit. Care Med.","language":"eng","note":"PMID: 17440423","page":"1470-1476","source":"PubMed","title":"Effect of interhospital transfer on resource utilization and outcomes at a tertiary care referral center","volume":"35","author":[{"family":"Golestanian","given":"Ellie"},{"family":"Scruggs","given":"Jesse E."},{"family":"Gangnon","given":"Ronald E."},{"family":"Mak","given":"Rosa P."},{"family":"Wood","given":"Kenneth E."}],"issued":{"date-parts":[["2007",6]]}}}],"schema":"https://github.com/citation-style-language/schema/raw/master/csl-citation.json"} </w:instrText>
      </w:r>
      <w:r w:rsidRPr="0096090F">
        <w:rPr>
          <w:rFonts w:cstheme="minorHAnsi"/>
          <w:color w:val="C00000"/>
          <w:sz w:val="24"/>
          <w:szCs w:val="24"/>
        </w:rPr>
        <w:fldChar w:fldCharType="separate"/>
      </w:r>
      <w:r w:rsidRPr="0096090F">
        <w:rPr>
          <w:rFonts w:cstheme="minorHAnsi"/>
          <w:color w:val="C00000"/>
          <w:sz w:val="24"/>
          <w:szCs w:val="24"/>
        </w:rPr>
        <w:t>(</w:t>
      </w:r>
      <w:proofErr w:type="spellStart"/>
      <w:r w:rsidRPr="0096090F">
        <w:rPr>
          <w:rFonts w:cstheme="minorHAnsi"/>
          <w:color w:val="C00000"/>
          <w:sz w:val="24"/>
          <w:szCs w:val="24"/>
        </w:rPr>
        <w:t>Golestanian</w:t>
      </w:r>
      <w:proofErr w:type="spellEnd"/>
      <w:r w:rsidRPr="0096090F">
        <w:rPr>
          <w:rFonts w:cstheme="minorHAnsi"/>
          <w:color w:val="C00000"/>
          <w:sz w:val="24"/>
          <w:szCs w:val="24"/>
        </w:rPr>
        <w:t xml:space="preserve"> et al., 2007)</w:t>
      </w:r>
      <w:r w:rsidRPr="0096090F">
        <w:rPr>
          <w:rFonts w:cstheme="minorHAnsi"/>
          <w:color w:val="C00000"/>
          <w:sz w:val="24"/>
          <w:szCs w:val="24"/>
        </w:rPr>
        <w:fldChar w:fldCharType="end"/>
      </w:r>
      <w:r w:rsidRPr="0096090F">
        <w:rPr>
          <w:rFonts w:cstheme="minorHAnsi"/>
          <w:color w:val="C00000"/>
          <w:sz w:val="24"/>
          <w:szCs w:val="24"/>
        </w:rPr>
        <w:t xml:space="preserve"> </w:t>
      </w:r>
      <w:r w:rsidRPr="00BF10AA">
        <w:rPr>
          <w:rFonts w:cstheme="minorHAnsi"/>
          <w:color w:val="C00000"/>
          <w:sz w:val="24"/>
          <w:szCs w:val="24"/>
        </w:rPr>
        <w:t xml:space="preserve">They cost more solely due to their transfer status. What about being transferred sets them up for these higher costs? Could it be communication with the transferring hospital? </w:t>
      </w:r>
    </w:p>
    <w:p w14:paraId="60D0BEF7" w14:textId="77777777" w:rsidR="00D00606" w:rsidRPr="00BF10AA" w:rsidRDefault="00D00606" w:rsidP="00D00606">
      <w:pPr>
        <w:rPr>
          <w:rFonts w:cstheme="minorHAnsi"/>
          <w:color w:val="C00000"/>
          <w:sz w:val="24"/>
          <w:szCs w:val="24"/>
        </w:rPr>
      </w:pPr>
    </w:p>
    <w:p w14:paraId="433B05E3" w14:textId="77777777" w:rsidR="00D00606" w:rsidRPr="00BF10AA" w:rsidRDefault="00D00606" w:rsidP="00D00606">
      <w:pPr>
        <w:rPr>
          <w:rFonts w:cstheme="minorHAnsi"/>
          <w:color w:val="C00000"/>
          <w:sz w:val="24"/>
          <w:szCs w:val="24"/>
        </w:rPr>
      </w:pPr>
      <w:r w:rsidRPr="00BF10AA">
        <w:rPr>
          <w:rFonts w:cstheme="minorHAnsi"/>
          <w:color w:val="C00000"/>
          <w:sz w:val="24"/>
          <w:szCs w:val="24"/>
        </w:rPr>
        <w:t xml:space="preserve">Transfer patients use more resources and have worse outcomes than </w:t>
      </w:r>
      <w:proofErr w:type="spellStart"/>
      <w:r w:rsidRPr="00BF10AA">
        <w:rPr>
          <w:rFonts w:cstheme="minorHAnsi"/>
          <w:color w:val="C00000"/>
          <w:sz w:val="24"/>
          <w:szCs w:val="24"/>
        </w:rPr>
        <w:t>nontransfer</w:t>
      </w:r>
      <w:proofErr w:type="spellEnd"/>
      <w:r w:rsidRPr="00BF10AA">
        <w:rPr>
          <w:rFonts w:cstheme="minorHAnsi"/>
          <w:color w:val="C00000"/>
          <w:sz w:val="24"/>
          <w:szCs w:val="24"/>
        </w:rPr>
        <w:t xml:space="preserve"> patients. They have statistically significant longer length of stays (13 to 4.5), more non-routine dispositions (53% to 68%), higher risk-adjusted inpatient mortality (4.6% to 2.1%), and higher risk-adjusted Patient Safety Indicators (PSI) In 4 of 5 indicators. Most CMS sponsored hospital quality measures do not include transferred patients. “Carefully constructed national quality measures for transfer of care should be designed and validated.”</w:t>
      </w:r>
      <w:r w:rsidRPr="00BF10AA">
        <w:rPr>
          <w:rFonts w:cstheme="minorHAnsi"/>
          <w:color w:val="C00000"/>
          <w:sz w:val="24"/>
          <w:szCs w:val="24"/>
        </w:rPr>
        <w:fldChar w:fldCharType="begin"/>
      </w:r>
      <w:r w:rsidRPr="00BF10AA">
        <w:rPr>
          <w:rFonts w:cstheme="minorHAnsi"/>
          <w:color w:val="C00000"/>
          <w:sz w:val="24"/>
          <w:szCs w:val="24"/>
        </w:rPr>
        <w:instrText xml:space="preserve"> ADDIN ZOTERO_ITEM CSL_CITATION {"citationID":"DbYlodQc","properties":{"formattedCitation":"(Hernandez-Boussard et al., 2017)","plainCitation":"(Hernandez-Boussard et al., 2017)","noteIndex":0},"citationItems":[{"id":15,"uris":["http://zotero.org/users/6268388/items/UEJUUK54"],"uri":["http://zotero.org/users/6268388/items/UEJUUK54"],"itemData":{"id":15,"type":"article-journal","abstract":"OBJECTIVES: Patient transfers between hospitals are becoming more common in the United States. Disease-specific studies have reported varying outcomes associated with transfer status. However, even as national quality improvement efforts and regulations are being actively adopted, forcing hospitals to become financially accountable for the quality of care provided, surprisingly little is known about transfer patients or their outcomes at a population level. This population-wide study provides timely analyses of the characteristics of this particularly vulnerable and sizable inpatient population. We identified and compared characteristics and outcomes of transfer and nontransfer patients.\nMETHODS: With the use of the 2009 Nationwide Inpatient Sample, a nationally representative sample of U.S. hospitalizations, we examined patient characteristics, in-hospital adverse events, and discharge disposition for transfer versus nontransfer patients in this observational study.\nRESULTS: We identified 1,397,712 transfer patients and 31,692,211 nontransfer patients. Age, sex, race, and payer were significantly associated with odds of transfer (P &lt; 0.05). Transfer patients had higher risk-adjusted inpatient mortality (4.6 versus 2.1, P &lt; 0.01), longer length of stay (13.3 versus 4.5, P &lt; 0.01), and fewer routine disposition discharges (53.6 versus 68.7, P &lt; 0.01). In-hospital adverse events were significantly higher in transfer patients compared with nontransfer patients (P &lt; 0.05).\nCONCLUSIONS: Our results suggest that transfer patients have inferior outcomes compared with nontransfer patients. Although they are clinically complex patients and assessing accountability as between the transferring and receiving hospitals is methodologically difficult, transfer patients must nonetheless be included in quality benchmark data to assess the potential impact this population has on hospital outcome profiles. With hospital accountability and value-based payments constituting an integral part of health care reform, documenting the quality of care delivered to transfer patients is essential before accurate quality assessment improvement efforts can begin in this patient population.","container-title":"Journal of Patient Safety","DOI":"10.1097/PTS.0000000000000148","ISSN":"1549-8425","issue":"4","journalAbbreviation":"J Patient Saf","language":"eng","note":"PMID: 25397857\nPMCID: PMC4956577","page":"187-191","source":"PubMed","title":"Interhospital Facility Transfers in the United States: A Nationwide Outcomes Study","title-short":"Interhospital Facility Transfers in the United States","volume":"13","author":[{"family":"Hernandez-Boussard","given":"Tina"},{"family":"Davies","given":"Sheryl"},{"family":"McDonald","given":"Kathryn"},{"family":"Wang","given":"N. Ewen"}],"issued":{"date-parts":[["2017"]]}}}],"schema":"https://github.com/citation-style-language/schema/raw/master/csl-citation.json"} </w:instrText>
      </w:r>
      <w:r w:rsidRPr="00BF10AA">
        <w:rPr>
          <w:rFonts w:cstheme="minorHAnsi"/>
          <w:color w:val="C00000"/>
          <w:sz w:val="24"/>
          <w:szCs w:val="24"/>
        </w:rPr>
        <w:fldChar w:fldCharType="separate"/>
      </w:r>
      <w:r w:rsidRPr="00BF10AA">
        <w:rPr>
          <w:rFonts w:cstheme="minorHAnsi"/>
          <w:color w:val="C00000"/>
          <w:sz w:val="24"/>
          <w:szCs w:val="24"/>
        </w:rPr>
        <w:t>(Hernandez-</w:t>
      </w:r>
      <w:proofErr w:type="spellStart"/>
      <w:r w:rsidRPr="00BF10AA">
        <w:rPr>
          <w:rFonts w:cstheme="minorHAnsi"/>
          <w:color w:val="C00000"/>
          <w:sz w:val="24"/>
          <w:szCs w:val="24"/>
        </w:rPr>
        <w:t>Boussard</w:t>
      </w:r>
      <w:proofErr w:type="spellEnd"/>
      <w:r w:rsidRPr="00BF10AA">
        <w:rPr>
          <w:rFonts w:cstheme="minorHAnsi"/>
          <w:color w:val="C00000"/>
          <w:sz w:val="24"/>
          <w:szCs w:val="24"/>
        </w:rPr>
        <w:t xml:space="preserve"> et al., 2017)</w:t>
      </w:r>
      <w:r w:rsidRPr="00BF10AA">
        <w:rPr>
          <w:rFonts w:cstheme="minorHAnsi"/>
          <w:color w:val="C00000"/>
          <w:sz w:val="24"/>
          <w:szCs w:val="24"/>
        </w:rPr>
        <w:fldChar w:fldCharType="end"/>
      </w:r>
    </w:p>
    <w:p w14:paraId="4A5DAE7B" w14:textId="77777777" w:rsidR="00D00606" w:rsidRDefault="00D00606" w:rsidP="00D00606">
      <w:pPr>
        <w:rPr>
          <w:rFonts w:cstheme="minorHAnsi"/>
          <w:color w:val="C00000"/>
          <w:sz w:val="24"/>
          <w:szCs w:val="24"/>
        </w:rPr>
      </w:pPr>
    </w:p>
    <w:p w14:paraId="06FB766F" w14:textId="77777777" w:rsidR="00D00606" w:rsidRPr="00BF10AA" w:rsidRDefault="00D00606" w:rsidP="00D00606">
      <w:pPr>
        <w:rPr>
          <w:rFonts w:cstheme="minorHAnsi"/>
          <w:color w:val="C00000"/>
          <w:sz w:val="24"/>
          <w:szCs w:val="24"/>
        </w:rPr>
      </w:pPr>
      <w:r>
        <w:rPr>
          <w:rFonts w:cstheme="minorHAnsi"/>
          <w:color w:val="C00000"/>
          <w:sz w:val="24"/>
          <w:szCs w:val="24"/>
        </w:rPr>
        <w:t>“</w:t>
      </w:r>
      <w:r w:rsidRPr="00BF10AA">
        <w:rPr>
          <w:rFonts w:cstheme="minorHAnsi"/>
          <w:color w:val="C00000"/>
          <w:sz w:val="24"/>
          <w:szCs w:val="24"/>
        </w:rPr>
        <w:t>This expanding evidence base demonstrates that serious deficiencies in quality exist for patients undergoing transitions across sites of care. Qualitative studies produced consistent results, demonstrating that patients are often unprepared for their self-management role in the next care setting, receive conflicting advice regarding chronic illness management, are often unable to reach an appropriate health care practitioner who has access to their care plan when questions arise, and have minimal input into their care plan. Quantitative studies documented that quality and patient safety are compromised during the vulnerable period when patients transition between different settings because of high rates of medication errors, incomplete or inaccurate information transfer, and lack of appropriate follow-up care. During care transitions, patients receive medications from different prescribers, who rarely have access to patients’ comprehensive medication lists. Collectively, these types of problems conspire to increase rates of recidivism to high intensity care settings when patients’ care needs are not met, leading to greater health care costs.</w:t>
      </w:r>
      <w:r>
        <w:rPr>
          <w:rFonts w:cstheme="minorHAnsi"/>
          <w:color w:val="C00000"/>
          <w:sz w:val="24"/>
          <w:szCs w:val="24"/>
        </w:rPr>
        <w:t>”</w:t>
      </w:r>
      <w:r w:rsidRPr="00BF10AA">
        <w:rPr>
          <w:rFonts w:cstheme="minorHAnsi"/>
          <w:color w:val="C00000"/>
          <w:sz w:val="24"/>
          <w:szCs w:val="24"/>
        </w:rPr>
        <w:t xml:space="preserve"> </w:t>
      </w:r>
      <w:r w:rsidRPr="0096090F">
        <w:rPr>
          <w:rFonts w:cstheme="minorHAnsi"/>
          <w:color w:val="C00000"/>
          <w:sz w:val="24"/>
          <w:szCs w:val="24"/>
        </w:rPr>
        <w:fldChar w:fldCharType="begin"/>
      </w:r>
      <w:r w:rsidRPr="0096090F">
        <w:rPr>
          <w:rFonts w:cstheme="minorHAnsi"/>
          <w:color w:val="C00000"/>
          <w:sz w:val="24"/>
          <w:szCs w:val="24"/>
        </w:rPr>
        <w:instrText xml:space="preserve"> ADDIN ZOTERO_ITEM CSL_CITATION {"citationID":"YQiOOkKB","properties":{"formattedCitation":"(Coleman et al., 2006)","plainCitation":"(Coleman et al., 2006)","noteIndex":0},"citationItems":[{"id":6,"uris":["http://zotero.org/users/6268388/items/MAGCM5CJ"],"uri":["http://zotero.org/users/6268388/items/MAGCM5CJ"],"itemData":{"id":6,"type":"article-journal","abstract":"BACKGROUND: Patients with complex care needs who require care across different health care settings are vulnerable to experiencing serious quality problems. A care transitions intervention designed to encourage patients and their caregivers to assert a more active role during care transitions may reduce rehospitalization rates.\nMETHODS: Randomized controlled trial. Between September 1, 2002, and August 31, 2003, patients were identified at the time of hospitalization and were randomized to receive the intervention or usual care. The setting was a large integrated delivery system located in Colorado. Subjects (N = 750) included community-dwelling adults 65 years or older admitted to the study hospital with 1 of 11 selected conditions. Intervention patients received (1) tools to promote cross-site communication, (2) encouragement to take a more active role in their care and to assert their preferences, and (3) continuity across settings and guidance from a \"transition coach.\" Rates of rehospitalization were measured at 30, 90, and 180 days.\nRESULTS: Intervention patients had lower rehospitalization rates at 30 days (8.3 vs 11.9, P = .048) and at 90 days (16.7 vs 22.5, P = .04) than control subjects. Intervention patients had lower rehospitalization rates for the same condition that precipitated the index hospitalization at 90 days (5.3 vs 9.8, P = .04) and at 180 days (8.6 vs 13.9, P = .046) than controls. The mean hospital costs were lower for intervention patients ($2058) vs controls ($2546) at 180 days (log-transformed P = .049).\nCONCLUSION: Coaching chronically ill older patients and their caregivers to ensure that their needs are met during care transitions may reduce the rates of subsequent rehospitalization.","container-title":"Archives of Internal Medicine","DOI":"10.1001/archinte.166.17.1822","ISSN":"0003-9926","issue":"17","journalAbbreviation":"Arch. Intern. Med.","language":"eng","note":"PMID: 17000937","page":"1822-1828","source":"PubMed","title":"The care transitions intervention: results of a randomized controlled trial","title-short":"The care transitions intervention","volume":"166","author":[{"family":"Coleman","given":"Eric A."},{"family":"Parry","given":"Carla"},{"family":"Chalmers","given":"Sandra"},{"family":"Min","given":"Sung-Joon"}],"issued":{"date-parts":[["2006",9,25]]}}}],"schema":"https://github.com/citation-style-language/schema/raw/master/csl-citation.json"} </w:instrText>
      </w:r>
      <w:r w:rsidRPr="0096090F">
        <w:rPr>
          <w:rFonts w:cstheme="minorHAnsi"/>
          <w:color w:val="C00000"/>
          <w:sz w:val="24"/>
          <w:szCs w:val="24"/>
        </w:rPr>
        <w:fldChar w:fldCharType="separate"/>
      </w:r>
      <w:r w:rsidRPr="0096090F">
        <w:rPr>
          <w:rFonts w:cstheme="minorHAnsi"/>
          <w:color w:val="C00000"/>
          <w:sz w:val="24"/>
          <w:szCs w:val="24"/>
        </w:rPr>
        <w:t>(Coleman et al., 2006)</w:t>
      </w:r>
      <w:r w:rsidRPr="0096090F">
        <w:rPr>
          <w:rFonts w:cstheme="minorHAnsi"/>
          <w:color w:val="C00000"/>
          <w:sz w:val="24"/>
          <w:szCs w:val="24"/>
        </w:rPr>
        <w:fldChar w:fldCharType="end"/>
      </w:r>
    </w:p>
    <w:p w14:paraId="77FB3A51" w14:textId="77777777" w:rsidR="00D00606" w:rsidRDefault="00D00606" w:rsidP="00D00606">
      <w:pPr>
        <w:rPr>
          <w:rFonts w:cstheme="minorHAnsi"/>
          <w:color w:val="C00000"/>
          <w:sz w:val="24"/>
          <w:szCs w:val="24"/>
        </w:rPr>
      </w:pPr>
    </w:p>
    <w:p w14:paraId="7BF925E4" w14:textId="77777777" w:rsidR="00D00606" w:rsidRPr="001B5842" w:rsidRDefault="00D00606" w:rsidP="00D00606">
      <w:pPr>
        <w:rPr>
          <w:rFonts w:cstheme="minorHAnsi"/>
          <w:color w:val="C00000"/>
          <w:sz w:val="24"/>
          <w:szCs w:val="24"/>
        </w:rPr>
      </w:pPr>
      <w:r>
        <w:rPr>
          <w:rFonts w:cstheme="minorHAnsi"/>
          <w:color w:val="C00000"/>
          <w:sz w:val="24"/>
          <w:szCs w:val="24"/>
        </w:rPr>
        <w:t>Hernandez-</w:t>
      </w:r>
      <w:proofErr w:type="spellStart"/>
      <w:r>
        <w:rPr>
          <w:rFonts w:cstheme="minorHAnsi"/>
          <w:color w:val="C00000"/>
          <w:sz w:val="24"/>
          <w:szCs w:val="24"/>
        </w:rPr>
        <w:t>Boussard</w:t>
      </w:r>
      <w:proofErr w:type="spellEnd"/>
      <w:r>
        <w:rPr>
          <w:rFonts w:cstheme="minorHAnsi"/>
          <w:color w:val="C00000"/>
          <w:sz w:val="24"/>
          <w:szCs w:val="24"/>
        </w:rPr>
        <w:t xml:space="preserve"> et al.</w:t>
      </w:r>
      <w:proofErr w:type="gramStart"/>
      <w:r>
        <w:rPr>
          <w:rFonts w:cstheme="minorHAnsi"/>
          <w:color w:val="C00000"/>
          <w:sz w:val="24"/>
          <w:szCs w:val="24"/>
        </w:rPr>
        <w:t>, ‘s</w:t>
      </w:r>
      <w:proofErr w:type="gramEnd"/>
      <w:r>
        <w:rPr>
          <w:rFonts w:cstheme="minorHAnsi"/>
          <w:color w:val="C00000"/>
          <w:sz w:val="24"/>
          <w:szCs w:val="24"/>
        </w:rPr>
        <w:t xml:space="preserve"> </w:t>
      </w:r>
      <w:r w:rsidRPr="001B5842">
        <w:rPr>
          <w:rFonts w:cstheme="minorHAnsi"/>
          <w:color w:val="C00000"/>
          <w:sz w:val="24"/>
          <w:szCs w:val="24"/>
        </w:rPr>
        <w:t xml:space="preserve">population-wide study provides timely analyses of the characteristics of this particularly vulnerable and sizable inpatient population. </w:t>
      </w:r>
      <w:r>
        <w:rPr>
          <w:rFonts w:cstheme="minorHAnsi"/>
          <w:color w:val="C00000"/>
          <w:sz w:val="24"/>
          <w:szCs w:val="24"/>
        </w:rPr>
        <w:t xml:space="preserve">Opportunity </w:t>
      </w:r>
      <w:r w:rsidRPr="001B5842">
        <w:rPr>
          <w:rFonts w:cstheme="minorHAnsi"/>
          <w:color w:val="C00000"/>
          <w:sz w:val="24"/>
          <w:szCs w:val="24"/>
        </w:rPr>
        <w:t xml:space="preserve">exists for improvement on these processes.” </w:t>
      </w:r>
      <w:r w:rsidRPr="0096090F">
        <w:rPr>
          <w:rFonts w:cstheme="minorHAnsi"/>
          <w:color w:val="C00000"/>
          <w:sz w:val="24"/>
          <w:szCs w:val="24"/>
        </w:rPr>
        <w:fldChar w:fldCharType="begin"/>
      </w:r>
      <w:r w:rsidRPr="0096090F">
        <w:rPr>
          <w:rFonts w:cstheme="minorHAnsi"/>
          <w:color w:val="C00000"/>
          <w:sz w:val="24"/>
          <w:szCs w:val="24"/>
        </w:rPr>
        <w:instrText xml:space="preserve"> ADDIN ZOTERO_ITEM CSL_CITATION {"citationID":"HZY87qjW","properties":{"formattedCitation":"(Hernandez-Boussard et al., 2017)","plainCitation":"(Hernandez-Boussard et al., 2017)","noteIndex":0},"citationItems":[{"id":15,"uris":["http://zotero.org/users/6268388/items/UEJUUK54"],"uri":["http://zotero.org/users/6268388/items/UEJUUK54"],"itemData":{"id":15,"type":"article-journal","abstract":"OBJECTIVES: Patient transfers between hospitals are becoming more common in the United States. Disease-specific studies have reported varying outcomes associated with transfer status. However, even as national quality improvement efforts and regulations are being actively adopted, forcing hospitals to become financially accountable for the quality of care provided, surprisingly little is known about transfer patients or their outcomes at a population level. This population-wide study provides timely analyses of the characteristics of this particularly vulnerable and sizable inpatient population. We identified and compared characteristics and outcomes of transfer and nontransfer patients.\nMETHODS: With the use of the 2009 Nationwide Inpatient Sample, a nationally representative sample of U.S. hospitalizations, we examined patient characteristics, in-hospital adverse events, and discharge disposition for transfer versus nontransfer patients in this observational study.\nRESULTS: We identified 1,397,712 transfer patients and 31,692,211 nontransfer patients. Age, sex, race, and payer were significantly associated with odds of transfer (P &lt; 0.05). Transfer patients had higher risk-adjusted inpatient mortality (4.6 versus 2.1, P &lt; 0.01), longer length of stay (13.3 versus 4.5, P &lt; 0.01), and fewer routine disposition discharges (53.6 versus 68.7, P &lt; 0.01). In-hospital adverse events were significantly higher in transfer patients compared with nontransfer patients (P &lt; 0.05).\nCONCLUSIONS: Our results suggest that transfer patients have inferior outcomes compared with nontransfer patients. Although they are clinically complex patients and assessing accountability as between the transferring and receiving hospitals is methodologically difficult, transfer patients must nonetheless be included in quality benchmark data to assess the potential impact this population has on hospital outcome profiles. With hospital accountability and value-based payments constituting an integral part of health care reform, documenting the quality of care delivered to transfer patients is essential before accurate quality assessment improvement efforts can begin in this patient population.","container-title":"Journal of Patient Safety","DOI":"10.1097/PTS.0000000000000148","ISSN":"1549-8425","issue":"4","journalAbbreviation":"J Patient Saf","language":"eng","note":"PMID: 25397857\nPMCID: PMC4956577","page":"187-191","source":"PubMed","title":"Interhospital Facility Transfers in the United States: A Nationwide Outcomes Study","title-short":"Interhospital Facility Transfers in the United States","volume":"13","author":[{"family":"Hernandez-Boussard","given":"Tina"},{"family":"Davies","given":"Sheryl"},{"family":"McDonald","given":"Kathryn"},{"family":"Wang","given":"N. Ewen"}],"issued":{"date-parts":[["2017"]]}}}],"schema":"https://github.com/citation-style-language/schema/raw/master/csl-citation.json"} </w:instrText>
      </w:r>
      <w:r w:rsidRPr="0096090F">
        <w:rPr>
          <w:rFonts w:cstheme="minorHAnsi"/>
          <w:color w:val="C00000"/>
          <w:sz w:val="24"/>
          <w:szCs w:val="24"/>
        </w:rPr>
        <w:fldChar w:fldCharType="separate"/>
      </w:r>
      <w:r w:rsidRPr="0096090F">
        <w:rPr>
          <w:rFonts w:ascii="Calibri" w:hAnsi="Calibri" w:cs="Calibri"/>
          <w:color w:val="C00000"/>
          <w:sz w:val="24"/>
        </w:rPr>
        <w:t>(Hernandez-</w:t>
      </w:r>
      <w:proofErr w:type="spellStart"/>
      <w:r w:rsidRPr="0096090F">
        <w:rPr>
          <w:rFonts w:ascii="Calibri" w:hAnsi="Calibri" w:cs="Calibri"/>
          <w:color w:val="C00000"/>
          <w:sz w:val="24"/>
        </w:rPr>
        <w:t>Boussard</w:t>
      </w:r>
      <w:proofErr w:type="spellEnd"/>
      <w:r w:rsidRPr="0096090F">
        <w:rPr>
          <w:rFonts w:ascii="Calibri" w:hAnsi="Calibri" w:cs="Calibri"/>
          <w:color w:val="C00000"/>
          <w:sz w:val="24"/>
        </w:rPr>
        <w:t xml:space="preserve"> et al., 2017)</w:t>
      </w:r>
      <w:r w:rsidRPr="0096090F">
        <w:rPr>
          <w:rFonts w:cstheme="minorHAnsi"/>
          <w:color w:val="C00000"/>
          <w:sz w:val="24"/>
          <w:szCs w:val="24"/>
        </w:rPr>
        <w:fldChar w:fldCharType="end"/>
      </w:r>
      <w:r w:rsidRPr="0096090F">
        <w:rPr>
          <w:rFonts w:cstheme="minorHAnsi"/>
          <w:color w:val="C00000"/>
          <w:sz w:val="24"/>
          <w:szCs w:val="24"/>
        </w:rPr>
        <w:t xml:space="preserve"> </w:t>
      </w:r>
    </w:p>
    <w:p w14:paraId="202F8E65" w14:textId="77777777" w:rsidR="00D00606" w:rsidRDefault="00D00606" w:rsidP="00D00606">
      <w:pPr>
        <w:shd w:val="clear" w:color="auto" w:fill="FFFFFF"/>
        <w:spacing w:after="120" w:line="369" w:lineRule="atLeast"/>
        <w:rPr>
          <w:rFonts w:eastAsia="Times New Roman" w:cstheme="minorHAnsi"/>
          <w:color w:val="C00000"/>
          <w:sz w:val="24"/>
          <w:szCs w:val="24"/>
        </w:rPr>
      </w:pPr>
      <w:proofErr w:type="spellStart"/>
      <w:r>
        <w:rPr>
          <w:rFonts w:eastAsia="Times New Roman" w:cstheme="minorHAnsi"/>
          <w:color w:val="C00000"/>
          <w:sz w:val="24"/>
          <w:szCs w:val="24"/>
        </w:rPr>
        <w:t>Szary’s</w:t>
      </w:r>
      <w:proofErr w:type="spellEnd"/>
      <w:r w:rsidRPr="00C17E23">
        <w:rPr>
          <w:rFonts w:eastAsia="Times New Roman" w:cstheme="minorHAnsi"/>
          <w:color w:val="C00000"/>
          <w:sz w:val="24"/>
          <w:szCs w:val="24"/>
        </w:rPr>
        <w:t xml:space="preserve"> prospective study quantified compliance with inter-facility </w:t>
      </w:r>
      <w:r w:rsidRPr="001B5842">
        <w:rPr>
          <w:rFonts w:eastAsia="Times New Roman" w:cstheme="minorHAnsi"/>
          <w:color w:val="C00000"/>
          <w:sz w:val="24"/>
          <w:szCs w:val="24"/>
        </w:rPr>
        <w:t>transfer</w:t>
      </w:r>
      <w:r w:rsidRPr="00C17E23">
        <w:rPr>
          <w:rFonts w:eastAsia="Times New Roman" w:cstheme="minorHAnsi"/>
          <w:color w:val="C00000"/>
          <w:sz w:val="24"/>
          <w:szCs w:val="24"/>
        </w:rPr>
        <w:t> communication and revealed an opportunity for improvement. Introduction of a simple written template to enhance communication between providers improved the quality of </w:t>
      </w:r>
      <w:r w:rsidRPr="001B5842">
        <w:rPr>
          <w:rFonts w:eastAsia="Times New Roman" w:cstheme="minorHAnsi"/>
          <w:color w:val="C00000"/>
          <w:sz w:val="24"/>
          <w:szCs w:val="24"/>
        </w:rPr>
        <w:t>transfer</w:t>
      </w:r>
      <w:r w:rsidRPr="00C17E23">
        <w:rPr>
          <w:rFonts w:eastAsia="Times New Roman" w:cstheme="minorHAnsi"/>
          <w:color w:val="C00000"/>
          <w:sz w:val="24"/>
          <w:szCs w:val="24"/>
        </w:rPr>
        <w:t> information.</w:t>
      </w:r>
      <w:r w:rsidRPr="001B5842">
        <w:rPr>
          <w:rFonts w:eastAsia="Times New Roman" w:cstheme="minorHAnsi"/>
          <w:color w:val="C00000"/>
          <w:sz w:val="24"/>
          <w:szCs w:val="24"/>
        </w:rPr>
        <w:t xml:space="preserve"> </w:t>
      </w:r>
      <w:r w:rsidRPr="0096090F">
        <w:rPr>
          <w:rFonts w:eastAsia="Times New Roman" w:cstheme="minorHAnsi"/>
          <w:color w:val="C00000"/>
          <w:sz w:val="24"/>
          <w:szCs w:val="24"/>
        </w:rPr>
        <w:fldChar w:fldCharType="begin"/>
      </w:r>
      <w:r w:rsidRPr="0096090F">
        <w:rPr>
          <w:rFonts w:eastAsia="Times New Roman" w:cstheme="minorHAnsi"/>
          <w:color w:val="C00000"/>
          <w:sz w:val="24"/>
          <w:szCs w:val="24"/>
        </w:rPr>
        <w:instrText xml:space="preserve"> ADDIN ZOTERO_ITEM CSL_CITATION {"citationID":"XoNIdGBD","properties":{"formattedCitation":"(Szary et al., 2010)","plainCitation":"(Szary et al., 2010)","noteIndex":0},"citationItems":[{"id":1,"uris":["http://zotero.org/users/6268388/items/KQKVFIR7"],"uri":["http://zotero.org/users/6268388/items/KQKVFIR7"],"itemData":{"id":1,"type":"article-journal","abstract":"Patient care during inter-facility transfer depends not only on the expertise provided by the receiving facility, but also on timely and accurate patient information received from the transferring institution. Our prospective study quantified compliance with inter-facility transfer communication and revealed an opportunity for improvement. Introduction of a simple written template to enhance communication between providers improved the quality of transfer information.","container-title":"Missouri Medicine","ISSN":"0026-6620","issue":"2","journalAbbreviation":"Mo Med","language":"eng","note":"PMID: 20446521\nPMCID: PMC6188263","page":"127-130","source":"PubMed","title":"Transfer of care communication: improving communication during inter-facility patient transfer","title-short":"Transfer of care communication","volume":"107","author":[{"family":"Szary","given":"Nicholas M."},{"family":"Sarwal","given":"Aarti"},{"family":"Boshard","given":"Barbara J."},{"family":"Hall","given":"Leslie W."}],"issued":{"date-parts":[["2010",4]]}}}],"schema":"https://github.com/citation-style-language/schema/raw/master/csl-citation.json"} </w:instrText>
      </w:r>
      <w:r w:rsidRPr="0096090F">
        <w:rPr>
          <w:rFonts w:eastAsia="Times New Roman" w:cstheme="minorHAnsi"/>
          <w:color w:val="C00000"/>
          <w:sz w:val="24"/>
          <w:szCs w:val="24"/>
        </w:rPr>
        <w:fldChar w:fldCharType="separate"/>
      </w:r>
      <w:r w:rsidRPr="0096090F">
        <w:rPr>
          <w:rFonts w:cstheme="minorHAnsi"/>
          <w:color w:val="C00000"/>
          <w:sz w:val="24"/>
          <w:szCs w:val="24"/>
        </w:rPr>
        <w:t>(</w:t>
      </w:r>
      <w:proofErr w:type="spellStart"/>
      <w:r w:rsidRPr="0096090F">
        <w:rPr>
          <w:rFonts w:cstheme="minorHAnsi"/>
          <w:color w:val="C00000"/>
          <w:sz w:val="24"/>
          <w:szCs w:val="24"/>
        </w:rPr>
        <w:t>Szary</w:t>
      </w:r>
      <w:proofErr w:type="spellEnd"/>
      <w:r w:rsidRPr="0096090F">
        <w:rPr>
          <w:rFonts w:cstheme="minorHAnsi"/>
          <w:color w:val="C00000"/>
          <w:sz w:val="24"/>
          <w:szCs w:val="24"/>
        </w:rPr>
        <w:t xml:space="preserve"> et al., 2010)</w:t>
      </w:r>
      <w:r w:rsidRPr="0096090F">
        <w:rPr>
          <w:rFonts w:eastAsia="Times New Roman" w:cstheme="minorHAnsi"/>
          <w:color w:val="C00000"/>
          <w:sz w:val="24"/>
          <w:szCs w:val="24"/>
        </w:rPr>
        <w:fldChar w:fldCharType="end"/>
      </w:r>
    </w:p>
    <w:p w14:paraId="5B768830" w14:textId="77777777" w:rsidR="00D00606" w:rsidRPr="001B5842" w:rsidRDefault="00D00606" w:rsidP="00D00606">
      <w:pPr>
        <w:rPr>
          <w:rFonts w:cstheme="minorHAnsi"/>
          <w:b/>
          <w:sz w:val="24"/>
          <w:szCs w:val="24"/>
        </w:rPr>
      </w:pPr>
      <w:r w:rsidRPr="001B5842">
        <w:rPr>
          <w:rFonts w:cstheme="minorHAnsi"/>
          <w:b/>
          <w:color w:val="244061" w:themeColor="accent1" w:themeShade="80"/>
          <w:sz w:val="24"/>
          <w:szCs w:val="24"/>
        </w:rPr>
        <w:t xml:space="preserve">1a.4.2 </w:t>
      </w:r>
      <w:proofErr w:type="gramStart"/>
      <w:r w:rsidRPr="001B5842">
        <w:rPr>
          <w:rFonts w:cstheme="minorHAnsi"/>
          <w:b/>
          <w:sz w:val="24"/>
          <w:szCs w:val="24"/>
        </w:rPr>
        <w:t>What</w:t>
      </w:r>
      <w:proofErr w:type="gramEnd"/>
      <w:r w:rsidRPr="001B5842">
        <w:rPr>
          <w:rFonts w:cstheme="minorHAnsi"/>
          <w:b/>
          <w:sz w:val="24"/>
          <w:szCs w:val="24"/>
        </w:rPr>
        <w:t xml:space="preserve"> process was used to identify the evidence?</w:t>
      </w:r>
    </w:p>
    <w:p w14:paraId="6D538EEC" w14:textId="77777777" w:rsidR="00D00606" w:rsidRPr="001B5842" w:rsidRDefault="00D00606" w:rsidP="00D00606">
      <w:pPr>
        <w:rPr>
          <w:rFonts w:cstheme="minorHAnsi"/>
          <w:sz w:val="24"/>
          <w:szCs w:val="24"/>
        </w:rPr>
      </w:pPr>
      <w:r w:rsidRPr="001B5842">
        <w:rPr>
          <w:rFonts w:cstheme="minorHAnsi"/>
          <w:b/>
          <w:sz w:val="24"/>
          <w:szCs w:val="24"/>
        </w:rPr>
        <w:t>Routine PubMed Searches.</w:t>
      </w:r>
    </w:p>
    <w:p w14:paraId="399EECBF" w14:textId="77777777" w:rsidR="00D00606" w:rsidRPr="001B5842" w:rsidRDefault="00D00606" w:rsidP="00D00606">
      <w:pPr>
        <w:rPr>
          <w:rFonts w:cstheme="minorHAnsi"/>
          <w:b/>
          <w:sz w:val="24"/>
          <w:szCs w:val="24"/>
        </w:rPr>
      </w:pPr>
      <w:r w:rsidRPr="001B5842">
        <w:rPr>
          <w:rFonts w:cstheme="minorHAnsi"/>
          <w:b/>
          <w:color w:val="0000FF"/>
          <w:sz w:val="24"/>
          <w:szCs w:val="24"/>
        </w:rPr>
        <w:t>1a.4.3.</w:t>
      </w:r>
      <w:r w:rsidRPr="001B5842">
        <w:rPr>
          <w:rFonts w:cstheme="minorHAnsi"/>
          <w:color w:val="0070C0"/>
          <w:sz w:val="24"/>
          <w:szCs w:val="24"/>
        </w:rPr>
        <w:t xml:space="preserve"> </w:t>
      </w:r>
      <w:r w:rsidRPr="001B5842">
        <w:rPr>
          <w:rFonts w:cstheme="minorHAnsi"/>
          <w:b/>
          <w:sz w:val="24"/>
          <w:szCs w:val="24"/>
        </w:rPr>
        <w:t>Provide the citation(s) for the evidence.</w:t>
      </w:r>
    </w:p>
    <w:p w14:paraId="20ED1C5A" w14:textId="77777777" w:rsidR="00D00606" w:rsidRPr="001B5842" w:rsidRDefault="00D00606" w:rsidP="00D00606">
      <w:pPr>
        <w:rPr>
          <w:rFonts w:cstheme="minorHAnsi"/>
          <w:sz w:val="24"/>
          <w:szCs w:val="24"/>
        </w:rPr>
      </w:pPr>
      <w:r w:rsidRPr="001B5842">
        <w:rPr>
          <w:rFonts w:cstheme="minorHAnsi"/>
          <w:sz w:val="24"/>
          <w:szCs w:val="24"/>
        </w:rPr>
        <w:t xml:space="preserve">Selected References: </w:t>
      </w:r>
    </w:p>
    <w:p w14:paraId="43656EAE" w14:textId="77777777" w:rsidR="00D00606" w:rsidRPr="001B5842" w:rsidRDefault="00D00606" w:rsidP="00D00606">
      <w:pPr>
        <w:rPr>
          <w:rFonts w:cstheme="minorHAnsi"/>
          <w:sz w:val="24"/>
          <w:szCs w:val="24"/>
        </w:rPr>
      </w:pPr>
      <w:r w:rsidRPr="001B5842">
        <w:rPr>
          <w:rFonts w:cstheme="minorHAnsi"/>
          <w:sz w:val="24"/>
          <w:szCs w:val="24"/>
        </w:rPr>
        <w:t xml:space="preserve">Baldwin LM, </w:t>
      </w:r>
      <w:proofErr w:type="spellStart"/>
      <w:r w:rsidRPr="001B5842">
        <w:rPr>
          <w:rFonts w:cstheme="minorHAnsi"/>
          <w:sz w:val="24"/>
          <w:szCs w:val="24"/>
        </w:rPr>
        <w:t>MacLehose</w:t>
      </w:r>
      <w:proofErr w:type="spellEnd"/>
      <w:r w:rsidRPr="001B5842">
        <w:rPr>
          <w:rFonts w:cstheme="minorHAnsi"/>
          <w:sz w:val="24"/>
          <w:szCs w:val="24"/>
        </w:rPr>
        <w:t xml:space="preserve"> RF, Hart LG, Beaver SK, Every N, Chan L. Quality of care for acute myocardial infarction in rural and urban US hospitals. J Rural Health 2004 Spring</w:t>
      </w:r>
      <w:proofErr w:type="gramStart"/>
      <w:r w:rsidRPr="001B5842">
        <w:rPr>
          <w:rFonts w:cstheme="minorHAnsi"/>
          <w:sz w:val="24"/>
          <w:szCs w:val="24"/>
        </w:rPr>
        <w:t>;20</w:t>
      </w:r>
      <w:proofErr w:type="gramEnd"/>
      <w:r w:rsidRPr="001B5842">
        <w:rPr>
          <w:rFonts w:cstheme="minorHAnsi"/>
          <w:sz w:val="24"/>
          <w:szCs w:val="24"/>
        </w:rPr>
        <w:t xml:space="preserve">(2):99-108. </w:t>
      </w:r>
    </w:p>
    <w:p w14:paraId="2553D5B7" w14:textId="77777777" w:rsidR="00D00606" w:rsidRPr="001B5842" w:rsidRDefault="00D00606" w:rsidP="00D00606">
      <w:pPr>
        <w:rPr>
          <w:rFonts w:cstheme="minorHAnsi"/>
          <w:sz w:val="24"/>
          <w:szCs w:val="24"/>
        </w:rPr>
      </w:pPr>
      <w:r w:rsidRPr="001B5842">
        <w:rPr>
          <w:rFonts w:cstheme="minorHAnsi"/>
          <w:sz w:val="24"/>
          <w:szCs w:val="24"/>
        </w:rPr>
        <w:t>Cortes TA, Wexler S, Fitzpatrick JJ. The transition of elderly patients between hospitals and nursing homes. Improving nurse-</w:t>
      </w:r>
      <w:proofErr w:type="spellStart"/>
      <w:r w:rsidRPr="001B5842">
        <w:rPr>
          <w:rFonts w:cstheme="minorHAnsi"/>
          <w:sz w:val="24"/>
          <w:szCs w:val="24"/>
        </w:rPr>
        <w:t>tonurse</w:t>
      </w:r>
      <w:proofErr w:type="spellEnd"/>
      <w:r w:rsidRPr="001B5842">
        <w:rPr>
          <w:rFonts w:cstheme="minorHAnsi"/>
          <w:sz w:val="24"/>
          <w:szCs w:val="24"/>
        </w:rPr>
        <w:t xml:space="preserve"> communication. J </w:t>
      </w:r>
      <w:proofErr w:type="spellStart"/>
      <w:r w:rsidRPr="001B5842">
        <w:rPr>
          <w:rFonts w:cstheme="minorHAnsi"/>
          <w:sz w:val="24"/>
          <w:szCs w:val="24"/>
        </w:rPr>
        <w:t>Gerontol</w:t>
      </w:r>
      <w:proofErr w:type="spellEnd"/>
      <w:r w:rsidRPr="001B5842">
        <w:rPr>
          <w:rFonts w:cstheme="minorHAnsi"/>
          <w:sz w:val="24"/>
          <w:szCs w:val="24"/>
        </w:rPr>
        <w:t xml:space="preserve"> </w:t>
      </w:r>
      <w:proofErr w:type="spellStart"/>
      <w:r w:rsidRPr="001B5842">
        <w:rPr>
          <w:rFonts w:cstheme="minorHAnsi"/>
          <w:sz w:val="24"/>
          <w:szCs w:val="24"/>
        </w:rPr>
        <w:t>Nurs</w:t>
      </w:r>
      <w:proofErr w:type="spellEnd"/>
      <w:r w:rsidRPr="001B5842">
        <w:rPr>
          <w:rFonts w:cstheme="minorHAnsi"/>
          <w:sz w:val="24"/>
          <w:szCs w:val="24"/>
        </w:rPr>
        <w:t xml:space="preserve"> 2004 Jun</w:t>
      </w:r>
      <w:proofErr w:type="gramStart"/>
      <w:r w:rsidRPr="001B5842">
        <w:rPr>
          <w:rFonts w:cstheme="minorHAnsi"/>
          <w:sz w:val="24"/>
          <w:szCs w:val="24"/>
        </w:rPr>
        <w:t>;30</w:t>
      </w:r>
      <w:proofErr w:type="gramEnd"/>
      <w:r w:rsidRPr="001B5842">
        <w:rPr>
          <w:rFonts w:cstheme="minorHAnsi"/>
          <w:sz w:val="24"/>
          <w:szCs w:val="24"/>
        </w:rPr>
        <w:t xml:space="preserve">(6):10-5; quiz 52-3. [5 references] </w:t>
      </w:r>
    </w:p>
    <w:p w14:paraId="1C3A926B" w14:textId="77777777" w:rsidR="00D00606" w:rsidRPr="001B5842" w:rsidRDefault="00D00606" w:rsidP="00D00606">
      <w:pPr>
        <w:rPr>
          <w:rFonts w:cstheme="minorHAnsi"/>
          <w:sz w:val="24"/>
          <w:szCs w:val="24"/>
        </w:rPr>
      </w:pPr>
      <w:proofErr w:type="spellStart"/>
      <w:r w:rsidRPr="001B5842">
        <w:rPr>
          <w:rFonts w:cstheme="minorHAnsi"/>
          <w:sz w:val="24"/>
          <w:szCs w:val="24"/>
        </w:rPr>
        <w:t>Ellerbeck</w:t>
      </w:r>
      <w:proofErr w:type="spellEnd"/>
      <w:r w:rsidRPr="001B5842">
        <w:rPr>
          <w:rFonts w:cstheme="minorHAnsi"/>
          <w:sz w:val="24"/>
          <w:szCs w:val="24"/>
        </w:rPr>
        <w:t xml:space="preserve"> EF, </w:t>
      </w:r>
      <w:proofErr w:type="spellStart"/>
      <w:r w:rsidRPr="001B5842">
        <w:rPr>
          <w:rFonts w:cstheme="minorHAnsi"/>
          <w:sz w:val="24"/>
          <w:szCs w:val="24"/>
        </w:rPr>
        <w:t>Bhimaraj</w:t>
      </w:r>
      <w:proofErr w:type="spellEnd"/>
      <w:r w:rsidRPr="001B5842">
        <w:rPr>
          <w:rFonts w:cstheme="minorHAnsi"/>
          <w:sz w:val="24"/>
          <w:szCs w:val="24"/>
        </w:rPr>
        <w:t xml:space="preserve"> A, </w:t>
      </w:r>
      <w:proofErr w:type="spellStart"/>
      <w:r w:rsidRPr="001B5842">
        <w:rPr>
          <w:rFonts w:cstheme="minorHAnsi"/>
          <w:sz w:val="24"/>
          <w:szCs w:val="24"/>
        </w:rPr>
        <w:t>Perpich</w:t>
      </w:r>
      <w:proofErr w:type="spellEnd"/>
      <w:r w:rsidRPr="001B5842">
        <w:rPr>
          <w:rFonts w:cstheme="minorHAnsi"/>
          <w:sz w:val="24"/>
          <w:szCs w:val="24"/>
        </w:rPr>
        <w:t xml:space="preserve"> D. Organization of care for acute myocardial infarction in rural and urban hospitals in Kansas. J Rural Health 2004 Fall</w:t>
      </w:r>
      <w:proofErr w:type="gramStart"/>
      <w:r w:rsidRPr="001B5842">
        <w:rPr>
          <w:rFonts w:cstheme="minorHAnsi"/>
          <w:sz w:val="24"/>
          <w:szCs w:val="24"/>
        </w:rPr>
        <w:t>;20</w:t>
      </w:r>
      <w:proofErr w:type="gramEnd"/>
      <w:r w:rsidRPr="001B5842">
        <w:rPr>
          <w:rFonts w:cstheme="minorHAnsi"/>
          <w:sz w:val="24"/>
          <w:szCs w:val="24"/>
        </w:rPr>
        <w:t xml:space="preserve">(4):363-7. </w:t>
      </w:r>
    </w:p>
    <w:p w14:paraId="0E0FCA8C" w14:textId="77777777" w:rsidR="00D00606" w:rsidRPr="001B5842" w:rsidRDefault="00D00606" w:rsidP="00D00606">
      <w:pPr>
        <w:rPr>
          <w:rFonts w:cstheme="minorHAnsi"/>
          <w:sz w:val="24"/>
          <w:szCs w:val="24"/>
        </w:rPr>
      </w:pPr>
      <w:r w:rsidRPr="001B5842">
        <w:rPr>
          <w:rFonts w:cstheme="minorHAnsi"/>
          <w:sz w:val="24"/>
          <w:szCs w:val="24"/>
        </w:rPr>
        <w:t xml:space="preserve">Joint Commission on Accreditation of Healthcare Organizations. Sentinel events statistics. [Internet]. [Accessed 2007 Jul 18]. </w:t>
      </w:r>
    </w:p>
    <w:p w14:paraId="0EDA0EC4" w14:textId="77777777" w:rsidR="00D00606" w:rsidRPr="001B5842" w:rsidRDefault="00D00606" w:rsidP="00D00606">
      <w:pPr>
        <w:rPr>
          <w:rFonts w:cstheme="minorHAnsi"/>
          <w:sz w:val="24"/>
          <w:szCs w:val="24"/>
        </w:rPr>
      </w:pPr>
      <w:r w:rsidRPr="001B5842">
        <w:rPr>
          <w:rFonts w:cstheme="minorHAnsi"/>
          <w:sz w:val="24"/>
          <w:szCs w:val="24"/>
        </w:rPr>
        <w:t xml:space="preserve">Klingner J, </w:t>
      </w:r>
      <w:proofErr w:type="spellStart"/>
      <w:r w:rsidRPr="001B5842">
        <w:rPr>
          <w:rFonts w:cstheme="minorHAnsi"/>
          <w:sz w:val="24"/>
          <w:szCs w:val="24"/>
        </w:rPr>
        <w:t>Moscovice</w:t>
      </w:r>
      <w:proofErr w:type="spellEnd"/>
      <w:r w:rsidRPr="001B5842">
        <w:rPr>
          <w:rFonts w:cstheme="minorHAnsi"/>
          <w:sz w:val="24"/>
          <w:szCs w:val="24"/>
        </w:rPr>
        <w:t xml:space="preserve"> I, Washington Rural Healthcare Quality Network and </w:t>
      </w:r>
      <w:proofErr w:type="spellStart"/>
      <w:r w:rsidRPr="001B5842">
        <w:rPr>
          <w:rFonts w:cstheme="minorHAnsi"/>
          <w:sz w:val="24"/>
          <w:szCs w:val="24"/>
        </w:rPr>
        <w:t>Stratis</w:t>
      </w:r>
      <w:proofErr w:type="spellEnd"/>
      <w:r w:rsidRPr="001B5842">
        <w:rPr>
          <w:rFonts w:cstheme="minorHAnsi"/>
          <w:sz w:val="24"/>
          <w:szCs w:val="24"/>
        </w:rPr>
        <w:t xml:space="preserve"> Health, Minnesota Quality Improvement Organization. Rural hospital emergency department quality measures: aggregate data report. Minneapolis (MN): University of Minnesota, Division of Health Services Research &amp; Policy; 2007 Mar. 12 p. (Flex Monitoring Team data summary report; no. 3). </w:t>
      </w:r>
    </w:p>
    <w:p w14:paraId="5E7527A1" w14:textId="77777777" w:rsidR="00D00606" w:rsidRPr="001B5842" w:rsidRDefault="00D00606" w:rsidP="00D00606">
      <w:pPr>
        <w:rPr>
          <w:rFonts w:cstheme="minorHAnsi"/>
          <w:sz w:val="24"/>
          <w:szCs w:val="24"/>
        </w:rPr>
      </w:pPr>
      <w:r w:rsidRPr="001B5842">
        <w:rPr>
          <w:rFonts w:cstheme="minorHAnsi"/>
          <w:sz w:val="24"/>
          <w:szCs w:val="24"/>
        </w:rPr>
        <w:t xml:space="preserve">Klingner J, </w:t>
      </w:r>
      <w:proofErr w:type="spellStart"/>
      <w:r w:rsidRPr="001B5842">
        <w:rPr>
          <w:rFonts w:cstheme="minorHAnsi"/>
          <w:sz w:val="24"/>
          <w:szCs w:val="24"/>
        </w:rPr>
        <w:t>Moscovice</w:t>
      </w:r>
      <w:proofErr w:type="spellEnd"/>
      <w:r w:rsidRPr="001B5842">
        <w:rPr>
          <w:rFonts w:cstheme="minorHAnsi"/>
          <w:sz w:val="24"/>
          <w:szCs w:val="24"/>
        </w:rPr>
        <w:t xml:space="preserve"> I. Development and testing of emergency department patient transfer communication measures. J Rural Health 2012 Jan</w:t>
      </w:r>
      <w:proofErr w:type="gramStart"/>
      <w:r w:rsidRPr="001B5842">
        <w:rPr>
          <w:rFonts w:cstheme="minorHAnsi"/>
          <w:sz w:val="24"/>
          <w:szCs w:val="24"/>
        </w:rPr>
        <w:t>;28</w:t>
      </w:r>
      <w:proofErr w:type="gramEnd"/>
      <w:r w:rsidRPr="001B5842">
        <w:rPr>
          <w:rFonts w:cstheme="minorHAnsi"/>
          <w:sz w:val="24"/>
          <w:szCs w:val="24"/>
        </w:rPr>
        <w:t xml:space="preserve">(1):44-53. [16 references] </w:t>
      </w:r>
    </w:p>
    <w:p w14:paraId="4F7E2EB1" w14:textId="77777777" w:rsidR="00D00606" w:rsidRPr="001B5842" w:rsidRDefault="00D00606" w:rsidP="00D00606">
      <w:pPr>
        <w:rPr>
          <w:rFonts w:cstheme="minorHAnsi"/>
          <w:sz w:val="24"/>
          <w:szCs w:val="24"/>
        </w:rPr>
      </w:pPr>
      <w:proofErr w:type="spellStart"/>
      <w:r w:rsidRPr="001B5842">
        <w:rPr>
          <w:rFonts w:cstheme="minorHAnsi"/>
          <w:sz w:val="24"/>
          <w:szCs w:val="24"/>
        </w:rPr>
        <w:t>Kripalani</w:t>
      </w:r>
      <w:proofErr w:type="spellEnd"/>
      <w:r w:rsidRPr="001B5842">
        <w:rPr>
          <w:rFonts w:cstheme="minorHAnsi"/>
          <w:sz w:val="24"/>
          <w:szCs w:val="24"/>
        </w:rPr>
        <w:t xml:space="preserve"> S, </w:t>
      </w:r>
      <w:proofErr w:type="spellStart"/>
      <w:r w:rsidRPr="001B5842">
        <w:rPr>
          <w:rFonts w:cstheme="minorHAnsi"/>
          <w:sz w:val="24"/>
          <w:szCs w:val="24"/>
        </w:rPr>
        <w:t>Lefevre</w:t>
      </w:r>
      <w:proofErr w:type="spellEnd"/>
      <w:r w:rsidRPr="001B5842">
        <w:rPr>
          <w:rFonts w:cstheme="minorHAnsi"/>
          <w:sz w:val="24"/>
          <w:szCs w:val="24"/>
        </w:rPr>
        <w:t xml:space="preserve"> F, Phillips CO, Williams MV, </w:t>
      </w:r>
      <w:proofErr w:type="spellStart"/>
      <w:r w:rsidRPr="001B5842">
        <w:rPr>
          <w:rFonts w:cstheme="minorHAnsi"/>
          <w:sz w:val="24"/>
          <w:szCs w:val="24"/>
        </w:rPr>
        <w:t>Basaviah</w:t>
      </w:r>
      <w:proofErr w:type="spellEnd"/>
      <w:r w:rsidRPr="001B5842">
        <w:rPr>
          <w:rFonts w:cstheme="minorHAnsi"/>
          <w:sz w:val="24"/>
          <w:szCs w:val="24"/>
        </w:rPr>
        <w:t xml:space="preserve"> P, Baker DW. Deficits in communication and information transfer between hospital-based and primary care physicians: implications for patient safety and continuity of care. JAMA 2007 Feb 28</w:t>
      </w:r>
      <w:proofErr w:type="gramStart"/>
      <w:r w:rsidRPr="001B5842">
        <w:rPr>
          <w:rFonts w:cstheme="minorHAnsi"/>
          <w:sz w:val="24"/>
          <w:szCs w:val="24"/>
        </w:rPr>
        <w:t>;297</w:t>
      </w:r>
      <w:proofErr w:type="gramEnd"/>
      <w:r w:rsidRPr="001B5842">
        <w:rPr>
          <w:rFonts w:cstheme="minorHAnsi"/>
          <w:sz w:val="24"/>
          <w:szCs w:val="24"/>
        </w:rPr>
        <w:t xml:space="preserve">(8):831-41. [133 references] </w:t>
      </w:r>
    </w:p>
    <w:p w14:paraId="36D22906" w14:textId="77777777" w:rsidR="00D00606" w:rsidRPr="001B5842" w:rsidRDefault="00D00606" w:rsidP="00D00606">
      <w:pPr>
        <w:rPr>
          <w:rFonts w:cstheme="minorHAnsi"/>
          <w:sz w:val="24"/>
          <w:szCs w:val="24"/>
        </w:rPr>
      </w:pPr>
      <w:proofErr w:type="spellStart"/>
      <w:r w:rsidRPr="001B5842">
        <w:rPr>
          <w:rFonts w:cstheme="minorHAnsi"/>
          <w:sz w:val="24"/>
          <w:szCs w:val="24"/>
        </w:rPr>
        <w:t>Newgard</w:t>
      </w:r>
      <w:proofErr w:type="spellEnd"/>
      <w:r w:rsidRPr="001B5842">
        <w:rPr>
          <w:rFonts w:cstheme="minorHAnsi"/>
          <w:sz w:val="24"/>
          <w:szCs w:val="24"/>
        </w:rPr>
        <w:t xml:space="preserve"> CD, McConnell KJ, Hedges JR. Variability of trauma transfer practices among non-tertiary care hospital emergency departments. </w:t>
      </w:r>
      <w:proofErr w:type="spellStart"/>
      <w:r w:rsidRPr="001B5842">
        <w:rPr>
          <w:rFonts w:cstheme="minorHAnsi"/>
          <w:sz w:val="24"/>
          <w:szCs w:val="24"/>
        </w:rPr>
        <w:t>Acad</w:t>
      </w:r>
      <w:proofErr w:type="spellEnd"/>
      <w:r w:rsidRPr="001B5842">
        <w:rPr>
          <w:rFonts w:cstheme="minorHAnsi"/>
          <w:sz w:val="24"/>
          <w:szCs w:val="24"/>
        </w:rPr>
        <w:t xml:space="preserve"> </w:t>
      </w:r>
      <w:proofErr w:type="spellStart"/>
      <w:r w:rsidRPr="001B5842">
        <w:rPr>
          <w:rFonts w:cstheme="minorHAnsi"/>
          <w:sz w:val="24"/>
          <w:szCs w:val="24"/>
        </w:rPr>
        <w:t>Emerg</w:t>
      </w:r>
      <w:proofErr w:type="spellEnd"/>
      <w:r w:rsidRPr="001B5842">
        <w:rPr>
          <w:rFonts w:cstheme="minorHAnsi"/>
          <w:sz w:val="24"/>
          <w:szCs w:val="24"/>
        </w:rPr>
        <w:t xml:space="preserve"> Med 2006 Jul</w:t>
      </w:r>
      <w:proofErr w:type="gramStart"/>
      <w:r w:rsidRPr="001B5842">
        <w:rPr>
          <w:rFonts w:cstheme="minorHAnsi"/>
          <w:sz w:val="24"/>
          <w:szCs w:val="24"/>
        </w:rPr>
        <w:t>;13</w:t>
      </w:r>
      <w:proofErr w:type="gramEnd"/>
      <w:r w:rsidRPr="001B5842">
        <w:rPr>
          <w:rFonts w:cstheme="minorHAnsi"/>
          <w:sz w:val="24"/>
          <w:szCs w:val="24"/>
        </w:rPr>
        <w:t xml:space="preserve">(7):746-54. </w:t>
      </w:r>
    </w:p>
    <w:p w14:paraId="377C9429" w14:textId="77777777" w:rsidR="00D00606" w:rsidRPr="001B5842" w:rsidRDefault="00D00606" w:rsidP="00D00606">
      <w:pPr>
        <w:rPr>
          <w:rFonts w:cstheme="minorHAnsi"/>
          <w:sz w:val="24"/>
          <w:szCs w:val="24"/>
        </w:rPr>
      </w:pPr>
      <w:r w:rsidRPr="001B5842">
        <w:rPr>
          <w:rFonts w:cstheme="minorHAnsi"/>
          <w:sz w:val="24"/>
          <w:szCs w:val="24"/>
        </w:rPr>
        <w:t xml:space="preserve">University of Minnesota Rural Health Research Center, </w:t>
      </w:r>
      <w:proofErr w:type="spellStart"/>
      <w:r w:rsidRPr="001B5842">
        <w:rPr>
          <w:rFonts w:cstheme="minorHAnsi"/>
          <w:sz w:val="24"/>
          <w:szCs w:val="24"/>
        </w:rPr>
        <w:t>Stratis</w:t>
      </w:r>
      <w:proofErr w:type="spellEnd"/>
      <w:r w:rsidRPr="001B5842">
        <w:rPr>
          <w:rFonts w:cstheme="minorHAnsi"/>
          <w:sz w:val="24"/>
          <w:szCs w:val="24"/>
        </w:rPr>
        <w:t xml:space="preserve"> Health (Minnesota's Quality Improvement Organization), </w:t>
      </w:r>
      <w:proofErr w:type="spellStart"/>
      <w:r w:rsidRPr="001B5842">
        <w:rPr>
          <w:rFonts w:cstheme="minorHAnsi"/>
          <w:sz w:val="24"/>
          <w:szCs w:val="24"/>
        </w:rPr>
        <w:t>HealthInsight</w:t>
      </w:r>
      <w:proofErr w:type="spellEnd"/>
      <w:r w:rsidRPr="001B5842">
        <w:rPr>
          <w:rFonts w:cstheme="minorHAnsi"/>
          <w:sz w:val="24"/>
          <w:szCs w:val="24"/>
        </w:rPr>
        <w:t xml:space="preserve"> (Nevada and Utah's Quality Improvement Organization). Refining and field testing a relevant set of quality measures for rural hospitals. Final report submitted to the Centers for Medicare &amp; Medicaid Services under contract no. 500-02-MN01. Bloomington (MN): </w:t>
      </w:r>
      <w:proofErr w:type="spellStart"/>
      <w:r w:rsidRPr="001B5842">
        <w:rPr>
          <w:rFonts w:cstheme="minorHAnsi"/>
          <w:sz w:val="24"/>
          <w:szCs w:val="24"/>
        </w:rPr>
        <w:t>Stratis</w:t>
      </w:r>
      <w:proofErr w:type="spellEnd"/>
      <w:r w:rsidRPr="001B5842">
        <w:rPr>
          <w:rFonts w:cstheme="minorHAnsi"/>
          <w:sz w:val="24"/>
          <w:szCs w:val="24"/>
        </w:rPr>
        <w:t xml:space="preserve"> Health; 2005 Jun 30. US Department of Health and Human Services. Hospital Compare Web site. [Web site]. [Accessed 2011 Feb 25]. </w:t>
      </w:r>
    </w:p>
    <w:p w14:paraId="414CBF96" w14:textId="77777777" w:rsidR="00D00606" w:rsidRPr="001B5842" w:rsidRDefault="00D00606" w:rsidP="00D00606">
      <w:pPr>
        <w:rPr>
          <w:rFonts w:cstheme="minorHAnsi"/>
          <w:sz w:val="24"/>
          <w:szCs w:val="24"/>
        </w:rPr>
      </w:pPr>
      <w:r w:rsidRPr="001B5842">
        <w:rPr>
          <w:rFonts w:cstheme="minorHAnsi"/>
          <w:sz w:val="24"/>
          <w:szCs w:val="24"/>
        </w:rPr>
        <w:t xml:space="preserve">Wakefield DS, Ward M, Miller T, </w:t>
      </w:r>
      <w:proofErr w:type="spellStart"/>
      <w:r w:rsidRPr="001B5842">
        <w:rPr>
          <w:rFonts w:cstheme="minorHAnsi"/>
          <w:sz w:val="24"/>
          <w:szCs w:val="24"/>
        </w:rPr>
        <w:t>Ohsfeldt</w:t>
      </w:r>
      <w:proofErr w:type="spellEnd"/>
      <w:r w:rsidRPr="001B5842">
        <w:rPr>
          <w:rFonts w:cstheme="minorHAnsi"/>
          <w:sz w:val="24"/>
          <w:szCs w:val="24"/>
        </w:rPr>
        <w:t xml:space="preserve"> R, </w:t>
      </w:r>
      <w:proofErr w:type="spellStart"/>
      <w:r w:rsidRPr="001B5842">
        <w:rPr>
          <w:rFonts w:cstheme="minorHAnsi"/>
          <w:sz w:val="24"/>
          <w:szCs w:val="24"/>
        </w:rPr>
        <w:t>Jaana</w:t>
      </w:r>
      <w:proofErr w:type="spellEnd"/>
      <w:r w:rsidRPr="001B5842">
        <w:rPr>
          <w:rFonts w:cstheme="minorHAnsi"/>
          <w:sz w:val="24"/>
          <w:szCs w:val="24"/>
        </w:rPr>
        <w:t xml:space="preserve"> M, Lei Y, Tracy R, Schneider J. Intensive care unit utilization and </w:t>
      </w:r>
      <w:proofErr w:type="spellStart"/>
      <w:r w:rsidRPr="001B5842">
        <w:rPr>
          <w:rFonts w:cstheme="minorHAnsi"/>
          <w:sz w:val="24"/>
          <w:szCs w:val="24"/>
        </w:rPr>
        <w:t>interhospital</w:t>
      </w:r>
      <w:proofErr w:type="spellEnd"/>
      <w:r w:rsidRPr="001B5842">
        <w:rPr>
          <w:rFonts w:cstheme="minorHAnsi"/>
          <w:sz w:val="24"/>
          <w:szCs w:val="24"/>
        </w:rPr>
        <w:t xml:space="preserve"> transfers as potential indicators of rural hospital quality. J Rural Health 2004 Fall</w:t>
      </w:r>
      <w:proofErr w:type="gramStart"/>
      <w:r w:rsidRPr="001B5842">
        <w:rPr>
          <w:rFonts w:cstheme="minorHAnsi"/>
          <w:sz w:val="24"/>
          <w:szCs w:val="24"/>
        </w:rPr>
        <w:t>;20</w:t>
      </w:r>
      <w:proofErr w:type="gramEnd"/>
      <w:r w:rsidRPr="001B5842">
        <w:rPr>
          <w:rFonts w:cstheme="minorHAnsi"/>
          <w:sz w:val="24"/>
          <w:szCs w:val="24"/>
        </w:rPr>
        <w:t xml:space="preserve">(4):394-400. </w:t>
      </w:r>
    </w:p>
    <w:p w14:paraId="385EBD67" w14:textId="77777777" w:rsidR="00D00606" w:rsidRPr="001B5842" w:rsidRDefault="00D00606" w:rsidP="00D00606">
      <w:pPr>
        <w:rPr>
          <w:rFonts w:cstheme="minorHAnsi"/>
          <w:sz w:val="24"/>
          <w:szCs w:val="24"/>
        </w:rPr>
      </w:pPr>
      <w:r w:rsidRPr="001B5842">
        <w:rPr>
          <w:rFonts w:cstheme="minorHAnsi"/>
          <w:sz w:val="24"/>
          <w:szCs w:val="24"/>
        </w:rPr>
        <w:t xml:space="preserve">Westfall JM, Van Vorst RF, </w:t>
      </w:r>
      <w:proofErr w:type="spellStart"/>
      <w:r w:rsidRPr="001B5842">
        <w:rPr>
          <w:rFonts w:cstheme="minorHAnsi"/>
          <w:sz w:val="24"/>
          <w:szCs w:val="24"/>
        </w:rPr>
        <w:t>McGloin</w:t>
      </w:r>
      <w:proofErr w:type="spellEnd"/>
      <w:r w:rsidRPr="001B5842">
        <w:rPr>
          <w:rFonts w:cstheme="minorHAnsi"/>
          <w:sz w:val="24"/>
          <w:szCs w:val="24"/>
        </w:rPr>
        <w:t xml:space="preserve"> J, </w:t>
      </w:r>
      <w:proofErr w:type="spellStart"/>
      <w:r w:rsidRPr="001B5842">
        <w:rPr>
          <w:rFonts w:cstheme="minorHAnsi"/>
          <w:sz w:val="24"/>
          <w:szCs w:val="24"/>
        </w:rPr>
        <w:t>Selker</w:t>
      </w:r>
      <w:proofErr w:type="spellEnd"/>
      <w:r w:rsidRPr="001B5842">
        <w:rPr>
          <w:rFonts w:cstheme="minorHAnsi"/>
          <w:sz w:val="24"/>
          <w:szCs w:val="24"/>
        </w:rPr>
        <w:t xml:space="preserve"> HP. Triage and diagnosis of chest pain in rural hospitals: implementation of the ACI-TIPI in the High Plains Research Network. Ann Fam Med 2006 Mar-Apr</w:t>
      </w:r>
      <w:proofErr w:type="gramStart"/>
      <w:r w:rsidRPr="001B5842">
        <w:rPr>
          <w:rFonts w:cstheme="minorHAnsi"/>
          <w:sz w:val="24"/>
          <w:szCs w:val="24"/>
        </w:rPr>
        <w:t>;4</w:t>
      </w:r>
      <w:proofErr w:type="gramEnd"/>
      <w:r w:rsidRPr="001B5842">
        <w:rPr>
          <w:rFonts w:cstheme="minorHAnsi"/>
          <w:sz w:val="24"/>
          <w:szCs w:val="24"/>
        </w:rPr>
        <w:t>(2):153-8.</w:t>
      </w:r>
    </w:p>
    <w:p w14:paraId="2594DF14" w14:textId="77777777" w:rsidR="00D00606" w:rsidRDefault="00D00606" w:rsidP="00D00606">
      <w:pPr>
        <w:rPr>
          <w:rStyle w:val="Hyperlink"/>
          <w:rFonts w:cstheme="minorHAnsi"/>
          <w:sz w:val="24"/>
          <w:szCs w:val="24"/>
        </w:rPr>
      </w:pPr>
      <w:hyperlink r:id="rId16" w:history="1">
        <w:r w:rsidRPr="001B5842">
          <w:rPr>
            <w:rStyle w:val="Hyperlink"/>
            <w:rFonts w:cstheme="minorHAnsi"/>
            <w:sz w:val="24"/>
            <w:szCs w:val="24"/>
          </w:rPr>
          <w:t>http://www.stratishealth.org/providers/ED_Transfer_Resources.html</w:t>
        </w:r>
      </w:hyperlink>
    </w:p>
    <w:p w14:paraId="5B3EC0C1" w14:textId="77777777" w:rsidR="00D00606" w:rsidRPr="0096090F" w:rsidRDefault="00D00606" w:rsidP="00D00606">
      <w:pPr>
        <w:rPr>
          <w:rStyle w:val="Hyperlink"/>
          <w:rFonts w:cstheme="minorHAnsi"/>
          <w:b/>
          <w:color w:val="C00000"/>
          <w:sz w:val="24"/>
          <w:szCs w:val="24"/>
        </w:rPr>
      </w:pPr>
      <w:r w:rsidRPr="0096090F">
        <w:rPr>
          <w:rStyle w:val="Hyperlink"/>
          <w:rFonts w:cstheme="minorHAnsi"/>
          <w:b/>
          <w:color w:val="C00000"/>
          <w:sz w:val="24"/>
          <w:szCs w:val="24"/>
        </w:rPr>
        <w:t>New references for 2019 submission</w:t>
      </w:r>
    </w:p>
    <w:p w14:paraId="117598B0" w14:textId="77777777" w:rsidR="00D00606" w:rsidRPr="00BF10AA" w:rsidRDefault="00D00606" w:rsidP="00D00606">
      <w:pPr>
        <w:pStyle w:val="Bibliography"/>
        <w:rPr>
          <w:rFonts w:ascii="Calibri" w:hAnsi="Calibri" w:cs="Calibri"/>
          <w:color w:val="C00000"/>
          <w:sz w:val="24"/>
        </w:rPr>
      </w:pPr>
      <w:r w:rsidRPr="00BF10AA">
        <w:rPr>
          <w:rFonts w:cstheme="minorHAnsi"/>
          <w:b/>
          <w:color w:val="C00000"/>
        </w:rPr>
        <w:fldChar w:fldCharType="begin"/>
      </w:r>
      <w:r w:rsidRPr="00BF10AA">
        <w:rPr>
          <w:rFonts w:cstheme="minorHAnsi"/>
          <w:b/>
          <w:color w:val="C00000"/>
        </w:rPr>
        <w:instrText xml:space="preserve"> ADDIN ZOTERO_BIBL {"uncited":[],"omitted":[],"custom":[]} CSL_BIBLIOGRAPHY </w:instrText>
      </w:r>
      <w:r w:rsidRPr="00BF10AA">
        <w:rPr>
          <w:rFonts w:cstheme="minorHAnsi"/>
          <w:b/>
          <w:color w:val="C00000"/>
        </w:rPr>
        <w:fldChar w:fldCharType="separate"/>
      </w:r>
      <w:r w:rsidRPr="00BF10AA">
        <w:rPr>
          <w:rFonts w:ascii="Calibri" w:hAnsi="Calibri" w:cs="Calibri"/>
          <w:color w:val="C00000"/>
          <w:sz w:val="24"/>
        </w:rPr>
        <w:t xml:space="preserve">Coleman, E. A., Parry, C., Chalmers, S., &amp; Min, S.-J. (2006). </w:t>
      </w:r>
      <w:proofErr w:type="gramStart"/>
      <w:r w:rsidRPr="00BF10AA">
        <w:rPr>
          <w:rFonts w:ascii="Calibri" w:hAnsi="Calibri" w:cs="Calibri"/>
          <w:color w:val="C00000"/>
          <w:sz w:val="24"/>
        </w:rPr>
        <w:t>The</w:t>
      </w:r>
      <w:proofErr w:type="gramEnd"/>
      <w:r w:rsidRPr="00BF10AA">
        <w:rPr>
          <w:rFonts w:ascii="Calibri" w:hAnsi="Calibri" w:cs="Calibri"/>
          <w:color w:val="C00000"/>
          <w:sz w:val="24"/>
        </w:rPr>
        <w:t xml:space="preserve"> care transitions intervention: Results of a randomized controlled trial. </w:t>
      </w:r>
      <w:r w:rsidRPr="00BF10AA">
        <w:rPr>
          <w:rFonts w:ascii="Calibri" w:hAnsi="Calibri" w:cs="Calibri"/>
          <w:i/>
          <w:iCs/>
          <w:color w:val="C00000"/>
          <w:sz w:val="24"/>
        </w:rPr>
        <w:t>Archives of Internal Medicine</w:t>
      </w:r>
      <w:r w:rsidRPr="00BF10AA">
        <w:rPr>
          <w:rFonts w:ascii="Calibri" w:hAnsi="Calibri" w:cs="Calibri"/>
          <w:color w:val="C00000"/>
          <w:sz w:val="24"/>
        </w:rPr>
        <w:t xml:space="preserve">, </w:t>
      </w:r>
      <w:r w:rsidRPr="00BF10AA">
        <w:rPr>
          <w:rFonts w:ascii="Calibri" w:hAnsi="Calibri" w:cs="Calibri"/>
          <w:i/>
          <w:iCs/>
          <w:color w:val="C00000"/>
          <w:sz w:val="24"/>
        </w:rPr>
        <w:t>166</w:t>
      </w:r>
      <w:r w:rsidRPr="00BF10AA">
        <w:rPr>
          <w:rFonts w:ascii="Calibri" w:hAnsi="Calibri" w:cs="Calibri"/>
          <w:color w:val="C00000"/>
          <w:sz w:val="24"/>
        </w:rPr>
        <w:t>(17), 1822–1828. https://doi.org/10.1001/archinte.166.17.1822</w:t>
      </w:r>
    </w:p>
    <w:p w14:paraId="676F52FB" w14:textId="77777777" w:rsidR="00D00606" w:rsidRPr="00BF10AA" w:rsidRDefault="00D00606" w:rsidP="00D00606">
      <w:pPr>
        <w:pStyle w:val="Bibliography"/>
        <w:rPr>
          <w:rFonts w:ascii="Calibri" w:hAnsi="Calibri" w:cs="Calibri"/>
          <w:color w:val="C00000"/>
          <w:sz w:val="24"/>
        </w:rPr>
      </w:pPr>
      <w:proofErr w:type="spellStart"/>
      <w:r w:rsidRPr="00BF10AA">
        <w:rPr>
          <w:rFonts w:ascii="Calibri" w:hAnsi="Calibri" w:cs="Calibri"/>
          <w:color w:val="C00000"/>
          <w:sz w:val="24"/>
        </w:rPr>
        <w:t>Golestanian</w:t>
      </w:r>
      <w:proofErr w:type="spellEnd"/>
      <w:r w:rsidRPr="00BF10AA">
        <w:rPr>
          <w:rFonts w:ascii="Calibri" w:hAnsi="Calibri" w:cs="Calibri"/>
          <w:color w:val="C00000"/>
          <w:sz w:val="24"/>
        </w:rPr>
        <w:t xml:space="preserve">, E., Scruggs, J. E., </w:t>
      </w:r>
      <w:proofErr w:type="spellStart"/>
      <w:r w:rsidRPr="00BF10AA">
        <w:rPr>
          <w:rFonts w:ascii="Calibri" w:hAnsi="Calibri" w:cs="Calibri"/>
          <w:color w:val="C00000"/>
          <w:sz w:val="24"/>
        </w:rPr>
        <w:t>Gangnon</w:t>
      </w:r>
      <w:proofErr w:type="spellEnd"/>
      <w:r w:rsidRPr="00BF10AA">
        <w:rPr>
          <w:rFonts w:ascii="Calibri" w:hAnsi="Calibri" w:cs="Calibri"/>
          <w:color w:val="C00000"/>
          <w:sz w:val="24"/>
        </w:rPr>
        <w:t xml:space="preserve">, R. E., </w:t>
      </w:r>
      <w:proofErr w:type="spellStart"/>
      <w:r w:rsidRPr="00BF10AA">
        <w:rPr>
          <w:rFonts w:ascii="Calibri" w:hAnsi="Calibri" w:cs="Calibri"/>
          <w:color w:val="C00000"/>
          <w:sz w:val="24"/>
        </w:rPr>
        <w:t>Mak</w:t>
      </w:r>
      <w:proofErr w:type="spellEnd"/>
      <w:r w:rsidRPr="00BF10AA">
        <w:rPr>
          <w:rFonts w:ascii="Calibri" w:hAnsi="Calibri" w:cs="Calibri"/>
          <w:color w:val="C00000"/>
          <w:sz w:val="24"/>
        </w:rPr>
        <w:t xml:space="preserve">, R. P., &amp; Wood, K. E. (2007). Effect of </w:t>
      </w:r>
      <w:proofErr w:type="spellStart"/>
      <w:r w:rsidRPr="00BF10AA">
        <w:rPr>
          <w:rFonts w:ascii="Calibri" w:hAnsi="Calibri" w:cs="Calibri"/>
          <w:color w:val="C00000"/>
          <w:sz w:val="24"/>
        </w:rPr>
        <w:t>interhospital</w:t>
      </w:r>
      <w:proofErr w:type="spellEnd"/>
      <w:r w:rsidRPr="00BF10AA">
        <w:rPr>
          <w:rFonts w:ascii="Calibri" w:hAnsi="Calibri" w:cs="Calibri"/>
          <w:color w:val="C00000"/>
          <w:sz w:val="24"/>
        </w:rPr>
        <w:t xml:space="preserve"> transfer on resource utilization and outcomes at a tertiary care referral center. </w:t>
      </w:r>
      <w:r w:rsidRPr="00BF10AA">
        <w:rPr>
          <w:rFonts w:ascii="Calibri" w:hAnsi="Calibri" w:cs="Calibri"/>
          <w:i/>
          <w:iCs/>
          <w:color w:val="C00000"/>
          <w:sz w:val="24"/>
        </w:rPr>
        <w:t>Critical Care Medicine</w:t>
      </w:r>
      <w:r w:rsidRPr="00BF10AA">
        <w:rPr>
          <w:rFonts w:ascii="Calibri" w:hAnsi="Calibri" w:cs="Calibri"/>
          <w:color w:val="C00000"/>
          <w:sz w:val="24"/>
        </w:rPr>
        <w:t xml:space="preserve">, </w:t>
      </w:r>
      <w:r w:rsidRPr="00BF10AA">
        <w:rPr>
          <w:rFonts w:ascii="Calibri" w:hAnsi="Calibri" w:cs="Calibri"/>
          <w:i/>
          <w:iCs/>
          <w:color w:val="C00000"/>
          <w:sz w:val="24"/>
        </w:rPr>
        <w:t>35</w:t>
      </w:r>
      <w:r w:rsidRPr="00BF10AA">
        <w:rPr>
          <w:rFonts w:ascii="Calibri" w:hAnsi="Calibri" w:cs="Calibri"/>
          <w:color w:val="C00000"/>
          <w:sz w:val="24"/>
        </w:rPr>
        <w:t>(6), 1470–1476. https://doi.org/10.1097/01.CCM.0000265741.16192.D9</w:t>
      </w:r>
    </w:p>
    <w:p w14:paraId="34CF461E" w14:textId="77777777" w:rsidR="00D00606" w:rsidRPr="00BF10AA" w:rsidRDefault="00D00606" w:rsidP="00D00606">
      <w:pPr>
        <w:pStyle w:val="Bibliography"/>
        <w:rPr>
          <w:rFonts w:ascii="Calibri" w:hAnsi="Calibri" w:cs="Calibri"/>
          <w:color w:val="C00000"/>
          <w:sz w:val="24"/>
        </w:rPr>
      </w:pPr>
      <w:proofErr w:type="spellStart"/>
      <w:r w:rsidRPr="00BF10AA">
        <w:rPr>
          <w:rFonts w:ascii="Calibri" w:hAnsi="Calibri" w:cs="Calibri"/>
          <w:color w:val="C00000"/>
          <w:sz w:val="24"/>
        </w:rPr>
        <w:t>Hains</w:t>
      </w:r>
      <w:proofErr w:type="spellEnd"/>
      <w:r w:rsidRPr="00BF10AA">
        <w:rPr>
          <w:rFonts w:ascii="Calibri" w:hAnsi="Calibri" w:cs="Calibri"/>
          <w:color w:val="C00000"/>
          <w:sz w:val="24"/>
        </w:rPr>
        <w:t xml:space="preserve">, I. M., Marks, A., Georgiou, A., &amp; Westbrook, J. I. (2011). Non-emergency patient transport: What are the quality and safety issues? A systematic review. </w:t>
      </w:r>
      <w:r w:rsidRPr="00BF10AA">
        <w:rPr>
          <w:rFonts w:ascii="Calibri" w:hAnsi="Calibri" w:cs="Calibri"/>
          <w:i/>
          <w:iCs/>
          <w:color w:val="C00000"/>
          <w:sz w:val="24"/>
        </w:rPr>
        <w:t>International Journal for Quality in Health Care: Journal of the International Society for Quality in Health Care</w:t>
      </w:r>
      <w:r w:rsidRPr="00BF10AA">
        <w:rPr>
          <w:rFonts w:ascii="Calibri" w:hAnsi="Calibri" w:cs="Calibri"/>
          <w:color w:val="C00000"/>
          <w:sz w:val="24"/>
        </w:rPr>
        <w:t xml:space="preserve">, </w:t>
      </w:r>
      <w:r w:rsidRPr="00BF10AA">
        <w:rPr>
          <w:rFonts w:ascii="Calibri" w:hAnsi="Calibri" w:cs="Calibri"/>
          <w:i/>
          <w:iCs/>
          <w:color w:val="C00000"/>
          <w:sz w:val="24"/>
        </w:rPr>
        <w:t>23</w:t>
      </w:r>
      <w:r w:rsidRPr="00BF10AA">
        <w:rPr>
          <w:rFonts w:ascii="Calibri" w:hAnsi="Calibri" w:cs="Calibri"/>
          <w:color w:val="C00000"/>
          <w:sz w:val="24"/>
        </w:rPr>
        <w:t>(1), 68–75. https://doi.org/10.1093/intqhc/mzq076</w:t>
      </w:r>
    </w:p>
    <w:p w14:paraId="0EC1CC10" w14:textId="77777777" w:rsidR="00D00606" w:rsidRPr="00BF10AA" w:rsidRDefault="00D00606" w:rsidP="00D00606">
      <w:pPr>
        <w:pStyle w:val="Bibliography"/>
        <w:rPr>
          <w:rFonts w:ascii="Calibri" w:hAnsi="Calibri" w:cs="Calibri"/>
          <w:color w:val="C00000"/>
          <w:sz w:val="24"/>
        </w:rPr>
      </w:pPr>
      <w:r w:rsidRPr="00BF10AA">
        <w:rPr>
          <w:rFonts w:ascii="Calibri" w:hAnsi="Calibri" w:cs="Calibri"/>
          <w:color w:val="C00000"/>
          <w:sz w:val="24"/>
        </w:rPr>
        <w:t>Hernandez-</w:t>
      </w:r>
      <w:proofErr w:type="spellStart"/>
      <w:r w:rsidRPr="00BF10AA">
        <w:rPr>
          <w:rFonts w:ascii="Calibri" w:hAnsi="Calibri" w:cs="Calibri"/>
          <w:color w:val="C00000"/>
          <w:sz w:val="24"/>
        </w:rPr>
        <w:t>Boussard</w:t>
      </w:r>
      <w:proofErr w:type="spellEnd"/>
      <w:r w:rsidRPr="00BF10AA">
        <w:rPr>
          <w:rFonts w:ascii="Calibri" w:hAnsi="Calibri" w:cs="Calibri"/>
          <w:color w:val="C00000"/>
          <w:sz w:val="24"/>
        </w:rPr>
        <w:t xml:space="preserve">, T., Davies, S., McDonald, K., &amp; Wang, N. E. (2017). </w:t>
      </w:r>
      <w:proofErr w:type="spellStart"/>
      <w:r w:rsidRPr="00BF10AA">
        <w:rPr>
          <w:rFonts w:ascii="Calibri" w:hAnsi="Calibri" w:cs="Calibri"/>
          <w:color w:val="C00000"/>
          <w:sz w:val="24"/>
        </w:rPr>
        <w:t>Interhospital</w:t>
      </w:r>
      <w:proofErr w:type="spellEnd"/>
      <w:r w:rsidRPr="00BF10AA">
        <w:rPr>
          <w:rFonts w:ascii="Calibri" w:hAnsi="Calibri" w:cs="Calibri"/>
          <w:color w:val="C00000"/>
          <w:sz w:val="24"/>
        </w:rPr>
        <w:t xml:space="preserve"> Facility Transfers in the United States: A Nationwide Outcomes Study. </w:t>
      </w:r>
      <w:r w:rsidRPr="00BF10AA">
        <w:rPr>
          <w:rFonts w:ascii="Calibri" w:hAnsi="Calibri" w:cs="Calibri"/>
          <w:i/>
          <w:iCs/>
          <w:color w:val="C00000"/>
          <w:sz w:val="24"/>
        </w:rPr>
        <w:t>Journal of Patient Safety</w:t>
      </w:r>
      <w:r w:rsidRPr="00BF10AA">
        <w:rPr>
          <w:rFonts w:ascii="Calibri" w:hAnsi="Calibri" w:cs="Calibri"/>
          <w:color w:val="C00000"/>
          <w:sz w:val="24"/>
        </w:rPr>
        <w:t xml:space="preserve">, </w:t>
      </w:r>
      <w:r w:rsidRPr="00BF10AA">
        <w:rPr>
          <w:rFonts w:ascii="Calibri" w:hAnsi="Calibri" w:cs="Calibri"/>
          <w:i/>
          <w:iCs/>
          <w:color w:val="C00000"/>
          <w:sz w:val="24"/>
        </w:rPr>
        <w:t>13</w:t>
      </w:r>
      <w:r w:rsidRPr="00BF10AA">
        <w:rPr>
          <w:rFonts w:ascii="Calibri" w:hAnsi="Calibri" w:cs="Calibri"/>
          <w:color w:val="C00000"/>
          <w:sz w:val="24"/>
        </w:rPr>
        <w:t>(4), 187–191. https://doi.org/10.1097/PTS.0000000000000148</w:t>
      </w:r>
    </w:p>
    <w:p w14:paraId="3BBE2927" w14:textId="77777777" w:rsidR="00D00606" w:rsidRPr="00BF10AA" w:rsidRDefault="00D00606" w:rsidP="00D00606">
      <w:pPr>
        <w:pStyle w:val="Bibliography"/>
        <w:rPr>
          <w:rFonts w:ascii="Calibri" w:hAnsi="Calibri" w:cs="Calibri"/>
          <w:color w:val="C00000"/>
          <w:sz w:val="24"/>
        </w:rPr>
      </w:pPr>
      <w:proofErr w:type="spellStart"/>
      <w:r w:rsidRPr="00BF10AA">
        <w:rPr>
          <w:rFonts w:ascii="Calibri" w:hAnsi="Calibri" w:cs="Calibri"/>
          <w:color w:val="C00000"/>
          <w:sz w:val="24"/>
        </w:rPr>
        <w:t>Sokol-Hessner</w:t>
      </w:r>
      <w:proofErr w:type="spellEnd"/>
      <w:r w:rsidRPr="00BF10AA">
        <w:rPr>
          <w:rFonts w:ascii="Calibri" w:hAnsi="Calibri" w:cs="Calibri"/>
          <w:color w:val="C00000"/>
          <w:sz w:val="24"/>
        </w:rPr>
        <w:t xml:space="preserve">, L., White, A. A., Davis, K. F., </w:t>
      </w:r>
      <w:proofErr w:type="spellStart"/>
      <w:r w:rsidRPr="00BF10AA">
        <w:rPr>
          <w:rFonts w:ascii="Calibri" w:hAnsi="Calibri" w:cs="Calibri"/>
          <w:color w:val="C00000"/>
          <w:sz w:val="24"/>
        </w:rPr>
        <w:t>Herzig</w:t>
      </w:r>
      <w:proofErr w:type="spellEnd"/>
      <w:r w:rsidRPr="00BF10AA">
        <w:rPr>
          <w:rFonts w:ascii="Calibri" w:hAnsi="Calibri" w:cs="Calibri"/>
          <w:color w:val="C00000"/>
          <w:sz w:val="24"/>
        </w:rPr>
        <w:t xml:space="preserve">, S. J., &amp; </w:t>
      </w:r>
      <w:proofErr w:type="spellStart"/>
      <w:r w:rsidRPr="00BF10AA">
        <w:rPr>
          <w:rFonts w:ascii="Calibri" w:hAnsi="Calibri" w:cs="Calibri"/>
          <w:color w:val="C00000"/>
          <w:sz w:val="24"/>
        </w:rPr>
        <w:t>Hohmann</w:t>
      </w:r>
      <w:proofErr w:type="spellEnd"/>
      <w:r w:rsidRPr="00BF10AA">
        <w:rPr>
          <w:rFonts w:ascii="Calibri" w:hAnsi="Calibri" w:cs="Calibri"/>
          <w:color w:val="C00000"/>
          <w:sz w:val="24"/>
        </w:rPr>
        <w:t xml:space="preserve">, S. F. (2016). </w:t>
      </w:r>
      <w:proofErr w:type="spellStart"/>
      <w:r w:rsidRPr="00BF10AA">
        <w:rPr>
          <w:rFonts w:ascii="Calibri" w:hAnsi="Calibri" w:cs="Calibri"/>
          <w:color w:val="C00000"/>
          <w:sz w:val="24"/>
        </w:rPr>
        <w:t>Interhospital</w:t>
      </w:r>
      <w:proofErr w:type="spellEnd"/>
      <w:r w:rsidRPr="00BF10AA">
        <w:rPr>
          <w:rFonts w:ascii="Calibri" w:hAnsi="Calibri" w:cs="Calibri"/>
          <w:color w:val="C00000"/>
          <w:sz w:val="24"/>
        </w:rPr>
        <w:t xml:space="preserve"> transfer patients discharged by academic hospitalists and general internists: Characteristics and outcomes. </w:t>
      </w:r>
      <w:r w:rsidRPr="00BF10AA">
        <w:rPr>
          <w:rFonts w:ascii="Calibri" w:hAnsi="Calibri" w:cs="Calibri"/>
          <w:i/>
          <w:iCs/>
          <w:color w:val="C00000"/>
          <w:sz w:val="24"/>
        </w:rPr>
        <w:t>Journal of Hospital Medicine</w:t>
      </w:r>
      <w:r w:rsidRPr="00BF10AA">
        <w:rPr>
          <w:rFonts w:ascii="Calibri" w:hAnsi="Calibri" w:cs="Calibri"/>
          <w:color w:val="C00000"/>
          <w:sz w:val="24"/>
        </w:rPr>
        <w:t xml:space="preserve">, </w:t>
      </w:r>
      <w:r w:rsidRPr="00BF10AA">
        <w:rPr>
          <w:rFonts w:ascii="Calibri" w:hAnsi="Calibri" w:cs="Calibri"/>
          <w:i/>
          <w:iCs/>
          <w:color w:val="C00000"/>
          <w:sz w:val="24"/>
        </w:rPr>
        <w:t>11</w:t>
      </w:r>
      <w:r w:rsidRPr="00BF10AA">
        <w:rPr>
          <w:rFonts w:ascii="Calibri" w:hAnsi="Calibri" w:cs="Calibri"/>
          <w:color w:val="C00000"/>
          <w:sz w:val="24"/>
        </w:rPr>
        <w:t>(4), 245–250. https://doi.org/10.1002/jhm.2515</w:t>
      </w:r>
    </w:p>
    <w:p w14:paraId="093D7E82" w14:textId="77777777" w:rsidR="00D00606" w:rsidRPr="00BF10AA" w:rsidRDefault="00D00606" w:rsidP="00D00606">
      <w:pPr>
        <w:pStyle w:val="Bibliography"/>
        <w:rPr>
          <w:rFonts w:ascii="Calibri" w:hAnsi="Calibri" w:cs="Calibri"/>
          <w:color w:val="C00000"/>
          <w:sz w:val="24"/>
        </w:rPr>
      </w:pPr>
      <w:proofErr w:type="spellStart"/>
      <w:r w:rsidRPr="00BF10AA">
        <w:rPr>
          <w:rFonts w:ascii="Calibri" w:hAnsi="Calibri" w:cs="Calibri"/>
          <w:color w:val="C00000"/>
          <w:sz w:val="24"/>
        </w:rPr>
        <w:t>Szary</w:t>
      </w:r>
      <w:proofErr w:type="spellEnd"/>
      <w:r w:rsidRPr="00BF10AA">
        <w:rPr>
          <w:rFonts w:ascii="Calibri" w:hAnsi="Calibri" w:cs="Calibri"/>
          <w:color w:val="C00000"/>
          <w:sz w:val="24"/>
        </w:rPr>
        <w:t xml:space="preserve">, N. M., </w:t>
      </w:r>
      <w:proofErr w:type="spellStart"/>
      <w:r w:rsidRPr="00BF10AA">
        <w:rPr>
          <w:rFonts w:ascii="Calibri" w:hAnsi="Calibri" w:cs="Calibri"/>
          <w:color w:val="C00000"/>
          <w:sz w:val="24"/>
        </w:rPr>
        <w:t>Sarwal</w:t>
      </w:r>
      <w:proofErr w:type="spellEnd"/>
      <w:r w:rsidRPr="00BF10AA">
        <w:rPr>
          <w:rFonts w:ascii="Calibri" w:hAnsi="Calibri" w:cs="Calibri"/>
          <w:color w:val="C00000"/>
          <w:sz w:val="24"/>
        </w:rPr>
        <w:t xml:space="preserve">, A., </w:t>
      </w:r>
      <w:proofErr w:type="spellStart"/>
      <w:r w:rsidRPr="00BF10AA">
        <w:rPr>
          <w:rFonts w:ascii="Calibri" w:hAnsi="Calibri" w:cs="Calibri"/>
          <w:color w:val="C00000"/>
          <w:sz w:val="24"/>
        </w:rPr>
        <w:t>Boshard</w:t>
      </w:r>
      <w:proofErr w:type="spellEnd"/>
      <w:r w:rsidRPr="00BF10AA">
        <w:rPr>
          <w:rFonts w:ascii="Calibri" w:hAnsi="Calibri" w:cs="Calibri"/>
          <w:color w:val="C00000"/>
          <w:sz w:val="24"/>
        </w:rPr>
        <w:t xml:space="preserve">, B. J., &amp; Hall, L. W. (2010). Transfer of care communication: Improving communication during inter-facility patient transfer. </w:t>
      </w:r>
      <w:r w:rsidRPr="00BF10AA">
        <w:rPr>
          <w:rFonts w:ascii="Calibri" w:hAnsi="Calibri" w:cs="Calibri"/>
          <w:i/>
          <w:iCs/>
          <w:color w:val="C00000"/>
          <w:sz w:val="24"/>
        </w:rPr>
        <w:t>Missouri Medicine</w:t>
      </w:r>
      <w:r w:rsidRPr="00BF10AA">
        <w:rPr>
          <w:rFonts w:ascii="Calibri" w:hAnsi="Calibri" w:cs="Calibri"/>
          <w:color w:val="C00000"/>
          <w:sz w:val="24"/>
        </w:rPr>
        <w:t xml:space="preserve">, </w:t>
      </w:r>
      <w:r w:rsidRPr="00BF10AA">
        <w:rPr>
          <w:rFonts w:ascii="Calibri" w:hAnsi="Calibri" w:cs="Calibri"/>
          <w:i/>
          <w:iCs/>
          <w:color w:val="C00000"/>
          <w:sz w:val="24"/>
        </w:rPr>
        <w:t>107</w:t>
      </w:r>
      <w:r w:rsidRPr="00BF10AA">
        <w:rPr>
          <w:rFonts w:ascii="Calibri" w:hAnsi="Calibri" w:cs="Calibri"/>
          <w:color w:val="C00000"/>
          <w:sz w:val="24"/>
        </w:rPr>
        <w:t>(2), 127–130.</w:t>
      </w:r>
    </w:p>
    <w:p w14:paraId="172B03B1" w14:textId="77777777" w:rsidR="00D00606" w:rsidRPr="001B5842" w:rsidRDefault="00D00606" w:rsidP="00D00606">
      <w:pPr>
        <w:rPr>
          <w:rStyle w:val="Hyperlink"/>
          <w:rFonts w:cstheme="minorHAnsi"/>
          <w:sz w:val="24"/>
          <w:szCs w:val="24"/>
        </w:rPr>
      </w:pPr>
      <w:r w:rsidRPr="00BF10AA">
        <w:rPr>
          <w:rFonts w:cstheme="minorHAnsi"/>
          <w:b/>
          <w:color w:val="C00000"/>
          <w:sz w:val="24"/>
          <w:szCs w:val="24"/>
        </w:rPr>
        <w:fldChar w:fldCharType="end"/>
      </w:r>
    </w:p>
    <w:p w14:paraId="68395532" w14:textId="77777777" w:rsidR="00D00606" w:rsidRPr="00BF10AA" w:rsidRDefault="00D00606" w:rsidP="00D00606">
      <w:pPr>
        <w:rPr>
          <w:rFonts w:cstheme="minorHAnsi"/>
          <w:b/>
          <w:color w:val="C00000"/>
          <w:sz w:val="24"/>
          <w:szCs w:val="24"/>
          <w:shd w:val="clear" w:color="auto" w:fill="FFFFFF"/>
        </w:rPr>
      </w:pPr>
      <w:r w:rsidRPr="00BF10AA">
        <w:rPr>
          <w:rFonts w:cstheme="minorHAnsi"/>
          <w:b/>
          <w:color w:val="C00000"/>
          <w:sz w:val="24"/>
          <w:szCs w:val="24"/>
          <w:shd w:val="clear" w:color="auto" w:fill="FFFFFF"/>
        </w:rPr>
        <w:t>Brief article review of new citations: 2019</w:t>
      </w:r>
    </w:p>
    <w:p w14:paraId="7A864C55" w14:textId="77777777" w:rsidR="00D00606" w:rsidRPr="001B5842" w:rsidRDefault="00D00606" w:rsidP="00D00606">
      <w:pPr>
        <w:rPr>
          <w:rFonts w:cstheme="minorHAnsi"/>
          <w:color w:val="C00000"/>
          <w:sz w:val="24"/>
          <w:szCs w:val="24"/>
          <w:shd w:val="clear" w:color="auto" w:fill="FFFFFF"/>
        </w:rPr>
      </w:pPr>
      <w:r w:rsidRPr="001B5842">
        <w:rPr>
          <w:rFonts w:cstheme="minorHAnsi"/>
          <w:color w:val="C00000"/>
          <w:sz w:val="24"/>
          <w:szCs w:val="24"/>
          <w:shd w:val="clear" w:color="auto" w:fill="FFFFFF"/>
        </w:rPr>
        <w:t>For each study you review, state the study design, report sample size and report the main result.</w:t>
      </w:r>
    </w:p>
    <w:p w14:paraId="0D2B4BAC" w14:textId="77777777" w:rsidR="00D00606" w:rsidRPr="001B5842" w:rsidRDefault="00D00606" w:rsidP="00D00606">
      <w:pPr>
        <w:pStyle w:val="ListParagraph"/>
        <w:numPr>
          <w:ilvl w:val="0"/>
          <w:numId w:val="12"/>
        </w:numPr>
        <w:spacing w:after="160" w:line="259" w:lineRule="auto"/>
        <w:rPr>
          <w:rFonts w:cstheme="minorHAnsi"/>
          <w:color w:val="C00000"/>
          <w:sz w:val="24"/>
          <w:szCs w:val="24"/>
          <w:shd w:val="clear" w:color="auto" w:fill="FFFFFF"/>
        </w:rPr>
      </w:pPr>
      <w:proofErr w:type="spellStart"/>
      <w:r w:rsidRPr="001B5842">
        <w:rPr>
          <w:rFonts w:cstheme="minorHAnsi"/>
          <w:color w:val="C00000"/>
          <w:sz w:val="24"/>
          <w:szCs w:val="24"/>
          <w:shd w:val="clear" w:color="auto" w:fill="FFFFFF"/>
        </w:rPr>
        <w:t>Szary</w:t>
      </w:r>
      <w:proofErr w:type="spellEnd"/>
      <w:r w:rsidRPr="001B5842">
        <w:rPr>
          <w:rFonts w:cstheme="minorHAnsi"/>
          <w:color w:val="C00000"/>
          <w:sz w:val="24"/>
          <w:szCs w:val="24"/>
          <w:shd w:val="clear" w:color="auto" w:fill="FFFFFF"/>
        </w:rPr>
        <w:t xml:space="preserve"> NM, </w:t>
      </w:r>
      <w:proofErr w:type="spellStart"/>
      <w:r w:rsidRPr="001B5842">
        <w:rPr>
          <w:rFonts w:cstheme="minorHAnsi"/>
          <w:color w:val="C00000"/>
          <w:sz w:val="24"/>
          <w:szCs w:val="24"/>
          <w:shd w:val="clear" w:color="auto" w:fill="FFFFFF"/>
        </w:rPr>
        <w:t>Sarwal</w:t>
      </w:r>
      <w:proofErr w:type="spellEnd"/>
      <w:r w:rsidRPr="001B5842">
        <w:rPr>
          <w:rFonts w:cstheme="minorHAnsi"/>
          <w:color w:val="C00000"/>
          <w:sz w:val="24"/>
          <w:szCs w:val="24"/>
          <w:shd w:val="clear" w:color="auto" w:fill="FFFFFF"/>
        </w:rPr>
        <w:t xml:space="preserve"> A, </w:t>
      </w:r>
      <w:proofErr w:type="spellStart"/>
      <w:r w:rsidRPr="001B5842">
        <w:rPr>
          <w:rFonts w:cstheme="minorHAnsi"/>
          <w:color w:val="C00000"/>
          <w:sz w:val="24"/>
          <w:szCs w:val="24"/>
          <w:shd w:val="clear" w:color="auto" w:fill="FFFFFF"/>
        </w:rPr>
        <w:t>Boshard</w:t>
      </w:r>
      <w:proofErr w:type="spellEnd"/>
      <w:r w:rsidRPr="001B5842">
        <w:rPr>
          <w:rFonts w:cstheme="minorHAnsi"/>
          <w:color w:val="C00000"/>
          <w:sz w:val="24"/>
          <w:szCs w:val="24"/>
          <w:shd w:val="clear" w:color="auto" w:fill="FFFFFF"/>
        </w:rPr>
        <w:t xml:space="preserve"> BJ, Hall LW. Transfer of Care Communication: Improving Communication during Inter-Facility Patient Transfer. Missouri Medicine March/April 2010 102:2</w:t>
      </w:r>
    </w:p>
    <w:p w14:paraId="5102C373" w14:textId="77777777" w:rsidR="00D00606" w:rsidRPr="001B5842" w:rsidRDefault="00D00606" w:rsidP="00D00606">
      <w:pPr>
        <w:rPr>
          <w:rFonts w:cstheme="minorHAnsi"/>
          <w:color w:val="C00000"/>
          <w:sz w:val="24"/>
          <w:szCs w:val="24"/>
          <w:shd w:val="clear" w:color="auto" w:fill="FFFFFF"/>
        </w:rPr>
      </w:pPr>
      <w:r w:rsidRPr="001B5842">
        <w:rPr>
          <w:rFonts w:cstheme="minorHAnsi"/>
          <w:color w:val="C00000"/>
          <w:sz w:val="24"/>
          <w:szCs w:val="24"/>
          <w:shd w:val="clear" w:color="auto" w:fill="FFFFFF"/>
        </w:rPr>
        <w:t>Study Design: Pre Post prospective study quantified compliance with inter-facility transfer communication requested information. Intervention was a template of requested information used by the receiving hospital when contacted by the sending hospital. Observations did not differentiate between sources of transfers.</w:t>
      </w:r>
    </w:p>
    <w:p w14:paraId="7210F4EE" w14:textId="77777777" w:rsidR="00D00606" w:rsidRPr="001B5842" w:rsidRDefault="00D00606" w:rsidP="00D00606">
      <w:pPr>
        <w:rPr>
          <w:rFonts w:cstheme="minorHAnsi"/>
          <w:color w:val="C00000"/>
          <w:sz w:val="24"/>
          <w:szCs w:val="24"/>
          <w:shd w:val="clear" w:color="auto" w:fill="FFFFFF"/>
        </w:rPr>
      </w:pPr>
      <w:r w:rsidRPr="001B5842">
        <w:rPr>
          <w:rFonts w:cstheme="minorHAnsi"/>
          <w:color w:val="C00000"/>
          <w:sz w:val="24"/>
          <w:szCs w:val="24"/>
          <w:shd w:val="clear" w:color="auto" w:fill="FFFFFF"/>
        </w:rPr>
        <w:t>Sample Size: 60 pre observations, 43 post observations. Observations of information provided by sending facilities were made by resident physicians, at the University of Missouri 223 bed hospital in Columbia Missouri, who were receiving those transfers.</w:t>
      </w:r>
    </w:p>
    <w:p w14:paraId="0F914CB8" w14:textId="77777777" w:rsidR="00D00606" w:rsidRPr="001B5842" w:rsidRDefault="00D00606" w:rsidP="00D00606">
      <w:pPr>
        <w:rPr>
          <w:rFonts w:cstheme="minorHAnsi"/>
          <w:color w:val="C00000"/>
          <w:sz w:val="24"/>
          <w:szCs w:val="24"/>
          <w:shd w:val="clear" w:color="auto" w:fill="FFFFFF"/>
        </w:rPr>
      </w:pPr>
      <w:r w:rsidRPr="001B5842">
        <w:rPr>
          <w:rFonts w:cstheme="minorHAnsi"/>
          <w:color w:val="C00000"/>
          <w:sz w:val="24"/>
          <w:szCs w:val="24"/>
          <w:shd w:val="clear" w:color="auto" w:fill="FFFFFF"/>
        </w:rPr>
        <w:t xml:space="preserve">Main Result: Significant improvement was seen in the reception of Medication lists (P&lt;0.01), and Imaging (P&lt;0.01). Improvement in Lab data was documented (P&lt;0.11). No significant increase was observed in discharge summaries. </w:t>
      </w:r>
    </w:p>
    <w:p w14:paraId="5438E4DE" w14:textId="77777777" w:rsidR="00D00606" w:rsidRPr="001B5842" w:rsidRDefault="00D00606" w:rsidP="00D00606">
      <w:pPr>
        <w:rPr>
          <w:rFonts w:cstheme="minorHAnsi"/>
          <w:color w:val="C00000"/>
          <w:sz w:val="24"/>
          <w:szCs w:val="24"/>
          <w:shd w:val="clear" w:color="auto" w:fill="FFFFFF"/>
        </w:rPr>
      </w:pPr>
      <w:r w:rsidRPr="001B5842">
        <w:rPr>
          <w:rFonts w:cstheme="minorHAnsi"/>
          <w:color w:val="C00000"/>
          <w:sz w:val="24"/>
          <w:szCs w:val="24"/>
          <w:shd w:val="clear" w:color="auto" w:fill="FFFFFF"/>
        </w:rPr>
        <w:t xml:space="preserve">Limitations: Small sample. </w:t>
      </w:r>
    </w:p>
    <w:p w14:paraId="25B0F111" w14:textId="77777777" w:rsidR="00D00606" w:rsidRPr="001B5842" w:rsidRDefault="00D00606" w:rsidP="00D00606">
      <w:pPr>
        <w:pStyle w:val="ListParagraph"/>
        <w:numPr>
          <w:ilvl w:val="0"/>
          <w:numId w:val="12"/>
        </w:numPr>
        <w:shd w:val="clear" w:color="auto" w:fill="FFFFFF"/>
        <w:spacing w:after="0" w:line="240" w:lineRule="auto"/>
        <w:rPr>
          <w:rFonts w:eastAsia="Times New Roman" w:cstheme="minorHAnsi"/>
          <w:color w:val="C00000"/>
          <w:sz w:val="24"/>
          <w:szCs w:val="24"/>
        </w:rPr>
      </w:pPr>
      <w:hyperlink r:id="rId17" w:history="1">
        <w:proofErr w:type="spellStart"/>
        <w:r w:rsidRPr="001B5842">
          <w:rPr>
            <w:rFonts w:eastAsia="Times New Roman" w:cstheme="minorHAnsi"/>
            <w:color w:val="C00000"/>
            <w:sz w:val="24"/>
            <w:szCs w:val="24"/>
            <w:u w:val="single"/>
          </w:rPr>
          <w:t>Golestanian</w:t>
        </w:r>
        <w:proofErr w:type="spellEnd"/>
        <w:r w:rsidRPr="001B5842">
          <w:rPr>
            <w:rFonts w:eastAsia="Times New Roman" w:cstheme="minorHAnsi"/>
            <w:color w:val="C00000"/>
            <w:sz w:val="24"/>
            <w:szCs w:val="24"/>
            <w:u w:val="single"/>
          </w:rPr>
          <w:t> E</w:t>
        </w:r>
      </w:hyperlink>
      <w:r w:rsidRPr="001B5842">
        <w:rPr>
          <w:rFonts w:eastAsia="Times New Roman" w:cstheme="minorHAnsi"/>
          <w:color w:val="C00000"/>
          <w:sz w:val="24"/>
          <w:szCs w:val="24"/>
          <w:vertAlign w:val="superscript"/>
        </w:rPr>
        <w:t>1</w:t>
      </w:r>
      <w:r w:rsidRPr="001B5842">
        <w:rPr>
          <w:rFonts w:eastAsia="Times New Roman" w:cstheme="minorHAnsi"/>
          <w:color w:val="C00000"/>
          <w:sz w:val="24"/>
          <w:szCs w:val="24"/>
        </w:rPr>
        <w:t>, </w:t>
      </w:r>
      <w:hyperlink r:id="rId18" w:history="1">
        <w:r w:rsidRPr="001B5842">
          <w:rPr>
            <w:rFonts w:eastAsia="Times New Roman" w:cstheme="minorHAnsi"/>
            <w:color w:val="C00000"/>
            <w:sz w:val="24"/>
            <w:szCs w:val="24"/>
            <w:u w:val="single"/>
          </w:rPr>
          <w:t>Scruggs JE</w:t>
        </w:r>
      </w:hyperlink>
      <w:r w:rsidRPr="001B5842">
        <w:rPr>
          <w:rFonts w:eastAsia="Times New Roman" w:cstheme="minorHAnsi"/>
          <w:color w:val="C00000"/>
          <w:sz w:val="24"/>
          <w:szCs w:val="24"/>
        </w:rPr>
        <w:t>, </w:t>
      </w:r>
      <w:proofErr w:type="spellStart"/>
      <w:r w:rsidRPr="001B5842">
        <w:rPr>
          <w:rFonts w:eastAsia="Times New Roman" w:cstheme="minorHAnsi"/>
          <w:color w:val="C00000"/>
          <w:sz w:val="24"/>
          <w:szCs w:val="24"/>
        </w:rPr>
        <w:fldChar w:fldCharType="begin"/>
      </w:r>
      <w:r w:rsidRPr="001B5842">
        <w:rPr>
          <w:rFonts w:eastAsia="Times New Roman" w:cstheme="minorHAnsi"/>
          <w:color w:val="C00000"/>
          <w:sz w:val="24"/>
          <w:szCs w:val="24"/>
        </w:rPr>
        <w:instrText xml:space="preserve"> HYPERLINK "https://www.ncbi.nlm.nih.gov/pubmed/?term=Gangnon%20RE%5BAuthor%5D&amp;cauthor=true&amp;cauthor_uid=17440423" </w:instrText>
      </w:r>
      <w:r w:rsidRPr="001B5842">
        <w:rPr>
          <w:rFonts w:eastAsia="Times New Roman" w:cstheme="minorHAnsi"/>
          <w:color w:val="C00000"/>
          <w:sz w:val="24"/>
          <w:szCs w:val="24"/>
        </w:rPr>
        <w:fldChar w:fldCharType="separate"/>
      </w:r>
      <w:r w:rsidRPr="001B5842">
        <w:rPr>
          <w:rFonts w:eastAsia="Times New Roman" w:cstheme="minorHAnsi"/>
          <w:color w:val="C00000"/>
          <w:sz w:val="24"/>
          <w:szCs w:val="24"/>
          <w:u w:val="single"/>
        </w:rPr>
        <w:t>Gangnon</w:t>
      </w:r>
      <w:proofErr w:type="spellEnd"/>
      <w:r w:rsidRPr="001B5842">
        <w:rPr>
          <w:rFonts w:eastAsia="Times New Roman" w:cstheme="minorHAnsi"/>
          <w:color w:val="C00000"/>
          <w:sz w:val="24"/>
          <w:szCs w:val="24"/>
          <w:u w:val="single"/>
        </w:rPr>
        <w:t xml:space="preserve"> RE</w:t>
      </w:r>
      <w:r w:rsidRPr="001B5842">
        <w:rPr>
          <w:rFonts w:eastAsia="Times New Roman" w:cstheme="minorHAnsi"/>
          <w:color w:val="C00000"/>
          <w:sz w:val="24"/>
          <w:szCs w:val="24"/>
        </w:rPr>
        <w:fldChar w:fldCharType="end"/>
      </w:r>
      <w:r w:rsidRPr="001B5842">
        <w:rPr>
          <w:rFonts w:eastAsia="Times New Roman" w:cstheme="minorHAnsi"/>
          <w:color w:val="C00000"/>
          <w:sz w:val="24"/>
          <w:szCs w:val="24"/>
        </w:rPr>
        <w:t>, </w:t>
      </w:r>
      <w:proofErr w:type="spellStart"/>
      <w:r w:rsidRPr="001B5842">
        <w:rPr>
          <w:rFonts w:eastAsia="Times New Roman" w:cstheme="minorHAnsi"/>
          <w:color w:val="C00000"/>
          <w:sz w:val="24"/>
          <w:szCs w:val="24"/>
        </w:rPr>
        <w:fldChar w:fldCharType="begin"/>
      </w:r>
      <w:r w:rsidRPr="001B5842">
        <w:rPr>
          <w:rFonts w:eastAsia="Times New Roman" w:cstheme="minorHAnsi"/>
          <w:color w:val="C00000"/>
          <w:sz w:val="24"/>
          <w:szCs w:val="24"/>
        </w:rPr>
        <w:instrText xml:space="preserve"> HYPERLINK "https://www.ncbi.nlm.nih.gov/pubmed/?term=Mak%20RP%5BAuthor%5D&amp;cauthor=true&amp;cauthor_uid=17440423" </w:instrText>
      </w:r>
      <w:r w:rsidRPr="001B5842">
        <w:rPr>
          <w:rFonts w:eastAsia="Times New Roman" w:cstheme="minorHAnsi"/>
          <w:color w:val="C00000"/>
          <w:sz w:val="24"/>
          <w:szCs w:val="24"/>
        </w:rPr>
        <w:fldChar w:fldCharType="separate"/>
      </w:r>
      <w:r w:rsidRPr="001B5842">
        <w:rPr>
          <w:rFonts w:eastAsia="Times New Roman" w:cstheme="minorHAnsi"/>
          <w:color w:val="C00000"/>
          <w:sz w:val="24"/>
          <w:szCs w:val="24"/>
          <w:u w:val="single"/>
        </w:rPr>
        <w:t>Mak</w:t>
      </w:r>
      <w:proofErr w:type="spellEnd"/>
      <w:r w:rsidRPr="001B5842">
        <w:rPr>
          <w:rFonts w:eastAsia="Times New Roman" w:cstheme="minorHAnsi"/>
          <w:color w:val="C00000"/>
          <w:sz w:val="24"/>
          <w:szCs w:val="24"/>
          <w:u w:val="single"/>
        </w:rPr>
        <w:t xml:space="preserve"> RP</w:t>
      </w:r>
      <w:r w:rsidRPr="001B5842">
        <w:rPr>
          <w:rFonts w:eastAsia="Times New Roman" w:cstheme="minorHAnsi"/>
          <w:color w:val="C00000"/>
          <w:sz w:val="24"/>
          <w:szCs w:val="24"/>
        </w:rPr>
        <w:fldChar w:fldCharType="end"/>
      </w:r>
      <w:r w:rsidRPr="001B5842">
        <w:rPr>
          <w:rFonts w:eastAsia="Times New Roman" w:cstheme="minorHAnsi"/>
          <w:color w:val="C00000"/>
          <w:sz w:val="24"/>
          <w:szCs w:val="24"/>
        </w:rPr>
        <w:t>, </w:t>
      </w:r>
      <w:hyperlink r:id="rId19" w:history="1">
        <w:r w:rsidRPr="001B5842">
          <w:rPr>
            <w:rFonts w:eastAsia="Times New Roman" w:cstheme="minorHAnsi"/>
            <w:color w:val="C00000"/>
            <w:sz w:val="24"/>
            <w:szCs w:val="24"/>
            <w:u w:val="single"/>
          </w:rPr>
          <w:t>Wood KE</w:t>
        </w:r>
      </w:hyperlink>
      <w:r w:rsidRPr="001B5842">
        <w:rPr>
          <w:rFonts w:eastAsia="Times New Roman" w:cstheme="minorHAnsi"/>
          <w:color w:val="C00000"/>
          <w:sz w:val="24"/>
          <w:szCs w:val="24"/>
        </w:rPr>
        <w:t>.</w:t>
      </w:r>
    </w:p>
    <w:p w14:paraId="101CD98B" w14:textId="77777777" w:rsidR="00D00606" w:rsidRPr="001B5842" w:rsidRDefault="00D00606" w:rsidP="00D00606">
      <w:pPr>
        <w:shd w:val="clear" w:color="auto" w:fill="FFFFFF"/>
        <w:spacing w:before="120" w:after="120" w:line="300" w:lineRule="atLeast"/>
        <w:outlineLvl w:val="0"/>
        <w:rPr>
          <w:rFonts w:eastAsia="Times New Roman" w:cstheme="minorHAnsi"/>
          <w:color w:val="C00000"/>
          <w:sz w:val="24"/>
          <w:szCs w:val="24"/>
        </w:rPr>
      </w:pPr>
      <w:r w:rsidRPr="001B5842">
        <w:rPr>
          <w:rFonts w:eastAsia="Times New Roman" w:cstheme="minorHAnsi"/>
          <w:b/>
          <w:bCs/>
          <w:color w:val="C00000"/>
          <w:kern w:val="36"/>
          <w:sz w:val="24"/>
          <w:szCs w:val="24"/>
        </w:rPr>
        <w:t xml:space="preserve">Effect of </w:t>
      </w:r>
      <w:proofErr w:type="spellStart"/>
      <w:r w:rsidRPr="001B5842">
        <w:rPr>
          <w:rFonts w:eastAsia="Times New Roman" w:cstheme="minorHAnsi"/>
          <w:b/>
          <w:bCs/>
          <w:color w:val="C00000"/>
          <w:kern w:val="36"/>
          <w:sz w:val="24"/>
          <w:szCs w:val="24"/>
        </w:rPr>
        <w:t>interhospital</w:t>
      </w:r>
      <w:proofErr w:type="spellEnd"/>
      <w:r w:rsidRPr="001B5842">
        <w:rPr>
          <w:rFonts w:eastAsia="Times New Roman" w:cstheme="minorHAnsi"/>
          <w:b/>
          <w:bCs/>
          <w:color w:val="C00000"/>
          <w:kern w:val="36"/>
          <w:sz w:val="24"/>
          <w:szCs w:val="24"/>
        </w:rPr>
        <w:t xml:space="preserve"> transfer on resource utilization and outcomes at a tertiary care referral center. </w:t>
      </w:r>
      <w:hyperlink r:id="rId20" w:tooltip="Critical care medicine." w:history="1">
        <w:proofErr w:type="spellStart"/>
        <w:r w:rsidRPr="001B5842">
          <w:rPr>
            <w:rFonts w:eastAsia="Times New Roman" w:cstheme="minorHAnsi"/>
            <w:color w:val="C00000"/>
            <w:sz w:val="24"/>
            <w:szCs w:val="24"/>
            <w:u w:val="single"/>
          </w:rPr>
          <w:t>Crit</w:t>
        </w:r>
        <w:proofErr w:type="spellEnd"/>
        <w:r w:rsidRPr="001B5842">
          <w:rPr>
            <w:rFonts w:eastAsia="Times New Roman" w:cstheme="minorHAnsi"/>
            <w:color w:val="C00000"/>
            <w:sz w:val="24"/>
            <w:szCs w:val="24"/>
            <w:u w:val="single"/>
          </w:rPr>
          <w:t xml:space="preserve"> Care Med.</w:t>
        </w:r>
      </w:hyperlink>
      <w:r w:rsidRPr="001B5842">
        <w:rPr>
          <w:rFonts w:eastAsia="Times New Roman" w:cstheme="minorHAnsi"/>
          <w:color w:val="C00000"/>
          <w:sz w:val="24"/>
          <w:szCs w:val="24"/>
        </w:rPr>
        <w:t> 2007 Jun</w:t>
      </w:r>
      <w:proofErr w:type="gramStart"/>
      <w:r w:rsidRPr="001B5842">
        <w:rPr>
          <w:rFonts w:eastAsia="Times New Roman" w:cstheme="minorHAnsi"/>
          <w:color w:val="C00000"/>
          <w:sz w:val="24"/>
          <w:szCs w:val="24"/>
        </w:rPr>
        <w:t>;35</w:t>
      </w:r>
      <w:proofErr w:type="gramEnd"/>
      <w:r w:rsidRPr="001B5842">
        <w:rPr>
          <w:rFonts w:eastAsia="Times New Roman" w:cstheme="minorHAnsi"/>
          <w:color w:val="C00000"/>
          <w:sz w:val="24"/>
          <w:szCs w:val="24"/>
        </w:rPr>
        <w:t>(6):1470-6.</w:t>
      </w:r>
    </w:p>
    <w:p w14:paraId="3DD25E19" w14:textId="77777777" w:rsidR="00D00606" w:rsidRPr="001B5842" w:rsidRDefault="00D00606" w:rsidP="00D00606">
      <w:pPr>
        <w:rPr>
          <w:rFonts w:cstheme="minorHAnsi"/>
          <w:color w:val="C00000"/>
          <w:sz w:val="24"/>
          <w:szCs w:val="24"/>
        </w:rPr>
      </w:pPr>
      <w:r w:rsidRPr="001B5842">
        <w:rPr>
          <w:rFonts w:cstheme="minorHAnsi"/>
          <w:color w:val="C00000"/>
          <w:sz w:val="24"/>
          <w:szCs w:val="24"/>
        </w:rPr>
        <w:t xml:space="preserve">Design: Observational cohort study. Comparing </w:t>
      </w:r>
      <w:r w:rsidRPr="001B5842">
        <w:rPr>
          <w:rFonts w:cstheme="minorHAnsi"/>
          <w:color w:val="C00000"/>
          <w:sz w:val="24"/>
          <w:szCs w:val="24"/>
          <w:shd w:val="clear" w:color="auto" w:fill="FFFFFF"/>
        </w:rPr>
        <w:t>Acute Physiology and Chronic </w:t>
      </w:r>
      <w:r w:rsidRPr="001B5842">
        <w:rPr>
          <w:rStyle w:val="highlight"/>
          <w:rFonts w:cstheme="minorHAnsi"/>
          <w:color w:val="C00000"/>
          <w:sz w:val="24"/>
          <w:szCs w:val="24"/>
          <w:shd w:val="clear" w:color="auto" w:fill="FFFFFF"/>
        </w:rPr>
        <w:t>Health</w:t>
      </w:r>
      <w:r w:rsidRPr="001B5842">
        <w:rPr>
          <w:rFonts w:cstheme="minorHAnsi"/>
          <w:color w:val="C00000"/>
          <w:sz w:val="24"/>
          <w:szCs w:val="24"/>
          <w:shd w:val="clear" w:color="auto" w:fill="FFFFFF"/>
        </w:rPr>
        <w:t> Evaluation (APACHE) III score, actual and predicted ICU and hospital lengths of stay, actual and predicted ICU and hospital mortality, and costs per admission.</w:t>
      </w:r>
    </w:p>
    <w:p w14:paraId="4A70AC30" w14:textId="77777777" w:rsidR="00D00606" w:rsidRPr="001B5842" w:rsidRDefault="00D00606" w:rsidP="00D00606">
      <w:pPr>
        <w:rPr>
          <w:rFonts w:cstheme="minorHAnsi"/>
          <w:color w:val="C00000"/>
          <w:sz w:val="24"/>
          <w:szCs w:val="24"/>
        </w:rPr>
      </w:pPr>
      <w:r w:rsidRPr="001B5842">
        <w:rPr>
          <w:rFonts w:cstheme="minorHAnsi"/>
          <w:color w:val="C00000"/>
          <w:sz w:val="24"/>
          <w:szCs w:val="24"/>
        </w:rPr>
        <w:t>Sample Size</w:t>
      </w:r>
      <w:proofErr w:type="gramStart"/>
      <w:r w:rsidRPr="001B5842">
        <w:rPr>
          <w:rFonts w:cstheme="minorHAnsi"/>
          <w:color w:val="C00000"/>
          <w:sz w:val="24"/>
          <w:szCs w:val="24"/>
        </w:rPr>
        <w:t>:4569</w:t>
      </w:r>
      <w:proofErr w:type="gramEnd"/>
      <w:r w:rsidRPr="001B5842">
        <w:rPr>
          <w:rFonts w:cstheme="minorHAnsi"/>
          <w:color w:val="C00000"/>
          <w:sz w:val="24"/>
          <w:szCs w:val="24"/>
        </w:rPr>
        <w:t xml:space="preserve"> patients admitted to a tertiary ICU from 1997 to 2000. </w:t>
      </w:r>
    </w:p>
    <w:p w14:paraId="5F8A95BC" w14:textId="77777777" w:rsidR="00D00606" w:rsidRPr="001B5842" w:rsidRDefault="00D00606" w:rsidP="00D00606">
      <w:pPr>
        <w:pStyle w:val="NormalWeb"/>
        <w:shd w:val="clear" w:color="auto" w:fill="FFFFFF"/>
        <w:spacing w:before="0" w:beforeAutospacing="0" w:after="120" w:afterAutospacing="0"/>
        <w:ind w:left="360"/>
        <w:rPr>
          <w:rFonts w:asciiTheme="minorHAnsi" w:hAnsiTheme="minorHAnsi" w:cstheme="minorHAnsi"/>
          <w:color w:val="C00000"/>
        </w:rPr>
      </w:pPr>
      <w:r w:rsidRPr="001B5842">
        <w:rPr>
          <w:rFonts w:asciiTheme="minorHAnsi" w:hAnsiTheme="minorHAnsi" w:cstheme="minorHAnsi"/>
          <w:color w:val="C00000"/>
        </w:rPr>
        <w:t>Main Result: Crude comparison of directly admitted and </w:t>
      </w:r>
      <w:r w:rsidRPr="001B5842">
        <w:rPr>
          <w:rStyle w:val="highlight"/>
          <w:rFonts w:asciiTheme="minorHAnsi" w:hAnsiTheme="minorHAnsi" w:cstheme="minorHAnsi"/>
          <w:color w:val="C00000"/>
        </w:rPr>
        <w:t>transfer</w:t>
      </w:r>
      <w:r w:rsidRPr="001B5842">
        <w:rPr>
          <w:rFonts w:asciiTheme="minorHAnsi" w:hAnsiTheme="minorHAnsi" w:cstheme="minorHAnsi"/>
          <w:color w:val="C00000"/>
        </w:rPr>
        <w:t> patients revealed that </w:t>
      </w:r>
      <w:r w:rsidRPr="001B5842">
        <w:rPr>
          <w:rStyle w:val="highlight"/>
          <w:rFonts w:asciiTheme="minorHAnsi" w:hAnsiTheme="minorHAnsi" w:cstheme="minorHAnsi"/>
          <w:color w:val="C00000"/>
        </w:rPr>
        <w:t>transfer</w:t>
      </w:r>
      <w:r w:rsidRPr="001B5842">
        <w:rPr>
          <w:rFonts w:asciiTheme="minorHAnsi" w:hAnsiTheme="minorHAnsi" w:cstheme="minorHAnsi"/>
          <w:color w:val="C00000"/>
        </w:rPr>
        <w:t> patients had significantly higher APACHE III scores (mean, 60.5 vs. 49.7, p &lt; .001), ICU mortality (14% vs. 8%, p &lt; .001), and hospital mortality (22% vs. 14%, p &lt; .001). </w:t>
      </w:r>
      <w:r w:rsidRPr="001B5842">
        <w:rPr>
          <w:rStyle w:val="highlight"/>
          <w:rFonts w:asciiTheme="minorHAnsi" w:hAnsiTheme="minorHAnsi" w:cstheme="minorHAnsi"/>
          <w:color w:val="C00000"/>
        </w:rPr>
        <w:t>Transfer</w:t>
      </w:r>
      <w:r w:rsidRPr="001B5842">
        <w:rPr>
          <w:rFonts w:asciiTheme="minorHAnsi" w:hAnsiTheme="minorHAnsi" w:cstheme="minorHAnsi"/>
          <w:color w:val="C00000"/>
        </w:rPr>
        <w:t> patients also had longer ICU lengths of stay (mean, 6.0 vs. 3.8 days, p &lt; .001) and hospital lengths of stay (mean, 20 vs. 15.9 days, p &lt; .001). Stratified by disease severity using the APACHE III model, there was no difference in either ICU or hospital mortality between the two populations. However, in the </w:t>
      </w:r>
      <w:r w:rsidRPr="001B5842">
        <w:rPr>
          <w:rStyle w:val="highlight"/>
          <w:rFonts w:asciiTheme="minorHAnsi" w:hAnsiTheme="minorHAnsi" w:cstheme="minorHAnsi"/>
          <w:color w:val="C00000"/>
        </w:rPr>
        <w:t>transfer</w:t>
      </w:r>
      <w:r w:rsidRPr="001B5842">
        <w:rPr>
          <w:rFonts w:asciiTheme="minorHAnsi" w:hAnsiTheme="minorHAnsi" w:cstheme="minorHAnsi"/>
          <w:color w:val="C00000"/>
        </w:rPr>
        <w:t> group with the lowest predicted mortality of 0-20%, ICU and hospital lengths of stay were significantly higher. In crude cost analysis, </w:t>
      </w:r>
      <w:r w:rsidRPr="001B5842">
        <w:rPr>
          <w:rStyle w:val="highlight"/>
          <w:rFonts w:asciiTheme="minorHAnsi" w:hAnsiTheme="minorHAnsi" w:cstheme="minorHAnsi"/>
          <w:color w:val="C00000"/>
        </w:rPr>
        <w:t>transfer</w:t>
      </w:r>
      <w:r w:rsidRPr="001B5842">
        <w:rPr>
          <w:rFonts w:asciiTheme="minorHAnsi" w:hAnsiTheme="minorHAnsi" w:cstheme="minorHAnsi"/>
          <w:color w:val="C00000"/>
        </w:rPr>
        <w:t xml:space="preserve"> patients' costs were $9,600 higher per ICU admission compared with </w:t>
      </w:r>
      <w:proofErr w:type="spellStart"/>
      <w:r w:rsidRPr="001B5842">
        <w:rPr>
          <w:rFonts w:asciiTheme="minorHAnsi" w:hAnsiTheme="minorHAnsi" w:cstheme="minorHAnsi"/>
          <w:color w:val="C00000"/>
        </w:rPr>
        <w:t>nontransfer</w:t>
      </w:r>
      <w:proofErr w:type="spellEnd"/>
      <w:r w:rsidRPr="001B5842">
        <w:rPr>
          <w:rFonts w:asciiTheme="minorHAnsi" w:hAnsiTheme="minorHAnsi" w:cstheme="minorHAnsi"/>
          <w:color w:val="C00000"/>
        </w:rPr>
        <w:t xml:space="preserve"> patients (95% confidence interval, $6,000-$13,400). Risk stratification revealed that the higher per-patient cost was entirely confined to the </w:t>
      </w:r>
      <w:r w:rsidRPr="001B5842">
        <w:rPr>
          <w:rStyle w:val="highlight"/>
          <w:rFonts w:asciiTheme="minorHAnsi" w:hAnsiTheme="minorHAnsi" w:cstheme="minorHAnsi"/>
          <w:color w:val="C00000"/>
        </w:rPr>
        <w:t>transfer</w:t>
      </w:r>
      <w:r w:rsidRPr="001B5842">
        <w:rPr>
          <w:rFonts w:asciiTheme="minorHAnsi" w:hAnsiTheme="minorHAnsi" w:cstheme="minorHAnsi"/>
          <w:color w:val="C00000"/>
        </w:rPr>
        <w:t> patients with the lowest predicted mortality.</w:t>
      </w:r>
    </w:p>
    <w:p w14:paraId="629F4781" w14:textId="77777777" w:rsidR="00D00606" w:rsidRPr="001B5842" w:rsidRDefault="00D00606" w:rsidP="00D00606">
      <w:pPr>
        <w:pStyle w:val="NormalWeb"/>
        <w:spacing w:before="0" w:beforeAutospacing="0" w:after="0" w:afterAutospacing="0"/>
        <w:rPr>
          <w:rFonts w:asciiTheme="minorHAnsi" w:hAnsiTheme="minorHAnsi" w:cstheme="minorHAnsi"/>
          <w:color w:val="C00000"/>
        </w:rPr>
      </w:pPr>
    </w:p>
    <w:p w14:paraId="13870385" w14:textId="77777777" w:rsidR="00D00606" w:rsidRPr="001B5842" w:rsidRDefault="00D00606" w:rsidP="00D00606">
      <w:pPr>
        <w:pStyle w:val="ListParagraph"/>
        <w:numPr>
          <w:ilvl w:val="0"/>
          <w:numId w:val="12"/>
        </w:numPr>
        <w:spacing w:after="160" w:line="259" w:lineRule="auto"/>
        <w:rPr>
          <w:rFonts w:cstheme="minorHAnsi"/>
          <w:color w:val="C00000"/>
          <w:sz w:val="24"/>
          <w:szCs w:val="24"/>
        </w:rPr>
      </w:pPr>
      <w:proofErr w:type="spellStart"/>
      <w:r w:rsidRPr="001B5842">
        <w:rPr>
          <w:rFonts w:cstheme="minorHAnsi"/>
          <w:color w:val="C00000"/>
          <w:sz w:val="24"/>
          <w:szCs w:val="24"/>
        </w:rPr>
        <w:t>Interhospital</w:t>
      </w:r>
      <w:proofErr w:type="spellEnd"/>
      <w:r w:rsidRPr="001B5842">
        <w:rPr>
          <w:rFonts w:cstheme="minorHAnsi"/>
          <w:color w:val="C00000"/>
          <w:sz w:val="24"/>
          <w:szCs w:val="24"/>
        </w:rPr>
        <w:t xml:space="preserve"> Facility Transfers in the United States: A Nationwide Outcomes Study</w:t>
      </w:r>
    </w:p>
    <w:p w14:paraId="3D9ECF1F" w14:textId="77777777" w:rsidR="00D00606" w:rsidRPr="001B5842" w:rsidRDefault="00D00606" w:rsidP="00D00606">
      <w:pPr>
        <w:rPr>
          <w:rFonts w:cstheme="minorHAnsi"/>
          <w:color w:val="C00000"/>
          <w:sz w:val="24"/>
          <w:szCs w:val="24"/>
        </w:rPr>
      </w:pPr>
      <w:r w:rsidRPr="001B5842">
        <w:rPr>
          <w:rFonts w:cstheme="minorHAnsi"/>
          <w:color w:val="C00000"/>
          <w:sz w:val="24"/>
          <w:szCs w:val="24"/>
        </w:rPr>
        <w:t>Tina Hernandez-</w:t>
      </w:r>
      <w:proofErr w:type="spellStart"/>
      <w:r w:rsidRPr="001B5842">
        <w:rPr>
          <w:rFonts w:cstheme="minorHAnsi"/>
          <w:color w:val="C00000"/>
          <w:sz w:val="24"/>
          <w:szCs w:val="24"/>
        </w:rPr>
        <w:t>Boussard</w:t>
      </w:r>
      <w:proofErr w:type="spellEnd"/>
      <w:r w:rsidRPr="001B5842">
        <w:rPr>
          <w:rFonts w:cstheme="minorHAnsi"/>
          <w:color w:val="C00000"/>
          <w:sz w:val="24"/>
          <w:szCs w:val="24"/>
        </w:rPr>
        <w:t xml:space="preserve">, PhD, MPH, MS*, Sheryl Davies, BA†, Kathryn McDonald, MA†, and N. </w:t>
      </w:r>
      <w:proofErr w:type="spellStart"/>
      <w:r w:rsidRPr="001B5842">
        <w:rPr>
          <w:rFonts w:cstheme="minorHAnsi"/>
          <w:color w:val="C00000"/>
          <w:sz w:val="24"/>
          <w:szCs w:val="24"/>
        </w:rPr>
        <w:t>Ewen</w:t>
      </w:r>
      <w:proofErr w:type="spellEnd"/>
      <w:r w:rsidRPr="001B5842">
        <w:rPr>
          <w:rFonts w:cstheme="minorHAnsi"/>
          <w:color w:val="C00000"/>
          <w:sz w:val="24"/>
          <w:szCs w:val="24"/>
        </w:rPr>
        <w:t xml:space="preserve"> Wang, M</w:t>
      </w:r>
    </w:p>
    <w:p w14:paraId="107CAEE2" w14:textId="77777777" w:rsidR="00D00606" w:rsidRPr="001B5842" w:rsidRDefault="00D00606" w:rsidP="00D00606">
      <w:pPr>
        <w:rPr>
          <w:rFonts w:cstheme="minorHAnsi"/>
          <w:color w:val="C00000"/>
          <w:sz w:val="24"/>
          <w:szCs w:val="24"/>
        </w:rPr>
      </w:pPr>
      <w:r w:rsidRPr="001B5842">
        <w:rPr>
          <w:rFonts w:cstheme="minorHAnsi"/>
          <w:color w:val="C00000"/>
          <w:sz w:val="24"/>
          <w:szCs w:val="24"/>
        </w:rPr>
        <w:t xml:space="preserve">J Patient </w:t>
      </w:r>
      <w:proofErr w:type="spellStart"/>
      <w:proofErr w:type="gramStart"/>
      <w:r w:rsidRPr="001B5842">
        <w:rPr>
          <w:rFonts w:cstheme="minorHAnsi"/>
          <w:color w:val="C00000"/>
          <w:sz w:val="24"/>
          <w:szCs w:val="24"/>
        </w:rPr>
        <w:t>Saf</w:t>
      </w:r>
      <w:proofErr w:type="spellEnd"/>
      <w:r w:rsidRPr="001B5842">
        <w:rPr>
          <w:rFonts w:cstheme="minorHAnsi"/>
          <w:color w:val="C00000"/>
          <w:sz w:val="24"/>
          <w:szCs w:val="24"/>
        </w:rPr>
        <w:t xml:space="preserve"> .</w:t>
      </w:r>
      <w:proofErr w:type="gramEnd"/>
      <w:r w:rsidRPr="001B5842">
        <w:rPr>
          <w:rFonts w:cstheme="minorHAnsi"/>
          <w:color w:val="C00000"/>
          <w:sz w:val="24"/>
          <w:szCs w:val="24"/>
        </w:rPr>
        <w:t xml:space="preserve"> 2017 </w:t>
      </w:r>
      <w:proofErr w:type="gramStart"/>
      <w:r w:rsidRPr="001B5842">
        <w:rPr>
          <w:rFonts w:cstheme="minorHAnsi"/>
          <w:color w:val="C00000"/>
          <w:sz w:val="24"/>
          <w:szCs w:val="24"/>
        </w:rPr>
        <w:t>December ;</w:t>
      </w:r>
      <w:proofErr w:type="gramEnd"/>
      <w:r w:rsidRPr="001B5842">
        <w:rPr>
          <w:rFonts w:cstheme="minorHAnsi"/>
          <w:color w:val="C00000"/>
          <w:sz w:val="24"/>
          <w:szCs w:val="24"/>
        </w:rPr>
        <w:t xml:space="preserve"> 13(4): 187–191. doi:10.1097/PTS.0000000000000148</w:t>
      </w:r>
    </w:p>
    <w:p w14:paraId="1A4DC6AE" w14:textId="77777777" w:rsidR="00D00606" w:rsidRPr="001B5842" w:rsidRDefault="00D00606" w:rsidP="00D00606">
      <w:pPr>
        <w:rPr>
          <w:rFonts w:cstheme="minorHAnsi"/>
          <w:color w:val="C00000"/>
          <w:sz w:val="24"/>
          <w:szCs w:val="24"/>
        </w:rPr>
      </w:pPr>
      <w:r w:rsidRPr="001B5842">
        <w:rPr>
          <w:rFonts w:cstheme="minorHAnsi"/>
          <w:color w:val="C00000"/>
          <w:sz w:val="24"/>
          <w:szCs w:val="24"/>
        </w:rPr>
        <w:t xml:space="preserve">Study Design: Retrospective observational study of in-hospital adverse events and discharge deposition for transfer </w:t>
      </w:r>
      <w:proofErr w:type="gramStart"/>
      <w:r w:rsidRPr="001B5842">
        <w:rPr>
          <w:rFonts w:cstheme="minorHAnsi"/>
          <w:color w:val="C00000"/>
          <w:sz w:val="24"/>
          <w:szCs w:val="24"/>
        </w:rPr>
        <w:t>patients</w:t>
      </w:r>
      <w:proofErr w:type="gramEnd"/>
      <w:r w:rsidRPr="001B5842">
        <w:rPr>
          <w:rFonts w:cstheme="minorHAnsi"/>
          <w:color w:val="C00000"/>
          <w:sz w:val="24"/>
          <w:szCs w:val="24"/>
        </w:rPr>
        <w:t xml:space="preserve"> vs </w:t>
      </w:r>
      <w:proofErr w:type="spellStart"/>
      <w:r w:rsidRPr="001B5842">
        <w:rPr>
          <w:rFonts w:cstheme="minorHAnsi"/>
          <w:color w:val="C00000"/>
          <w:sz w:val="24"/>
          <w:szCs w:val="24"/>
        </w:rPr>
        <w:t>nontransfer</w:t>
      </w:r>
      <w:proofErr w:type="spellEnd"/>
      <w:r w:rsidRPr="001B5842">
        <w:rPr>
          <w:rFonts w:cstheme="minorHAnsi"/>
          <w:color w:val="C00000"/>
          <w:sz w:val="24"/>
          <w:szCs w:val="24"/>
        </w:rPr>
        <w:t xml:space="preserve"> patients using Nationwide Inpatient Sample (NIS).</w:t>
      </w:r>
    </w:p>
    <w:p w14:paraId="34CBCBFE" w14:textId="77777777" w:rsidR="00D00606" w:rsidRPr="001B5842" w:rsidRDefault="00D00606" w:rsidP="00D00606">
      <w:pPr>
        <w:rPr>
          <w:rFonts w:eastAsia="Times New Roman" w:cstheme="minorHAnsi"/>
          <w:color w:val="C00000"/>
          <w:sz w:val="24"/>
          <w:szCs w:val="24"/>
        </w:rPr>
      </w:pPr>
      <w:r w:rsidRPr="001B5842">
        <w:rPr>
          <w:rFonts w:cstheme="minorHAnsi"/>
          <w:color w:val="C00000"/>
          <w:sz w:val="24"/>
          <w:szCs w:val="24"/>
        </w:rPr>
        <w:t xml:space="preserve">Sample Size: 1,397,712 transfer patients and 31,692,211 </w:t>
      </w:r>
      <w:proofErr w:type="spellStart"/>
      <w:r w:rsidRPr="001B5842">
        <w:rPr>
          <w:rFonts w:cstheme="minorHAnsi"/>
          <w:color w:val="C00000"/>
          <w:sz w:val="24"/>
          <w:szCs w:val="24"/>
        </w:rPr>
        <w:t>nontransfer</w:t>
      </w:r>
      <w:proofErr w:type="spellEnd"/>
      <w:r w:rsidRPr="001B5842">
        <w:rPr>
          <w:rFonts w:cstheme="minorHAnsi"/>
          <w:color w:val="C00000"/>
          <w:sz w:val="24"/>
          <w:szCs w:val="24"/>
        </w:rPr>
        <w:t xml:space="preserve"> patients for a total of </w:t>
      </w:r>
      <w:r w:rsidRPr="001B5842">
        <w:rPr>
          <w:rFonts w:eastAsia="Times New Roman" w:cstheme="minorHAnsi"/>
          <w:color w:val="C00000"/>
          <w:sz w:val="24"/>
          <w:szCs w:val="24"/>
        </w:rPr>
        <w:t xml:space="preserve">33,089,923 patients. </w:t>
      </w:r>
    </w:p>
    <w:p w14:paraId="095D8D65" w14:textId="77777777" w:rsidR="00D00606" w:rsidRPr="001B5842" w:rsidRDefault="00D00606" w:rsidP="00D00606">
      <w:pPr>
        <w:rPr>
          <w:rFonts w:cstheme="minorHAnsi"/>
          <w:color w:val="C00000"/>
          <w:sz w:val="24"/>
          <w:szCs w:val="24"/>
        </w:rPr>
      </w:pPr>
      <w:r w:rsidRPr="001B5842">
        <w:rPr>
          <w:rFonts w:cstheme="minorHAnsi"/>
          <w:color w:val="C00000"/>
          <w:sz w:val="24"/>
          <w:szCs w:val="24"/>
        </w:rPr>
        <w:t xml:space="preserve">Main Result: We identified 1,397,712 transfer patients and 31,692,211 </w:t>
      </w:r>
      <w:proofErr w:type="spellStart"/>
      <w:r w:rsidRPr="001B5842">
        <w:rPr>
          <w:rFonts w:cstheme="minorHAnsi"/>
          <w:color w:val="C00000"/>
          <w:sz w:val="24"/>
          <w:szCs w:val="24"/>
        </w:rPr>
        <w:t>nontransfer</w:t>
      </w:r>
      <w:proofErr w:type="spellEnd"/>
      <w:r w:rsidRPr="001B5842">
        <w:rPr>
          <w:rFonts w:cstheme="minorHAnsi"/>
          <w:color w:val="C00000"/>
          <w:sz w:val="24"/>
          <w:szCs w:val="24"/>
        </w:rPr>
        <w:t xml:space="preserve"> patients. Age, sex, race, and payer were significantly associated with odds of transfer </w:t>
      </w:r>
      <w:proofErr w:type="gramStart"/>
      <w:r w:rsidRPr="001B5842">
        <w:rPr>
          <w:rFonts w:cstheme="minorHAnsi"/>
          <w:color w:val="C00000"/>
          <w:sz w:val="24"/>
          <w:szCs w:val="24"/>
        </w:rPr>
        <w:t>( P</w:t>
      </w:r>
      <w:proofErr w:type="gramEnd"/>
      <w:r w:rsidRPr="001B5842">
        <w:rPr>
          <w:rFonts w:cstheme="minorHAnsi"/>
          <w:color w:val="C00000"/>
          <w:sz w:val="24"/>
          <w:szCs w:val="24"/>
        </w:rPr>
        <w:t xml:space="preserve"> &lt; 0.05). Transfer patients had higher risk-adjusted inpatient mortality (4.6 versus 2.1, P &lt; 0.01), longer length of stay (13.3 versus 4.5, P &lt; 0.01), and fewer routine disposition discharges (53.6 versus 68.7, P &lt; 0.01). In-hospital adverse events were significantly higher in transfer patients compared with </w:t>
      </w:r>
      <w:proofErr w:type="spellStart"/>
      <w:r w:rsidRPr="001B5842">
        <w:rPr>
          <w:rFonts w:cstheme="minorHAnsi"/>
          <w:color w:val="C00000"/>
          <w:sz w:val="24"/>
          <w:szCs w:val="24"/>
        </w:rPr>
        <w:t>nontransfer</w:t>
      </w:r>
      <w:proofErr w:type="spellEnd"/>
      <w:r w:rsidRPr="001B5842">
        <w:rPr>
          <w:rFonts w:cstheme="minorHAnsi"/>
          <w:color w:val="C00000"/>
          <w:sz w:val="24"/>
          <w:szCs w:val="24"/>
        </w:rPr>
        <w:t xml:space="preserve"> patients </w:t>
      </w:r>
      <w:proofErr w:type="gramStart"/>
      <w:r w:rsidRPr="001B5842">
        <w:rPr>
          <w:rFonts w:cstheme="minorHAnsi"/>
          <w:color w:val="C00000"/>
          <w:sz w:val="24"/>
          <w:szCs w:val="24"/>
        </w:rPr>
        <w:t>( P</w:t>
      </w:r>
      <w:proofErr w:type="gramEnd"/>
      <w:r w:rsidRPr="001B5842">
        <w:rPr>
          <w:rFonts w:cstheme="minorHAnsi"/>
          <w:color w:val="C00000"/>
          <w:sz w:val="24"/>
          <w:szCs w:val="24"/>
        </w:rPr>
        <w:t xml:space="preserve"> &lt; 0.05). With hospital accountability and value-based payments constituting an integral part of health care reform, documenting the quality of care delivered to transfer patients is essential before accurate quality assessment improvement efforts can begin in this patient population.</w:t>
      </w:r>
    </w:p>
    <w:p w14:paraId="6505FF0E" w14:textId="77777777" w:rsidR="00D00606" w:rsidRPr="001B5842" w:rsidRDefault="00D00606" w:rsidP="00D00606">
      <w:pPr>
        <w:rPr>
          <w:rFonts w:cstheme="minorHAnsi"/>
          <w:color w:val="C00000"/>
          <w:sz w:val="24"/>
          <w:szCs w:val="24"/>
        </w:rPr>
      </w:pPr>
      <w:r w:rsidRPr="00521E29">
        <w:rPr>
          <w:rFonts w:cstheme="minorHAnsi"/>
          <w:color w:val="C00000"/>
          <w:sz w:val="24"/>
          <w:szCs w:val="24"/>
        </w:rPr>
        <w:t xml:space="preserve">Our results suggest that transfer patients have inferior outcomes compared with </w:t>
      </w:r>
      <w:proofErr w:type="spellStart"/>
      <w:r w:rsidRPr="00521E29">
        <w:rPr>
          <w:rFonts w:cstheme="minorHAnsi"/>
          <w:color w:val="C00000"/>
          <w:sz w:val="24"/>
          <w:szCs w:val="24"/>
        </w:rPr>
        <w:t>nontransfer</w:t>
      </w:r>
      <w:proofErr w:type="spellEnd"/>
      <w:r w:rsidRPr="00521E29">
        <w:rPr>
          <w:rFonts w:cstheme="minorHAnsi"/>
          <w:color w:val="C00000"/>
          <w:sz w:val="24"/>
          <w:szCs w:val="24"/>
        </w:rPr>
        <w:t xml:space="preserve"> patients. Although they are clinically complex patients and assessing accountability as between the transferring and receiving hospitals is methodologically difficult, transfer patients must nonetheless be included in quality benchmark data to assess the potential impact this population has on hospital outcome profiles. With hospital accountability and value-based payments constituting an integral part of health care reform, documenting the quality of care delivered to transfer patients is essential before accurate quality assessment improvement efforts can begin in this patient population.</w:t>
      </w:r>
    </w:p>
    <w:p w14:paraId="3216B219" w14:textId="77777777" w:rsidR="00D00606" w:rsidRPr="001B5842" w:rsidRDefault="00D00606" w:rsidP="00D00606">
      <w:pPr>
        <w:pStyle w:val="ListParagraph"/>
        <w:numPr>
          <w:ilvl w:val="0"/>
          <w:numId w:val="12"/>
        </w:numPr>
        <w:spacing w:after="160" w:line="259" w:lineRule="auto"/>
        <w:rPr>
          <w:rFonts w:cstheme="minorHAnsi"/>
          <w:color w:val="C00000"/>
          <w:sz w:val="24"/>
          <w:szCs w:val="24"/>
        </w:rPr>
      </w:pPr>
      <w:proofErr w:type="spellStart"/>
      <w:r w:rsidRPr="001B5842">
        <w:rPr>
          <w:rFonts w:cstheme="minorHAnsi"/>
          <w:color w:val="C00000"/>
          <w:sz w:val="24"/>
          <w:szCs w:val="24"/>
        </w:rPr>
        <w:t>Interhospital</w:t>
      </w:r>
      <w:proofErr w:type="spellEnd"/>
      <w:r w:rsidRPr="001B5842">
        <w:rPr>
          <w:rFonts w:cstheme="minorHAnsi"/>
          <w:color w:val="C00000"/>
          <w:sz w:val="24"/>
          <w:szCs w:val="24"/>
        </w:rPr>
        <w:t xml:space="preserve"> Transfer Patients Discharged by Academic Hospitalists and General Internists: Characteristics and Outcomes</w:t>
      </w:r>
    </w:p>
    <w:p w14:paraId="2BBB4625" w14:textId="77777777" w:rsidR="00D00606" w:rsidRPr="001B5842" w:rsidRDefault="00D00606" w:rsidP="00D00606">
      <w:pPr>
        <w:rPr>
          <w:rFonts w:cstheme="minorHAnsi"/>
          <w:color w:val="C00000"/>
          <w:sz w:val="24"/>
          <w:szCs w:val="24"/>
        </w:rPr>
      </w:pPr>
      <w:proofErr w:type="spellStart"/>
      <w:r w:rsidRPr="001B5842">
        <w:rPr>
          <w:rFonts w:cstheme="minorHAnsi"/>
          <w:color w:val="C00000"/>
          <w:sz w:val="24"/>
          <w:szCs w:val="24"/>
        </w:rPr>
        <w:t>Lauge</w:t>
      </w:r>
      <w:proofErr w:type="spellEnd"/>
      <w:r w:rsidRPr="001B5842">
        <w:rPr>
          <w:rFonts w:cstheme="minorHAnsi"/>
          <w:color w:val="C00000"/>
          <w:sz w:val="24"/>
          <w:szCs w:val="24"/>
        </w:rPr>
        <w:t xml:space="preserve"> </w:t>
      </w:r>
      <w:proofErr w:type="spellStart"/>
      <w:r w:rsidRPr="001B5842">
        <w:rPr>
          <w:rFonts w:cstheme="minorHAnsi"/>
          <w:color w:val="C00000"/>
          <w:sz w:val="24"/>
          <w:szCs w:val="24"/>
        </w:rPr>
        <w:t>Sokol-Hessner</w:t>
      </w:r>
      <w:proofErr w:type="spellEnd"/>
      <w:r w:rsidRPr="001B5842">
        <w:rPr>
          <w:rFonts w:cstheme="minorHAnsi"/>
          <w:color w:val="C00000"/>
          <w:sz w:val="24"/>
          <w:szCs w:val="24"/>
        </w:rPr>
        <w:t xml:space="preserve">, MD1*, Andrew A. White, MD2, Katherine F. Davis, RN3, Shoshana J. </w:t>
      </w:r>
      <w:proofErr w:type="spellStart"/>
      <w:r w:rsidRPr="001B5842">
        <w:rPr>
          <w:rFonts w:cstheme="minorHAnsi"/>
          <w:color w:val="C00000"/>
          <w:sz w:val="24"/>
          <w:szCs w:val="24"/>
        </w:rPr>
        <w:t>Herzig</w:t>
      </w:r>
      <w:proofErr w:type="spellEnd"/>
      <w:r w:rsidRPr="001B5842">
        <w:rPr>
          <w:rFonts w:cstheme="minorHAnsi"/>
          <w:color w:val="C00000"/>
          <w:sz w:val="24"/>
          <w:szCs w:val="24"/>
        </w:rPr>
        <w:t xml:space="preserve">, MD, MPH1, Samuel F. </w:t>
      </w:r>
      <w:proofErr w:type="spellStart"/>
      <w:r w:rsidRPr="001B5842">
        <w:rPr>
          <w:rFonts w:cstheme="minorHAnsi"/>
          <w:color w:val="C00000"/>
          <w:sz w:val="24"/>
          <w:szCs w:val="24"/>
        </w:rPr>
        <w:t>Hohmann</w:t>
      </w:r>
      <w:proofErr w:type="spellEnd"/>
      <w:r w:rsidRPr="001B5842">
        <w:rPr>
          <w:rFonts w:cstheme="minorHAnsi"/>
          <w:color w:val="C00000"/>
          <w:sz w:val="24"/>
          <w:szCs w:val="24"/>
        </w:rPr>
        <w:t>, PhD3</w:t>
      </w:r>
    </w:p>
    <w:p w14:paraId="4A7EC3D8" w14:textId="77777777" w:rsidR="00D00606" w:rsidRPr="001B5842" w:rsidRDefault="00D00606" w:rsidP="00D00606">
      <w:pPr>
        <w:rPr>
          <w:rFonts w:cstheme="minorHAnsi"/>
          <w:color w:val="C00000"/>
          <w:sz w:val="24"/>
          <w:szCs w:val="24"/>
        </w:rPr>
      </w:pPr>
      <w:r w:rsidRPr="001B5842">
        <w:rPr>
          <w:rFonts w:cstheme="minorHAnsi"/>
          <w:color w:val="C00000"/>
          <w:sz w:val="24"/>
          <w:szCs w:val="24"/>
        </w:rPr>
        <w:t>Journal of Hospital Medicine Vol 11 | No 4 | April 2016</w:t>
      </w:r>
    </w:p>
    <w:p w14:paraId="7C2C1D77" w14:textId="77777777" w:rsidR="00D00606" w:rsidRPr="001B5842" w:rsidRDefault="00D00606" w:rsidP="00D00606">
      <w:pPr>
        <w:rPr>
          <w:rFonts w:cstheme="minorHAnsi"/>
          <w:color w:val="C00000"/>
          <w:sz w:val="24"/>
          <w:szCs w:val="24"/>
        </w:rPr>
      </w:pPr>
      <w:r w:rsidRPr="001B5842">
        <w:rPr>
          <w:rFonts w:cstheme="minorHAnsi"/>
          <w:color w:val="C00000"/>
          <w:sz w:val="24"/>
          <w:szCs w:val="24"/>
        </w:rPr>
        <w:t xml:space="preserve">Study Design: Retrospective cohort study that compares </w:t>
      </w:r>
      <w:proofErr w:type="spellStart"/>
      <w:r w:rsidRPr="001B5842">
        <w:rPr>
          <w:rFonts w:cstheme="minorHAnsi"/>
          <w:color w:val="C00000"/>
          <w:sz w:val="24"/>
          <w:szCs w:val="24"/>
        </w:rPr>
        <w:t>interhospital</w:t>
      </w:r>
      <w:proofErr w:type="spellEnd"/>
      <w:r w:rsidRPr="001B5842">
        <w:rPr>
          <w:rFonts w:cstheme="minorHAnsi"/>
          <w:color w:val="C00000"/>
          <w:sz w:val="24"/>
          <w:szCs w:val="24"/>
        </w:rPr>
        <w:t xml:space="preserve"> transfers (IHT) with those admitted from the emergency department to an academic health system. </w:t>
      </w:r>
    </w:p>
    <w:p w14:paraId="437362EE" w14:textId="77777777" w:rsidR="00D00606" w:rsidRPr="001B5842" w:rsidRDefault="00D00606" w:rsidP="00D00606">
      <w:pPr>
        <w:rPr>
          <w:rFonts w:cstheme="minorHAnsi"/>
          <w:color w:val="C00000"/>
          <w:sz w:val="24"/>
          <w:szCs w:val="24"/>
        </w:rPr>
      </w:pPr>
      <w:r w:rsidRPr="001B5842">
        <w:rPr>
          <w:rFonts w:cstheme="minorHAnsi"/>
          <w:color w:val="C00000"/>
          <w:sz w:val="24"/>
          <w:szCs w:val="24"/>
        </w:rPr>
        <w:t>Sample Size: 885,392 adult inpatients discharged from 158 academic health centers and affiliated hospitals from April 1, 2011 to March 31</w:t>
      </w:r>
      <w:proofErr w:type="gramStart"/>
      <w:r w:rsidRPr="001B5842">
        <w:rPr>
          <w:rFonts w:cstheme="minorHAnsi"/>
          <w:color w:val="C00000"/>
          <w:sz w:val="24"/>
          <w:szCs w:val="24"/>
        </w:rPr>
        <w:t>,2012</w:t>
      </w:r>
      <w:proofErr w:type="gramEnd"/>
      <w:r w:rsidRPr="001B5842">
        <w:rPr>
          <w:rFonts w:cstheme="minorHAnsi"/>
          <w:color w:val="C00000"/>
          <w:sz w:val="24"/>
          <w:szCs w:val="24"/>
        </w:rPr>
        <w:t>.</w:t>
      </w:r>
    </w:p>
    <w:p w14:paraId="3CA71250" w14:textId="77777777" w:rsidR="00D00606" w:rsidRPr="001B5842" w:rsidRDefault="00D00606" w:rsidP="00D00606">
      <w:pPr>
        <w:rPr>
          <w:rFonts w:cstheme="minorHAnsi"/>
          <w:color w:val="C00000"/>
          <w:sz w:val="24"/>
          <w:szCs w:val="24"/>
        </w:rPr>
      </w:pPr>
      <w:r w:rsidRPr="001B5842">
        <w:rPr>
          <w:rFonts w:cstheme="minorHAnsi"/>
          <w:color w:val="C00000"/>
          <w:sz w:val="24"/>
          <w:szCs w:val="24"/>
        </w:rPr>
        <w:t xml:space="preserve">Main Result: IHT patients are at a higher risk of inpatient mortality after controlling for patient characteristics and risk of mortality measures. </w:t>
      </w:r>
    </w:p>
    <w:p w14:paraId="70765656" w14:textId="77777777" w:rsidR="00D00606" w:rsidRPr="001B5842" w:rsidRDefault="00D00606" w:rsidP="00D00606">
      <w:pPr>
        <w:rPr>
          <w:rFonts w:cstheme="minorHAnsi"/>
          <w:color w:val="C00000"/>
          <w:sz w:val="24"/>
          <w:szCs w:val="24"/>
        </w:rPr>
      </w:pPr>
    </w:p>
    <w:p w14:paraId="06DB01D4" w14:textId="77777777" w:rsidR="00D00606" w:rsidRPr="001B5842" w:rsidRDefault="00D00606" w:rsidP="00D00606">
      <w:pPr>
        <w:pStyle w:val="ListParagraph"/>
        <w:numPr>
          <w:ilvl w:val="0"/>
          <w:numId w:val="12"/>
        </w:numPr>
        <w:spacing w:after="160" w:line="259" w:lineRule="auto"/>
        <w:rPr>
          <w:rFonts w:cstheme="minorHAnsi"/>
          <w:color w:val="C00000"/>
          <w:sz w:val="24"/>
          <w:szCs w:val="24"/>
        </w:rPr>
      </w:pPr>
      <w:r w:rsidRPr="001B5842">
        <w:rPr>
          <w:rFonts w:cstheme="minorHAnsi"/>
          <w:color w:val="C00000"/>
          <w:sz w:val="24"/>
          <w:szCs w:val="24"/>
        </w:rPr>
        <w:t>The Care Transitions Intervention</w:t>
      </w:r>
    </w:p>
    <w:p w14:paraId="1AE1DABD" w14:textId="77777777" w:rsidR="00D00606" w:rsidRPr="001B5842" w:rsidRDefault="00D00606" w:rsidP="00D00606">
      <w:pPr>
        <w:rPr>
          <w:rFonts w:cstheme="minorHAnsi"/>
          <w:color w:val="C00000"/>
          <w:sz w:val="24"/>
          <w:szCs w:val="24"/>
        </w:rPr>
      </w:pPr>
      <w:r w:rsidRPr="001B5842">
        <w:rPr>
          <w:rFonts w:cstheme="minorHAnsi"/>
          <w:color w:val="C00000"/>
          <w:sz w:val="24"/>
          <w:szCs w:val="24"/>
        </w:rPr>
        <w:t>Results of a Randomized Controlled Trial</w:t>
      </w:r>
    </w:p>
    <w:p w14:paraId="65914B64" w14:textId="77777777" w:rsidR="00D00606" w:rsidRPr="001B5842" w:rsidRDefault="00D00606" w:rsidP="00D00606">
      <w:pPr>
        <w:rPr>
          <w:rFonts w:cstheme="minorHAnsi"/>
          <w:color w:val="C00000"/>
          <w:sz w:val="24"/>
          <w:szCs w:val="24"/>
        </w:rPr>
      </w:pPr>
      <w:r w:rsidRPr="001B5842">
        <w:rPr>
          <w:rFonts w:cstheme="minorHAnsi"/>
          <w:color w:val="C00000"/>
          <w:sz w:val="24"/>
          <w:szCs w:val="24"/>
        </w:rPr>
        <w:t>Eric A. Coleman, MD, MPH; Carla Parry, PhD, MSW; Sandra Chalmers, MPH; Sung-</w:t>
      </w:r>
      <w:proofErr w:type="spellStart"/>
      <w:r w:rsidRPr="001B5842">
        <w:rPr>
          <w:rFonts w:cstheme="minorHAnsi"/>
          <w:color w:val="C00000"/>
          <w:sz w:val="24"/>
          <w:szCs w:val="24"/>
        </w:rPr>
        <w:t>joon</w:t>
      </w:r>
      <w:proofErr w:type="spellEnd"/>
      <w:r w:rsidRPr="001B5842">
        <w:rPr>
          <w:rFonts w:cstheme="minorHAnsi"/>
          <w:color w:val="C00000"/>
          <w:sz w:val="24"/>
          <w:szCs w:val="24"/>
        </w:rPr>
        <w:t xml:space="preserve"> Min, PhD</w:t>
      </w:r>
    </w:p>
    <w:p w14:paraId="12062727" w14:textId="77777777" w:rsidR="00D00606" w:rsidRPr="001B5842" w:rsidRDefault="00D00606" w:rsidP="00D00606">
      <w:pPr>
        <w:rPr>
          <w:rFonts w:cstheme="minorHAnsi"/>
          <w:color w:val="C00000"/>
          <w:sz w:val="24"/>
          <w:szCs w:val="24"/>
        </w:rPr>
      </w:pPr>
      <w:r w:rsidRPr="001B5842">
        <w:rPr>
          <w:rFonts w:cstheme="minorHAnsi"/>
          <w:color w:val="C00000"/>
          <w:sz w:val="24"/>
          <w:szCs w:val="24"/>
        </w:rPr>
        <w:t>ARCH INTERN MED/VOL 166, SEP 25, 2006 WWW.ARCHINTERNMED.CO</w:t>
      </w:r>
    </w:p>
    <w:p w14:paraId="1118C542" w14:textId="77777777" w:rsidR="00D00606" w:rsidRPr="001B5842" w:rsidRDefault="00D00606" w:rsidP="00D00606">
      <w:pPr>
        <w:rPr>
          <w:rFonts w:cstheme="minorHAnsi"/>
          <w:color w:val="C00000"/>
          <w:sz w:val="24"/>
          <w:szCs w:val="24"/>
        </w:rPr>
      </w:pPr>
      <w:r w:rsidRPr="001B5842">
        <w:rPr>
          <w:rFonts w:cstheme="minorHAnsi"/>
          <w:color w:val="C00000"/>
          <w:sz w:val="24"/>
          <w:szCs w:val="24"/>
        </w:rPr>
        <w:t>Study Design: Randomized control trial from September 1 2002 to Aug 31 2003 of patients moving across different health care settings who received communication tools, assertiveness encouragement, and “transition” coaching.</w:t>
      </w:r>
    </w:p>
    <w:p w14:paraId="7E543064" w14:textId="77777777" w:rsidR="00D00606" w:rsidRPr="001B5842" w:rsidRDefault="00D00606" w:rsidP="00D00606">
      <w:pPr>
        <w:rPr>
          <w:rFonts w:cstheme="minorHAnsi"/>
          <w:color w:val="C00000"/>
          <w:sz w:val="24"/>
          <w:szCs w:val="24"/>
        </w:rPr>
      </w:pPr>
      <w:r w:rsidRPr="001B5842">
        <w:rPr>
          <w:rFonts w:cstheme="minorHAnsi"/>
          <w:color w:val="C00000"/>
          <w:sz w:val="24"/>
          <w:szCs w:val="24"/>
        </w:rPr>
        <w:t xml:space="preserve">Sample Size: 750 community dwelling adults over age 65 who were admitted to the study hospital for 1 of 11 conditions. </w:t>
      </w:r>
    </w:p>
    <w:p w14:paraId="7ED16E1A" w14:textId="77777777" w:rsidR="00D00606" w:rsidRPr="001B5842" w:rsidRDefault="00D00606" w:rsidP="00D00606">
      <w:pPr>
        <w:rPr>
          <w:rFonts w:cstheme="minorHAnsi"/>
          <w:color w:val="C00000"/>
          <w:sz w:val="24"/>
          <w:szCs w:val="24"/>
        </w:rPr>
      </w:pPr>
      <w:r w:rsidRPr="001B5842">
        <w:rPr>
          <w:rFonts w:cstheme="minorHAnsi"/>
          <w:color w:val="C00000"/>
          <w:sz w:val="24"/>
          <w:szCs w:val="24"/>
        </w:rPr>
        <w:t xml:space="preserve">Main Result: Coaching for chronically ill elders to ensure that their needs are met may reduce rates of subsequent </w:t>
      </w:r>
      <w:proofErr w:type="spellStart"/>
      <w:r w:rsidRPr="001B5842">
        <w:rPr>
          <w:rFonts w:cstheme="minorHAnsi"/>
          <w:color w:val="C00000"/>
          <w:sz w:val="24"/>
          <w:szCs w:val="24"/>
        </w:rPr>
        <w:t>rehospitalization</w:t>
      </w:r>
      <w:proofErr w:type="spellEnd"/>
      <w:r w:rsidRPr="001B5842">
        <w:rPr>
          <w:rFonts w:cstheme="minorHAnsi"/>
          <w:color w:val="C00000"/>
          <w:sz w:val="24"/>
          <w:szCs w:val="24"/>
        </w:rPr>
        <w:t xml:space="preserve">. </w:t>
      </w:r>
    </w:p>
    <w:p w14:paraId="4379CC5D" w14:textId="77777777" w:rsidR="00D00606" w:rsidRPr="0096090F" w:rsidRDefault="00D00606" w:rsidP="00D00606">
      <w:pPr>
        <w:pStyle w:val="Bibliography"/>
        <w:numPr>
          <w:ilvl w:val="0"/>
          <w:numId w:val="12"/>
        </w:numPr>
        <w:spacing w:line="480" w:lineRule="auto"/>
        <w:rPr>
          <w:rFonts w:ascii="Calibri" w:hAnsi="Calibri" w:cs="Calibri"/>
          <w:color w:val="C00000"/>
          <w:sz w:val="24"/>
        </w:rPr>
      </w:pPr>
      <w:r w:rsidRPr="0096090F">
        <w:rPr>
          <w:rFonts w:ascii="Calibri" w:hAnsi="Calibri" w:cs="Calibri"/>
          <w:color w:val="C00000"/>
          <w:sz w:val="24"/>
        </w:rPr>
        <w:t xml:space="preserve">Non-emergency patient transport: What are the quality and safety issues? A systematic review. </w:t>
      </w:r>
      <w:proofErr w:type="spellStart"/>
      <w:r w:rsidRPr="0096090F">
        <w:rPr>
          <w:rFonts w:ascii="Calibri" w:hAnsi="Calibri" w:cs="Calibri"/>
          <w:color w:val="C00000"/>
          <w:sz w:val="24"/>
        </w:rPr>
        <w:t>Hains</w:t>
      </w:r>
      <w:proofErr w:type="spellEnd"/>
      <w:r w:rsidRPr="0096090F">
        <w:rPr>
          <w:rFonts w:ascii="Calibri" w:hAnsi="Calibri" w:cs="Calibri"/>
          <w:color w:val="C00000"/>
          <w:sz w:val="24"/>
        </w:rPr>
        <w:t xml:space="preserve">, I. M., Marks, A., Georgiou, A., &amp; Westbrook, J. I. (2011). </w:t>
      </w:r>
      <w:r w:rsidRPr="0096090F">
        <w:rPr>
          <w:rFonts w:ascii="Calibri" w:hAnsi="Calibri" w:cs="Calibri"/>
          <w:i/>
          <w:iCs/>
          <w:color w:val="C00000"/>
          <w:sz w:val="24"/>
        </w:rPr>
        <w:t>International Journal for Quality in Health Care: Journal of the International Society for Quality in Health Care</w:t>
      </w:r>
      <w:r w:rsidRPr="0096090F">
        <w:rPr>
          <w:rFonts w:ascii="Calibri" w:hAnsi="Calibri" w:cs="Calibri"/>
          <w:color w:val="C00000"/>
          <w:sz w:val="24"/>
        </w:rPr>
        <w:t xml:space="preserve">, </w:t>
      </w:r>
      <w:r w:rsidRPr="0096090F">
        <w:rPr>
          <w:rFonts w:ascii="Calibri" w:hAnsi="Calibri" w:cs="Calibri"/>
          <w:i/>
          <w:iCs/>
          <w:color w:val="C00000"/>
          <w:sz w:val="24"/>
        </w:rPr>
        <w:t>23</w:t>
      </w:r>
      <w:r w:rsidRPr="0096090F">
        <w:rPr>
          <w:rFonts w:ascii="Calibri" w:hAnsi="Calibri" w:cs="Calibri"/>
          <w:color w:val="C00000"/>
          <w:sz w:val="24"/>
        </w:rPr>
        <w:t>(1), 68–75. https://doi.org/10.1093/intqhc/mzq076</w:t>
      </w:r>
    </w:p>
    <w:p w14:paraId="32A1DB6F" w14:textId="77777777" w:rsidR="00D00606" w:rsidRDefault="00D00606" w:rsidP="00D00606">
      <w:pPr>
        <w:pStyle w:val="ListParagraph"/>
        <w:rPr>
          <w:rFonts w:cstheme="minorHAnsi"/>
          <w:color w:val="C00000"/>
          <w:sz w:val="24"/>
          <w:szCs w:val="24"/>
        </w:rPr>
      </w:pPr>
      <w:r>
        <w:rPr>
          <w:rFonts w:cstheme="minorHAnsi"/>
          <w:color w:val="C00000"/>
          <w:sz w:val="24"/>
          <w:szCs w:val="24"/>
        </w:rPr>
        <w:t xml:space="preserve">Study design: Systematic Review </w:t>
      </w:r>
    </w:p>
    <w:p w14:paraId="066C0E64" w14:textId="77777777" w:rsidR="00D00606" w:rsidRDefault="00D00606" w:rsidP="00D00606">
      <w:pPr>
        <w:pStyle w:val="ListParagraph"/>
        <w:rPr>
          <w:rFonts w:cstheme="minorHAnsi"/>
          <w:color w:val="C00000"/>
          <w:sz w:val="24"/>
          <w:szCs w:val="24"/>
        </w:rPr>
      </w:pPr>
      <w:r>
        <w:rPr>
          <w:rFonts w:cstheme="minorHAnsi"/>
          <w:color w:val="C00000"/>
          <w:sz w:val="24"/>
          <w:szCs w:val="24"/>
        </w:rPr>
        <w:t>Sample: Twelve articles from 7 countries.</w:t>
      </w:r>
    </w:p>
    <w:p w14:paraId="3C0BAB74" w14:textId="7A70B65E" w:rsidR="00F51BA0" w:rsidRPr="001B772D" w:rsidRDefault="00D00606" w:rsidP="00D00606">
      <w:pPr>
        <w:ind w:left="0" w:firstLine="0"/>
      </w:pPr>
      <w:r>
        <w:rPr>
          <w:rFonts w:cstheme="minorHAnsi"/>
          <w:color w:val="C00000"/>
          <w:sz w:val="24"/>
          <w:szCs w:val="24"/>
        </w:rPr>
        <w:t xml:space="preserve">Main Results: </w:t>
      </w:r>
      <w:r w:rsidRPr="0096090F">
        <w:rPr>
          <w:rFonts w:cstheme="minorHAnsi"/>
          <w:color w:val="C00000"/>
          <w:sz w:val="24"/>
          <w:szCs w:val="24"/>
        </w:rPr>
        <w:t xml:space="preserve">Communication, efﬁciency and appropriateness are key factors that are advanced as impacting on the quality and safety of non-emergency transport services. Standardization of the non-emergency transport process shows promise in reducing risk and increasing efﬁciency. Applying information and communication technology to improve the quality of transport services has received little attention despite its potential beneﬁts. Patient outcomes in relation to quality and safety of transport services are rarely measured. Available evidence suggests that safety of non-emergency patient transfers is sometimes compromised due to poor </w:t>
      </w:r>
      <w:proofErr w:type="spellStart"/>
      <w:r w:rsidRPr="0096090F">
        <w:rPr>
          <w:rFonts w:cstheme="minorHAnsi"/>
          <w:color w:val="C00000"/>
          <w:sz w:val="24"/>
          <w:szCs w:val="24"/>
        </w:rPr>
        <w:t>standar</w:t>
      </w:r>
      <w:bookmarkStart w:id="7" w:name="_GoBack"/>
      <w:bookmarkEnd w:id="7"/>
      <w:proofErr w:type="spellEnd"/>
    </w:p>
    <w:sectPr w:rsidR="00F51BA0" w:rsidRPr="001B772D">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1CBD1" w14:textId="77777777" w:rsidR="00AB62DA" w:rsidRDefault="00AB62DA" w:rsidP="007E37A5">
      <w:r>
        <w:separator/>
      </w:r>
    </w:p>
  </w:endnote>
  <w:endnote w:type="continuationSeparator" w:id="0">
    <w:p w14:paraId="5BB3DEE7" w14:textId="77777777" w:rsidR="00AB62DA" w:rsidRDefault="00AB62DA"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2678D7A5"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D00606">
      <w:rPr>
        <w:noProof/>
      </w:rPr>
      <w:t>11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57C791" w14:textId="77777777" w:rsidR="00AB62DA" w:rsidRDefault="00AB62DA" w:rsidP="007E37A5">
      <w:r>
        <w:separator/>
      </w:r>
    </w:p>
  </w:footnote>
  <w:footnote w:type="continuationSeparator" w:id="0">
    <w:p w14:paraId="778B4CAD" w14:textId="77777777" w:rsidR="00AB62DA" w:rsidRDefault="00AB62DA"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7D42402"/>
    <w:multiLevelType w:val="hybridMultilevel"/>
    <w:tmpl w:val="D1949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num>
  <w:num w:numId="4">
    <w:abstractNumId w:val="3"/>
  </w:num>
  <w:num w:numId="5">
    <w:abstractNumId w:val="5"/>
  </w:num>
  <w:num w:numId="6">
    <w:abstractNumId w:val="4"/>
  </w:num>
  <w:num w:numId="7">
    <w:abstractNumId w:val="10"/>
  </w:num>
  <w:num w:numId="8">
    <w:abstractNumId w:val="9"/>
  </w:num>
  <w:num w:numId="9">
    <w:abstractNumId w:val="11"/>
  </w:num>
  <w:num w:numId="10">
    <w:abstractNumId w:val="0"/>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5674"/>
    <w:rsid w:val="00457E46"/>
    <w:rsid w:val="004922E4"/>
    <w:rsid w:val="00496AF8"/>
    <w:rsid w:val="004A575D"/>
    <w:rsid w:val="004A70A5"/>
    <w:rsid w:val="004B65C6"/>
    <w:rsid w:val="004D1DC7"/>
    <w:rsid w:val="004E7215"/>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327A"/>
    <w:rsid w:val="00617390"/>
    <w:rsid w:val="00623420"/>
    <w:rsid w:val="00634768"/>
    <w:rsid w:val="0063596F"/>
    <w:rsid w:val="00657573"/>
    <w:rsid w:val="006709EB"/>
    <w:rsid w:val="00672824"/>
    <w:rsid w:val="00676BD4"/>
    <w:rsid w:val="0068184A"/>
    <w:rsid w:val="006A0249"/>
    <w:rsid w:val="006B5C51"/>
    <w:rsid w:val="006C3821"/>
    <w:rsid w:val="006C7F30"/>
    <w:rsid w:val="006D43FF"/>
    <w:rsid w:val="006E6FDD"/>
    <w:rsid w:val="006F4B7F"/>
    <w:rsid w:val="006F760B"/>
    <w:rsid w:val="00701CC3"/>
    <w:rsid w:val="007101BB"/>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09E9"/>
    <w:rsid w:val="00A26FED"/>
    <w:rsid w:val="00A421D4"/>
    <w:rsid w:val="00A44FF0"/>
    <w:rsid w:val="00A50E55"/>
    <w:rsid w:val="00A67EB1"/>
    <w:rsid w:val="00A9011D"/>
    <w:rsid w:val="00A91A47"/>
    <w:rsid w:val="00A95D2B"/>
    <w:rsid w:val="00AA5587"/>
    <w:rsid w:val="00AB4ECE"/>
    <w:rsid w:val="00AB62DA"/>
    <w:rsid w:val="00AC1E53"/>
    <w:rsid w:val="00AD79C8"/>
    <w:rsid w:val="00AE6CE0"/>
    <w:rsid w:val="00B058A6"/>
    <w:rsid w:val="00B117D0"/>
    <w:rsid w:val="00B13998"/>
    <w:rsid w:val="00B35C5F"/>
    <w:rsid w:val="00B439DD"/>
    <w:rsid w:val="00B52E0F"/>
    <w:rsid w:val="00B67E43"/>
    <w:rsid w:val="00B74629"/>
    <w:rsid w:val="00B866FC"/>
    <w:rsid w:val="00B91F58"/>
    <w:rsid w:val="00BA579E"/>
    <w:rsid w:val="00BE2295"/>
    <w:rsid w:val="00BE6373"/>
    <w:rsid w:val="00BF533A"/>
    <w:rsid w:val="00C41794"/>
    <w:rsid w:val="00C44BD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0606"/>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51BA0"/>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D753BACA-DBCD-42A9-AA7E-468B39694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Bibliography">
    <w:name w:val="Bibliography"/>
    <w:basedOn w:val="Normal"/>
    <w:next w:val="Normal"/>
    <w:uiPriority w:val="37"/>
    <w:semiHidden/>
    <w:unhideWhenUsed/>
    <w:rsid w:val="00D00606"/>
  </w:style>
  <w:style w:type="character" w:customStyle="1" w:styleId="highlight">
    <w:name w:val="highlight"/>
    <w:basedOn w:val="DefaultParagraphFont"/>
    <w:rsid w:val="00D00606"/>
  </w:style>
  <w:style w:type="paragraph" w:styleId="NormalWeb">
    <w:name w:val="Normal (Web)"/>
    <w:basedOn w:val="Normal"/>
    <w:uiPriority w:val="99"/>
    <w:semiHidden/>
    <w:unhideWhenUsed/>
    <w:rsid w:val="00D00606"/>
    <w:pPr>
      <w:spacing w:before="100" w:beforeAutospacing="1" w:after="100" w:afterAutospacing="1"/>
      <w:ind w:left="0" w:firstLin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hyperlink" Target="https://www.ncbi.nlm.nih.gov/pubmed/?term=Scruggs%20JE%5BAuthor%5D&amp;cauthor=true&amp;cauthor_uid=17440423"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s://www.ncbi.nlm.nih.gov/pubmed/?term=Golestanian%20E%5BAuthor%5D&amp;cauthor=true&amp;cauthor_uid=17440423"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tratishealth.org/providers/ED_Transfer_Resources.html" TargetMode="External"/><Relationship Id="rId20" Type="http://schemas.openxmlformats.org/officeDocument/2006/relationships/hyperlink" Target="https://www.ncbi.nlm.nih.gov/pubmed?term=(effect%20of%20transfer%20on%20resource)%20AND%20golestania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ncbi.nlm.nih.gov/pubmed/?term=Wood%20KE%5BAuthor%5D&amp;cauthor=true&amp;cauthor_uid=1744042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D499B"/>
    <w:rsid w:val="00106A2D"/>
    <w:rsid w:val="00160241"/>
    <w:rsid w:val="001F47A0"/>
    <w:rsid w:val="002B5F47"/>
    <w:rsid w:val="002C3492"/>
    <w:rsid w:val="003A1E4B"/>
    <w:rsid w:val="00455EB5"/>
    <w:rsid w:val="00461C1C"/>
    <w:rsid w:val="004E2027"/>
    <w:rsid w:val="005F21F3"/>
    <w:rsid w:val="008F6A9B"/>
    <w:rsid w:val="009A0C16"/>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D0ADD9E4-4BED-4FD0-A199-5594C324D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8398</Words>
  <Characters>47875</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Jill M Klingner</cp:lastModifiedBy>
  <cp:revision>2</cp:revision>
  <dcterms:created xsi:type="dcterms:W3CDTF">2020-01-13T03:05:00Z</dcterms:created>
  <dcterms:modified xsi:type="dcterms:W3CDTF">2020-01-13T03:05:00Z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