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5E58B" w14:textId="6003DE00" w:rsidR="00496AF8" w:rsidRPr="008642F5" w:rsidRDefault="007C1887" w:rsidP="00E7371B">
      <w:pPr>
        <w:jc w:val="center"/>
        <w:outlineLvl w:val="0"/>
        <w:rPr>
          <w:b/>
          <w:noProof/>
          <w:sz w:val="22"/>
          <w:szCs w:val="22"/>
        </w:rPr>
      </w:pPr>
      <w:r w:rsidRPr="008642F5">
        <w:rPr>
          <w:b/>
          <w:smallCaps/>
          <w:noProof/>
          <w:sz w:val="22"/>
          <w:szCs w:val="22"/>
        </w:rPr>
        <w:t>N</w:t>
      </w:r>
      <w:r w:rsidR="002F20A7" w:rsidRPr="008642F5">
        <w:rPr>
          <w:b/>
          <w:smallCaps/>
          <w:noProof/>
          <w:sz w:val="22"/>
          <w:szCs w:val="22"/>
        </w:rPr>
        <w:t>ational Quality Forum</w:t>
      </w:r>
      <w:r w:rsidR="002F20A7" w:rsidRPr="008642F5">
        <w:rPr>
          <w:b/>
          <w:noProof/>
          <w:sz w:val="22"/>
          <w:szCs w:val="22"/>
        </w:rPr>
        <w:t>—</w:t>
      </w:r>
      <w:r w:rsidR="00496AF8" w:rsidRPr="008642F5">
        <w:rPr>
          <w:b/>
          <w:noProof/>
          <w:sz w:val="22"/>
          <w:szCs w:val="22"/>
        </w:rPr>
        <w:t>Evidence (</w:t>
      </w:r>
      <w:r w:rsidR="00BE2295" w:rsidRPr="008642F5">
        <w:rPr>
          <w:b/>
          <w:noProof/>
          <w:sz w:val="22"/>
          <w:szCs w:val="22"/>
        </w:rPr>
        <w:t>subcrite</w:t>
      </w:r>
      <w:r w:rsidR="00617390" w:rsidRPr="008642F5">
        <w:rPr>
          <w:b/>
          <w:noProof/>
          <w:sz w:val="22"/>
          <w:szCs w:val="22"/>
        </w:rPr>
        <w:t>r</w:t>
      </w:r>
      <w:r w:rsidR="00BE2295" w:rsidRPr="008642F5">
        <w:rPr>
          <w:b/>
          <w:noProof/>
          <w:sz w:val="22"/>
          <w:szCs w:val="22"/>
        </w:rPr>
        <w:t xml:space="preserve">ion </w:t>
      </w:r>
      <w:r w:rsidR="00496AF8" w:rsidRPr="008642F5">
        <w:rPr>
          <w:b/>
          <w:noProof/>
          <w:sz w:val="22"/>
          <w:szCs w:val="22"/>
        </w:rPr>
        <w:t>1</w:t>
      </w:r>
      <w:r w:rsidR="00B117D0" w:rsidRPr="008642F5">
        <w:rPr>
          <w:b/>
          <w:noProof/>
          <w:sz w:val="22"/>
          <w:szCs w:val="22"/>
        </w:rPr>
        <w:t>a</w:t>
      </w:r>
      <w:r w:rsidR="00496AF8" w:rsidRPr="008642F5">
        <w:rPr>
          <w:b/>
          <w:noProof/>
          <w:sz w:val="22"/>
          <w:szCs w:val="22"/>
        </w:rPr>
        <w:t>)</w:t>
      </w:r>
      <w:r w:rsidR="002717C7" w:rsidRPr="008642F5">
        <w:rPr>
          <w:b/>
          <w:noProof/>
          <w:sz w:val="22"/>
          <w:szCs w:val="22"/>
        </w:rPr>
        <w:t xml:space="preserve"> </w:t>
      </w:r>
      <w:r w:rsidR="009B08ED" w:rsidRPr="008642F5">
        <w:rPr>
          <w:b/>
          <w:noProof/>
          <w:sz w:val="22"/>
          <w:szCs w:val="22"/>
        </w:rPr>
        <w:t xml:space="preserve"> </w:t>
      </w:r>
    </w:p>
    <w:p w14:paraId="30F5E58C" w14:textId="77777777" w:rsidR="00496AF8" w:rsidRPr="008642F5" w:rsidRDefault="00496AF8" w:rsidP="002E2177">
      <w:pPr>
        <w:rPr>
          <w:noProof/>
          <w:sz w:val="22"/>
          <w:szCs w:val="22"/>
        </w:rPr>
      </w:pPr>
    </w:p>
    <w:p w14:paraId="30F5E58D" w14:textId="1F7AC1F5" w:rsidR="004F7D7E" w:rsidRPr="008642F5" w:rsidRDefault="45CF7C08" w:rsidP="45CF7C08">
      <w:pPr>
        <w:outlineLvl w:val="0"/>
        <w:rPr>
          <w:b/>
          <w:bCs/>
          <w:noProof/>
          <w:sz w:val="22"/>
          <w:szCs w:val="22"/>
        </w:rPr>
      </w:pPr>
      <w:r w:rsidRPr="45CF7C08">
        <w:rPr>
          <w:b/>
          <w:bCs/>
          <w:noProof/>
          <w:sz w:val="22"/>
          <w:szCs w:val="22"/>
        </w:rPr>
        <w:t xml:space="preserve">Measure Number </w:t>
      </w:r>
      <w:r w:rsidRPr="45CF7C08">
        <w:rPr>
          <w:noProof/>
          <w:sz w:val="22"/>
          <w:szCs w:val="22"/>
        </w:rPr>
        <w:t>(</w:t>
      </w:r>
      <w:r w:rsidRPr="45CF7C08">
        <w:rPr>
          <w:i/>
          <w:iCs/>
          <w:noProof/>
          <w:sz w:val="22"/>
          <w:szCs w:val="22"/>
        </w:rPr>
        <w:t>if previously endorsed</w:t>
      </w:r>
      <w:r w:rsidRPr="45CF7C08">
        <w:rPr>
          <w:noProof/>
          <w:sz w:val="22"/>
          <w:szCs w:val="22"/>
        </w:rPr>
        <w:t>)</w:t>
      </w:r>
      <w:r w:rsidRPr="45CF7C08">
        <w:rPr>
          <w:b/>
          <w:bCs/>
          <w:noProof/>
          <w:sz w:val="22"/>
          <w:szCs w:val="22"/>
        </w:rPr>
        <w:t xml:space="preserve">: </w:t>
      </w:r>
      <w:sdt>
        <w:sdtPr>
          <w:rPr>
            <w:rStyle w:val="Style1"/>
            <w:rFonts w:ascii="Times New Roman" w:hAnsi="Times New Roman"/>
          </w:rPr>
          <w:id w:val="1103681744"/>
          <w:placeholder>
            <w:docPart w:val="AB1B0578B87C4E9EA043F449B0E6989F"/>
          </w:placeholder>
        </w:sdtPr>
        <w:sdtEndPr>
          <w:rPr>
            <w:rStyle w:val="DefaultParagraphFont"/>
            <w:b/>
            <w:bCs/>
            <w:noProof/>
            <w:color w:val="auto"/>
            <w:sz w:val="24"/>
          </w:rPr>
        </w:sdtEndPr>
        <w:sdtContent>
          <w:r w:rsidRPr="45CF7C08">
            <w:rPr>
              <w:rStyle w:val="Style1"/>
              <w:rFonts w:ascii="Times New Roman" w:hAnsi="Times New Roman"/>
            </w:rPr>
            <w:t>NQF 0555</w:t>
          </w:r>
        </w:sdtContent>
      </w:sdt>
    </w:p>
    <w:p w14:paraId="30F5E58E" w14:textId="3B48E181" w:rsidR="00496AF8" w:rsidRPr="008642F5" w:rsidRDefault="45CF7C08" w:rsidP="45CF7C08">
      <w:pPr>
        <w:outlineLvl w:val="0"/>
        <w:rPr>
          <w:noProof/>
          <w:sz w:val="22"/>
          <w:szCs w:val="22"/>
        </w:rPr>
      </w:pPr>
      <w:r w:rsidRPr="45CF7C08">
        <w:rPr>
          <w:b/>
          <w:bCs/>
          <w:noProof/>
          <w:sz w:val="22"/>
          <w:szCs w:val="22"/>
        </w:rPr>
        <w:t>Measure Title</w:t>
      </w:r>
      <w:r w:rsidRPr="45CF7C08">
        <w:rPr>
          <w:noProof/>
          <w:sz w:val="22"/>
          <w:szCs w:val="22"/>
        </w:rPr>
        <w:t xml:space="preserve">:  </w:t>
      </w:r>
      <w:sdt>
        <w:sdtPr>
          <w:rPr>
            <w:rStyle w:val="Style1"/>
            <w:rFonts w:ascii="Times New Roman" w:hAnsi="Times New Roman"/>
          </w:rPr>
          <w:id w:val="-882640736"/>
          <w:placeholder>
            <w:docPart w:val="61E91D4220034A64A72268AE9C6EBC95"/>
          </w:placeholder>
        </w:sdtPr>
        <w:sdtEndPr>
          <w:rPr>
            <w:rStyle w:val="DefaultParagraphFont"/>
            <w:noProof/>
            <w:color w:val="auto"/>
            <w:sz w:val="24"/>
          </w:rPr>
        </w:sdtEndPr>
        <w:sdtContent>
          <w:sdt>
            <w:sdtPr>
              <w:rPr>
                <w:rFonts w:asciiTheme="minorHAnsi" w:hAnsiTheme="minorHAnsi"/>
                <w:color w:val="0000FF"/>
                <w:sz w:val="22"/>
                <w:szCs w:val="22"/>
              </w:rPr>
              <w:id w:val="1337199908"/>
              <w:placeholder>
                <w:docPart w:val="8D404EDD66956B47B76FB04B6F3AEE04"/>
              </w:placeholder>
            </w:sdtPr>
            <w:sdtEndPr/>
            <w:sdtContent>
              <w:r w:rsidRPr="45CF7C08">
                <w:rPr>
                  <w:color w:val="0000FF"/>
                  <w:sz w:val="22"/>
                  <w:szCs w:val="22"/>
                </w:rPr>
                <w:t>INR Monitoring for Individuals on Warfarin</w:t>
              </w:r>
            </w:sdtContent>
          </w:sdt>
        </w:sdtContent>
      </w:sdt>
    </w:p>
    <w:p w14:paraId="30F5E58F" w14:textId="00AF19B2" w:rsidR="00114848" w:rsidRPr="008642F5" w:rsidRDefault="45CF7C08" w:rsidP="45CF7C08">
      <w:pPr>
        <w:rPr>
          <w:b/>
          <w:bCs/>
          <w:noProof/>
          <w:sz w:val="22"/>
          <w:szCs w:val="22"/>
        </w:rPr>
      </w:pPr>
      <w:r w:rsidRPr="45CF7C08">
        <w:rPr>
          <w:b/>
          <w:bCs/>
          <w:noProof/>
          <w:sz w:val="22"/>
          <w:szCs w:val="22"/>
        </w:rPr>
        <w:t>IF the measure is a component in a composite performance measure, provide the title of the Composite Measure here:</w:t>
      </w:r>
      <w:r w:rsidRPr="45CF7C08">
        <w:rPr>
          <w:noProof/>
          <w:sz w:val="22"/>
          <w:szCs w:val="22"/>
        </w:rPr>
        <w:t xml:space="preserve"> </w:t>
      </w:r>
      <w:sdt>
        <w:sdtPr>
          <w:rPr>
            <w:rStyle w:val="Style1"/>
            <w:rFonts w:ascii="Times New Roman" w:hAnsi="Times New Roman"/>
          </w:rPr>
          <w:id w:val="474719354"/>
          <w:placeholder>
            <w:docPart w:val="8924E7CB4D5C4CC4905BEA5FE80343E5"/>
          </w:placeholder>
        </w:sdtPr>
        <w:sdtEndPr>
          <w:rPr>
            <w:rStyle w:val="DefaultParagraphFont"/>
            <w:noProof/>
            <w:color w:val="auto"/>
            <w:sz w:val="24"/>
          </w:rPr>
        </w:sdtEndPr>
        <w:sdtContent>
          <w:r w:rsidRPr="45CF7C08">
            <w:rPr>
              <w:rStyle w:val="Style1"/>
              <w:rFonts w:ascii="Times New Roman" w:hAnsi="Times New Roman"/>
            </w:rPr>
            <w:t>Not applicable</w:t>
          </w:r>
          <w:bookmarkStart w:id="0" w:name="_GoBack"/>
          <w:bookmarkEnd w:id="0"/>
        </w:sdtContent>
      </w:sdt>
    </w:p>
    <w:p w14:paraId="30F5E590" w14:textId="742D6DDF" w:rsidR="00496AF8" w:rsidRPr="008642F5" w:rsidRDefault="00496AF8" w:rsidP="45CF7C08">
      <w:pPr>
        <w:rPr>
          <w:rStyle w:val="Style2"/>
          <w:rFonts w:ascii="Times New Roman" w:hAnsi="Times New Roman"/>
        </w:rPr>
      </w:pPr>
      <w:r w:rsidRPr="008642F5">
        <w:rPr>
          <w:b/>
          <w:bCs/>
          <w:noProof/>
          <w:sz w:val="22"/>
          <w:szCs w:val="22"/>
        </w:rPr>
        <w:t>Date of Submission</w:t>
      </w:r>
      <w:r w:rsidRPr="008642F5">
        <w:rPr>
          <w:noProof/>
          <w:sz w:val="22"/>
          <w:szCs w:val="22"/>
        </w:rPr>
        <w:t xml:space="preserve">:  </w:t>
      </w:r>
      <w:sdt>
        <w:sdtPr>
          <w:rPr>
            <w:rStyle w:val="Style2"/>
            <w:rFonts w:ascii="Times New Roman" w:hAnsi="Times New Roman"/>
            <w:szCs w:val="22"/>
          </w:rPr>
          <w:id w:val="-1689821638"/>
          <w:placeholder>
            <w:docPart w:val="6A100845774148B09AFD987423307E3B"/>
          </w:placeholder>
          <w:date w:fullDate="2018-10-29T00:00:00Z">
            <w:dateFormat w:val="M/d/yyyy"/>
            <w:lid w:val="en-US"/>
            <w:storeMappedDataAs w:val="dateTime"/>
            <w:calendar w:val="gregorian"/>
          </w:date>
        </w:sdtPr>
        <w:sdtEndPr>
          <w:rPr>
            <w:rStyle w:val="DefaultParagraphFont"/>
            <w:noProof/>
            <w:color w:val="auto"/>
            <w:sz w:val="24"/>
            <w:u w:val="none"/>
          </w:rPr>
        </w:sdtEndPr>
        <w:sdtContent>
          <w:r w:rsidR="00B72891">
            <w:rPr>
              <w:rStyle w:val="Style2"/>
              <w:rFonts w:ascii="Times New Roman" w:hAnsi="Times New Roman"/>
              <w:szCs w:val="22"/>
            </w:rPr>
            <w:t>10/29/2018</w:t>
          </w:r>
        </w:sdtContent>
      </w:sdt>
    </w:p>
    <w:p w14:paraId="30F5E591" w14:textId="77777777" w:rsidR="00176E60" w:rsidRPr="003B1CC5" w:rsidRDefault="00176E60" w:rsidP="008642F5">
      <w:pPr>
        <w:jc w:val="both"/>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30F5E59B" w14:textId="77777777" w:rsidTr="45CF7C08">
        <w:trPr>
          <w:jc w:val="center"/>
        </w:trPr>
        <w:tc>
          <w:tcPr>
            <w:tcW w:w="9576" w:type="dxa"/>
          </w:tcPr>
          <w:p w14:paraId="30F5E592" w14:textId="77777777" w:rsidR="00114848" w:rsidRPr="008642F5" w:rsidRDefault="00114848" w:rsidP="008642F5">
            <w:pPr>
              <w:pStyle w:val="CommentText"/>
              <w:ind w:left="0" w:firstLine="0"/>
              <w:jc w:val="both"/>
              <w:rPr>
                <w:rFonts w:ascii="Times New Roman" w:hAnsi="Times New Roman" w:cs="Times New Roman"/>
                <w:b/>
                <w:i/>
                <w:sz w:val="22"/>
                <w:szCs w:val="22"/>
              </w:rPr>
            </w:pPr>
            <w:r w:rsidRPr="008642F5">
              <w:rPr>
                <w:rFonts w:ascii="Times New Roman" w:hAnsi="Times New Roman" w:cs="Times New Roman"/>
                <w:b/>
                <w:noProof/>
                <w:sz w:val="22"/>
                <w:szCs w:val="22"/>
              </w:rPr>
              <w:t>Instructions</w:t>
            </w:r>
          </w:p>
          <w:p w14:paraId="30F5E593" w14:textId="77777777" w:rsidR="000F4A7F" w:rsidRPr="008642F5" w:rsidRDefault="45CF7C08" w:rsidP="45CF7C08">
            <w:pPr>
              <w:pStyle w:val="CommentText"/>
              <w:numPr>
                <w:ilvl w:val="0"/>
                <w:numId w:val="5"/>
              </w:numPr>
              <w:jc w:val="both"/>
              <w:rPr>
                <w:rFonts w:ascii="Times New Roman" w:hAnsi="Times New Roman" w:cs="Times New Roman"/>
                <w:i/>
                <w:iCs/>
                <w:sz w:val="22"/>
                <w:szCs w:val="22"/>
              </w:rPr>
            </w:pPr>
            <w:r w:rsidRPr="45CF7C08">
              <w:rPr>
                <w:rFonts w:ascii="Times New Roman" w:hAnsi="Times New Roman" w:cs="Times New Roman"/>
                <w:i/>
                <w:iCs/>
                <w:sz w:val="22"/>
                <w:szCs w:val="22"/>
              </w:rPr>
              <w:t xml:space="preserve">Complete 1a.1 and 1a.12 for all measures. </w:t>
            </w:r>
          </w:p>
          <w:p w14:paraId="30F5E594" w14:textId="77777777" w:rsidR="000F4A7F" w:rsidRPr="008642F5" w:rsidRDefault="45CF7C08" w:rsidP="45CF7C08">
            <w:pPr>
              <w:pStyle w:val="CommentText"/>
              <w:numPr>
                <w:ilvl w:val="0"/>
                <w:numId w:val="5"/>
              </w:numPr>
              <w:jc w:val="both"/>
              <w:rPr>
                <w:rFonts w:ascii="Times New Roman" w:hAnsi="Times New Roman" w:cs="Times New Roman"/>
                <w:i/>
                <w:iCs/>
                <w:sz w:val="22"/>
                <w:szCs w:val="22"/>
              </w:rPr>
            </w:pPr>
            <w:r w:rsidRPr="45CF7C08">
              <w:rPr>
                <w:rFonts w:ascii="Times New Roman" w:hAnsi="Times New Roman" w:cs="Times New Roman"/>
                <w:i/>
                <w:iCs/>
                <w:sz w:val="22"/>
                <w:szCs w:val="22"/>
              </w:rPr>
              <w:t xml:space="preserve">Complete </w:t>
            </w:r>
            <w:r w:rsidRPr="45CF7C08">
              <w:rPr>
                <w:rFonts w:ascii="Times New Roman" w:hAnsi="Times New Roman" w:cs="Times New Roman"/>
                <w:b/>
                <w:bCs/>
                <w:i/>
                <w:iCs/>
                <w:sz w:val="22"/>
                <w:szCs w:val="22"/>
              </w:rPr>
              <w:t xml:space="preserve">EITHER 1a.2, 1a.3 or 1a.4 </w:t>
            </w:r>
            <w:r w:rsidRPr="45CF7C08">
              <w:rPr>
                <w:rFonts w:ascii="Times New Roman" w:hAnsi="Times New Roman" w:cs="Times New Roman"/>
                <w:i/>
                <w:iCs/>
                <w:sz w:val="22"/>
                <w:szCs w:val="22"/>
              </w:rPr>
              <w:t>as applicable for the type of measure and evidence.</w:t>
            </w:r>
          </w:p>
          <w:p w14:paraId="30F5E595" w14:textId="77777777" w:rsidR="00024526" w:rsidRPr="008642F5" w:rsidRDefault="45CF7C08" w:rsidP="45CF7C08">
            <w:pPr>
              <w:pStyle w:val="CommentText"/>
              <w:numPr>
                <w:ilvl w:val="0"/>
                <w:numId w:val="5"/>
              </w:numPr>
              <w:jc w:val="both"/>
              <w:rPr>
                <w:rFonts w:ascii="Times New Roman" w:hAnsi="Times New Roman" w:cs="Times New Roman"/>
                <w:i/>
                <w:iCs/>
                <w:sz w:val="22"/>
                <w:szCs w:val="22"/>
              </w:rPr>
            </w:pPr>
            <w:r w:rsidRPr="45CF7C08">
              <w:rPr>
                <w:rFonts w:ascii="Times New Roman" w:hAnsi="Times New Roman" w:cs="Times New Roman"/>
                <w:i/>
                <w:iCs/>
                <w:sz w:val="22"/>
                <w:szCs w:val="22"/>
              </w:rPr>
              <w:t xml:space="preserve">For composite performance measures:  </w:t>
            </w:r>
          </w:p>
          <w:p w14:paraId="30F5E596" w14:textId="77777777" w:rsidR="00024526" w:rsidRPr="008642F5" w:rsidRDefault="45CF7C08" w:rsidP="45CF7C08">
            <w:pPr>
              <w:pStyle w:val="CommentText"/>
              <w:numPr>
                <w:ilvl w:val="1"/>
                <w:numId w:val="5"/>
              </w:numPr>
              <w:ind w:left="792"/>
              <w:jc w:val="both"/>
              <w:rPr>
                <w:rFonts w:ascii="Times New Roman" w:hAnsi="Times New Roman" w:cs="Times New Roman"/>
                <w:i/>
                <w:iCs/>
                <w:sz w:val="22"/>
                <w:szCs w:val="22"/>
              </w:rPr>
            </w:pPr>
            <w:r w:rsidRPr="45CF7C08">
              <w:rPr>
                <w:rFonts w:ascii="Times New Roman" w:hAnsi="Times New Roman" w:cs="Times New Roman"/>
                <w:i/>
                <w:iCs/>
                <w:sz w:val="22"/>
                <w:szCs w:val="22"/>
              </w:rPr>
              <w:t xml:space="preserve"> A separate evidence form is required for each component measure unless several components were studied together.</w:t>
            </w:r>
          </w:p>
          <w:p w14:paraId="30F5E597" w14:textId="77777777" w:rsidR="00024526" w:rsidRPr="008642F5" w:rsidRDefault="45CF7C08" w:rsidP="45CF7C08">
            <w:pPr>
              <w:pStyle w:val="CommentText"/>
              <w:numPr>
                <w:ilvl w:val="1"/>
                <w:numId w:val="5"/>
              </w:numPr>
              <w:ind w:left="792"/>
              <w:jc w:val="both"/>
              <w:rPr>
                <w:rFonts w:ascii="Times New Roman" w:hAnsi="Times New Roman" w:cs="Times New Roman"/>
                <w:i/>
                <w:iCs/>
                <w:sz w:val="22"/>
                <w:szCs w:val="22"/>
              </w:rPr>
            </w:pPr>
            <w:r w:rsidRPr="45CF7C08">
              <w:rPr>
                <w:rFonts w:ascii="Times New Roman" w:hAnsi="Times New Roman" w:cs="Times New Roman"/>
                <w:i/>
                <w:iCs/>
                <w:sz w:val="22"/>
                <w:szCs w:val="22"/>
              </w:rPr>
              <w:t xml:space="preserve"> If a component measure is submitted as an individual performance measure, attach the evidence form to the individual measure submission.</w:t>
            </w:r>
          </w:p>
          <w:p w14:paraId="30F5E598" w14:textId="77777777" w:rsidR="002F20A7" w:rsidRPr="008642F5" w:rsidRDefault="45CF7C08" w:rsidP="45CF7C08">
            <w:pPr>
              <w:pStyle w:val="ListParagraph"/>
              <w:numPr>
                <w:ilvl w:val="0"/>
                <w:numId w:val="5"/>
              </w:numPr>
              <w:spacing w:after="0" w:line="240" w:lineRule="auto"/>
              <w:jc w:val="both"/>
              <w:rPr>
                <w:rFonts w:ascii="Times New Roman" w:hAnsi="Times New Roman" w:cs="Times New Roman"/>
              </w:rPr>
            </w:pPr>
            <w:r w:rsidRPr="45CF7C08">
              <w:rPr>
                <w:rFonts w:ascii="Times New Roman" w:hAnsi="Times New Roman" w:cs="Times New Roman"/>
              </w:rPr>
              <w:t xml:space="preserve">All information needed to demonstrate meeting the evidence </w:t>
            </w:r>
            <w:proofErr w:type="spellStart"/>
            <w:r w:rsidRPr="45CF7C08">
              <w:rPr>
                <w:rFonts w:ascii="Times New Roman" w:hAnsi="Times New Roman" w:cs="Times New Roman"/>
              </w:rPr>
              <w:t>subcriterion</w:t>
            </w:r>
            <w:proofErr w:type="spellEnd"/>
            <w:r w:rsidRPr="45CF7C08">
              <w:rPr>
                <w:rFonts w:ascii="Times New Roman" w:hAnsi="Times New Roman" w:cs="Times New Roman"/>
              </w:rPr>
              <w:t xml:space="preserve"> (1a) must be in this form.  An appendix of </w:t>
            </w:r>
            <w:r w:rsidRPr="45CF7C08">
              <w:rPr>
                <w:rFonts w:ascii="Times New Roman" w:hAnsi="Times New Roman" w:cs="Times New Roman"/>
                <w:i/>
                <w:iCs/>
              </w:rPr>
              <w:t>supplemental</w:t>
            </w:r>
            <w:r w:rsidRPr="45CF7C08">
              <w:rPr>
                <w:rFonts w:ascii="Times New Roman" w:hAnsi="Times New Roman" w:cs="Times New Roman"/>
              </w:rPr>
              <w:t xml:space="preserve"> materials may be submitted, but there is no guarantee it will be reviewed.</w:t>
            </w:r>
          </w:p>
          <w:p w14:paraId="30F5E599" w14:textId="77777777" w:rsidR="0015535B" w:rsidRPr="008642F5" w:rsidRDefault="45CF7C08" w:rsidP="45CF7C08">
            <w:pPr>
              <w:pStyle w:val="ListParagraph"/>
              <w:numPr>
                <w:ilvl w:val="0"/>
                <w:numId w:val="5"/>
              </w:numPr>
              <w:spacing w:after="0" w:line="240" w:lineRule="auto"/>
              <w:jc w:val="both"/>
              <w:rPr>
                <w:rFonts w:ascii="Times New Roman" w:hAnsi="Times New Roman" w:cs="Times New Roman"/>
              </w:rPr>
            </w:pPr>
            <w:r w:rsidRPr="45CF7C08">
              <w:rPr>
                <w:rFonts w:ascii="Times New Roman" w:hAnsi="Times New Roman" w:cs="Times New Roman"/>
              </w:rPr>
              <w:t>If you are unable to check a box, please highlight or shade the box for your response.</w:t>
            </w:r>
          </w:p>
          <w:p w14:paraId="30F5E59A" w14:textId="55062CED" w:rsidR="00496AF8" w:rsidRPr="003B1CC5" w:rsidRDefault="45CF7C08" w:rsidP="45CF7C08">
            <w:pPr>
              <w:pStyle w:val="ListParagraph"/>
              <w:numPr>
                <w:ilvl w:val="0"/>
                <w:numId w:val="5"/>
              </w:numPr>
              <w:spacing w:after="0" w:line="240" w:lineRule="auto"/>
              <w:jc w:val="both"/>
              <w:rPr>
                <w:u w:val="single"/>
              </w:rPr>
            </w:pPr>
            <w:r w:rsidRPr="45CF7C08">
              <w:rPr>
                <w:rFonts w:ascii="Times New Roman" w:hAnsi="Times New Roman" w:cs="Times New Roman"/>
              </w:rPr>
              <w:t xml:space="preserve">Contact NQF staff regarding questions. Check for resources at </w:t>
            </w:r>
            <w:hyperlink r:id="rId11">
              <w:r w:rsidRPr="45CF7C08">
                <w:rPr>
                  <w:rStyle w:val="Hyperlink"/>
                  <w:rFonts w:ascii="Times New Roman" w:hAnsi="Times New Roman" w:cs="Times New Roman"/>
                </w:rPr>
                <w:t>Submitting Standards webpage</w:t>
              </w:r>
            </w:hyperlink>
            <w:r w:rsidRPr="45CF7C08">
              <w:rPr>
                <w:rFonts w:ascii="Times New Roman" w:hAnsi="Times New Roman" w:cs="Times New Roman"/>
              </w:rPr>
              <w:t>.</w:t>
            </w:r>
          </w:p>
        </w:tc>
      </w:tr>
    </w:tbl>
    <w:p w14:paraId="30F5E59C" w14:textId="77777777" w:rsidR="00176E60" w:rsidRPr="003B1CC5" w:rsidRDefault="00176E60" w:rsidP="00765156"/>
    <w:tbl>
      <w:tblPr>
        <w:tblStyle w:val="TableGrid"/>
        <w:tblW w:w="5500" w:type="pct"/>
        <w:jc w:val="center"/>
        <w:tblLook w:val="04A0" w:firstRow="1" w:lastRow="0" w:firstColumn="1" w:lastColumn="0" w:noHBand="0" w:noVBand="1"/>
      </w:tblPr>
      <w:tblGrid>
        <w:gridCol w:w="10285"/>
      </w:tblGrid>
      <w:tr w:rsidR="00176E60" w:rsidRPr="003B1CC5" w14:paraId="30F5E5AC" w14:textId="77777777" w:rsidTr="45CF7C08">
        <w:trPr>
          <w:jc w:val="center"/>
        </w:trPr>
        <w:tc>
          <w:tcPr>
            <w:tcW w:w="10534" w:type="dxa"/>
          </w:tcPr>
          <w:p w14:paraId="30F5E59D" w14:textId="77777777" w:rsidR="008B652E" w:rsidRPr="003B1CC5" w:rsidRDefault="45CF7C08" w:rsidP="45CF7C08">
            <w:pPr>
              <w:jc w:val="both"/>
              <w:rPr>
                <w:sz w:val="20"/>
                <w:szCs w:val="20"/>
              </w:rPr>
            </w:pPr>
            <w:r w:rsidRPr="45CF7C08">
              <w:rPr>
                <w:b/>
                <w:bCs/>
                <w:sz w:val="20"/>
                <w:szCs w:val="20"/>
                <w:u w:val="single"/>
              </w:rPr>
              <w:t>Note</w:t>
            </w:r>
            <w:r w:rsidRPr="45CF7C08">
              <w:rPr>
                <w:b/>
                <w:bCs/>
                <w:sz w:val="20"/>
                <w:szCs w:val="20"/>
              </w:rPr>
              <w:t>: The information provided in this form is intended to aid the Standing Committee and other stakeholders in understanding to what degree the evidence for this measure meets NQF’s evaluation criteria.</w:t>
            </w:r>
          </w:p>
          <w:p w14:paraId="30F5E59E" w14:textId="77777777" w:rsidR="008659ED" w:rsidRPr="003B1CC5" w:rsidRDefault="008659ED" w:rsidP="008642F5">
            <w:pPr>
              <w:ind w:left="90" w:hanging="90"/>
              <w:jc w:val="both"/>
              <w:rPr>
                <w:sz w:val="20"/>
                <w:szCs w:val="20"/>
              </w:rPr>
            </w:pPr>
            <w:bookmarkStart w:id="1" w:name="Note2"/>
            <w:bookmarkEnd w:id="1"/>
          </w:p>
          <w:p w14:paraId="30F5E59F" w14:textId="77777777" w:rsidR="008659ED" w:rsidRPr="008642F5" w:rsidRDefault="45CF7C08" w:rsidP="45CF7C08">
            <w:pPr>
              <w:pStyle w:val="Heading3"/>
              <w:jc w:val="both"/>
              <w:rPr>
                <w:rFonts w:ascii="Times New Roman" w:hAnsi="Times New Roman" w:cs="Times New Roman"/>
                <w:sz w:val="20"/>
                <w:szCs w:val="20"/>
              </w:rPr>
            </w:pPr>
            <w:r w:rsidRPr="45CF7C08">
              <w:rPr>
                <w:rFonts w:ascii="Times New Roman" w:hAnsi="Times New Roman" w:cs="Times New Roman"/>
                <w:sz w:val="20"/>
                <w:szCs w:val="20"/>
              </w:rPr>
              <w:t xml:space="preserve">1a. Evidence to Support the Measure Focus  </w:t>
            </w:r>
          </w:p>
          <w:p w14:paraId="30F5E5A0" w14:textId="77777777" w:rsidR="008659ED" w:rsidRPr="008642F5" w:rsidRDefault="45CF7C08" w:rsidP="45CF7C08">
            <w:pPr>
              <w:jc w:val="both"/>
              <w:rPr>
                <w:rFonts w:eastAsia="Calibri"/>
                <w:sz w:val="20"/>
                <w:szCs w:val="20"/>
              </w:rPr>
            </w:pPr>
            <w:r w:rsidRPr="45CF7C08">
              <w:rPr>
                <w:rFonts w:eastAsia="Calibri"/>
                <w:sz w:val="20"/>
                <w:szCs w:val="20"/>
              </w:rPr>
              <w:t xml:space="preserve">The measure focus is evidence-based, demonstrated as follows: </w:t>
            </w:r>
          </w:p>
          <w:p w14:paraId="0FE213AA" w14:textId="77777777" w:rsidR="009B08ED" w:rsidRPr="008642F5" w:rsidRDefault="45CF7C08" w:rsidP="45CF7C08">
            <w:pPr>
              <w:numPr>
                <w:ilvl w:val="0"/>
                <w:numId w:val="7"/>
              </w:numPr>
              <w:jc w:val="both"/>
              <w:rPr>
                <w:rFonts w:eastAsia="Calibri"/>
                <w:sz w:val="20"/>
                <w:szCs w:val="20"/>
              </w:rPr>
            </w:pPr>
            <w:r w:rsidRPr="45CF7C08">
              <w:rPr>
                <w:rFonts w:eastAsia="Calibri"/>
                <w:sz w:val="20"/>
                <w:szCs w:val="20"/>
                <w:u w:val="single"/>
              </w:rPr>
              <w:t>Outcome</w:t>
            </w:r>
            <w:r w:rsidRPr="45CF7C08">
              <w:rPr>
                <w:rFonts w:eastAsia="Calibri"/>
                <w:color w:val="0000FF"/>
                <w:sz w:val="20"/>
                <w:szCs w:val="20"/>
              </w:rPr>
              <w:t xml:space="preserve">: </w:t>
            </w:r>
            <w:r w:rsidRPr="45CF7C08">
              <w:rPr>
                <w:rStyle w:val="Hyperlink"/>
                <w:rFonts w:eastAsia="Calibri"/>
                <w:b/>
                <w:bCs/>
                <w:sz w:val="20"/>
                <w:szCs w:val="20"/>
                <w:vertAlign w:val="superscript"/>
              </w:rPr>
              <w:t>3</w:t>
            </w:r>
            <w:r w:rsidRPr="45CF7C08">
              <w:rPr>
                <w:rFonts w:eastAsia="Calibri"/>
                <w:color w:val="0000FF"/>
                <w:sz w:val="20"/>
                <w:szCs w:val="20"/>
              </w:rPr>
              <w:t xml:space="preserve"> </w:t>
            </w:r>
            <w:r w:rsidRPr="45CF7C08">
              <w:rPr>
                <w:rFonts w:eastAsia="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hyperlink w:anchor="Note3" w:history="1"/>
          </w:p>
          <w:p w14:paraId="6F191787" w14:textId="77777777" w:rsidR="009B08ED" w:rsidRPr="008642F5" w:rsidRDefault="45CF7C08" w:rsidP="45CF7C08">
            <w:pPr>
              <w:numPr>
                <w:ilvl w:val="0"/>
                <w:numId w:val="7"/>
              </w:numPr>
              <w:jc w:val="both"/>
              <w:rPr>
                <w:rFonts w:eastAsia="Calibri"/>
                <w:sz w:val="20"/>
                <w:szCs w:val="20"/>
              </w:rPr>
            </w:pPr>
            <w:r w:rsidRPr="45CF7C08">
              <w:rPr>
                <w:rFonts w:eastAsia="Calibri"/>
                <w:sz w:val="20"/>
                <w:szCs w:val="20"/>
                <w:u w:val="single"/>
              </w:rPr>
              <w:t>Intermediate clinical outcome</w:t>
            </w:r>
            <w:r w:rsidRPr="45CF7C08">
              <w:rPr>
                <w:rFonts w:eastAsia="Calibri"/>
                <w:sz w:val="20"/>
                <w:szCs w:val="20"/>
              </w:rPr>
              <w:t xml:space="preserve">: a systematic assessment and grading of the quantity, quality, and consistency of the body of evidence </w:t>
            </w:r>
            <w:r w:rsidRPr="45CF7C08">
              <w:rPr>
                <w:rStyle w:val="Hyperlink"/>
                <w:rFonts w:eastAsia="Calibri"/>
                <w:b/>
                <w:bCs/>
                <w:sz w:val="20"/>
                <w:szCs w:val="20"/>
                <w:vertAlign w:val="superscript"/>
              </w:rPr>
              <w:t>4</w:t>
            </w:r>
            <w:r w:rsidRPr="45CF7C08">
              <w:rPr>
                <w:rFonts w:eastAsia="Calibri"/>
                <w:b/>
                <w:bCs/>
                <w:sz w:val="20"/>
                <w:szCs w:val="20"/>
                <w:vertAlign w:val="superscript"/>
              </w:rPr>
              <w:t xml:space="preserve"> </w:t>
            </w:r>
            <w:r w:rsidRPr="45CF7C08">
              <w:rPr>
                <w:rFonts w:eastAsia="Calibri"/>
                <w:sz w:val="20"/>
                <w:szCs w:val="20"/>
              </w:rPr>
              <w:t>that the measured intermediate clinical outcome leads to a desired health outcome.</w:t>
            </w:r>
            <w:hyperlink w:anchor="Note4" w:history="1"/>
          </w:p>
          <w:p w14:paraId="30A88DC8" w14:textId="77777777" w:rsidR="009B08ED" w:rsidRPr="008642F5" w:rsidRDefault="45CF7C08" w:rsidP="45CF7C08">
            <w:pPr>
              <w:numPr>
                <w:ilvl w:val="0"/>
                <w:numId w:val="7"/>
              </w:numPr>
              <w:jc w:val="both"/>
              <w:rPr>
                <w:rFonts w:eastAsia="Calibri"/>
                <w:sz w:val="20"/>
                <w:szCs w:val="20"/>
              </w:rPr>
            </w:pPr>
            <w:r w:rsidRPr="45CF7C08">
              <w:rPr>
                <w:rFonts w:eastAsia="Calibri"/>
                <w:sz w:val="20"/>
                <w:szCs w:val="20"/>
                <w:u w:val="single"/>
              </w:rPr>
              <w:t>Process</w:t>
            </w:r>
            <w:r w:rsidRPr="45CF7C08">
              <w:rPr>
                <w:rFonts w:eastAsia="Calibri"/>
                <w:sz w:val="20"/>
                <w:szCs w:val="20"/>
              </w:rPr>
              <w:t xml:space="preserve">: </w:t>
            </w:r>
            <w:r w:rsidRPr="45CF7C08">
              <w:rPr>
                <w:rStyle w:val="Hyperlink"/>
                <w:rFonts w:eastAsia="Calibri"/>
                <w:b/>
                <w:bCs/>
                <w:sz w:val="20"/>
                <w:szCs w:val="20"/>
                <w:vertAlign w:val="superscript"/>
              </w:rPr>
              <w:t>5</w:t>
            </w:r>
            <w:r w:rsidRPr="45CF7C08">
              <w:rPr>
                <w:rFonts w:eastAsia="Calibri"/>
                <w:sz w:val="20"/>
                <w:szCs w:val="20"/>
              </w:rPr>
              <w:t xml:space="preserve"> a systematic assessment and grading of the quantity, quality, and consistency of the body of evidence </w:t>
            </w:r>
            <w:r w:rsidRPr="45CF7C08">
              <w:rPr>
                <w:rStyle w:val="Hyperlink"/>
                <w:rFonts w:eastAsia="Calibri"/>
                <w:b/>
                <w:bCs/>
                <w:sz w:val="20"/>
                <w:szCs w:val="20"/>
                <w:vertAlign w:val="superscript"/>
              </w:rPr>
              <w:t>4</w:t>
            </w:r>
            <w:r w:rsidRPr="45CF7C08">
              <w:rPr>
                <w:rFonts w:eastAsia="Calibri"/>
                <w:sz w:val="20"/>
                <w:szCs w:val="20"/>
              </w:rPr>
              <w:t xml:space="preserve"> that the measured process leads to a desired health outcome.</w:t>
            </w:r>
            <w:hyperlink w:anchor="Note5" w:history="1"/>
            <w:hyperlink w:anchor="Note4" w:history="1"/>
          </w:p>
          <w:p w14:paraId="4D53EF52" w14:textId="77777777" w:rsidR="009B08ED" w:rsidRPr="008175BD" w:rsidRDefault="45CF7C08" w:rsidP="45CF7C08">
            <w:pPr>
              <w:numPr>
                <w:ilvl w:val="0"/>
                <w:numId w:val="8"/>
              </w:numPr>
              <w:autoSpaceDE w:val="0"/>
              <w:autoSpaceDN w:val="0"/>
              <w:adjustRightInd w:val="0"/>
              <w:contextualSpacing/>
              <w:jc w:val="both"/>
              <w:rPr>
                <w:sz w:val="20"/>
                <w:szCs w:val="20"/>
              </w:rPr>
            </w:pPr>
            <w:r w:rsidRPr="45CF7C08">
              <w:rPr>
                <w:rFonts w:eastAsia="Calibri"/>
                <w:sz w:val="20"/>
                <w:szCs w:val="20"/>
                <w:u w:val="single"/>
              </w:rPr>
              <w:t>Structure</w:t>
            </w:r>
            <w:r w:rsidRPr="45CF7C08">
              <w:rPr>
                <w:rFonts w:eastAsia="Calibri"/>
                <w:sz w:val="20"/>
                <w:szCs w:val="20"/>
              </w:rPr>
              <w:t xml:space="preserve">: a systematic assessment and grading of the quantity, quality, and consistency of the body of evidence </w:t>
            </w:r>
            <w:proofErr w:type="gramStart"/>
            <w:r w:rsidRPr="45CF7C08">
              <w:rPr>
                <w:rStyle w:val="Hyperlink"/>
                <w:rFonts w:eastAsia="Calibri"/>
                <w:b/>
                <w:bCs/>
                <w:sz w:val="20"/>
                <w:szCs w:val="20"/>
                <w:vertAlign w:val="superscript"/>
              </w:rPr>
              <w:t>4</w:t>
            </w:r>
            <w:r w:rsidRPr="45CF7C08">
              <w:rPr>
                <w:rFonts w:eastAsia="Calibri"/>
                <w:b/>
                <w:bCs/>
                <w:sz w:val="20"/>
                <w:szCs w:val="20"/>
                <w:vertAlign w:val="superscript"/>
              </w:rPr>
              <w:t xml:space="preserve"> </w:t>
            </w:r>
            <w:r w:rsidRPr="45CF7C08">
              <w:rPr>
                <w:rFonts w:eastAsia="Calibri"/>
                <w:sz w:val="20"/>
                <w:szCs w:val="20"/>
              </w:rPr>
              <w:t xml:space="preserve"> that</w:t>
            </w:r>
            <w:proofErr w:type="gramEnd"/>
            <w:r w:rsidRPr="45CF7C08">
              <w:rPr>
                <w:rFonts w:eastAsia="Calibri"/>
                <w:sz w:val="20"/>
                <w:szCs w:val="20"/>
              </w:rPr>
              <w:t xml:space="preserve"> the measured structure leads to a desired health outcome.</w:t>
            </w:r>
            <w:hyperlink w:anchor="Note4" w:history="1"/>
          </w:p>
          <w:p w14:paraId="28110970" w14:textId="77777777" w:rsidR="009B08ED" w:rsidRPr="008642F5" w:rsidRDefault="45CF7C08" w:rsidP="45CF7C08">
            <w:pPr>
              <w:pStyle w:val="ListParagraph"/>
              <w:numPr>
                <w:ilvl w:val="0"/>
                <w:numId w:val="8"/>
              </w:numPr>
              <w:autoSpaceDE w:val="0"/>
              <w:autoSpaceDN w:val="0"/>
              <w:adjustRightInd w:val="0"/>
              <w:spacing w:after="0" w:line="240" w:lineRule="auto"/>
              <w:jc w:val="both"/>
              <w:rPr>
                <w:rFonts w:ascii="Times New Roman" w:hAnsi="Times New Roman" w:cs="Times New Roman"/>
                <w:sz w:val="20"/>
                <w:szCs w:val="20"/>
                <w:u w:val="single"/>
              </w:rPr>
            </w:pPr>
            <w:r w:rsidRPr="45CF7C08">
              <w:rPr>
                <w:rFonts w:ascii="Times New Roman" w:eastAsia="Calibri" w:hAnsi="Times New Roman" w:cs="Times New Roman"/>
                <w:sz w:val="20"/>
                <w:szCs w:val="20"/>
                <w:u w:val="single"/>
              </w:rPr>
              <w:t>Efficiency</w:t>
            </w:r>
            <w:r w:rsidRPr="45CF7C08">
              <w:rPr>
                <w:rFonts w:ascii="Times New Roman" w:eastAsia="Calibri" w:hAnsi="Times New Roman" w:cs="Times New Roman"/>
                <w:sz w:val="20"/>
                <w:szCs w:val="20"/>
              </w:rPr>
              <w:t xml:space="preserve">: </w:t>
            </w:r>
            <w:r w:rsidRPr="45CF7C08">
              <w:rPr>
                <w:rStyle w:val="Hyperlink"/>
                <w:rFonts w:ascii="Times New Roman" w:eastAsia="Calibri" w:hAnsi="Times New Roman" w:cs="Times New Roman"/>
                <w:b/>
                <w:bCs/>
                <w:sz w:val="20"/>
                <w:szCs w:val="20"/>
                <w:vertAlign w:val="superscript"/>
              </w:rPr>
              <w:t>6</w:t>
            </w:r>
            <w:r w:rsidRPr="45CF7C08">
              <w:rPr>
                <w:rFonts w:ascii="Times New Roman" w:eastAsia="Calibri" w:hAnsi="Times New Roman" w:cs="Times New Roman"/>
                <w:sz w:val="20"/>
                <w:szCs w:val="20"/>
              </w:rPr>
              <w:t xml:space="preserve"> evidence not required for the resource use component.</w:t>
            </w:r>
            <w:r w:rsidRPr="45CF7C08">
              <w:rPr>
                <w:rFonts w:ascii="Times New Roman" w:hAnsi="Times New Roman" w:cs="Times New Roman"/>
                <w:sz w:val="20"/>
                <w:szCs w:val="20"/>
              </w:rPr>
              <w:t xml:space="preserve"> </w:t>
            </w:r>
            <w:hyperlink w:anchor="Note6" w:history="1"/>
          </w:p>
          <w:p w14:paraId="30A3CFB3" w14:textId="77777777" w:rsidR="009B08ED" w:rsidRPr="008642F5" w:rsidRDefault="45CF7C08" w:rsidP="45CF7C08">
            <w:pPr>
              <w:pStyle w:val="ListParagraph"/>
              <w:numPr>
                <w:ilvl w:val="0"/>
                <w:numId w:val="8"/>
              </w:numPr>
              <w:autoSpaceDE w:val="0"/>
              <w:autoSpaceDN w:val="0"/>
              <w:adjustRightInd w:val="0"/>
              <w:spacing w:after="0" w:line="240" w:lineRule="auto"/>
              <w:jc w:val="both"/>
              <w:rPr>
                <w:rFonts w:ascii="Times New Roman" w:hAnsi="Times New Roman" w:cs="Times New Roman"/>
                <w:sz w:val="20"/>
                <w:szCs w:val="20"/>
                <w:u w:val="single"/>
              </w:rPr>
            </w:pPr>
            <w:r w:rsidRPr="45CF7C08">
              <w:rPr>
                <w:rFonts w:ascii="Times New Roman" w:hAnsi="Times New Roman" w:cs="Times New Roman"/>
                <w:sz w:val="20"/>
                <w:szCs w:val="20"/>
              </w:rPr>
              <w:t xml:space="preserve">For measures derived from </w:t>
            </w:r>
            <w:r w:rsidRPr="45CF7C08">
              <w:rPr>
                <w:rFonts w:ascii="Times New Roman" w:hAnsi="Times New Roman" w:cs="Times New Roman"/>
                <w:sz w:val="20"/>
                <w:szCs w:val="20"/>
                <w:u w:val="single"/>
              </w:rPr>
              <w:t>patient reports</w:t>
            </w:r>
            <w:r w:rsidRPr="45CF7C08">
              <w:rPr>
                <w:rFonts w:ascii="Times New Roman" w:hAnsi="Times New Roman" w:cs="Times New Roman"/>
                <w:sz w:val="20"/>
                <w:szCs w:val="20"/>
              </w:rPr>
              <w:t>, evidence should demonstrate that the target population values the measured outcome, process, or structure and finds it meaningful.</w:t>
            </w:r>
          </w:p>
          <w:p w14:paraId="1763E0D8" w14:textId="77777777" w:rsidR="009B08ED" w:rsidRPr="008175BD" w:rsidRDefault="45CF7C08" w:rsidP="45CF7C08">
            <w:pPr>
              <w:numPr>
                <w:ilvl w:val="0"/>
                <w:numId w:val="8"/>
              </w:numPr>
              <w:autoSpaceDE w:val="0"/>
              <w:autoSpaceDN w:val="0"/>
              <w:adjustRightInd w:val="0"/>
              <w:contextualSpacing/>
              <w:jc w:val="both"/>
              <w:rPr>
                <w:sz w:val="20"/>
                <w:szCs w:val="20"/>
              </w:rPr>
            </w:pPr>
            <w:r w:rsidRPr="45CF7C08">
              <w:rPr>
                <w:sz w:val="20"/>
                <w:szCs w:val="20"/>
                <w:u w:val="single"/>
              </w:rPr>
              <w:t>Process measures incorporating Appropriate Use Criteria:</w:t>
            </w:r>
            <w:r w:rsidRPr="45CF7C08">
              <w:rPr>
                <w:sz w:val="20"/>
                <w:szCs w:val="20"/>
              </w:rPr>
              <w:t xml:space="preserve"> See NQF’s guidance for evidence for measures, in general; guidance for measures specifically based on clinical practice guidelines apply as well. </w:t>
            </w:r>
          </w:p>
          <w:p w14:paraId="30F5E5A6" w14:textId="77777777" w:rsidR="00CB1E41" w:rsidRPr="003B1CC5" w:rsidRDefault="00CB1E41" w:rsidP="008642F5">
            <w:pPr>
              <w:autoSpaceDE w:val="0"/>
              <w:autoSpaceDN w:val="0"/>
              <w:adjustRightInd w:val="0"/>
              <w:jc w:val="both"/>
              <w:rPr>
                <w:rFonts w:eastAsia="Calibri" w:cs="Calibri"/>
                <w:b/>
                <w:bCs/>
                <w:iCs/>
                <w:sz w:val="18"/>
              </w:rPr>
            </w:pPr>
          </w:p>
          <w:p w14:paraId="30F5E5A7" w14:textId="77777777" w:rsidR="008659ED" w:rsidRPr="008642F5" w:rsidRDefault="45CF7C08" w:rsidP="45CF7C08">
            <w:pPr>
              <w:autoSpaceDE w:val="0"/>
              <w:autoSpaceDN w:val="0"/>
              <w:adjustRightInd w:val="0"/>
              <w:jc w:val="both"/>
              <w:rPr>
                <w:rFonts w:eastAsia="Calibri"/>
                <w:b/>
                <w:bCs/>
                <w:sz w:val="20"/>
                <w:szCs w:val="20"/>
              </w:rPr>
            </w:pPr>
            <w:r w:rsidRPr="45CF7C08">
              <w:rPr>
                <w:rFonts w:eastAsia="Calibri"/>
                <w:b/>
                <w:bCs/>
                <w:sz w:val="20"/>
                <w:szCs w:val="20"/>
              </w:rPr>
              <w:t>Notes</w:t>
            </w:r>
          </w:p>
          <w:p w14:paraId="30F5E5A8" w14:textId="77777777" w:rsidR="008659ED" w:rsidRPr="008642F5" w:rsidRDefault="45CF7C08" w:rsidP="45CF7C08">
            <w:pPr>
              <w:jc w:val="both"/>
              <w:rPr>
                <w:rFonts w:eastAsia="Calibri"/>
                <w:sz w:val="20"/>
                <w:szCs w:val="20"/>
              </w:rPr>
            </w:pPr>
            <w:bookmarkStart w:id="2" w:name="Note3"/>
            <w:bookmarkEnd w:id="2"/>
            <w:r w:rsidRPr="45CF7C08">
              <w:rPr>
                <w:rFonts w:eastAsia="Calibri"/>
                <w:b/>
                <w:bCs/>
                <w:sz w:val="20"/>
                <w:szCs w:val="20"/>
              </w:rPr>
              <w:t>3.</w:t>
            </w:r>
            <w:r w:rsidRPr="45CF7C08">
              <w:rPr>
                <w:rFonts w:eastAsia="Calibri"/>
                <w:sz w:val="20"/>
                <w:szCs w:val="20"/>
              </w:rPr>
              <w:t xml:space="preserve"> </w:t>
            </w:r>
            <w:proofErr w:type="gramStart"/>
            <w:r w:rsidRPr="45CF7C08">
              <w:rPr>
                <w:rFonts w:eastAsia="Calibri"/>
                <w:sz w:val="20"/>
                <w:szCs w:val="20"/>
              </w:rPr>
              <w:t>Generally, rare</w:t>
            </w:r>
            <w:proofErr w:type="gramEnd"/>
            <w:r w:rsidRPr="45CF7C08">
              <w:rPr>
                <w:rFonts w:eastAsia="Calibri"/>
                <w:sz w:val="20"/>
                <w:szCs w:val="20"/>
              </w:rPr>
              <w:t xml:space="preserve"> event outcomes do not provide adequate information for improvement or discrimination; however, serious reportable events that are compared to zero are appropriate outcomes for public reporting and quality improvement.           </w:t>
            </w:r>
          </w:p>
          <w:p w14:paraId="30F5E5A9" w14:textId="77777777" w:rsidR="008659ED" w:rsidRPr="008642F5" w:rsidRDefault="45CF7C08" w:rsidP="45CF7C08">
            <w:pPr>
              <w:jc w:val="both"/>
              <w:rPr>
                <w:rFonts w:eastAsia="Calibri"/>
                <w:sz w:val="20"/>
                <w:szCs w:val="20"/>
              </w:rPr>
            </w:pPr>
            <w:bookmarkStart w:id="3" w:name="Note4"/>
            <w:bookmarkEnd w:id="3"/>
            <w:r w:rsidRPr="45CF7C08">
              <w:rPr>
                <w:rFonts w:eastAsia="Calibri"/>
                <w:b/>
                <w:bCs/>
                <w:sz w:val="20"/>
                <w:szCs w:val="20"/>
              </w:rPr>
              <w:t>4.</w:t>
            </w:r>
            <w:r w:rsidRPr="45CF7C08">
              <w:rPr>
                <w:rFonts w:eastAsia="Calibri"/>
                <w:sz w:val="20"/>
                <w:szCs w:val="20"/>
              </w:rPr>
              <w:t xml:space="preserve"> The preferred systems for grading the evidence are the U.S. Preventive Services Task Force (USPSTF) </w:t>
            </w:r>
            <w:hyperlink r:id="rId12">
              <w:r w:rsidRPr="45CF7C08">
                <w:rPr>
                  <w:rFonts w:eastAsia="Calibri"/>
                  <w:color w:val="0000FF"/>
                  <w:sz w:val="20"/>
                  <w:szCs w:val="20"/>
                  <w:u w:val="single"/>
                </w:rPr>
                <w:t>grading definitions</w:t>
              </w:r>
            </w:hyperlink>
            <w:r w:rsidRPr="45CF7C08">
              <w:rPr>
                <w:rFonts w:eastAsia="Calibri"/>
                <w:sz w:val="20"/>
                <w:szCs w:val="20"/>
              </w:rPr>
              <w:t xml:space="preserve"> and </w:t>
            </w:r>
            <w:hyperlink r:id="rId13">
              <w:r w:rsidRPr="45CF7C08">
                <w:rPr>
                  <w:rFonts w:eastAsia="Calibri"/>
                  <w:color w:val="0000FF"/>
                  <w:sz w:val="20"/>
                  <w:szCs w:val="20"/>
                  <w:u w:val="single"/>
                </w:rPr>
                <w:t>methods</w:t>
              </w:r>
            </w:hyperlink>
            <w:r w:rsidRPr="45CF7C08">
              <w:rPr>
                <w:rFonts w:eastAsia="Calibri"/>
                <w:sz w:val="20"/>
                <w:szCs w:val="20"/>
              </w:rPr>
              <w:t xml:space="preserve">, or Grading of Recommendations, Assessment, Development and Evaluation </w:t>
            </w:r>
            <w:hyperlink r:id="rId14">
              <w:r w:rsidRPr="45CF7C08">
                <w:rPr>
                  <w:rFonts w:eastAsia="Calibri"/>
                  <w:color w:val="0000FF"/>
                  <w:sz w:val="20"/>
                  <w:szCs w:val="20"/>
                  <w:u w:val="single"/>
                </w:rPr>
                <w:t>(GRADE) guidelines</w:t>
              </w:r>
            </w:hyperlink>
            <w:r w:rsidRPr="45CF7C08">
              <w:rPr>
                <w:rFonts w:eastAsia="Calibri"/>
                <w:sz w:val="20"/>
                <w:szCs w:val="20"/>
              </w:rPr>
              <w:t>.</w:t>
            </w:r>
          </w:p>
          <w:p w14:paraId="30F5E5AA" w14:textId="77777777" w:rsidR="008659ED" w:rsidRPr="008642F5" w:rsidRDefault="008659ED" w:rsidP="45CF7C08">
            <w:pPr>
              <w:jc w:val="both"/>
              <w:rPr>
                <w:rFonts w:eastAsia="Calibri"/>
                <w:sz w:val="20"/>
                <w:szCs w:val="20"/>
              </w:rPr>
            </w:pPr>
            <w:bookmarkStart w:id="4" w:name="Note5"/>
            <w:bookmarkEnd w:id="4"/>
            <w:r w:rsidRPr="008642F5">
              <w:rPr>
                <w:rFonts w:eastAsia="Calibri"/>
                <w:b/>
                <w:bCs/>
                <w:sz w:val="20"/>
                <w:szCs w:val="20"/>
              </w:rPr>
              <w:t>5.</w:t>
            </w:r>
            <w:r w:rsidRPr="008642F5">
              <w:rPr>
                <w:rFonts w:eastAsia="Calibri"/>
                <w:sz w:val="20"/>
                <w:szCs w:val="20"/>
              </w:rPr>
              <w:t xml:space="preserve"> Clinical care processes typically include multiple steps: assess </w:t>
            </w:r>
            <w:r w:rsidRPr="008642F5">
              <w:rPr>
                <w:rFonts w:eastAsia="Calibri"/>
                <w:sz w:val="20"/>
                <w:szCs w:val="20"/>
              </w:rPr>
              <w:sym w:font="Symbol" w:char="F0AE"/>
            </w:r>
            <w:r w:rsidRPr="008642F5">
              <w:rPr>
                <w:rFonts w:eastAsia="Calibri"/>
                <w:sz w:val="20"/>
                <w:szCs w:val="20"/>
              </w:rPr>
              <w:t xml:space="preserve"> identify problem/potential problem </w:t>
            </w:r>
            <w:r w:rsidRPr="008642F5">
              <w:rPr>
                <w:rFonts w:eastAsia="Calibri"/>
                <w:sz w:val="20"/>
                <w:szCs w:val="20"/>
              </w:rPr>
              <w:sym w:font="Symbol" w:char="F0AE"/>
            </w:r>
            <w:r w:rsidRPr="008642F5">
              <w:rPr>
                <w:rFonts w:eastAsia="Calibri"/>
                <w:sz w:val="20"/>
                <w:szCs w:val="20"/>
              </w:rPr>
              <w:t xml:space="preserve"> choose/plan intervention (with patient input) </w:t>
            </w:r>
            <w:r w:rsidRPr="008642F5">
              <w:rPr>
                <w:rFonts w:eastAsia="Calibri"/>
                <w:sz w:val="20"/>
                <w:szCs w:val="20"/>
              </w:rPr>
              <w:sym w:font="Symbol" w:char="F0AE"/>
            </w:r>
            <w:r w:rsidRPr="008642F5">
              <w:rPr>
                <w:rFonts w:eastAsia="Calibri"/>
                <w:sz w:val="20"/>
                <w:szCs w:val="20"/>
              </w:rPr>
              <w:t xml:space="preserve"> provide intervention </w:t>
            </w:r>
            <w:r w:rsidRPr="008642F5">
              <w:rPr>
                <w:rFonts w:eastAsia="Calibri"/>
                <w:sz w:val="20"/>
                <w:szCs w:val="20"/>
              </w:rPr>
              <w:sym w:font="Symbol" w:char="F0AE"/>
            </w:r>
            <w:r w:rsidRPr="008642F5">
              <w:rPr>
                <w:rFonts w:eastAsia="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0F5E5AB" w14:textId="77777777" w:rsidR="008659ED" w:rsidRPr="003B1CC5" w:rsidRDefault="45CF7C08" w:rsidP="008642F5">
            <w:pPr>
              <w:autoSpaceDE w:val="0"/>
              <w:autoSpaceDN w:val="0"/>
              <w:adjustRightInd w:val="0"/>
              <w:contextualSpacing/>
              <w:jc w:val="both"/>
            </w:pPr>
            <w:bookmarkStart w:id="5" w:name="Note6"/>
            <w:bookmarkEnd w:id="5"/>
            <w:r w:rsidRPr="45CF7C08">
              <w:rPr>
                <w:rFonts w:eastAsia="Calibri"/>
                <w:b/>
                <w:bCs/>
                <w:sz w:val="20"/>
                <w:szCs w:val="20"/>
              </w:rPr>
              <w:t xml:space="preserve">6. </w:t>
            </w:r>
            <w:r w:rsidRPr="45CF7C08">
              <w:rPr>
                <w:rFonts w:eastAsia="Calibri"/>
                <w:sz w:val="20"/>
                <w:szCs w:val="20"/>
              </w:rPr>
              <w:t xml:space="preserve">Measures of efficiency combine the concepts of resource use </w:t>
            </w:r>
            <w:r w:rsidRPr="45CF7C08">
              <w:rPr>
                <w:rFonts w:eastAsia="Calibri"/>
                <w:sz w:val="20"/>
                <w:szCs w:val="20"/>
                <w:u w:val="single"/>
              </w:rPr>
              <w:t>and</w:t>
            </w:r>
            <w:r w:rsidRPr="45CF7C08">
              <w:rPr>
                <w:rFonts w:eastAsia="Calibri"/>
                <w:sz w:val="20"/>
                <w:szCs w:val="20"/>
              </w:rPr>
              <w:t xml:space="preserve"> quality (see NQF’s </w:t>
            </w:r>
            <w:hyperlink r:id="rId15">
              <w:r w:rsidRPr="45CF7C08">
                <w:rPr>
                  <w:rFonts w:eastAsia="Calibri"/>
                  <w:color w:val="0000FF"/>
                  <w:sz w:val="20"/>
                  <w:szCs w:val="20"/>
                  <w:u w:val="single"/>
                </w:rPr>
                <w:t>Measurement Framework: Evaluating Efficiency Across Episodes of Care</w:t>
              </w:r>
            </w:hyperlink>
            <w:r w:rsidRPr="45CF7C08">
              <w:rPr>
                <w:rFonts w:eastAsia="Calibri"/>
                <w:sz w:val="20"/>
                <w:szCs w:val="20"/>
              </w:rPr>
              <w:t xml:space="preserve">; </w:t>
            </w:r>
            <w:hyperlink r:id="rId16">
              <w:r w:rsidRPr="45CF7C08">
                <w:rPr>
                  <w:rFonts w:eastAsia="Calibri"/>
                  <w:color w:val="0000FF"/>
                  <w:sz w:val="20"/>
                  <w:szCs w:val="20"/>
                  <w:u w:val="single"/>
                </w:rPr>
                <w:t>AQA Principles of Efficiency Measures</w:t>
              </w:r>
            </w:hyperlink>
            <w:r w:rsidRPr="45CF7C08">
              <w:rPr>
                <w:rFonts w:eastAsia="Calibri"/>
                <w:sz w:val="20"/>
                <w:szCs w:val="20"/>
              </w:rPr>
              <w:t>).</w:t>
            </w:r>
          </w:p>
        </w:tc>
      </w:tr>
    </w:tbl>
    <w:p w14:paraId="30F5E5AD" w14:textId="77777777" w:rsidR="00F81FE3" w:rsidRDefault="00F81FE3" w:rsidP="008642F5">
      <w:pPr>
        <w:jc w:val="both"/>
        <w:rPr>
          <w:b/>
          <w:bCs/>
          <w:color w:val="0000FF"/>
        </w:rPr>
      </w:pPr>
    </w:p>
    <w:p w14:paraId="30F5E5AE" w14:textId="77777777" w:rsidR="00A67EB1" w:rsidRPr="008642F5" w:rsidRDefault="45CF7C08" w:rsidP="45CF7C08">
      <w:pPr>
        <w:jc w:val="both"/>
        <w:rPr>
          <w:i/>
          <w:iCs/>
          <w:sz w:val="22"/>
          <w:szCs w:val="22"/>
        </w:rPr>
      </w:pPr>
      <w:r w:rsidRPr="45CF7C08">
        <w:rPr>
          <w:b/>
          <w:bCs/>
          <w:color w:val="0000FF"/>
          <w:sz w:val="22"/>
          <w:szCs w:val="22"/>
        </w:rPr>
        <w:t>1a.1.</w:t>
      </w:r>
      <w:r w:rsidRPr="45CF7C08">
        <w:rPr>
          <w:b/>
          <w:bCs/>
          <w:sz w:val="22"/>
          <w:szCs w:val="22"/>
        </w:rPr>
        <w:t>This is a measure of</w:t>
      </w:r>
      <w:r w:rsidRPr="45CF7C08">
        <w:rPr>
          <w:sz w:val="22"/>
          <w:szCs w:val="22"/>
        </w:rPr>
        <w:t>: (</w:t>
      </w:r>
      <w:r w:rsidRPr="45CF7C08">
        <w:rPr>
          <w:i/>
          <w:iCs/>
          <w:sz w:val="22"/>
          <w:szCs w:val="22"/>
        </w:rPr>
        <w:t>should be consistent with type of measure entered in De.1</w:t>
      </w:r>
      <w:r w:rsidRPr="45CF7C08">
        <w:rPr>
          <w:sz w:val="22"/>
          <w:szCs w:val="22"/>
        </w:rPr>
        <w:t xml:space="preserve">) </w:t>
      </w:r>
    </w:p>
    <w:p w14:paraId="2FF084F9" w14:textId="77777777" w:rsidR="008175BD" w:rsidRDefault="008175BD" w:rsidP="008642F5">
      <w:pPr>
        <w:ind w:left="432" w:hanging="432"/>
        <w:jc w:val="both"/>
        <w:rPr>
          <w:sz w:val="22"/>
          <w:szCs w:val="22"/>
        </w:rPr>
      </w:pPr>
    </w:p>
    <w:p w14:paraId="30F5E5B0" w14:textId="43C2152E" w:rsidR="00496AF8" w:rsidRPr="008642F5" w:rsidRDefault="003C033A" w:rsidP="45CF7C08">
      <w:pPr>
        <w:ind w:left="432" w:hanging="432"/>
        <w:jc w:val="both"/>
        <w:rPr>
          <w:rStyle w:val="Style2"/>
          <w:rFonts w:ascii="Times New Roman" w:hAnsi="Times New Roman"/>
        </w:rPr>
      </w:pPr>
      <w:sdt>
        <w:sdtPr>
          <w:rPr>
            <w:rFonts w:asciiTheme="minorHAnsi" w:hAnsiTheme="minorHAnsi"/>
            <w:bCs/>
            <w:color w:val="0000FF"/>
            <w:sz w:val="22"/>
            <w:szCs w:val="22"/>
            <w:u w:val="single"/>
          </w:rPr>
          <w:id w:val="1077707841"/>
          <w14:checkbox>
            <w14:checked w14:val="0"/>
            <w14:checkedState w14:val="2612" w14:font="MS Gothic"/>
            <w14:uncheckedState w14:val="2610" w14:font="MS Gothic"/>
          </w14:checkbox>
        </w:sdtPr>
        <w:sdtEndPr/>
        <w:sdtContent>
          <w:r w:rsidR="00A9011D" w:rsidRPr="008642F5">
            <w:rPr>
              <w:rFonts w:ascii="MS Mincho" w:eastAsia="MS Mincho" w:hAnsi="MS Mincho" w:cs="MS Mincho"/>
              <w:bCs/>
              <w:color w:val="0000FF"/>
              <w:sz w:val="22"/>
              <w:szCs w:val="22"/>
            </w:rPr>
            <w:t>☐</w:t>
          </w:r>
        </w:sdtContent>
      </w:sdt>
      <w:r w:rsidR="0015535B" w:rsidRPr="008642F5">
        <w:rPr>
          <w:color w:val="0000FF"/>
          <w:sz w:val="22"/>
          <w:szCs w:val="22"/>
        </w:rPr>
        <w:t xml:space="preserve"> </w:t>
      </w:r>
      <w:r w:rsidR="009B08ED" w:rsidRPr="008642F5">
        <w:rPr>
          <w:sz w:val="22"/>
          <w:szCs w:val="22"/>
        </w:rPr>
        <w:t>O</w:t>
      </w:r>
      <w:r w:rsidR="00BE6373" w:rsidRPr="008642F5">
        <w:rPr>
          <w:sz w:val="22"/>
          <w:szCs w:val="22"/>
        </w:rPr>
        <w:t>utc</w:t>
      </w:r>
      <w:r w:rsidR="00496AF8" w:rsidRPr="008642F5">
        <w:rPr>
          <w:sz w:val="22"/>
          <w:szCs w:val="22"/>
        </w:rPr>
        <w:t>ome</w:t>
      </w:r>
      <w:r w:rsidR="00B117D0" w:rsidRPr="008642F5">
        <w:rPr>
          <w:sz w:val="22"/>
          <w:szCs w:val="22"/>
        </w:rPr>
        <w:t xml:space="preserve">: </w:t>
      </w:r>
      <w:sdt>
        <w:sdtPr>
          <w:rPr>
            <w:rStyle w:val="Style2"/>
            <w:rFonts w:ascii="Times New Roman" w:hAnsi="Times New Roman"/>
            <w:szCs w:val="22"/>
          </w:rPr>
          <w:id w:val="-768232283"/>
          <w:showingPlcHdr/>
        </w:sdtPr>
        <w:sdtEndPr>
          <w:rPr>
            <w:rStyle w:val="DefaultParagraphFont"/>
            <w:color w:val="auto"/>
            <w:sz w:val="24"/>
            <w:u w:val="none"/>
          </w:rPr>
        </w:sdtEndPr>
        <w:sdtContent>
          <w:r w:rsidR="00496AF8" w:rsidRPr="008642F5">
            <w:rPr>
              <w:color w:val="A6A6A6" w:themeColor="background1" w:themeShade="A6"/>
              <w:sz w:val="22"/>
              <w:szCs w:val="22"/>
            </w:rPr>
            <w:t>Click here to n</w:t>
          </w:r>
          <w:r w:rsidR="00496AF8" w:rsidRPr="008642F5">
            <w:rPr>
              <w:rStyle w:val="PlaceholderText"/>
              <w:color w:val="A6A6A6" w:themeColor="background1" w:themeShade="A6"/>
              <w:sz w:val="22"/>
              <w:szCs w:val="22"/>
            </w:rPr>
            <w:t>ame the health outcome</w:t>
          </w:r>
        </w:sdtContent>
      </w:sdt>
    </w:p>
    <w:p w14:paraId="30F5E5B1" w14:textId="77777777" w:rsidR="00236F87" w:rsidRPr="008642F5" w:rsidRDefault="003C033A" w:rsidP="45CF7C08">
      <w:pPr>
        <w:ind w:left="864" w:hanging="432"/>
        <w:jc w:val="both"/>
        <w:rPr>
          <w:b/>
          <w:bCs/>
          <w:sz w:val="22"/>
          <w:szCs w:val="22"/>
        </w:rPr>
      </w:pPr>
      <w:sdt>
        <w:sdtPr>
          <w:rPr>
            <w:bCs/>
            <w:color w:val="0000FF"/>
            <w:sz w:val="22"/>
            <w:szCs w:val="22"/>
          </w:rPr>
          <w:id w:val="-1541041819"/>
          <w14:checkbox>
            <w14:checked w14:val="0"/>
            <w14:checkedState w14:val="2612" w14:font="MS Gothic"/>
            <w14:uncheckedState w14:val="2610" w14:font="MS Gothic"/>
          </w14:checkbox>
        </w:sdtPr>
        <w:sdtEndPr/>
        <w:sdtContent>
          <w:r w:rsidR="00D73685" w:rsidRPr="008642F5">
            <w:rPr>
              <w:rFonts w:ascii="MS Mincho" w:eastAsia="MS Mincho" w:hAnsi="MS Mincho" w:cs="MS Mincho"/>
              <w:bCs/>
              <w:color w:val="0000FF"/>
              <w:sz w:val="22"/>
              <w:szCs w:val="22"/>
            </w:rPr>
            <w:t>☐</w:t>
          </w:r>
        </w:sdtContent>
      </w:sdt>
      <w:r w:rsidR="00236F87" w:rsidRPr="008642F5">
        <w:rPr>
          <w:sz w:val="22"/>
          <w:szCs w:val="22"/>
        </w:rPr>
        <w:t>Patient-reported outc</w:t>
      </w:r>
      <w:r w:rsidR="00C613EB" w:rsidRPr="008642F5">
        <w:rPr>
          <w:sz w:val="22"/>
          <w:szCs w:val="22"/>
        </w:rPr>
        <w:t>o</w:t>
      </w:r>
      <w:r w:rsidR="00236F87" w:rsidRPr="008642F5">
        <w:rPr>
          <w:sz w:val="22"/>
          <w:szCs w:val="22"/>
        </w:rPr>
        <w:t>me</w:t>
      </w:r>
      <w:r w:rsidR="009C291F" w:rsidRPr="008642F5">
        <w:rPr>
          <w:sz w:val="22"/>
          <w:szCs w:val="22"/>
        </w:rPr>
        <w:t xml:space="preserve"> (PRO)</w:t>
      </w:r>
      <w:r w:rsidR="00236F87" w:rsidRPr="008642F5">
        <w:rPr>
          <w:sz w:val="22"/>
          <w:szCs w:val="22"/>
        </w:rPr>
        <w:t xml:space="preserve">: </w:t>
      </w:r>
      <w:sdt>
        <w:sdtPr>
          <w:rPr>
            <w:rStyle w:val="Style2"/>
            <w:rFonts w:ascii="Times New Roman" w:hAnsi="Times New Roman"/>
            <w:szCs w:val="22"/>
          </w:rPr>
          <w:id w:val="528310131"/>
          <w:showingPlcHdr/>
        </w:sdtPr>
        <w:sdtEndPr>
          <w:rPr>
            <w:rStyle w:val="DefaultParagraphFont"/>
            <w:color w:val="auto"/>
            <w:sz w:val="24"/>
            <w:u w:val="none"/>
          </w:rPr>
        </w:sdtEndPr>
        <w:sdtContent>
          <w:r w:rsidR="00236F87" w:rsidRPr="008642F5">
            <w:rPr>
              <w:color w:val="A6A6A6" w:themeColor="background1" w:themeShade="A6"/>
              <w:sz w:val="22"/>
              <w:szCs w:val="22"/>
            </w:rPr>
            <w:t>Click here to n</w:t>
          </w:r>
          <w:r w:rsidR="00236F87" w:rsidRPr="008642F5">
            <w:rPr>
              <w:rStyle w:val="PlaceholderText"/>
              <w:color w:val="A6A6A6" w:themeColor="background1" w:themeShade="A6"/>
              <w:sz w:val="22"/>
              <w:szCs w:val="22"/>
            </w:rPr>
            <w:t xml:space="preserve">ame the </w:t>
          </w:r>
          <w:r w:rsidR="001E6153" w:rsidRPr="008642F5">
            <w:rPr>
              <w:rStyle w:val="PlaceholderText"/>
              <w:color w:val="A6A6A6" w:themeColor="background1" w:themeShade="A6"/>
              <w:sz w:val="22"/>
              <w:szCs w:val="22"/>
            </w:rPr>
            <w:t>PRO</w:t>
          </w:r>
        </w:sdtContent>
      </w:sdt>
    </w:p>
    <w:p w14:paraId="30F5E5B2" w14:textId="77777777" w:rsidR="00B117D0" w:rsidRPr="008642F5" w:rsidRDefault="45CF7C08" w:rsidP="45CF7C08">
      <w:pPr>
        <w:ind w:left="720"/>
        <w:jc w:val="both"/>
        <w:rPr>
          <w:rFonts w:eastAsia="MS Gothic"/>
          <w:i/>
          <w:iCs/>
          <w:color w:val="0000FF"/>
          <w:sz w:val="22"/>
          <w:szCs w:val="22"/>
        </w:rPr>
      </w:pPr>
      <w:r w:rsidRPr="45CF7C08">
        <w:rPr>
          <w:i/>
          <w:iCs/>
          <w:sz w:val="22"/>
          <w:szCs w:val="22"/>
        </w:rPr>
        <w:t xml:space="preserve">PROs include </w:t>
      </w:r>
      <w:proofErr w:type="spellStart"/>
      <w:r w:rsidRPr="45CF7C08">
        <w:rPr>
          <w:i/>
          <w:iCs/>
          <w:sz w:val="22"/>
          <w:szCs w:val="22"/>
        </w:rPr>
        <w:t>HRQoL</w:t>
      </w:r>
      <w:proofErr w:type="spellEnd"/>
      <w:r w:rsidRPr="45CF7C08">
        <w:rPr>
          <w:i/>
          <w:iCs/>
          <w:sz w:val="22"/>
          <w:szCs w:val="22"/>
        </w:rPr>
        <w:t>/functional status, symptom/symptom burden, experience with care, health-related behaviors.</w:t>
      </w:r>
      <w:r w:rsidRPr="45CF7C08">
        <w:rPr>
          <w:rFonts w:eastAsia="Calibri"/>
          <w:sz w:val="22"/>
          <w:szCs w:val="22"/>
        </w:rPr>
        <w:t xml:space="preserve"> (</w:t>
      </w:r>
      <w:r w:rsidRPr="45CF7C08">
        <w:rPr>
          <w:rFonts w:eastAsia="Calibri"/>
          <w:i/>
          <w:iCs/>
          <w:sz w:val="22"/>
          <w:szCs w:val="22"/>
        </w:rPr>
        <w:t>A PRO-based performance measure is not a survey instrument. Data may be collected using a survey instrument to construct a PRO measure.)</w:t>
      </w:r>
    </w:p>
    <w:p w14:paraId="30F5E5B3" w14:textId="00D7C1E5" w:rsidR="00496AF8" w:rsidRPr="008642F5" w:rsidRDefault="003C033A" w:rsidP="45CF7C08">
      <w:pPr>
        <w:jc w:val="both"/>
        <w:rPr>
          <w:sz w:val="22"/>
          <w:szCs w:val="22"/>
        </w:rPr>
      </w:pPr>
      <w:sdt>
        <w:sdtPr>
          <w:rPr>
            <w:bCs/>
            <w:color w:val="0000FF"/>
            <w:sz w:val="22"/>
            <w:szCs w:val="22"/>
          </w:rPr>
          <w:id w:val="-720977531"/>
          <w14:checkbox>
            <w14:checked w14:val="0"/>
            <w14:checkedState w14:val="2612" w14:font="MS Gothic"/>
            <w14:uncheckedState w14:val="2610" w14:font="MS Gothic"/>
          </w14:checkbox>
        </w:sdtPr>
        <w:sdtEndPr/>
        <w:sdtContent>
          <w:r w:rsidR="00D73685" w:rsidRPr="008642F5">
            <w:rPr>
              <w:rFonts w:ascii="MS Mincho" w:eastAsia="MS Mincho" w:hAnsi="MS Mincho" w:cs="MS Mincho"/>
              <w:bCs/>
              <w:color w:val="0000FF"/>
              <w:sz w:val="22"/>
              <w:szCs w:val="22"/>
            </w:rPr>
            <w:t>☐</w:t>
          </w:r>
        </w:sdtContent>
      </w:sdt>
      <w:r w:rsidR="00D73685" w:rsidRPr="008642F5" w:rsidDel="00D73685">
        <w:rPr>
          <w:color w:val="0000FF"/>
          <w:sz w:val="22"/>
          <w:szCs w:val="22"/>
        </w:rPr>
        <w:t xml:space="preserve"> </w:t>
      </w:r>
      <w:r w:rsidR="009B08ED" w:rsidRPr="008642F5">
        <w:rPr>
          <w:color w:val="0000FF"/>
          <w:sz w:val="22"/>
          <w:szCs w:val="22"/>
        </w:rPr>
        <w:t xml:space="preserve"> </w:t>
      </w:r>
      <w:r w:rsidR="00E41417" w:rsidRPr="008642F5">
        <w:rPr>
          <w:sz w:val="22"/>
          <w:szCs w:val="22"/>
        </w:rPr>
        <w:t>I</w:t>
      </w:r>
      <w:r w:rsidR="00496AF8" w:rsidRPr="008642F5">
        <w:rPr>
          <w:sz w:val="22"/>
          <w:szCs w:val="22"/>
        </w:rPr>
        <w:t>ntermediate clinical outcome</w:t>
      </w:r>
      <w:r w:rsidR="00851466" w:rsidRPr="008642F5">
        <w:rPr>
          <w:sz w:val="22"/>
          <w:szCs w:val="22"/>
        </w:rPr>
        <w:t xml:space="preserve"> (</w:t>
      </w:r>
      <w:r w:rsidR="00851466" w:rsidRPr="45CF7C08">
        <w:rPr>
          <w:i/>
          <w:iCs/>
          <w:sz w:val="22"/>
          <w:szCs w:val="22"/>
        </w:rPr>
        <w:t>e.g., lab value</w:t>
      </w:r>
      <w:r w:rsidR="00851466" w:rsidRPr="008642F5">
        <w:rPr>
          <w:sz w:val="22"/>
          <w:szCs w:val="22"/>
        </w:rPr>
        <w:t>)</w:t>
      </w:r>
      <w:r w:rsidR="00496AF8" w:rsidRPr="008642F5">
        <w:rPr>
          <w:sz w:val="22"/>
          <w:szCs w:val="22"/>
        </w:rPr>
        <w:t xml:space="preserve">:  </w:t>
      </w:r>
      <w:sdt>
        <w:sdtPr>
          <w:rPr>
            <w:rStyle w:val="Style2"/>
            <w:rFonts w:ascii="Times New Roman" w:hAnsi="Times New Roman"/>
            <w:szCs w:val="22"/>
          </w:rPr>
          <w:id w:val="322628782"/>
          <w:showingPlcHdr/>
        </w:sdtPr>
        <w:sdtEndPr>
          <w:rPr>
            <w:rStyle w:val="DefaultParagraphFont"/>
            <w:bCs/>
            <w:color w:val="auto"/>
            <w:sz w:val="24"/>
            <w:u w:val="none"/>
          </w:rPr>
        </w:sdtEndPr>
        <w:sdtContent>
          <w:r w:rsidR="00496AF8" w:rsidRPr="008642F5">
            <w:rPr>
              <w:rStyle w:val="PlaceholderText"/>
              <w:color w:val="A6A6A6" w:themeColor="background1" w:themeShade="A6"/>
              <w:sz w:val="22"/>
              <w:szCs w:val="22"/>
            </w:rPr>
            <w:t>Click here to name the intermediate outcome</w:t>
          </w:r>
        </w:sdtContent>
      </w:sdt>
    </w:p>
    <w:p w14:paraId="30F5E5B4" w14:textId="5F5D10B1" w:rsidR="00D73685" w:rsidRPr="008642F5" w:rsidRDefault="003C033A" w:rsidP="45CF7C08">
      <w:pPr>
        <w:ind w:left="432" w:hanging="432"/>
        <w:jc w:val="both"/>
        <w:outlineLvl w:val="0"/>
        <w:rPr>
          <w:sz w:val="22"/>
          <w:szCs w:val="22"/>
        </w:rPr>
      </w:pPr>
      <w:sdt>
        <w:sdtPr>
          <w:rPr>
            <w:bCs/>
            <w:color w:val="0000FF"/>
            <w:sz w:val="22"/>
            <w:szCs w:val="22"/>
          </w:rPr>
          <w:id w:val="-1535727686"/>
          <w14:checkbox>
            <w14:checked w14:val="1"/>
            <w14:checkedState w14:val="2612" w14:font="MS Gothic"/>
            <w14:uncheckedState w14:val="2610" w14:font="MS Gothic"/>
          </w14:checkbox>
        </w:sdtPr>
        <w:sdtEndPr/>
        <w:sdtContent>
          <w:r w:rsidR="0008100A" w:rsidRPr="008642F5">
            <w:rPr>
              <w:rFonts w:ascii="MS Mincho" w:eastAsia="MS Mincho" w:hAnsi="MS Mincho" w:cs="MS Mincho"/>
              <w:bCs/>
              <w:color w:val="0000FF"/>
              <w:sz w:val="22"/>
              <w:szCs w:val="22"/>
            </w:rPr>
            <w:t>☒</w:t>
          </w:r>
        </w:sdtContent>
      </w:sdt>
      <w:r w:rsidR="0015535B" w:rsidRPr="008642F5">
        <w:rPr>
          <w:sz w:val="22"/>
          <w:szCs w:val="22"/>
        </w:rPr>
        <w:t xml:space="preserve"> </w:t>
      </w:r>
      <w:r w:rsidR="00E41417" w:rsidRPr="008642F5">
        <w:rPr>
          <w:sz w:val="22"/>
          <w:szCs w:val="22"/>
        </w:rPr>
        <w:t>P</w:t>
      </w:r>
      <w:r w:rsidR="00496AF8" w:rsidRPr="008642F5">
        <w:rPr>
          <w:sz w:val="22"/>
          <w:szCs w:val="22"/>
        </w:rPr>
        <w:t>rocess:</w:t>
      </w:r>
      <w:r w:rsidR="00D73685" w:rsidRPr="008642F5">
        <w:rPr>
          <w:sz w:val="22"/>
          <w:szCs w:val="22"/>
        </w:rPr>
        <w:t xml:space="preserve">  </w:t>
      </w:r>
      <w:sdt>
        <w:sdtPr>
          <w:rPr>
            <w:rStyle w:val="Style2"/>
            <w:rFonts w:ascii="Times New Roman" w:hAnsi="Times New Roman"/>
            <w:szCs w:val="22"/>
          </w:rPr>
          <w:id w:val="-247648753"/>
        </w:sdtPr>
        <w:sdtEndPr>
          <w:rPr>
            <w:rStyle w:val="DefaultParagraphFont"/>
            <w:bCs/>
            <w:color w:val="auto"/>
            <w:sz w:val="24"/>
            <w:u w:val="none"/>
          </w:rPr>
        </w:sdtEndPr>
        <w:sdtContent>
          <w:r w:rsidR="0008100A" w:rsidRPr="008642F5">
            <w:rPr>
              <w:rStyle w:val="Style2"/>
              <w:rFonts w:ascii="Times New Roman" w:hAnsi="Times New Roman"/>
              <w:szCs w:val="22"/>
            </w:rPr>
            <w:t>INR Monitoring for Individuals on Warfarin</w:t>
          </w:r>
        </w:sdtContent>
      </w:sdt>
    </w:p>
    <w:p w14:paraId="30F5E5B5" w14:textId="77777777" w:rsidR="00496AF8" w:rsidRPr="008642F5" w:rsidRDefault="00D73685" w:rsidP="45CF7C08">
      <w:pPr>
        <w:ind w:left="432" w:hanging="432"/>
        <w:jc w:val="both"/>
        <w:rPr>
          <w:rFonts w:eastAsia="MS Gothic"/>
          <w:b/>
          <w:bCs/>
          <w:color w:val="0000FF"/>
          <w:sz w:val="22"/>
          <w:szCs w:val="22"/>
        </w:rPr>
      </w:pPr>
      <w:r w:rsidRPr="008642F5">
        <w:rPr>
          <w:rFonts w:eastAsia="MS Gothic"/>
          <w:color w:val="0000FF"/>
          <w:sz w:val="22"/>
          <w:szCs w:val="22"/>
        </w:rPr>
        <w:t xml:space="preserve">    </w:t>
      </w:r>
      <w:sdt>
        <w:sdtPr>
          <w:rPr>
            <w:rFonts w:eastAsia="MS Gothic"/>
            <w:bCs/>
            <w:color w:val="0000FF"/>
            <w:sz w:val="22"/>
            <w:szCs w:val="22"/>
          </w:rPr>
          <w:id w:val="1303807965"/>
          <w14:checkbox>
            <w14:checked w14:val="0"/>
            <w14:checkedState w14:val="2612" w14:font="MS Gothic"/>
            <w14:uncheckedState w14:val="2610" w14:font="MS Gothic"/>
          </w14:checkbox>
        </w:sdtPr>
        <w:sdtEndPr/>
        <w:sdtContent>
          <w:r w:rsidRPr="008642F5">
            <w:rPr>
              <w:rFonts w:ascii="MS Mincho" w:eastAsia="MS Mincho" w:hAnsi="MS Mincho" w:cs="MS Mincho"/>
              <w:bCs/>
              <w:color w:val="0000FF"/>
              <w:sz w:val="22"/>
              <w:szCs w:val="22"/>
            </w:rPr>
            <w:t>☐</w:t>
          </w:r>
        </w:sdtContent>
      </w:sdt>
      <w:r w:rsidRPr="008642F5">
        <w:rPr>
          <w:rFonts w:eastAsia="MS Gothic"/>
          <w:color w:val="0000FF"/>
          <w:sz w:val="22"/>
          <w:szCs w:val="22"/>
        </w:rPr>
        <w:t xml:space="preserve"> </w:t>
      </w:r>
      <w:r w:rsidRPr="008642F5">
        <w:rPr>
          <w:rFonts w:eastAsia="MS Gothic"/>
          <w:sz w:val="22"/>
          <w:szCs w:val="22"/>
        </w:rPr>
        <w:t>Appropriate use measure:</w:t>
      </w:r>
      <w:r w:rsidR="00496AF8" w:rsidRPr="008642F5">
        <w:rPr>
          <w:sz w:val="22"/>
          <w:szCs w:val="22"/>
        </w:rPr>
        <w:t xml:space="preserve"> </w:t>
      </w:r>
      <w:r w:rsidRPr="45CF7C08">
        <w:rPr>
          <w:rStyle w:val="Style2"/>
          <w:rFonts w:ascii="Times New Roman" w:hAnsi="Times New Roman"/>
        </w:rPr>
        <w:t xml:space="preserve"> </w:t>
      </w:r>
      <w:sdt>
        <w:sdtPr>
          <w:rPr>
            <w:rStyle w:val="Style2"/>
            <w:rFonts w:ascii="Times New Roman" w:hAnsi="Times New Roman"/>
            <w:szCs w:val="22"/>
          </w:rPr>
          <w:id w:val="-2123911889"/>
          <w:showingPlcHdr/>
        </w:sdtPr>
        <w:sdtEndPr>
          <w:rPr>
            <w:rStyle w:val="DefaultParagraphFont"/>
            <w:bCs/>
            <w:color w:val="auto"/>
            <w:sz w:val="24"/>
            <w:u w:val="none"/>
          </w:rPr>
        </w:sdtEndPr>
        <w:sdtContent>
          <w:r w:rsidRPr="008642F5">
            <w:rPr>
              <w:rStyle w:val="PlaceholderText"/>
              <w:color w:val="A6A6A6" w:themeColor="background1" w:themeShade="A6"/>
              <w:sz w:val="22"/>
              <w:szCs w:val="22"/>
            </w:rPr>
            <w:t>Click here to name what is being measured</w:t>
          </w:r>
        </w:sdtContent>
      </w:sdt>
      <w:r w:rsidRPr="45CF7C08">
        <w:rPr>
          <w:rStyle w:val="Style2"/>
          <w:rFonts w:ascii="Times New Roman" w:hAnsi="Times New Roman"/>
        </w:rPr>
        <w:t xml:space="preserve"> </w:t>
      </w:r>
      <w:sdt>
        <w:sdtPr>
          <w:rPr>
            <w:rStyle w:val="Style2"/>
            <w:rFonts w:ascii="Times New Roman" w:hAnsi="Times New Roman"/>
            <w:szCs w:val="22"/>
          </w:rPr>
          <w:id w:val="-1371599399"/>
          <w:showingPlcHdr/>
        </w:sdtPr>
        <w:sdtEndPr>
          <w:rPr>
            <w:rStyle w:val="DefaultParagraphFont"/>
            <w:bCs/>
            <w:color w:val="auto"/>
            <w:sz w:val="24"/>
            <w:u w:val="none"/>
          </w:rPr>
        </w:sdtEndPr>
        <w:sdtContent>
          <w:r w:rsidRPr="008642F5">
            <w:rPr>
              <w:rStyle w:val="Style2"/>
              <w:rFonts w:ascii="Times New Roman" w:hAnsi="Times New Roman"/>
              <w:szCs w:val="22"/>
            </w:rPr>
            <w:t xml:space="preserve">     </w:t>
          </w:r>
        </w:sdtContent>
      </w:sdt>
    </w:p>
    <w:p w14:paraId="30F5E5B6" w14:textId="77777777" w:rsidR="00496AF8" w:rsidRPr="008642F5" w:rsidRDefault="003C033A" w:rsidP="45CF7C08">
      <w:pPr>
        <w:ind w:left="432" w:hanging="432"/>
        <w:jc w:val="both"/>
        <w:rPr>
          <w:sz w:val="22"/>
          <w:szCs w:val="22"/>
        </w:rPr>
      </w:pPr>
      <w:sdt>
        <w:sdtPr>
          <w:rPr>
            <w:bCs/>
            <w:color w:val="0000FF"/>
            <w:sz w:val="22"/>
            <w:szCs w:val="22"/>
          </w:rPr>
          <w:id w:val="1676770628"/>
          <w14:checkbox>
            <w14:checked w14:val="0"/>
            <w14:checkedState w14:val="2612" w14:font="MS Gothic"/>
            <w14:uncheckedState w14:val="2610" w14:font="MS Gothic"/>
          </w14:checkbox>
        </w:sdtPr>
        <w:sdtEndPr/>
        <w:sdtContent>
          <w:r w:rsidR="00D73685" w:rsidRPr="008642F5">
            <w:rPr>
              <w:rFonts w:ascii="MS Mincho" w:eastAsia="MS Mincho" w:hAnsi="MS Mincho" w:cs="MS Mincho"/>
              <w:bCs/>
              <w:color w:val="0000FF"/>
              <w:sz w:val="22"/>
              <w:szCs w:val="22"/>
            </w:rPr>
            <w:t>☐</w:t>
          </w:r>
        </w:sdtContent>
      </w:sdt>
      <w:r w:rsidR="0015535B" w:rsidRPr="008642F5">
        <w:rPr>
          <w:sz w:val="22"/>
          <w:szCs w:val="22"/>
        </w:rPr>
        <w:t xml:space="preserve"> </w:t>
      </w:r>
      <w:r w:rsidR="00E41417" w:rsidRPr="008642F5">
        <w:rPr>
          <w:sz w:val="22"/>
          <w:szCs w:val="22"/>
        </w:rPr>
        <w:t>S</w:t>
      </w:r>
      <w:r w:rsidR="00496AF8" w:rsidRPr="008642F5">
        <w:rPr>
          <w:sz w:val="22"/>
          <w:szCs w:val="22"/>
        </w:rPr>
        <w:t xml:space="preserve">tructure:  </w:t>
      </w:r>
      <w:sdt>
        <w:sdtPr>
          <w:rPr>
            <w:rStyle w:val="Style2"/>
            <w:rFonts w:ascii="Times New Roman" w:hAnsi="Times New Roman"/>
            <w:szCs w:val="22"/>
          </w:rPr>
          <w:id w:val="399486169"/>
          <w:showingPlcHdr/>
        </w:sdtPr>
        <w:sdtEndPr>
          <w:rPr>
            <w:rStyle w:val="DefaultParagraphFont"/>
            <w:bCs/>
            <w:color w:val="auto"/>
            <w:sz w:val="24"/>
            <w:u w:val="none"/>
          </w:rPr>
        </w:sdtEndPr>
        <w:sdtContent>
          <w:r w:rsidR="00496AF8" w:rsidRPr="008642F5">
            <w:rPr>
              <w:rStyle w:val="PlaceholderText"/>
              <w:color w:val="A6A6A6" w:themeColor="background1" w:themeShade="A6"/>
              <w:sz w:val="22"/>
              <w:szCs w:val="22"/>
            </w:rPr>
            <w:t>Click here to name the structure</w:t>
          </w:r>
        </w:sdtContent>
      </w:sdt>
    </w:p>
    <w:p w14:paraId="30F5E5B7" w14:textId="77777777" w:rsidR="00496AF8" w:rsidRPr="008642F5" w:rsidRDefault="003C033A" w:rsidP="45CF7C08">
      <w:pPr>
        <w:ind w:left="432" w:hanging="432"/>
        <w:jc w:val="both"/>
        <w:rPr>
          <w:sz w:val="22"/>
          <w:szCs w:val="22"/>
        </w:rPr>
      </w:pPr>
      <w:sdt>
        <w:sdtPr>
          <w:rPr>
            <w:bCs/>
            <w:color w:val="0000FF"/>
            <w:sz w:val="22"/>
            <w:szCs w:val="22"/>
          </w:rPr>
          <w:id w:val="1719405626"/>
          <w14:checkbox>
            <w14:checked w14:val="0"/>
            <w14:checkedState w14:val="2612" w14:font="MS Gothic"/>
            <w14:uncheckedState w14:val="2610" w14:font="MS Gothic"/>
          </w14:checkbox>
        </w:sdtPr>
        <w:sdtEndPr/>
        <w:sdtContent>
          <w:r w:rsidR="0015535B" w:rsidRPr="008642F5">
            <w:rPr>
              <w:rFonts w:ascii="MS Mincho" w:eastAsia="MS Mincho" w:hAnsi="MS Mincho" w:cs="MS Mincho"/>
              <w:bCs/>
              <w:color w:val="0000FF"/>
              <w:sz w:val="22"/>
              <w:szCs w:val="22"/>
            </w:rPr>
            <w:t>☐</w:t>
          </w:r>
        </w:sdtContent>
      </w:sdt>
      <w:r w:rsidR="0015535B" w:rsidRPr="008642F5">
        <w:rPr>
          <w:sz w:val="22"/>
          <w:szCs w:val="22"/>
        </w:rPr>
        <w:t xml:space="preserve"> </w:t>
      </w:r>
      <w:r w:rsidR="00D73685" w:rsidRPr="008642F5">
        <w:rPr>
          <w:sz w:val="22"/>
          <w:szCs w:val="22"/>
        </w:rPr>
        <w:t>Composite</w:t>
      </w:r>
      <w:r w:rsidR="00496AF8" w:rsidRPr="008642F5">
        <w:rPr>
          <w:sz w:val="22"/>
          <w:szCs w:val="22"/>
        </w:rPr>
        <w:t xml:space="preserve">:  </w:t>
      </w:r>
      <w:sdt>
        <w:sdtPr>
          <w:rPr>
            <w:rStyle w:val="Style2"/>
            <w:rFonts w:ascii="Times New Roman" w:hAnsi="Times New Roman"/>
            <w:szCs w:val="22"/>
          </w:rPr>
          <w:id w:val="949512032"/>
          <w:showingPlcHdr/>
        </w:sdtPr>
        <w:sdtEndPr>
          <w:rPr>
            <w:rStyle w:val="DefaultParagraphFont"/>
            <w:bCs/>
            <w:color w:val="auto"/>
            <w:sz w:val="24"/>
            <w:u w:val="none"/>
          </w:rPr>
        </w:sdtEndPr>
        <w:sdtContent>
          <w:r w:rsidR="00496AF8" w:rsidRPr="008642F5">
            <w:rPr>
              <w:rStyle w:val="PlaceholderText"/>
              <w:color w:val="A6A6A6" w:themeColor="background1" w:themeShade="A6"/>
              <w:sz w:val="22"/>
              <w:szCs w:val="22"/>
            </w:rPr>
            <w:t>Click here to name what is being measured</w:t>
          </w:r>
        </w:sdtContent>
      </w:sdt>
    </w:p>
    <w:p w14:paraId="30F5E5B8" w14:textId="77777777" w:rsidR="00496AF8" w:rsidRPr="008642F5" w:rsidRDefault="00496AF8" w:rsidP="008642F5">
      <w:pPr>
        <w:jc w:val="both"/>
        <w:rPr>
          <w:bCs/>
          <w:sz w:val="22"/>
          <w:szCs w:val="22"/>
        </w:rPr>
      </w:pPr>
    </w:p>
    <w:p w14:paraId="30F5E5B9" w14:textId="6A93D7DD" w:rsidR="002B06BD" w:rsidRPr="008642F5" w:rsidRDefault="45CF7C08" w:rsidP="45CF7C08">
      <w:pPr>
        <w:jc w:val="both"/>
        <w:rPr>
          <w:sz w:val="22"/>
          <w:szCs w:val="22"/>
        </w:rPr>
      </w:pPr>
      <w:r w:rsidRPr="45CF7C08">
        <w:rPr>
          <w:b/>
          <w:bCs/>
          <w:color w:val="0000FF"/>
          <w:sz w:val="22"/>
          <w:szCs w:val="22"/>
        </w:rPr>
        <w:t>1a.2</w:t>
      </w:r>
      <w:r w:rsidRPr="45CF7C08">
        <w:rPr>
          <w:sz w:val="22"/>
          <w:szCs w:val="22"/>
        </w:rPr>
        <w:t xml:space="preserve"> </w:t>
      </w:r>
      <w:r w:rsidRPr="45CF7C08">
        <w:rPr>
          <w:b/>
          <w:bCs/>
          <w:sz w:val="22"/>
          <w:szCs w:val="22"/>
        </w:rPr>
        <w:t>LOGIC MODEL</w:t>
      </w:r>
      <w:r w:rsidRPr="45CF7C08">
        <w:rPr>
          <w:sz w:val="22"/>
          <w:szCs w:val="22"/>
        </w:rPr>
        <w:t xml:space="preserve"> 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428359F1" w14:textId="4BC8D75C" w:rsidR="0058073D" w:rsidRPr="00A76201" w:rsidRDefault="45CF7C08" w:rsidP="45CF7C08">
      <w:pPr>
        <w:ind w:left="450" w:hanging="450"/>
        <w:jc w:val="both"/>
        <w:rPr>
          <w:b/>
          <w:bCs/>
          <w:color w:val="0070C0"/>
          <w:sz w:val="22"/>
          <w:szCs w:val="22"/>
        </w:rPr>
      </w:pPr>
      <w:r w:rsidRPr="45CF7C08">
        <w:rPr>
          <w:b/>
          <w:bCs/>
          <w:color w:val="0070C0"/>
          <w:sz w:val="22"/>
          <w:szCs w:val="22"/>
        </w:rPr>
        <w:t>Prior Submission:</w:t>
      </w:r>
    </w:p>
    <w:p w14:paraId="76431A34" w14:textId="0A640381" w:rsidR="0008100A" w:rsidRPr="008642F5" w:rsidRDefault="0008100A" w:rsidP="45CF7C08">
      <w:pPr>
        <w:jc w:val="both"/>
        <w:rPr>
          <w:color w:val="0070C0"/>
          <w:sz w:val="22"/>
          <w:szCs w:val="22"/>
        </w:rPr>
      </w:pPr>
      <w:r w:rsidRPr="008642F5">
        <w:rPr>
          <w:color w:val="0070C0"/>
          <w:sz w:val="22"/>
          <w:szCs w:val="22"/>
        </w:rPr>
        <w:t>An important consideration for avoiding bleeding and thromboembolic events in patients on</w:t>
      </w:r>
      <w:r w:rsidR="002662B9" w:rsidRPr="008642F5">
        <w:rPr>
          <w:color w:val="0070C0"/>
          <w:sz w:val="22"/>
          <w:szCs w:val="22"/>
        </w:rPr>
        <w:t xml:space="preserve"> </w:t>
      </w:r>
      <w:r w:rsidRPr="008642F5">
        <w:rPr>
          <w:color w:val="0070C0"/>
          <w:sz w:val="22"/>
          <w:szCs w:val="22"/>
        </w:rPr>
        <w:t>warfarin</w:t>
      </w:r>
      <w:r w:rsidR="002662B9" w:rsidRPr="008642F5">
        <w:rPr>
          <w:color w:val="0070C0"/>
          <w:sz w:val="22"/>
          <w:szCs w:val="22"/>
        </w:rPr>
        <w:t xml:space="preserve"> </w:t>
      </w:r>
      <w:r w:rsidRPr="008642F5">
        <w:rPr>
          <w:color w:val="0070C0"/>
          <w:sz w:val="22"/>
          <w:szCs w:val="22"/>
        </w:rPr>
        <w:t>therapy</w:t>
      </w:r>
      <w:r w:rsidRPr="008642F5" w:rsidDel="00E738B5">
        <w:rPr>
          <w:color w:val="0070C0"/>
          <w:sz w:val="22"/>
          <w:szCs w:val="22"/>
        </w:rPr>
        <w:t xml:space="preserve"> </w:t>
      </w:r>
      <w:r w:rsidRPr="008642F5">
        <w:rPr>
          <w:color w:val="0070C0"/>
          <w:sz w:val="22"/>
          <w:szCs w:val="22"/>
        </w:rPr>
        <w:t xml:space="preserve">is maintaining the patient's International Normalized Ratio (INR) within the therapeutic range through appropriate and timely INR monitoring and dose adjustment. The recommended range of INR values is 2 to 3 for most conditions treated with warfarin, including deep venous thrombosis, pulmonary embolus, tissue heart valves, atrial fibrillation, and recurrent systemic embolism </w:t>
      </w:r>
      <w:r w:rsidRPr="45CF7C08">
        <w:fldChar w:fldCharType="begin"/>
      </w:r>
      <w:r w:rsidRPr="008642F5">
        <w:rPr>
          <w:color w:val="0070C0"/>
          <w:sz w:val="22"/>
          <w:szCs w:val="22"/>
        </w:rPr>
        <w:instrText xml:space="preserve"> ADDIN EN.CITE &lt;EndNote&gt;&lt;Cite&gt;&lt;Author&gt;Holbrook&lt;/Author&gt;&lt;Year&gt;2012&lt;/Year&gt;&lt;RecNum&gt;9&lt;/RecNum&gt;&lt;DisplayText&gt;(Holbrook et al., 2012)&lt;/DisplayText&gt;&lt;record&gt;&lt;rec-number&gt;9&lt;/rec-number&gt;&lt;foreign-keys&gt;&lt;key app="EN" db-id="efza9rvwnezvekefzd3vzrxwexs9azrvvx09"&gt;9&lt;/key&gt;&lt;/foreign-keys&gt;&lt;ref-type name="Journal Article"&gt;17&lt;/ref-type&gt;&lt;contributors&gt;&lt;authors&gt;&lt;author&gt;Holbrook, A.&lt;/author&gt;&lt;author&gt;S. Schulman&lt;/author&gt;&lt;author&gt;D. M. Witt&lt;/author&gt;&lt;author&gt;P. O. Vandvik&lt;/author&gt;&lt;author&gt;J. Fish&lt;/author&gt;&lt;author&gt;M. J. Kovacs&lt;/author&gt;&lt;author&gt;P. J. Svensson&lt;/author&gt;&lt;author&gt;D. L. Veenstra&lt;/author&gt;&lt;author&gt;M. Crowther&lt;/author&gt;&lt;author&gt;G. H. Guyatt&lt;/author&gt;&lt;/authors&gt;&lt;/contributors&gt;&lt;titles&gt;&lt;title&gt;Evidence-based management of anticoagulant therapy: Antithrombotic Therapy and Prevention of Thrombosis, 9th ed: American College of Chest Physicians Evidence-Based Clinical Practice Guidelines&lt;/title&gt;&lt;secondary-title&gt;Chest&lt;/secondary-title&gt;&lt;/titles&gt;&lt;periodical&gt;&lt;full-title&gt;Chest&lt;/full-title&gt;&lt;/periodical&gt;&lt;pages&gt;e152S-e184S&lt;/pages&gt;&lt;volume&gt;141&lt;/volume&gt;&lt;number&gt;2&lt;/number&gt;&lt;dates&gt;&lt;year&gt;2012&lt;/year&gt;&lt;/dates&gt;&lt;urls&gt;&lt;/urls&gt;&lt;/record&gt;&lt;/Cite&gt;&lt;/EndNote&gt;</w:instrText>
      </w:r>
      <w:r w:rsidRPr="45CF7C08">
        <w:rPr>
          <w:color w:val="0070C0"/>
          <w:sz w:val="22"/>
          <w:szCs w:val="22"/>
        </w:rPr>
        <w:fldChar w:fldCharType="separate"/>
      </w:r>
      <w:r w:rsidRPr="008642F5">
        <w:rPr>
          <w:color w:val="0070C0"/>
          <w:sz w:val="22"/>
          <w:szCs w:val="22"/>
        </w:rPr>
        <w:t>(Holbrook et al., 2012)</w:t>
      </w:r>
      <w:r w:rsidRPr="45CF7C08">
        <w:fldChar w:fldCharType="end"/>
      </w:r>
      <w:r w:rsidRPr="008642F5">
        <w:rPr>
          <w:color w:val="0070C0"/>
          <w:sz w:val="22"/>
          <w:szCs w:val="22"/>
        </w:rPr>
        <w:t xml:space="preserve">. The authors of the 2012 American College of Chest Physicians guidelines for antithrombotic therapy and prevention of thrombosis recommend INR monitoring frequency of up to 12 weeks for patients with stable INRs </w:t>
      </w:r>
      <w:r w:rsidRPr="45CF7C08">
        <w:fldChar w:fldCharType="begin"/>
      </w:r>
      <w:r w:rsidRPr="008642F5">
        <w:rPr>
          <w:color w:val="0070C0"/>
          <w:sz w:val="22"/>
          <w:szCs w:val="22"/>
        </w:rPr>
        <w:instrText xml:space="preserve"> ADDIN EN.CITE &lt;EndNote&gt;&lt;Cite&gt;&lt;Author&gt;Holbrook&lt;/Author&gt;&lt;Year&gt;2012&lt;/Year&gt;&lt;RecNum&gt;9&lt;/RecNum&gt;&lt;DisplayText&gt;(Holbrook et al., 2012)&lt;/DisplayText&gt;&lt;record&gt;&lt;rec-number&gt;9&lt;/rec-number&gt;&lt;foreign-keys&gt;&lt;key app="EN" db-id="efza9rvwnezvekefzd3vzrxwexs9azrvvx09"&gt;9&lt;/key&gt;&lt;/foreign-keys&gt;&lt;ref-type name="Journal Article"&gt;17&lt;/ref-type&gt;&lt;contributors&gt;&lt;authors&gt;&lt;author&gt;Holbrook, A.&lt;/author&gt;&lt;author&gt;S. Schulman&lt;/author&gt;&lt;author&gt;D. M. Witt&lt;/author&gt;&lt;author&gt;P. O. Vandvik&lt;/author&gt;&lt;author&gt;J. Fish&lt;/author&gt;&lt;author&gt;M. J. Kovacs&lt;/author&gt;&lt;author&gt;P. J. Svensson&lt;/author&gt;&lt;author&gt;D. L. Veenstra&lt;/author&gt;&lt;author&gt;M. Crowther&lt;/author&gt;&lt;author&gt;G. H. Guyatt&lt;/author&gt;&lt;/authors&gt;&lt;/contributors&gt;&lt;titles&gt;&lt;title&gt;Evidence-based management of anticoagulant therapy: Antithrombotic Therapy and Prevention of Thrombosis, 9th ed: American College of Chest Physicians Evidence-Based Clinical Practice Guidelines&lt;/title&gt;&lt;secondary-title&gt;Chest&lt;/secondary-title&gt;&lt;/titles&gt;&lt;periodical&gt;&lt;full-title&gt;Chest&lt;/full-title&gt;&lt;/periodical&gt;&lt;pages&gt;e152S-e184S&lt;/pages&gt;&lt;volume&gt;141&lt;/volume&gt;&lt;number&gt;2&lt;/number&gt;&lt;dates&gt;&lt;year&gt;2012&lt;/year&gt;&lt;/dates&gt;&lt;urls&gt;&lt;/urls&gt;&lt;/record&gt;&lt;/Cite&gt;&lt;/EndNote&gt;</w:instrText>
      </w:r>
      <w:r w:rsidRPr="45CF7C08">
        <w:rPr>
          <w:color w:val="0070C0"/>
          <w:sz w:val="22"/>
          <w:szCs w:val="22"/>
        </w:rPr>
        <w:fldChar w:fldCharType="separate"/>
      </w:r>
      <w:r w:rsidRPr="008642F5">
        <w:rPr>
          <w:color w:val="0070C0"/>
          <w:sz w:val="22"/>
          <w:szCs w:val="22"/>
        </w:rPr>
        <w:t>(Holbrook et al., 2012)</w:t>
      </w:r>
      <w:r w:rsidRPr="45CF7C08">
        <w:fldChar w:fldCharType="end"/>
      </w:r>
      <w:r w:rsidRPr="008642F5">
        <w:rPr>
          <w:color w:val="0070C0"/>
          <w:sz w:val="22"/>
          <w:szCs w:val="22"/>
        </w:rPr>
        <w:t xml:space="preserve">. The latest American College of Cardiology/American Heart Association guidelines continue to recommend INR monitoring on a monthly basis for patients with atrial fibrillation when anticoagulation is stable </w:t>
      </w:r>
      <w:r w:rsidRPr="45CF7C08">
        <w:fldChar w:fldCharType="begin"/>
      </w:r>
      <w:r w:rsidRPr="008642F5">
        <w:rPr>
          <w:color w:val="0070C0"/>
          <w:sz w:val="22"/>
          <w:szCs w:val="22"/>
        </w:rPr>
        <w:instrText xml:space="preserve"> ADDIN EN.CITE &lt;EndNote&gt;&lt;Cite&gt;&lt;Author&gt;Anderson&lt;/Author&gt;&lt;Year&gt;2013&lt;/Year&gt;&lt;RecNum&gt;79&lt;/RecNum&gt;&lt;DisplayText&gt;(Anderson et al., 2013)&lt;/DisplayText&gt;&lt;record&gt;&lt;rec-number&gt;79&lt;/rec-number&gt;&lt;foreign-keys&gt;&lt;key app="EN" db-id="efza9rvwnezvekefzd3vzrxwexs9azrvvx09"&gt;79&lt;/key&gt;&lt;/foreign-keys&gt;&lt;ref-type name="Journal Article"&gt;17&lt;/ref-type&gt;&lt;contributors&gt;&lt;authors&gt;&lt;author&gt;Anderson, Jeffrey L&lt;/author&gt;&lt;author&gt;Halperin, Jonathan L&lt;/author&gt;&lt;author&gt;Albert, Nancy M&lt;/author&gt;&lt;author&gt;Bozkurt, Biykem&lt;/author&gt;&lt;author&gt;Brindis, Ralph G&lt;/author&gt;&lt;author&gt;Curtis, Lesley H&lt;/author&gt;&lt;author&gt;DeMets, David&lt;/author&gt;&lt;author&gt;Guyton, Robert A&lt;/author&gt;&lt;author&gt;Hochman, Judith S&lt;/author&gt;&lt;author&gt;Kovacs, Richard J&lt;/author&gt;&lt;author&gt;Ohman, E. Magnus&lt;/author&gt;&lt;author&gt;Pressler, Susan J.&lt;/author&gt;&lt;author&gt;Sellke, Frank W. &lt;/author&gt;&lt;author&gt;Shen, Win-Kuang&lt;/author&gt;&lt;/authors&gt;&lt;/contributors&gt;&lt;titles&gt;&lt;title&gt;Management of Patients With Atrial Fibrillation (Compilation of 2006 ACCF/AHA/ESC and 2011 ACCF/AHA/HRS Recommendations): A Report of the American College of Cardiology/American Heart Association Task Force on Practice Guidelines&lt;/title&gt;&lt;secondary-title&gt;Circulation&lt;/secondary-title&gt;&lt;/titles&gt;&lt;periodical&gt;&lt;full-title&gt;Circulation&lt;/full-title&gt;&lt;/periodical&gt;&lt;pages&gt;1916-1926&lt;/pages&gt;&lt;volume&gt;127&lt;/volume&gt;&lt;dates&gt;&lt;year&gt;2013&lt;/year&gt;&lt;/dates&gt;&lt;urls&gt;&lt;/urls&gt;&lt;/record&gt;&lt;/Cite&gt;&lt;/EndNote&gt;</w:instrText>
      </w:r>
      <w:r w:rsidRPr="45CF7C08">
        <w:rPr>
          <w:color w:val="0070C0"/>
          <w:sz w:val="22"/>
          <w:szCs w:val="22"/>
        </w:rPr>
        <w:fldChar w:fldCharType="separate"/>
      </w:r>
      <w:r w:rsidRPr="008642F5">
        <w:rPr>
          <w:color w:val="0070C0"/>
          <w:sz w:val="22"/>
          <w:szCs w:val="22"/>
        </w:rPr>
        <w:t>(Anderson et al., 2013)</w:t>
      </w:r>
      <w:r w:rsidRPr="45CF7C08">
        <w:fldChar w:fldCharType="end"/>
      </w:r>
      <w:r w:rsidRPr="008642F5">
        <w:rPr>
          <w:color w:val="0070C0"/>
          <w:sz w:val="22"/>
          <w:szCs w:val="22"/>
        </w:rPr>
        <w:t>. This measure adopts a conservative approach to INR monitoring of individuals on warfarin by using a 56-day interval, chosen “because a gap of 56 days is traditionally understood to indicate a lack of monitoring, and a period across which TTR is not interpolated” (Rose et al., 2013).</w:t>
      </w:r>
    </w:p>
    <w:p w14:paraId="0751298A" w14:textId="77777777" w:rsidR="0008100A" w:rsidRPr="008642F5" w:rsidRDefault="0008100A" w:rsidP="008642F5">
      <w:pPr>
        <w:ind w:left="432" w:hanging="432"/>
        <w:jc w:val="both"/>
        <w:rPr>
          <w:color w:val="0070C0"/>
          <w:sz w:val="22"/>
          <w:szCs w:val="22"/>
        </w:rPr>
      </w:pPr>
    </w:p>
    <w:p w14:paraId="4FB3554B" w14:textId="77777777" w:rsidR="0008100A" w:rsidRPr="008642F5" w:rsidRDefault="45CF7C08" w:rsidP="45CF7C08">
      <w:pPr>
        <w:jc w:val="both"/>
        <w:rPr>
          <w:color w:val="0070C0"/>
          <w:sz w:val="22"/>
          <w:szCs w:val="22"/>
        </w:rPr>
      </w:pPr>
      <w:r w:rsidRPr="45CF7C08">
        <w:rPr>
          <w:color w:val="0070C0"/>
          <w:sz w:val="22"/>
          <w:szCs w:val="22"/>
        </w:rPr>
        <w:t>The measure focus is on establishing a minimal INR monitoring interval for the majority of patients on warfarin in the measure denominator. Warfarin has a narrow therapeutic range and therefore, requires regular monitoring with the International Normalized Ratio (INR) test and dose adjustment for the patient to stay within the therapeutic range and avoid thromboembolism or bleeding complications.</w:t>
      </w:r>
    </w:p>
    <w:p w14:paraId="2DDC06FF" w14:textId="4821E557" w:rsidR="0008100A" w:rsidRPr="008642F5" w:rsidRDefault="0008100A" w:rsidP="008642F5">
      <w:pPr>
        <w:ind w:left="432" w:hanging="432"/>
        <w:jc w:val="both"/>
        <w:rPr>
          <w:color w:val="0070C0"/>
          <w:sz w:val="22"/>
          <w:szCs w:val="22"/>
        </w:rPr>
      </w:pPr>
    </w:p>
    <w:p w14:paraId="6D053BED" w14:textId="77777777" w:rsidR="0008100A" w:rsidRPr="008642F5" w:rsidRDefault="0008100A" w:rsidP="45CF7C08">
      <w:pPr>
        <w:jc w:val="both"/>
        <w:rPr>
          <w:color w:val="0070C0"/>
          <w:sz w:val="22"/>
          <w:szCs w:val="22"/>
          <w:u w:val="single"/>
        </w:rPr>
      </w:pPr>
      <w:r w:rsidRPr="008642F5">
        <w:rPr>
          <w:color w:val="0070C0"/>
          <w:sz w:val="22"/>
          <w:szCs w:val="22"/>
          <w:u w:val="single"/>
        </w:rPr>
        <w:t xml:space="preserve">Links of Process </w:t>
      </w:r>
      <w:r w:rsidRPr="008642F5">
        <w:rPr>
          <w:color w:val="0070C0"/>
          <w:sz w:val="22"/>
          <w:szCs w:val="22"/>
          <w:u w:val="single"/>
        </w:rPr>
        <w:sym w:font="Wingdings" w:char="F0E0"/>
      </w:r>
      <w:r w:rsidRPr="008642F5">
        <w:rPr>
          <w:color w:val="0070C0"/>
          <w:sz w:val="22"/>
          <w:szCs w:val="22"/>
          <w:u w:val="single"/>
        </w:rPr>
        <w:t xml:space="preserve"> Health Outcome</w:t>
      </w:r>
    </w:p>
    <w:p w14:paraId="58A5AB9F" w14:textId="0F4584B1" w:rsidR="0008100A" w:rsidRPr="008642F5" w:rsidRDefault="0008100A" w:rsidP="45CF7C08">
      <w:pPr>
        <w:jc w:val="both"/>
        <w:rPr>
          <w:color w:val="0070C0"/>
          <w:sz w:val="22"/>
          <w:szCs w:val="22"/>
        </w:rPr>
      </w:pPr>
      <w:r w:rsidRPr="008642F5">
        <w:rPr>
          <w:color w:val="0070C0"/>
          <w:sz w:val="22"/>
          <w:szCs w:val="22"/>
        </w:rPr>
        <w:t>Regular monitoring of patients on warfarin with the International Normalized Ratio (INR) test</w:t>
      </w:r>
      <w:r w:rsidRPr="008642F5" w:rsidDel="008733AD">
        <w:rPr>
          <w:color w:val="0070C0"/>
          <w:sz w:val="22"/>
          <w:szCs w:val="22"/>
        </w:rPr>
        <w:t xml:space="preserve"> </w:t>
      </w:r>
      <w:r w:rsidRPr="008642F5">
        <w:rPr>
          <w:color w:val="0070C0"/>
          <w:sz w:val="22"/>
          <w:szCs w:val="22"/>
        </w:rPr>
        <w:sym w:font="Wingdings" w:char="F0E0"/>
      </w:r>
      <w:r w:rsidR="00AB13B6" w:rsidRPr="008642F5">
        <w:rPr>
          <w:color w:val="0070C0"/>
          <w:sz w:val="22"/>
          <w:szCs w:val="22"/>
        </w:rPr>
        <w:t xml:space="preserve"> </w:t>
      </w:r>
      <w:r w:rsidRPr="008642F5">
        <w:rPr>
          <w:color w:val="0070C0"/>
          <w:sz w:val="22"/>
          <w:szCs w:val="22"/>
        </w:rPr>
        <w:t xml:space="preserve">More time within the therapeutic range of warfarin </w:t>
      </w:r>
      <w:r w:rsidRPr="008642F5">
        <w:rPr>
          <w:color w:val="0070C0"/>
          <w:sz w:val="22"/>
          <w:szCs w:val="22"/>
        </w:rPr>
        <w:sym w:font="Wingdings" w:char="F0E0"/>
      </w:r>
      <w:r w:rsidRPr="008642F5">
        <w:rPr>
          <w:color w:val="0070C0"/>
          <w:sz w:val="22"/>
          <w:szCs w:val="22"/>
        </w:rPr>
        <w:t xml:space="preserve"> Fewer bleeding and thromboembolic events </w:t>
      </w:r>
      <w:r w:rsidRPr="008642F5">
        <w:rPr>
          <w:color w:val="0070C0"/>
          <w:sz w:val="22"/>
          <w:szCs w:val="22"/>
        </w:rPr>
        <w:sym w:font="Wingdings" w:char="F0E0"/>
      </w:r>
      <w:r w:rsidR="00AB13B6" w:rsidRPr="008642F5">
        <w:rPr>
          <w:color w:val="0070C0"/>
          <w:sz w:val="22"/>
          <w:szCs w:val="22"/>
        </w:rPr>
        <w:t xml:space="preserve"> </w:t>
      </w:r>
      <w:r w:rsidRPr="008642F5">
        <w:rPr>
          <w:color w:val="0070C0"/>
          <w:sz w:val="22"/>
          <w:szCs w:val="22"/>
        </w:rPr>
        <w:t xml:space="preserve">Lower hospitalization rates and lower mortality rates </w:t>
      </w:r>
    </w:p>
    <w:p w14:paraId="66B5EB05" w14:textId="77777777" w:rsidR="0008100A" w:rsidRPr="008642F5" w:rsidRDefault="0008100A" w:rsidP="008642F5">
      <w:pPr>
        <w:ind w:left="360" w:hanging="360"/>
        <w:jc w:val="both"/>
        <w:rPr>
          <w:color w:val="0070C0"/>
          <w:sz w:val="22"/>
          <w:szCs w:val="22"/>
        </w:rPr>
      </w:pPr>
    </w:p>
    <w:p w14:paraId="6C060D1C" w14:textId="77777777" w:rsidR="0008100A" w:rsidRPr="008642F5" w:rsidRDefault="45CF7C08" w:rsidP="45CF7C08">
      <w:pPr>
        <w:jc w:val="both"/>
        <w:rPr>
          <w:color w:val="0070C0"/>
          <w:sz w:val="22"/>
          <w:szCs w:val="22"/>
          <w:u w:val="single"/>
        </w:rPr>
      </w:pPr>
      <w:r w:rsidRPr="45CF7C08">
        <w:rPr>
          <w:color w:val="0070C0"/>
          <w:sz w:val="22"/>
          <w:szCs w:val="22"/>
          <w:u w:val="single"/>
        </w:rPr>
        <w:t>Summary</w:t>
      </w:r>
    </w:p>
    <w:p w14:paraId="3F31D366" w14:textId="77E896F2" w:rsidR="0008100A" w:rsidRPr="008642F5" w:rsidRDefault="45CF7C08" w:rsidP="45CF7C08">
      <w:pPr>
        <w:jc w:val="both"/>
        <w:rPr>
          <w:color w:val="0070C0"/>
          <w:sz w:val="22"/>
          <w:szCs w:val="22"/>
        </w:rPr>
      </w:pPr>
      <w:r w:rsidRPr="45CF7C08">
        <w:rPr>
          <w:color w:val="0070C0"/>
          <w:sz w:val="22"/>
          <w:szCs w:val="22"/>
        </w:rPr>
        <w:t xml:space="preserve">The desired outcome for this measure is fewer bleeding and thromboembolic events in individuals on warfarin. More regular INR monitoring of patients on warfarin should result in more time in the therapeutic range, resulting in fewer bleeding and thromboembolic events and thus, fewer hospitalizations and deaths. </w:t>
      </w:r>
    </w:p>
    <w:p w14:paraId="7587BD01" w14:textId="77777777" w:rsidR="0008100A" w:rsidRPr="008642F5" w:rsidRDefault="0008100A" w:rsidP="008642F5">
      <w:pPr>
        <w:jc w:val="both"/>
        <w:rPr>
          <w:color w:val="0070C0"/>
          <w:sz w:val="22"/>
          <w:szCs w:val="22"/>
        </w:rPr>
      </w:pPr>
    </w:p>
    <w:p w14:paraId="7B458B73" w14:textId="4276D28E" w:rsidR="00371E21" w:rsidRPr="008642F5" w:rsidRDefault="45CF7C08" w:rsidP="45CF7C08">
      <w:pPr>
        <w:ind w:left="360" w:hanging="360"/>
        <w:jc w:val="both"/>
        <w:rPr>
          <w:color w:val="0070C0"/>
          <w:sz w:val="22"/>
          <w:szCs w:val="22"/>
          <w:u w:val="single"/>
        </w:rPr>
      </w:pPr>
      <w:r w:rsidRPr="45CF7C08">
        <w:rPr>
          <w:color w:val="0070C0"/>
          <w:sz w:val="22"/>
          <w:szCs w:val="22"/>
          <w:u w:val="single"/>
        </w:rPr>
        <w:t>Citations for 1a.3</w:t>
      </w:r>
    </w:p>
    <w:p w14:paraId="610BFDA1" w14:textId="79002DC6" w:rsidR="0008100A" w:rsidRPr="009E65A9" w:rsidRDefault="0008100A" w:rsidP="45CF7C08">
      <w:pPr>
        <w:jc w:val="both"/>
        <w:rPr>
          <w:color w:val="0070C0"/>
          <w:sz w:val="22"/>
          <w:szCs w:val="22"/>
        </w:rPr>
      </w:pPr>
      <w:r w:rsidRPr="45CF7C08">
        <w:lastRenderedPageBreak/>
        <w:fldChar w:fldCharType="begin"/>
      </w:r>
      <w:r w:rsidRPr="008642F5">
        <w:rPr>
          <w:color w:val="0070C0"/>
          <w:sz w:val="22"/>
          <w:szCs w:val="22"/>
        </w:rPr>
        <w:instrText xml:space="preserve"> ADDIN EN.SECTION.REFLIST </w:instrText>
      </w:r>
      <w:r w:rsidRPr="45CF7C08">
        <w:rPr>
          <w:color w:val="0070C0"/>
          <w:sz w:val="22"/>
          <w:szCs w:val="22"/>
        </w:rPr>
        <w:fldChar w:fldCharType="separate"/>
      </w:r>
      <w:bookmarkStart w:id="6" w:name="_ENREF_2_1"/>
      <w:r w:rsidRPr="009E65A9">
        <w:rPr>
          <w:color w:val="0070C0"/>
          <w:sz w:val="22"/>
          <w:szCs w:val="22"/>
        </w:rPr>
        <w:t xml:space="preserve">Anderson, J. L., Halperin, J. L., Albert, N. M., Bozkurt, B., Brindis, R. G., Curtis, L. H., . . . Shen, W. K. (2013). Management of patients with atrial fibrillation (Compilation of 2006 ACCF/AHA/ESC and 2011 ACCF/AHA/HRS recommendations): A report of the American College of Cardiology/American Heart Association Task Force on Practice Guidelines. </w:t>
      </w:r>
      <w:r w:rsidRPr="45CF7C08">
        <w:rPr>
          <w:i/>
          <w:iCs/>
          <w:color w:val="0070C0"/>
          <w:sz w:val="22"/>
          <w:szCs w:val="22"/>
        </w:rPr>
        <w:t>Circulation, 127</w:t>
      </w:r>
      <w:r w:rsidRPr="009E65A9">
        <w:rPr>
          <w:color w:val="0070C0"/>
          <w:sz w:val="22"/>
          <w:szCs w:val="22"/>
        </w:rPr>
        <w:t>, 1916-192</w:t>
      </w:r>
      <w:r w:rsidR="00FA4A37" w:rsidRPr="009E65A9">
        <w:rPr>
          <w:color w:val="0070C0"/>
          <w:sz w:val="22"/>
          <w:szCs w:val="22"/>
        </w:rPr>
        <w:t>6.</w:t>
      </w:r>
      <w:r w:rsidRPr="009E65A9">
        <w:rPr>
          <w:color w:val="0070C0"/>
          <w:sz w:val="22"/>
          <w:szCs w:val="22"/>
        </w:rPr>
        <w:t xml:space="preserve"> </w:t>
      </w:r>
      <w:bookmarkEnd w:id="6"/>
    </w:p>
    <w:p w14:paraId="53776C6F" w14:textId="77777777" w:rsidR="00AB13B6" w:rsidRPr="009E65A9" w:rsidRDefault="00AB13B6" w:rsidP="008642F5">
      <w:pPr>
        <w:jc w:val="both"/>
        <w:rPr>
          <w:color w:val="0070C0"/>
          <w:sz w:val="22"/>
          <w:szCs w:val="22"/>
        </w:rPr>
      </w:pPr>
    </w:p>
    <w:p w14:paraId="240DF204" w14:textId="77777777" w:rsidR="0008100A" w:rsidRPr="009E65A9" w:rsidRDefault="0008100A" w:rsidP="45CF7C08">
      <w:pPr>
        <w:jc w:val="both"/>
        <w:rPr>
          <w:color w:val="0070C0"/>
          <w:sz w:val="22"/>
          <w:szCs w:val="22"/>
        </w:rPr>
      </w:pPr>
      <w:bookmarkStart w:id="7" w:name="_ENREF_2_2"/>
      <w:r w:rsidRPr="009E65A9">
        <w:rPr>
          <w:color w:val="0070C0"/>
          <w:sz w:val="22"/>
          <w:szCs w:val="22"/>
        </w:rPr>
        <w:t>Holbrook, A., Schulman, S., Witt, D. M., Vandvik, P. O., Fish, J., Kovacs, M. J., . . . Guyatt, G. H. (2012). Evidence-based management of anticoagulant therapy: Antithrombotic therapy and prevention of thrombosis, 9</w:t>
      </w:r>
      <w:r w:rsidRPr="009E65A9">
        <w:rPr>
          <w:color w:val="0070C0"/>
          <w:sz w:val="22"/>
          <w:szCs w:val="22"/>
          <w:vertAlign w:val="superscript"/>
        </w:rPr>
        <w:t>th</w:t>
      </w:r>
      <w:r w:rsidRPr="009E65A9">
        <w:rPr>
          <w:color w:val="0070C0"/>
          <w:sz w:val="22"/>
          <w:szCs w:val="22"/>
        </w:rPr>
        <w:t xml:space="preserve"> ed.: American College of Chest Physicians evidence-based clinical practice guidelines. </w:t>
      </w:r>
      <w:r w:rsidRPr="45CF7C08">
        <w:rPr>
          <w:i/>
          <w:iCs/>
          <w:color w:val="0070C0"/>
          <w:sz w:val="22"/>
          <w:szCs w:val="22"/>
        </w:rPr>
        <w:t>Chest, 141</w:t>
      </w:r>
      <w:r w:rsidRPr="009E65A9">
        <w:rPr>
          <w:color w:val="0070C0"/>
          <w:sz w:val="22"/>
          <w:szCs w:val="22"/>
        </w:rPr>
        <w:t xml:space="preserve">(2), e152S-e184S. </w:t>
      </w:r>
      <w:bookmarkEnd w:id="7"/>
    </w:p>
    <w:p w14:paraId="24A69A2A" w14:textId="77777777" w:rsidR="00AB13B6" w:rsidRPr="009E65A9" w:rsidRDefault="00AB13B6" w:rsidP="008642F5">
      <w:pPr>
        <w:jc w:val="both"/>
        <w:rPr>
          <w:color w:val="0070C0"/>
          <w:sz w:val="22"/>
          <w:szCs w:val="22"/>
        </w:rPr>
      </w:pPr>
    </w:p>
    <w:p w14:paraId="0CC73EB7" w14:textId="65FC583A" w:rsidR="009B08ED" w:rsidRPr="009E65A9" w:rsidRDefault="0008100A" w:rsidP="45CF7C08">
      <w:pPr>
        <w:jc w:val="both"/>
        <w:rPr>
          <w:color w:val="0070C0"/>
          <w:sz w:val="22"/>
          <w:szCs w:val="22"/>
        </w:rPr>
      </w:pPr>
      <w:r w:rsidRPr="009E65A9">
        <w:rPr>
          <w:color w:val="0070C0"/>
          <w:sz w:val="22"/>
          <w:szCs w:val="22"/>
        </w:rPr>
        <w:t xml:space="preserve">Rose, A. J., Miller, D. R., Ozonoff, A., Berlowitz, D. R., Ash, A. S., Zhao, S., . . . Hylek, E. M. (2013). Gaps in monitoring during oral anticoagulation: Insights into care transitions, monitoring barriers, and medication nonadherence. </w:t>
      </w:r>
      <w:r w:rsidRPr="45CF7C08">
        <w:rPr>
          <w:i/>
          <w:iCs/>
          <w:color w:val="0070C0"/>
          <w:sz w:val="22"/>
          <w:szCs w:val="22"/>
        </w:rPr>
        <w:t>Chest, 143</w:t>
      </w:r>
      <w:r w:rsidRPr="009E65A9">
        <w:rPr>
          <w:color w:val="0070C0"/>
          <w:sz w:val="22"/>
          <w:szCs w:val="22"/>
        </w:rPr>
        <w:t>(3), 751-757.</w:t>
      </w:r>
    </w:p>
    <w:p w14:paraId="36A08AE0" w14:textId="756AF24C" w:rsidR="00DB68D0" w:rsidRPr="00DB68D0" w:rsidRDefault="00DB68D0" w:rsidP="008642F5">
      <w:pPr>
        <w:jc w:val="both"/>
        <w:rPr>
          <w:b/>
          <w:color w:val="0070C0"/>
          <w:sz w:val="22"/>
          <w:szCs w:val="22"/>
        </w:rPr>
      </w:pPr>
    </w:p>
    <w:p w14:paraId="0FE0AEB5" w14:textId="37D53F48" w:rsidR="009B08ED" w:rsidRPr="00A76201" w:rsidRDefault="0008100A" w:rsidP="45CF7C08">
      <w:pPr>
        <w:ind w:left="432" w:hanging="432"/>
        <w:jc w:val="both"/>
        <w:rPr>
          <w:b/>
          <w:bCs/>
          <w:color w:val="FF0000"/>
          <w:sz w:val="22"/>
          <w:szCs w:val="22"/>
        </w:rPr>
      </w:pPr>
      <w:r w:rsidRPr="45CF7C08">
        <w:fldChar w:fldCharType="end"/>
      </w:r>
      <w:r w:rsidR="00371E21" w:rsidRPr="45CF7C08">
        <w:rPr>
          <w:b/>
          <w:bCs/>
          <w:color w:val="FF0000"/>
          <w:sz w:val="22"/>
          <w:szCs w:val="22"/>
        </w:rPr>
        <w:t>Updated Evidence:</w:t>
      </w:r>
    </w:p>
    <w:p w14:paraId="3730A69B" w14:textId="48FD6713" w:rsidR="008F6CCB" w:rsidRDefault="45CF7C08" w:rsidP="45CF7C08">
      <w:pPr>
        <w:rPr>
          <w:color w:val="FF0000"/>
          <w:sz w:val="22"/>
          <w:szCs w:val="22"/>
        </w:rPr>
      </w:pPr>
      <w:r w:rsidRPr="45CF7C08">
        <w:rPr>
          <w:color w:val="FF0000"/>
          <w:sz w:val="22"/>
          <w:szCs w:val="22"/>
        </w:rPr>
        <w:t xml:space="preserve">The primary indications for warfarin are prophylaxis and treatment of venous thromboembolism (VTE) and thromboembolic complications associated with atrial </w:t>
      </w:r>
      <w:proofErr w:type="gramStart"/>
      <w:r w:rsidRPr="45CF7C08">
        <w:rPr>
          <w:color w:val="FF0000"/>
          <w:sz w:val="22"/>
          <w:szCs w:val="22"/>
        </w:rPr>
        <w:t>fibrillation.[</w:t>
      </w:r>
      <w:proofErr w:type="gramEnd"/>
      <w:r w:rsidRPr="45CF7C08">
        <w:rPr>
          <w:color w:val="FF0000"/>
          <w:sz w:val="22"/>
          <w:szCs w:val="22"/>
        </w:rPr>
        <w:t xml:space="preserve">1] Clinical practice guidelines recommend regular INR monitoring for patients taking warfarin. The 2012 clinical practice guideline from the American College of Chest Physicians (CHEST) suggests an INR testing interval of up to 12 weeks for patients with consistently stable INRs.[2] For patients with previously stable therapeutic INRs who present with a single out-of-range INR of less than or equal to 0.5 below or above therapeutic, the CHEST guideline suggests continuing the current dose and testing the INR within 1 to 2 weeks. In the 2014 guideline from the American College of Cardiology/American Heart Association Task Force for the management of patients with atrial fibrillation, patients are recommended to have INR testing at least monthly when anticoagulation is </w:t>
      </w:r>
      <w:proofErr w:type="gramStart"/>
      <w:r w:rsidRPr="45CF7C08">
        <w:rPr>
          <w:color w:val="FF0000"/>
          <w:sz w:val="22"/>
          <w:szCs w:val="22"/>
        </w:rPr>
        <w:t>stable.[</w:t>
      </w:r>
      <w:proofErr w:type="gramEnd"/>
      <w:r w:rsidRPr="45CF7C08">
        <w:rPr>
          <w:color w:val="FF0000"/>
          <w:sz w:val="22"/>
          <w:szCs w:val="22"/>
        </w:rPr>
        <w:t xml:space="preserve">3] </w:t>
      </w:r>
    </w:p>
    <w:p w14:paraId="2BB8239C" w14:textId="77777777" w:rsidR="008F6CCB" w:rsidRDefault="008F6CCB" w:rsidP="008058CB">
      <w:pPr>
        <w:rPr>
          <w:color w:val="FF0000"/>
          <w:sz w:val="22"/>
          <w:szCs w:val="22"/>
        </w:rPr>
      </w:pPr>
    </w:p>
    <w:p w14:paraId="55C2D663" w14:textId="5308398F" w:rsidR="00DA05AF" w:rsidRDefault="45CF7C08" w:rsidP="45CF7C08">
      <w:pPr>
        <w:rPr>
          <w:color w:val="FF0000"/>
          <w:sz w:val="22"/>
          <w:szCs w:val="22"/>
        </w:rPr>
      </w:pPr>
      <w:r w:rsidRPr="45CF7C08">
        <w:rPr>
          <w:color w:val="FF0000"/>
          <w:sz w:val="22"/>
          <w:szCs w:val="22"/>
        </w:rPr>
        <w:t>Although the guidelines all note that regular INR monitoring is required, the recommended interval for monitoring varies. The CHEST guideline specifically states that “the appropriate length of the recall interval depends on the duration of prior stability and foreseeable future changes in medications or disorders that affect the INR</w:t>
      </w:r>
      <w:proofErr w:type="gramStart"/>
      <w:r w:rsidRPr="45CF7C08">
        <w:rPr>
          <w:color w:val="FF0000"/>
          <w:sz w:val="22"/>
          <w:szCs w:val="22"/>
        </w:rPr>
        <w:t>.”[</w:t>
      </w:r>
      <w:proofErr w:type="gramEnd"/>
      <w:r w:rsidRPr="45CF7C08">
        <w:rPr>
          <w:color w:val="FF0000"/>
          <w:sz w:val="22"/>
          <w:szCs w:val="22"/>
        </w:rPr>
        <w:t xml:space="preserve">2] Studies have shown that maintaining INR stability is challenging. One study found that among patients who reached time in therapeutic range (TTR) ≥ 80% during the first six months, only 42% maintained TTR ≥ 80% during the subsequent 12 months.[4] Another study based on a Canadian cohort noted similar results in examining patients who achieved a TTR &gt; 65% in the first six months of warfarin therapy; only about half remained on warfarin and continued to have good control (TTR &gt; 65%) for months 7 to 12.[5]  Given the difficulty in maintaining optimal TTR, the majority of patients taking warfarin are not likely suitable candidates for extended 12-week INR monitoring. Therefore, this measure continues to adopt a conservative approach to INR monitoring of individuals on warfarin by using a 56-day interval (i.e., one INR testing at least every 8 weeks). </w:t>
      </w:r>
    </w:p>
    <w:p w14:paraId="0BF88BA5" w14:textId="77777777" w:rsidR="00DA05AF" w:rsidRDefault="00DA05AF" w:rsidP="00DA05AF">
      <w:pPr>
        <w:rPr>
          <w:color w:val="FF0000"/>
          <w:sz w:val="22"/>
          <w:szCs w:val="22"/>
        </w:rPr>
      </w:pPr>
    </w:p>
    <w:p w14:paraId="21D18E81" w14:textId="1FBD4DDA" w:rsidR="005747A8" w:rsidRDefault="45CF7C08" w:rsidP="45CF7C08">
      <w:pPr>
        <w:rPr>
          <w:color w:val="FF0000"/>
          <w:sz w:val="22"/>
          <w:szCs w:val="22"/>
        </w:rPr>
      </w:pPr>
      <w:r w:rsidRPr="45CF7C08">
        <w:rPr>
          <w:color w:val="FF0000"/>
          <w:sz w:val="22"/>
          <w:szCs w:val="22"/>
        </w:rPr>
        <w:t>The 56-day interval is chosen based on evidence linking to INR control without the burden of excessive testing placed on providers and patients. A large study conducted with 56,490 patients in the Veterans Health Administration (VA) demonstrated a link between gaps in the INR monitoring interval of greater than 56 days and a decrease in TTR. At the patient level, TTR for patients with ≥2 gaps per year was 10 percentage points lower than patients without gaps. At the facility-level, for each gap per patient-year, there was an associated 9.2 percentage point decrease in the facility-level TTR (p&lt;0.001</w:t>
      </w:r>
      <w:proofErr w:type="gramStart"/>
      <w:r w:rsidRPr="45CF7C08">
        <w:rPr>
          <w:color w:val="FF0000"/>
          <w:sz w:val="22"/>
          <w:szCs w:val="22"/>
        </w:rPr>
        <w:t>).[</w:t>
      </w:r>
      <w:proofErr w:type="gramEnd"/>
      <w:r w:rsidRPr="45CF7C08">
        <w:rPr>
          <w:color w:val="FF0000"/>
          <w:sz w:val="22"/>
          <w:szCs w:val="22"/>
        </w:rPr>
        <w:t>6] The monitoring interval of 6 to 8 weeks has also been demonstrated to provide similar INR control as the 4-week interval. A study of 890 patients from six anticoagulant clinics found that the proportion of out-of-range INR results is comparable between patients with and without extended interval monitoring (27.3% vs. 28.4%, p=0.46). The same observation was noted for the extreme out-of-range INR (≤ 1.5 or ≥ 4.0), which was 6.4% vs. 7.7% (p=0.11</w:t>
      </w:r>
      <w:proofErr w:type="gramStart"/>
      <w:r w:rsidRPr="45CF7C08">
        <w:rPr>
          <w:color w:val="FF0000"/>
          <w:sz w:val="22"/>
          <w:szCs w:val="22"/>
        </w:rPr>
        <w:t>).[</w:t>
      </w:r>
      <w:proofErr w:type="gramEnd"/>
      <w:r w:rsidRPr="45CF7C08">
        <w:rPr>
          <w:color w:val="FF0000"/>
          <w:sz w:val="22"/>
          <w:szCs w:val="22"/>
        </w:rPr>
        <w:t xml:space="preserve">7] .  </w:t>
      </w:r>
    </w:p>
    <w:p w14:paraId="6CD82598" w14:textId="77777777" w:rsidR="005747A8" w:rsidRDefault="005747A8" w:rsidP="008058CB">
      <w:pPr>
        <w:rPr>
          <w:color w:val="FF0000"/>
          <w:sz w:val="22"/>
          <w:szCs w:val="22"/>
        </w:rPr>
      </w:pPr>
    </w:p>
    <w:p w14:paraId="74C2CFB4" w14:textId="29863441" w:rsidR="000D2006" w:rsidRDefault="45CF7C08" w:rsidP="45CF7C08">
      <w:pPr>
        <w:rPr>
          <w:color w:val="FF0000"/>
          <w:sz w:val="22"/>
          <w:szCs w:val="22"/>
        </w:rPr>
      </w:pPr>
      <w:r w:rsidRPr="45CF7C08">
        <w:rPr>
          <w:color w:val="FF0000"/>
          <w:sz w:val="22"/>
          <w:szCs w:val="22"/>
        </w:rPr>
        <w:lastRenderedPageBreak/>
        <w:t>The linkage between the 56-day monitoring interval and INR control is important because INR variability and TTR are associated with clinical outcomes and healthcare resource utilization. A recent study of 127,385 US veterans provides support for this process-outcome linkage: “Patients with TTR &lt;65% had a higher risk for any stroke/SE [systemic embolism] (HR: 1.57; 95% CI: 1.41–1.75), major bleeding (HR: 2.78; 95% CI: 2.55–3.03) and all-cause mortality (HR: 1.73; 95% CI: 1.67–1.79).”[8] These findings are similar to another study that found that INR variability was shown to be a predictor of mortality and TTR was correlated with patient survival time.[9,10] Lastly, significantly higher stroke-related healthcare costs[11] and total healthcare costs were associated with patients with low TTR (&lt;60%) than those with high TTR.[11,12]</w:t>
      </w:r>
    </w:p>
    <w:p w14:paraId="0C87B167" w14:textId="77777777" w:rsidR="000D2006" w:rsidRDefault="000D2006" w:rsidP="008058CB">
      <w:pPr>
        <w:rPr>
          <w:color w:val="FF0000"/>
          <w:sz w:val="22"/>
          <w:szCs w:val="22"/>
        </w:rPr>
      </w:pPr>
    </w:p>
    <w:p w14:paraId="35BF2EB2" w14:textId="3E6FF054" w:rsidR="008058CB" w:rsidRPr="00DD5FEC" w:rsidRDefault="45CF7C08" w:rsidP="45CF7C08">
      <w:pPr>
        <w:rPr>
          <w:color w:val="FF0000"/>
          <w:sz w:val="22"/>
          <w:szCs w:val="22"/>
        </w:rPr>
      </w:pPr>
      <w:r w:rsidRPr="45CF7C08">
        <w:rPr>
          <w:color w:val="FF0000"/>
          <w:sz w:val="22"/>
          <w:szCs w:val="22"/>
        </w:rPr>
        <w:t xml:space="preserve">Given the variation in INR monitoring interval recommendations and the evidence suggesting room for improvement in anticoagulation management, this measure supports anticoagulation management through INR monitoring by specifying an evidenced-based interval of 56 days (8 weeks). </w:t>
      </w:r>
    </w:p>
    <w:p w14:paraId="7114DCBD" w14:textId="77777777" w:rsidR="008058CB" w:rsidRDefault="008058CB" w:rsidP="00323F36">
      <w:pPr>
        <w:rPr>
          <w:color w:val="FF0000"/>
          <w:sz w:val="22"/>
          <w:szCs w:val="22"/>
        </w:rPr>
      </w:pPr>
    </w:p>
    <w:p w14:paraId="74A90F3A" w14:textId="77777777" w:rsidR="0021261F" w:rsidRPr="0021261F" w:rsidRDefault="0021261F" w:rsidP="45CF7C08">
      <w:pPr>
        <w:jc w:val="both"/>
        <w:rPr>
          <w:color w:val="FF0000"/>
          <w:sz w:val="22"/>
          <w:szCs w:val="22"/>
          <w:u w:val="single"/>
        </w:rPr>
      </w:pPr>
      <w:r w:rsidRPr="0021261F">
        <w:rPr>
          <w:color w:val="FF0000"/>
          <w:sz w:val="22"/>
          <w:szCs w:val="22"/>
          <w:u w:val="single"/>
        </w:rPr>
        <w:t xml:space="preserve">Links of Process </w:t>
      </w:r>
      <w:r w:rsidRPr="0021261F">
        <w:rPr>
          <w:color w:val="FF0000"/>
          <w:sz w:val="22"/>
          <w:szCs w:val="22"/>
          <w:u w:val="single"/>
        </w:rPr>
        <w:sym w:font="Wingdings" w:char="F0E0"/>
      </w:r>
      <w:r w:rsidRPr="0021261F">
        <w:rPr>
          <w:color w:val="FF0000"/>
          <w:sz w:val="22"/>
          <w:szCs w:val="22"/>
          <w:u w:val="single"/>
        </w:rPr>
        <w:t xml:space="preserve"> Health Outcome</w:t>
      </w:r>
    </w:p>
    <w:p w14:paraId="14BA0E3F" w14:textId="77777777" w:rsidR="0021261F" w:rsidRPr="0021261F" w:rsidRDefault="0021261F" w:rsidP="45CF7C08">
      <w:pPr>
        <w:jc w:val="both"/>
        <w:rPr>
          <w:color w:val="FF0000"/>
          <w:sz w:val="22"/>
          <w:szCs w:val="22"/>
        </w:rPr>
      </w:pPr>
      <w:r w:rsidRPr="0021261F">
        <w:rPr>
          <w:color w:val="FF0000"/>
          <w:sz w:val="22"/>
          <w:szCs w:val="22"/>
        </w:rPr>
        <w:t>Regular monitoring of patients on warfarin with the International Normalized Ratio (INR) test</w:t>
      </w:r>
      <w:r w:rsidRPr="0021261F" w:rsidDel="008733AD">
        <w:rPr>
          <w:color w:val="FF0000"/>
          <w:sz w:val="22"/>
          <w:szCs w:val="22"/>
        </w:rPr>
        <w:t xml:space="preserve"> </w:t>
      </w:r>
      <w:r w:rsidRPr="0021261F">
        <w:rPr>
          <w:color w:val="FF0000"/>
          <w:sz w:val="22"/>
          <w:szCs w:val="22"/>
        </w:rPr>
        <w:sym w:font="Wingdings" w:char="F0E0"/>
      </w:r>
      <w:r w:rsidRPr="0021261F">
        <w:rPr>
          <w:color w:val="FF0000"/>
          <w:sz w:val="22"/>
          <w:szCs w:val="22"/>
        </w:rPr>
        <w:t xml:space="preserve"> More time within the therapeutic range of warfarin </w:t>
      </w:r>
      <w:r w:rsidRPr="0021261F">
        <w:rPr>
          <w:color w:val="FF0000"/>
          <w:sz w:val="22"/>
          <w:szCs w:val="22"/>
        </w:rPr>
        <w:sym w:font="Wingdings" w:char="F0E0"/>
      </w:r>
      <w:r w:rsidRPr="0021261F">
        <w:rPr>
          <w:color w:val="FF0000"/>
          <w:sz w:val="22"/>
          <w:szCs w:val="22"/>
        </w:rPr>
        <w:t xml:space="preserve"> Fewer bleeding and thromboembolic events </w:t>
      </w:r>
      <w:r w:rsidRPr="0021261F">
        <w:rPr>
          <w:color w:val="FF0000"/>
          <w:sz w:val="22"/>
          <w:szCs w:val="22"/>
        </w:rPr>
        <w:sym w:font="Wingdings" w:char="F0E0"/>
      </w:r>
      <w:r w:rsidRPr="0021261F">
        <w:rPr>
          <w:color w:val="FF0000"/>
          <w:sz w:val="22"/>
          <w:szCs w:val="22"/>
        </w:rPr>
        <w:t xml:space="preserve"> Lower hospitalization rates and lower mortality rates </w:t>
      </w:r>
    </w:p>
    <w:p w14:paraId="1AEFCD1B" w14:textId="77777777" w:rsidR="000063CA" w:rsidRPr="00A76201" w:rsidRDefault="000063CA" w:rsidP="004971C2">
      <w:pPr>
        <w:jc w:val="both"/>
        <w:rPr>
          <w:color w:val="FF0000"/>
          <w:sz w:val="22"/>
          <w:szCs w:val="22"/>
        </w:rPr>
      </w:pPr>
    </w:p>
    <w:p w14:paraId="15748F1D" w14:textId="6E8D39A4" w:rsidR="00371E21" w:rsidRPr="00A76201" w:rsidRDefault="45CF7C08" w:rsidP="45CF7C08">
      <w:pPr>
        <w:ind w:left="432" w:hanging="432"/>
        <w:jc w:val="both"/>
        <w:rPr>
          <w:color w:val="FF0000"/>
          <w:sz w:val="22"/>
          <w:szCs w:val="22"/>
        </w:rPr>
      </w:pPr>
      <w:r w:rsidRPr="45CF7C08">
        <w:rPr>
          <w:color w:val="FF0000"/>
          <w:sz w:val="22"/>
          <w:szCs w:val="22"/>
        </w:rPr>
        <w:t>Citations:</w:t>
      </w:r>
    </w:p>
    <w:p w14:paraId="77184F79" w14:textId="755E9627" w:rsidR="00A662E4" w:rsidRDefault="45CF7C08" w:rsidP="45CF7C08">
      <w:pPr>
        <w:pStyle w:val="ListParagraph"/>
        <w:numPr>
          <w:ilvl w:val="0"/>
          <w:numId w:val="23"/>
        </w:numPr>
        <w:jc w:val="both"/>
        <w:rPr>
          <w:rFonts w:ascii="Times New Roman" w:hAnsi="Times New Roman" w:cs="Times New Roman"/>
          <w:color w:val="FF0000"/>
        </w:rPr>
      </w:pPr>
      <w:r w:rsidRPr="45CF7C08">
        <w:rPr>
          <w:rFonts w:ascii="Times New Roman" w:hAnsi="Times New Roman" w:cs="Times New Roman"/>
          <w:color w:val="FF0000"/>
        </w:rPr>
        <w:t xml:space="preserve">Coumadin US Full Prescribing Information. Bristol-Myers Squibb. https://packageinserts.bms.com/pi/pi_coumadin.pdf Accessed August 22, 2018. </w:t>
      </w:r>
    </w:p>
    <w:p w14:paraId="7E99F93E" w14:textId="0C912B33" w:rsidR="000F2DA6" w:rsidRPr="00A76201" w:rsidRDefault="45CF7C08" w:rsidP="45CF7C08">
      <w:pPr>
        <w:pStyle w:val="ListParagraph"/>
        <w:numPr>
          <w:ilvl w:val="0"/>
          <w:numId w:val="23"/>
        </w:numPr>
        <w:jc w:val="both"/>
        <w:rPr>
          <w:rFonts w:ascii="Times New Roman" w:hAnsi="Times New Roman" w:cs="Times New Roman"/>
          <w:color w:val="FF0000"/>
        </w:rPr>
      </w:pPr>
      <w:r w:rsidRPr="45CF7C08">
        <w:rPr>
          <w:rFonts w:ascii="Times New Roman" w:hAnsi="Times New Roman" w:cs="Times New Roman"/>
          <w:color w:val="FF0000"/>
        </w:rPr>
        <w:t xml:space="preserve">Holbrook, A., Schulman, S., Witt, D. M., </w:t>
      </w:r>
      <w:proofErr w:type="spellStart"/>
      <w:r w:rsidRPr="45CF7C08">
        <w:rPr>
          <w:rFonts w:ascii="Times New Roman" w:hAnsi="Times New Roman" w:cs="Times New Roman"/>
          <w:color w:val="FF0000"/>
        </w:rPr>
        <w:t>Vandvik</w:t>
      </w:r>
      <w:proofErr w:type="spellEnd"/>
      <w:r w:rsidRPr="45CF7C08">
        <w:rPr>
          <w:rFonts w:ascii="Times New Roman" w:hAnsi="Times New Roman" w:cs="Times New Roman"/>
          <w:color w:val="FF0000"/>
        </w:rPr>
        <w:t xml:space="preserve">, P. O., Fish, J., Kovacs, M. J., </w:t>
      </w:r>
      <w:proofErr w:type="spellStart"/>
      <w:r w:rsidRPr="45CF7C08">
        <w:rPr>
          <w:rFonts w:ascii="Times New Roman" w:hAnsi="Times New Roman" w:cs="Times New Roman"/>
          <w:color w:val="FF0000"/>
        </w:rPr>
        <w:t>Guyatt</w:t>
      </w:r>
      <w:proofErr w:type="spellEnd"/>
      <w:r w:rsidRPr="45CF7C08">
        <w:rPr>
          <w:rFonts w:ascii="Times New Roman" w:hAnsi="Times New Roman" w:cs="Times New Roman"/>
          <w:color w:val="FF0000"/>
        </w:rPr>
        <w:t>, G. H. (2012). Evidence-based management of anticoagulant therapy: Antithrombotic therapy and prevention of thrombosis, 9</w:t>
      </w:r>
      <w:r w:rsidRPr="45CF7C08">
        <w:rPr>
          <w:rFonts w:ascii="Times New Roman" w:hAnsi="Times New Roman" w:cs="Times New Roman"/>
          <w:color w:val="FF0000"/>
          <w:vertAlign w:val="superscript"/>
        </w:rPr>
        <w:t>th</w:t>
      </w:r>
      <w:r w:rsidRPr="45CF7C08">
        <w:rPr>
          <w:rFonts w:ascii="Times New Roman" w:hAnsi="Times New Roman" w:cs="Times New Roman"/>
          <w:color w:val="FF0000"/>
        </w:rPr>
        <w:t xml:space="preserve"> ed.: American College of Chest Physicians evidence-based clinical practice guidelines. </w:t>
      </w:r>
      <w:r w:rsidRPr="45CF7C08">
        <w:rPr>
          <w:rFonts w:ascii="Times New Roman" w:hAnsi="Times New Roman" w:cs="Times New Roman"/>
          <w:i/>
          <w:iCs/>
          <w:color w:val="FF0000"/>
        </w:rPr>
        <w:t>Chest, 141</w:t>
      </w:r>
      <w:r w:rsidRPr="45CF7C08">
        <w:rPr>
          <w:rFonts w:ascii="Times New Roman" w:hAnsi="Times New Roman" w:cs="Times New Roman"/>
          <w:color w:val="FF0000"/>
        </w:rPr>
        <w:t>(2), e152S-e184S.</w:t>
      </w:r>
    </w:p>
    <w:p w14:paraId="07DD061A" w14:textId="77777777" w:rsidR="00171FE5" w:rsidRPr="00A76201" w:rsidRDefault="45CF7C08" w:rsidP="45CF7C08">
      <w:pPr>
        <w:pStyle w:val="ListParagraph"/>
        <w:numPr>
          <w:ilvl w:val="0"/>
          <w:numId w:val="23"/>
        </w:numPr>
        <w:jc w:val="both"/>
        <w:rPr>
          <w:rFonts w:ascii="Times New Roman" w:hAnsi="Times New Roman" w:cs="Times New Roman"/>
          <w:color w:val="FF0000"/>
        </w:rPr>
      </w:pPr>
      <w:r w:rsidRPr="45CF7C08">
        <w:rPr>
          <w:rFonts w:ascii="Times New Roman" w:hAnsi="Times New Roman" w:cs="Times New Roman"/>
          <w:color w:val="FF0000"/>
        </w:rPr>
        <w:t xml:space="preserve">January CT, </w:t>
      </w:r>
      <w:proofErr w:type="spellStart"/>
      <w:r w:rsidRPr="45CF7C08">
        <w:rPr>
          <w:rFonts w:ascii="Times New Roman" w:hAnsi="Times New Roman" w:cs="Times New Roman"/>
          <w:color w:val="FF0000"/>
        </w:rPr>
        <w:t>Wann</w:t>
      </w:r>
      <w:proofErr w:type="spellEnd"/>
      <w:r w:rsidRPr="45CF7C08">
        <w:rPr>
          <w:rFonts w:ascii="Times New Roman" w:hAnsi="Times New Roman" w:cs="Times New Roman"/>
          <w:color w:val="FF0000"/>
        </w:rPr>
        <w:t xml:space="preserve"> LS, Alpert JS, et al. 2014 AHA/ACC/HRS guideline for the management of patients with atrial fibrillation: a report of the American College of Cardiology/American Heart Association Task Force on Practice Guidelines and the Heart Rhythm Society. </w:t>
      </w:r>
      <w:r w:rsidRPr="45CF7C08">
        <w:rPr>
          <w:rFonts w:ascii="Times New Roman" w:hAnsi="Times New Roman" w:cs="Times New Roman"/>
          <w:i/>
          <w:iCs/>
          <w:color w:val="FF0000"/>
        </w:rPr>
        <w:t xml:space="preserve">Journal of the American College of Cardiology. </w:t>
      </w:r>
      <w:r w:rsidRPr="45CF7C08">
        <w:rPr>
          <w:rFonts w:ascii="Times New Roman" w:hAnsi="Times New Roman" w:cs="Times New Roman"/>
          <w:color w:val="FF0000"/>
        </w:rPr>
        <w:t>2014;64(21</w:t>
      </w:r>
      <w:proofErr w:type="gramStart"/>
      <w:r w:rsidRPr="45CF7C08">
        <w:rPr>
          <w:rFonts w:ascii="Times New Roman" w:hAnsi="Times New Roman" w:cs="Times New Roman"/>
          <w:color w:val="FF0000"/>
        </w:rPr>
        <w:t>):e</w:t>
      </w:r>
      <w:proofErr w:type="gramEnd"/>
      <w:r w:rsidRPr="45CF7C08">
        <w:rPr>
          <w:rFonts w:ascii="Times New Roman" w:hAnsi="Times New Roman" w:cs="Times New Roman"/>
          <w:color w:val="FF0000"/>
        </w:rPr>
        <w:t xml:space="preserve">1-76.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10.1016/j.jacc.2014.03.022.</w:t>
      </w:r>
    </w:p>
    <w:p w14:paraId="7AE58B7B" w14:textId="30431888" w:rsidR="00A662E4" w:rsidRDefault="45CF7C08" w:rsidP="45CF7C08">
      <w:pPr>
        <w:pStyle w:val="ListParagraph"/>
        <w:numPr>
          <w:ilvl w:val="0"/>
          <w:numId w:val="23"/>
        </w:numPr>
        <w:jc w:val="both"/>
        <w:rPr>
          <w:rFonts w:ascii="Times New Roman" w:hAnsi="Times New Roman" w:cs="Times New Roman"/>
          <w:color w:val="FF0000"/>
        </w:rPr>
      </w:pPr>
      <w:proofErr w:type="spellStart"/>
      <w:r w:rsidRPr="45CF7C08">
        <w:rPr>
          <w:rFonts w:ascii="Times New Roman" w:hAnsi="Times New Roman" w:cs="Times New Roman"/>
          <w:color w:val="FF0000"/>
        </w:rPr>
        <w:t>Pokorney</w:t>
      </w:r>
      <w:proofErr w:type="spellEnd"/>
      <w:r w:rsidRPr="45CF7C08">
        <w:rPr>
          <w:rFonts w:ascii="Times New Roman" w:hAnsi="Times New Roman" w:cs="Times New Roman"/>
          <w:color w:val="FF0000"/>
        </w:rPr>
        <w:t xml:space="preserve"> SD, Simon DN, Thomas L, et al. Stability of International Normalized Ratios in Patients Taking Long-term Warfarin Therapy. </w:t>
      </w:r>
      <w:r w:rsidRPr="45CF7C08">
        <w:rPr>
          <w:rFonts w:ascii="Times New Roman" w:hAnsi="Times New Roman" w:cs="Times New Roman"/>
          <w:i/>
          <w:iCs/>
          <w:color w:val="FF0000"/>
        </w:rPr>
        <w:t xml:space="preserve">JAMA. </w:t>
      </w:r>
      <w:r w:rsidRPr="45CF7C08">
        <w:rPr>
          <w:rFonts w:ascii="Times New Roman" w:hAnsi="Times New Roman" w:cs="Times New Roman"/>
          <w:color w:val="FF0000"/>
        </w:rPr>
        <w:t xml:space="preserve">2016;316(6):661-663.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10.1001/jama.</w:t>
      </w:r>
      <w:proofErr w:type="gramStart"/>
      <w:r w:rsidRPr="45CF7C08">
        <w:rPr>
          <w:rFonts w:ascii="Times New Roman" w:hAnsi="Times New Roman" w:cs="Times New Roman"/>
          <w:color w:val="FF0000"/>
        </w:rPr>
        <w:t>2016.9356..</w:t>
      </w:r>
      <w:proofErr w:type="gramEnd"/>
    </w:p>
    <w:p w14:paraId="4B342A4C" w14:textId="647C5FAF" w:rsidR="00A662E4" w:rsidRDefault="45CF7C08" w:rsidP="45CF7C08">
      <w:pPr>
        <w:pStyle w:val="ListParagraph"/>
        <w:numPr>
          <w:ilvl w:val="0"/>
          <w:numId w:val="23"/>
        </w:numPr>
        <w:jc w:val="both"/>
        <w:rPr>
          <w:rFonts w:ascii="Times New Roman" w:hAnsi="Times New Roman" w:cs="Times New Roman"/>
          <w:color w:val="FF0000"/>
        </w:rPr>
      </w:pPr>
      <w:r w:rsidRPr="45CF7C08">
        <w:rPr>
          <w:rFonts w:ascii="Times New Roman" w:hAnsi="Times New Roman" w:cs="Times New Roman"/>
          <w:color w:val="FF0000"/>
        </w:rPr>
        <w:t xml:space="preserve">McAlister FA, Wiebe N, </w:t>
      </w:r>
      <w:proofErr w:type="spellStart"/>
      <w:r w:rsidRPr="45CF7C08">
        <w:rPr>
          <w:rFonts w:ascii="Times New Roman" w:hAnsi="Times New Roman" w:cs="Times New Roman"/>
          <w:color w:val="FF0000"/>
        </w:rPr>
        <w:t>Hemmelgarn</w:t>
      </w:r>
      <w:proofErr w:type="spellEnd"/>
      <w:r w:rsidRPr="45CF7C08">
        <w:rPr>
          <w:rFonts w:ascii="Times New Roman" w:hAnsi="Times New Roman" w:cs="Times New Roman"/>
          <w:color w:val="FF0000"/>
        </w:rPr>
        <w:t xml:space="preserve"> BR. Time in therapeutic range and stability over time for warfarin users in clinical practice: a retrospective cohort study using linked routinely collected health data in Alberta, Canada. </w:t>
      </w:r>
      <w:r w:rsidRPr="45CF7C08">
        <w:rPr>
          <w:rFonts w:ascii="Times New Roman" w:hAnsi="Times New Roman" w:cs="Times New Roman"/>
          <w:i/>
          <w:iCs/>
          <w:color w:val="FF0000"/>
        </w:rPr>
        <w:t xml:space="preserve">BMJ Open. </w:t>
      </w:r>
      <w:r w:rsidRPr="45CF7C08">
        <w:rPr>
          <w:rFonts w:ascii="Times New Roman" w:hAnsi="Times New Roman" w:cs="Times New Roman"/>
          <w:color w:val="FF0000"/>
        </w:rPr>
        <w:t>2018;8(1</w:t>
      </w:r>
      <w:proofErr w:type="gramStart"/>
      <w:r w:rsidRPr="45CF7C08">
        <w:rPr>
          <w:rFonts w:ascii="Times New Roman" w:hAnsi="Times New Roman" w:cs="Times New Roman"/>
          <w:color w:val="FF0000"/>
        </w:rPr>
        <w:t>):e</w:t>
      </w:r>
      <w:proofErr w:type="gramEnd"/>
      <w:r w:rsidRPr="45CF7C08">
        <w:rPr>
          <w:rFonts w:ascii="Times New Roman" w:hAnsi="Times New Roman" w:cs="Times New Roman"/>
          <w:color w:val="FF0000"/>
        </w:rPr>
        <w:t xml:space="preserve">016980.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10.1136/bmjopen-2017-016980.</w:t>
      </w:r>
    </w:p>
    <w:p w14:paraId="71728AA0" w14:textId="208A468F" w:rsidR="00A662E4" w:rsidRDefault="45CF7C08" w:rsidP="45CF7C08">
      <w:pPr>
        <w:pStyle w:val="ListParagraph"/>
        <w:numPr>
          <w:ilvl w:val="0"/>
          <w:numId w:val="23"/>
        </w:numPr>
        <w:jc w:val="both"/>
        <w:rPr>
          <w:rFonts w:ascii="Times New Roman" w:hAnsi="Times New Roman" w:cs="Times New Roman"/>
          <w:color w:val="FF0000"/>
        </w:rPr>
      </w:pPr>
      <w:r w:rsidRPr="45CF7C08">
        <w:rPr>
          <w:rFonts w:ascii="Times New Roman" w:hAnsi="Times New Roman" w:cs="Times New Roman"/>
          <w:color w:val="FF0000"/>
        </w:rPr>
        <w:t xml:space="preserve">Rose AJ, Miller DR, </w:t>
      </w:r>
      <w:proofErr w:type="spellStart"/>
      <w:r w:rsidRPr="45CF7C08">
        <w:rPr>
          <w:rFonts w:ascii="Times New Roman" w:hAnsi="Times New Roman" w:cs="Times New Roman"/>
          <w:color w:val="FF0000"/>
        </w:rPr>
        <w:t>Ozonoff</w:t>
      </w:r>
      <w:proofErr w:type="spellEnd"/>
      <w:r w:rsidRPr="45CF7C08">
        <w:rPr>
          <w:rFonts w:ascii="Times New Roman" w:hAnsi="Times New Roman" w:cs="Times New Roman"/>
          <w:color w:val="FF0000"/>
        </w:rPr>
        <w:t xml:space="preserve"> A, et al. Gaps in monitoring during oral anticoagulation: insights into care transitions, monitoring barriers, and medication nonadherence. </w:t>
      </w:r>
      <w:r w:rsidRPr="45CF7C08">
        <w:rPr>
          <w:rFonts w:ascii="Times New Roman" w:hAnsi="Times New Roman" w:cs="Times New Roman"/>
          <w:i/>
          <w:iCs/>
          <w:color w:val="FF0000"/>
        </w:rPr>
        <w:t xml:space="preserve">Chest. </w:t>
      </w:r>
      <w:r w:rsidRPr="45CF7C08">
        <w:rPr>
          <w:rFonts w:ascii="Times New Roman" w:hAnsi="Times New Roman" w:cs="Times New Roman"/>
          <w:color w:val="FF0000"/>
        </w:rPr>
        <w:t xml:space="preserve">2013;143(3):751-757.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10.1378/chest.12-1119.</w:t>
      </w:r>
    </w:p>
    <w:p w14:paraId="0E57AA20" w14:textId="19FEED82" w:rsidR="00A662E4" w:rsidRDefault="45CF7C08" w:rsidP="45CF7C08">
      <w:pPr>
        <w:pStyle w:val="ListParagraph"/>
        <w:numPr>
          <w:ilvl w:val="0"/>
          <w:numId w:val="23"/>
        </w:numPr>
        <w:jc w:val="both"/>
        <w:rPr>
          <w:rFonts w:ascii="Times New Roman" w:hAnsi="Times New Roman" w:cs="Times New Roman"/>
          <w:color w:val="FF0000"/>
        </w:rPr>
      </w:pPr>
      <w:r w:rsidRPr="45CF7C08">
        <w:rPr>
          <w:rFonts w:ascii="Times New Roman" w:hAnsi="Times New Roman" w:cs="Times New Roman"/>
          <w:color w:val="FF0000"/>
        </w:rPr>
        <w:t xml:space="preserve">Barnes GD, Kong X, Cole D, et al. Extended International Normalized Ratio testing intervals for warfarin-treated patients. </w:t>
      </w:r>
      <w:r w:rsidRPr="45CF7C08">
        <w:rPr>
          <w:rFonts w:ascii="Times New Roman" w:hAnsi="Times New Roman" w:cs="Times New Roman"/>
          <w:i/>
          <w:iCs/>
          <w:color w:val="FF0000"/>
        </w:rPr>
        <w:t xml:space="preserve">J </w:t>
      </w:r>
      <w:proofErr w:type="spellStart"/>
      <w:r w:rsidRPr="45CF7C08">
        <w:rPr>
          <w:rFonts w:ascii="Times New Roman" w:hAnsi="Times New Roman" w:cs="Times New Roman"/>
          <w:i/>
          <w:iCs/>
          <w:color w:val="FF0000"/>
        </w:rPr>
        <w:t>Thromb</w:t>
      </w:r>
      <w:proofErr w:type="spellEnd"/>
      <w:r w:rsidRPr="45CF7C08">
        <w:rPr>
          <w:rFonts w:ascii="Times New Roman" w:hAnsi="Times New Roman" w:cs="Times New Roman"/>
          <w:i/>
          <w:iCs/>
          <w:color w:val="FF0000"/>
        </w:rPr>
        <w:t xml:space="preserve"> </w:t>
      </w:r>
      <w:proofErr w:type="spellStart"/>
      <w:r w:rsidRPr="45CF7C08">
        <w:rPr>
          <w:rFonts w:ascii="Times New Roman" w:hAnsi="Times New Roman" w:cs="Times New Roman"/>
          <w:i/>
          <w:iCs/>
          <w:color w:val="FF0000"/>
        </w:rPr>
        <w:t>Haemost</w:t>
      </w:r>
      <w:proofErr w:type="spellEnd"/>
      <w:r w:rsidRPr="45CF7C08">
        <w:rPr>
          <w:rFonts w:ascii="Times New Roman" w:hAnsi="Times New Roman" w:cs="Times New Roman"/>
          <w:i/>
          <w:iCs/>
          <w:color w:val="FF0000"/>
        </w:rPr>
        <w:t xml:space="preserve">. </w:t>
      </w:r>
      <w:r w:rsidRPr="45CF7C08">
        <w:rPr>
          <w:rFonts w:ascii="Times New Roman" w:hAnsi="Times New Roman" w:cs="Times New Roman"/>
          <w:color w:val="FF0000"/>
        </w:rPr>
        <w:t xml:space="preserve">2018;16(7):1307-1312.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10.1111/jth.14150.</w:t>
      </w:r>
    </w:p>
    <w:p w14:paraId="59D5FD0A" w14:textId="42F817B0" w:rsidR="00A662E4" w:rsidRDefault="45CF7C08" w:rsidP="45CF7C08">
      <w:pPr>
        <w:pStyle w:val="ListParagraph"/>
        <w:numPr>
          <w:ilvl w:val="0"/>
          <w:numId w:val="23"/>
        </w:numPr>
        <w:jc w:val="both"/>
        <w:rPr>
          <w:rFonts w:ascii="Times New Roman" w:hAnsi="Times New Roman" w:cs="Times New Roman"/>
          <w:color w:val="FF0000"/>
        </w:rPr>
      </w:pPr>
      <w:r w:rsidRPr="45CF7C08">
        <w:rPr>
          <w:rFonts w:ascii="Times New Roman" w:hAnsi="Times New Roman" w:cs="Times New Roman"/>
          <w:color w:val="FF0000"/>
        </w:rPr>
        <w:t xml:space="preserve">Liu S, Li X, Shi Q, et al. Outcomes associated with warfarin time in therapeutic range among US veterans with nonvalvular atrial fibrillation. </w:t>
      </w:r>
      <w:proofErr w:type="spellStart"/>
      <w:r w:rsidRPr="45CF7C08">
        <w:rPr>
          <w:rFonts w:ascii="Times New Roman" w:hAnsi="Times New Roman" w:cs="Times New Roman"/>
          <w:i/>
          <w:iCs/>
          <w:color w:val="FF0000"/>
        </w:rPr>
        <w:t>Curr</w:t>
      </w:r>
      <w:proofErr w:type="spellEnd"/>
      <w:r w:rsidRPr="45CF7C08">
        <w:rPr>
          <w:rFonts w:ascii="Times New Roman" w:hAnsi="Times New Roman" w:cs="Times New Roman"/>
          <w:i/>
          <w:iCs/>
          <w:color w:val="FF0000"/>
        </w:rPr>
        <w:t xml:space="preserve"> Med Res </w:t>
      </w:r>
      <w:proofErr w:type="spellStart"/>
      <w:r w:rsidRPr="45CF7C08">
        <w:rPr>
          <w:rFonts w:ascii="Times New Roman" w:hAnsi="Times New Roman" w:cs="Times New Roman"/>
          <w:i/>
          <w:iCs/>
          <w:color w:val="FF0000"/>
        </w:rPr>
        <w:t>Opin</w:t>
      </w:r>
      <w:proofErr w:type="spellEnd"/>
      <w:r w:rsidRPr="45CF7C08">
        <w:rPr>
          <w:rFonts w:ascii="Times New Roman" w:hAnsi="Times New Roman" w:cs="Times New Roman"/>
          <w:i/>
          <w:iCs/>
          <w:color w:val="FF0000"/>
        </w:rPr>
        <w:t xml:space="preserve">. </w:t>
      </w:r>
      <w:r w:rsidRPr="45CF7C08">
        <w:rPr>
          <w:rFonts w:ascii="Times New Roman" w:hAnsi="Times New Roman" w:cs="Times New Roman"/>
          <w:color w:val="FF0000"/>
        </w:rPr>
        <w:t xml:space="preserve">2018;34(3):415-421.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10.1080/03007995.2017.1384370.</w:t>
      </w:r>
    </w:p>
    <w:p w14:paraId="5AA5331E" w14:textId="5E076669" w:rsidR="00FB2C59" w:rsidRPr="00FB2C59" w:rsidRDefault="45CF7C08" w:rsidP="45CF7C08">
      <w:pPr>
        <w:pStyle w:val="ListParagraph"/>
        <w:numPr>
          <w:ilvl w:val="0"/>
          <w:numId w:val="23"/>
        </w:numPr>
        <w:jc w:val="both"/>
        <w:rPr>
          <w:rFonts w:ascii="Times New Roman" w:hAnsi="Times New Roman" w:cs="Times New Roman"/>
          <w:color w:val="FF0000"/>
        </w:rPr>
      </w:pPr>
      <w:proofErr w:type="spellStart"/>
      <w:r w:rsidRPr="45CF7C08">
        <w:rPr>
          <w:rFonts w:ascii="Times New Roman" w:hAnsi="Times New Roman" w:cs="Times New Roman"/>
          <w:color w:val="FF0000"/>
        </w:rPr>
        <w:t>Vanerio</w:t>
      </w:r>
      <w:proofErr w:type="spellEnd"/>
      <w:r w:rsidRPr="45CF7C08">
        <w:rPr>
          <w:rFonts w:ascii="Times New Roman" w:hAnsi="Times New Roman" w:cs="Times New Roman"/>
          <w:color w:val="FF0000"/>
        </w:rPr>
        <w:t xml:space="preserve"> G. International Normalized Ratio Variability: A Measure of Anticoagulation Quality or a Powerful Mortality Predictor. </w:t>
      </w:r>
      <w:r w:rsidRPr="45CF7C08">
        <w:rPr>
          <w:rFonts w:ascii="Times New Roman" w:hAnsi="Times New Roman" w:cs="Times New Roman"/>
          <w:i/>
          <w:iCs/>
          <w:color w:val="FF0000"/>
        </w:rPr>
        <w:t xml:space="preserve">J Stroke </w:t>
      </w:r>
      <w:proofErr w:type="spellStart"/>
      <w:r w:rsidRPr="45CF7C08">
        <w:rPr>
          <w:rFonts w:ascii="Times New Roman" w:hAnsi="Times New Roman" w:cs="Times New Roman"/>
          <w:i/>
          <w:iCs/>
          <w:color w:val="FF0000"/>
        </w:rPr>
        <w:t>Cerebrovasc</w:t>
      </w:r>
      <w:proofErr w:type="spellEnd"/>
      <w:r w:rsidRPr="45CF7C08">
        <w:rPr>
          <w:rFonts w:ascii="Times New Roman" w:hAnsi="Times New Roman" w:cs="Times New Roman"/>
          <w:i/>
          <w:iCs/>
          <w:color w:val="FF0000"/>
        </w:rPr>
        <w:t xml:space="preserve"> Dis. </w:t>
      </w:r>
      <w:r w:rsidRPr="45CF7C08">
        <w:rPr>
          <w:rFonts w:ascii="Times New Roman" w:hAnsi="Times New Roman" w:cs="Times New Roman"/>
          <w:color w:val="FF0000"/>
        </w:rPr>
        <w:t xml:space="preserve">2015;24(10):2223-2228.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10.1016/j.jstrokecerebrovasdis.2015.05.017.</w:t>
      </w:r>
    </w:p>
    <w:p w14:paraId="13FFA02C" w14:textId="33DD1082" w:rsidR="0066623E" w:rsidRDefault="45CF7C08" w:rsidP="45CF7C08">
      <w:pPr>
        <w:pStyle w:val="ListParagraph"/>
        <w:numPr>
          <w:ilvl w:val="0"/>
          <w:numId w:val="23"/>
        </w:numPr>
        <w:jc w:val="both"/>
        <w:rPr>
          <w:rFonts w:ascii="Times New Roman" w:hAnsi="Times New Roman" w:cs="Times New Roman"/>
          <w:color w:val="FF0000"/>
        </w:rPr>
      </w:pPr>
      <w:proofErr w:type="spellStart"/>
      <w:r w:rsidRPr="45CF7C08">
        <w:rPr>
          <w:rFonts w:ascii="Times New Roman" w:hAnsi="Times New Roman" w:cs="Times New Roman"/>
          <w:color w:val="FF0000"/>
        </w:rPr>
        <w:lastRenderedPageBreak/>
        <w:t>Labaf</w:t>
      </w:r>
      <w:proofErr w:type="spellEnd"/>
      <w:r w:rsidRPr="45CF7C08">
        <w:rPr>
          <w:rFonts w:ascii="Times New Roman" w:hAnsi="Times New Roman" w:cs="Times New Roman"/>
          <w:color w:val="FF0000"/>
        </w:rPr>
        <w:t xml:space="preserve"> A, </w:t>
      </w:r>
      <w:proofErr w:type="spellStart"/>
      <w:r w:rsidRPr="45CF7C08">
        <w:rPr>
          <w:rFonts w:ascii="Times New Roman" w:hAnsi="Times New Roman" w:cs="Times New Roman"/>
          <w:color w:val="FF0000"/>
        </w:rPr>
        <w:t>Sjalander</w:t>
      </w:r>
      <w:proofErr w:type="spellEnd"/>
      <w:r w:rsidRPr="45CF7C08">
        <w:rPr>
          <w:rFonts w:ascii="Times New Roman" w:hAnsi="Times New Roman" w:cs="Times New Roman"/>
          <w:color w:val="FF0000"/>
        </w:rPr>
        <w:t xml:space="preserve"> A, </w:t>
      </w:r>
      <w:proofErr w:type="spellStart"/>
      <w:r w:rsidRPr="45CF7C08">
        <w:rPr>
          <w:rFonts w:ascii="Times New Roman" w:hAnsi="Times New Roman" w:cs="Times New Roman"/>
          <w:color w:val="FF0000"/>
        </w:rPr>
        <w:t>Stagmo</w:t>
      </w:r>
      <w:proofErr w:type="spellEnd"/>
      <w:r w:rsidRPr="45CF7C08">
        <w:rPr>
          <w:rFonts w:ascii="Times New Roman" w:hAnsi="Times New Roman" w:cs="Times New Roman"/>
          <w:color w:val="FF0000"/>
        </w:rPr>
        <w:t xml:space="preserve"> M, </w:t>
      </w:r>
      <w:proofErr w:type="spellStart"/>
      <w:r w:rsidRPr="45CF7C08">
        <w:rPr>
          <w:rFonts w:ascii="Times New Roman" w:hAnsi="Times New Roman" w:cs="Times New Roman"/>
          <w:color w:val="FF0000"/>
        </w:rPr>
        <w:t>Svensson</w:t>
      </w:r>
      <w:proofErr w:type="spellEnd"/>
      <w:r w:rsidRPr="45CF7C08">
        <w:rPr>
          <w:rFonts w:ascii="Times New Roman" w:hAnsi="Times New Roman" w:cs="Times New Roman"/>
          <w:color w:val="FF0000"/>
        </w:rPr>
        <w:t xml:space="preserve"> PJ. INR variability and outcomes in patients with mechanical heart valve prosthesis. </w:t>
      </w:r>
      <w:proofErr w:type="spellStart"/>
      <w:r w:rsidRPr="45CF7C08">
        <w:rPr>
          <w:rFonts w:ascii="Times New Roman" w:hAnsi="Times New Roman" w:cs="Times New Roman"/>
          <w:i/>
          <w:iCs/>
          <w:color w:val="FF0000"/>
        </w:rPr>
        <w:t>Thromb</w:t>
      </w:r>
      <w:proofErr w:type="spellEnd"/>
      <w:r w:rsidRPr="45CF7C08">
        <w:rPr>
          <w:rFonts w:ascii="Times New Roman" w:hAnsi="Times New Roman" w:cs="Times New Roman"/>
          <w:i/>
          <w:iCs/>
          <w:color w:val="FF0000"/>
        </w:rPr>
        <w:t xml:space="preserve"> Res. </w:t>
      </w:r>
      <w:r w:rsidRPr="45CF7C08">
        <w:rPr>
          <w:rFonts w:ascii="Times New Roman" w:hAnsi="Times New Roman" w:cs="Times New Roman"/>
          <w:color w:val="FF0000"/>
        </w:rPr>
        <w:t xml:space="preserve">2015;136(6):1211-1215.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10.1016/j.thromres.2015.10.044.</w:t>
      </w:r>
    </w:p>
    <w:p w14:paraId="441892AB" w14:textId="39C08770" w:rsidR="00FB2C59" w:rsidRPr="00FB2C59" w:rsidRDefault="45CF7C08" w:rsidP="45CF7C08">
      <w:pPr>
        <w:pStyle w:val="ListParagraph"/>
        <w:numPr>
          <w:ilvl w:val="0"/>
          <w:numId w:val="23"/>
        </w:numPr>
        <w:jc w:val="both"/>
        <w:rPr>
          <w:rFonts w:ascii="Times New Roman" w:hAnsi="Times New Roman" w:cs="Times New Roman"/>
          <w:color w:val="FF0000"/>
        </w:rPr>
      </w:pPr>
      <w:proofErr w:type="spellStart"/>
      <w:r w:rsidRPr="45CF7C08">
        <w:rPr>
          <w:rFonts w:ascii="Times New Roman" w:hAnsi="Times New Roman" w:cs="Times New Roman"/>
          <w:color w:val="FF0000"/>
        </w:rPr>
        <w:t>Deitelzweig</w:t>
      </w:r>
      <w:proofErr w:type="spellEnd"/>
      <w:r w:rsidRPr="45CF7C08">
        <w:rPr>
          <w:rFonts w:ascii="Times New Roman" w:hAnsi="Times New Roman" w:cs="Times New Roman"/>
          <w:color w:val="FF0000"/>
        </w:rPr>
        <w:t xml:space="preserve"> S, Evans M, </w:t>
      </w:r>
      <w:proofErr w:type="spellStart"/>
      <w:r w:rsidRPr="45CF7C08">
        <w:rPr>
          <w:rFonts w:ascii="Times New Roman" w:hAnsi="Times New Roman" w:cs="Times New Roman"/>
          <w:color w:val="FF0000"/>
        </w:rPr>
        <w:t>Hillson</w:t>
      </w:r>
      <w:proofErr w:type="spellEnd"/>
      <w:r w:rsidRPr="45CF7C08">
        <w:rPr>
          <w:rFonts w:ascii="Times New Roman" w:hAnsi="Times New Roman" w:cs="Times New Roman"/>
          <w:color w:val="FF0000"/>
        </w:rPr>
        <w:t xml:space="preserve"> E, et al. Warfarin time in therapeutic range and its impact on healthcare resource utilization and costs among patients with nonvalvular atrial fibrillation. </w:t>
      </w:r>
      <w:proofErr w:type="spellStart"/>
      <w:r w:rsidRPr="45CF7C08">
        <w:rPr>
          <w:rFonts w:ascii="Times New Roman" w:hAnsi="Times New Roman" w:cs="Times New Roman"/>
          <w:i/>
          <w:iCs/>
          <w:color w:val="FF0000"/>
        </w:rPr>
        <w:t>Curr</w:t>
      </w:r>
      <w:proofErr w:type="spellEnd"/>
      <w:r w:rsidRPr="45CF7C08">
        <w:rPr>
          <w:rFonts w:ascii="Times New Roman" w:hAnsi="Times New Roman" w:cs="Times New Roman"/>
          <w:i/>
          <w:iCs/>
          <w:color w:val="FF0000"/>
        </w:rPr>
        <w:t xml:space="preserve"> Med Res </w:t>
      </w:r>
      <w:proofErr w:type="spellStart"/>
      <w:r w:rsidRPr="45CF7C08">
        <w:rPr>
          <w:rFonts w:ascii="Times New Roman" w:hAnsi="Times New Roman" w:cs="Times New Roman"/>
          <w:i/>
          <w:iCs/>
          <w:color w:val="FF0000"/>
        </w:rPr>
        <w:t>Opin</w:t>
      </w:r>
      <w:proofErr w:type="spellEnd"/>
      <w:r w:rsidRPr="45CF7C08">
        <w:rPr>
          <w:rFonts w:ascii="Times New Roman" w:hAnsi="Times New Roman" w:cs="Times New Roman"/>
          <w:i/>
          <w:iCs/>
          <w:color w:val="FF0000"/>
        </w:rPr>
        <w:t xml:space="preserve">. </w:t>
      </w:r>
      <w:r w:rsidRPr="45CF7C08">
        <w:rPr>
          <w:rFonts w:ascii="Times New Roman" w:hAnsi="Times New Roman" w:cs="Times New Roman"/>
          <w:color w:val="FF0000"/>
        </w:rPr>
        <w:t xml:space="preserve">2016;32(1):87-94.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10.1185/03007995.2015.1103217.</w:t>
      </w:r>
    </w:p>
    <w:p w14:paraId="1AD3B017" w14:textId="0E6AD883" w:rsidR="0066623E" w:rsidRDefault="45CF7C08" w:rsidP="45CF7C08">
      <w:pPr>
        <w:pStyle w:val="ListParagraph"/>
        <w:numPr>
          <w:ilvl w:val="0"/>
          <w:numId w:val="23"/>
        </w:numPr>
        <w:jc w:val="both"/>
        <w:rPr>
          <w:rFonts w:ascii="Times New Roman" w:hAnsi="Times New Roman" w:cs="Times New Roman"/>
          <w:color w:val="FF0000"/>
        </w:rPr>
      </w:pPr>
      <w:r w:rsidRPr="45CF7C08">
        <w:rPr>
          <w:rFonts w:ascii="Times New Roman" w:hAnsi="Times New Roman" w:cs="Times New Roman"/>
          <w:color w:val="FF0000"/>
        </w:rPr>
        <w:t xml:space="preserve">Nelson WW, Wang L, Baser O, </w:t>
      </w:r>
      <w:proofErr w:type="spellStart"/>
      <w:r w:rsidRPr="45CF7C08">
        <w:rPr>
          <w:rFonts w:ascii="Times New Roman" w:hAnsi="Times New Roman" w:cs="Times New Roman"/>
          <w:color w:val="FF0000"/>
        </w:rPr>
        <w:t>Damaraju</w:t>
      </w:r>
      <w:proofErr w:type="spellEnd"/>
      <w:r w:rsidRPr="45CF7C08">
        <w:rPr>
          <w:rFonts w:ascii="Times New Roman" w:hAnsi="Times New Roman" w:cs="Times New Roman"/>
          <w:color w:val="FF0000"/>
        </w:rPr>
        <w:t xml:space="preserve"> CV, Schein JR. Out-of-range international normalized ratio values and healthcare cost among new warfarin patients with non-valvular atrial fibrillation. </w:t>
      </w:r>
      <w:r w:rsidRPr="45CF7C08">
        <w:rPr>
          <w:rFonts w:ascii="Times New Roman" w:hAnsi="Times New Roman" w:cs="Times New Roman"/>
          <w:i/>
          <w:iCs/>
          <w:color w:val="FF0000"/>
        </w:rPr>
        <w:t xml:space="preserve">Journal of medical economics. </w:t>
      </w:r>
      <w:r w:rsidRPr="45CF7C08">
        <w:rPr>
          <w:rFonts w:ascii="Times New Roman" w:hAnsi="Times New Roman" w:cs="Times New Roman"/>
          <w:color w:val="FF0000"/>
        </w:rPr>
        <w:t xml:space="preserve">2015;18(5):333-340. </w:t>
      </w:r>
      <w:proofErr w:type="spellStart"/>
      <w:r w:rsidRPr="45CF7C08">
        <w:rPr>
          <w:rFonts w:ascii="Times New Roman" w:hAnsi="Times New Roman" w:cs="Times New Roman"/>
          <w:color w:val="FF0000"/>
        </w:rPr>
        <w:t>doi</w:t>
      </w:r>
      <w:proofErr w:type="spellEnd"/>
      <w:r w:rsidRPr="45CF7C08">
        <w:rPr>
          <w:rFonts w:ascii="Times New Roman" w:hAnsi="Times New Roman" w:cs="Times New Roman"/>
          <w:color w:val="FF0000"/>
        </w:rPr>
        <w:t>: 10.3111/13696998.2014.1001851.</w:t>
      </w:r>
    </w:p>
    <w:p w14:paraId="3E97B4C0" w14:textId="77777777" w:rsidR="00A76201" w:rsidRDefault="00A76201" w:rsidP="008642F5">
      <w:pPr>
        <w:ind w:left="432" w:hanging="432"/>
        <w:jc w:val="both"/>
      </w:pPr>
    </w:p>
    <w:p w14:paraId="2596C8C7" w14:textId="77777777" w:rsidR="009B08ED" w:rsidRPr="008642F5" w:rsidRDefault="45CF7C08" w:rsidP="45CF7C08">
      <w:pPr>
        <w:jc w:val="both"/>
        <w:rPr>
          <w:b/>
          <w:bCs/>
          <w:color w:val="0000FF"/>
          <w:sz w:val="22"/>
          <w:szCs w:val="22"/>
        </w:rPr>
      </w:pPr>
      <w:r w:rsidRPr="45CF7C08">
        <w:rPr>
          <w:b/>
          <w:bCs/>
          <w:color w:val="0000FF"/>
          <w:sz w:val="22"/>
          <w:szCs w:val="22"/>
        </w:rPr>
        <w:t xml:space="preserve">1a.3 </w:t>
      </w:r>
      <w:r w:rsidRPr="45CF7C08">
        <w:rPr>
          <w:b/>
          <w:bCs/>
          <w:color w:val="000000" w:themeColor="text1"/>
          <w:sz w:val="22"/>
          <w:szCs w:val="22"/>
        </w:rPr>
        <w:t>Value and Meaningfulness:</w:t>
      </w:r>
      <w:r w:rsidRPr="45CF7C08">
        <w:rPr>
          <w:color w:val="000000" w:themeColor="text1"/>
          <w:sz w:val="22"/>
          <w:szCs w:val="22"/>
        </w:rPr>
        <w:t xml:space="preserve">   </w:t>
      </w:r>
      <w:r w:rsidRPr="45CF7C08">
        <w:rPr>
          <w:b/>
          <w:bCs/>
          <w:color w:val="000000" w:themeColor="text1"/>
          <w:sz w:val="22"/>
          <w:szCs w:val="22"/>
        </w:rPr>
        <w:t>IF</w:t>
      </w:r>
      <w:r w:rsidRPr="45CF7C08">
        <w:rPr>
          <w:color w:val="000000" w:themeColor="text1"/>
          <w:sz w:val="22"/>
          <w:szCs w:val="22"/>
        </w:rPr>
        <w:t xml:space="preserve"> this measure is derived from patient report, provide evidence that the target population values the measured </w:t>
      </w:r>
      <w:r w:rsidRPr="45CF7C08">
        <w:rPr>
          <w:b/>
          <w:bCs/>
          <w:i/>
          <w:iCs/>
          <w:color w:val="000000" w:themeColor="text1"/>
          <w:sz w:val="22"/>
          <w:szCs w:val="22"/>
        </w:rPr>
        <w:t xml:space="preserve">outcome, process, or structure </w:t>
      </w:r>
      <w:r w:rsidRPr="45CF7C08">
        <w:rPr>
          <w:color w:val="000000" w:themeColor="text1"/>
          <w:sz w:val="22"/>
          <w:szCs w:val="22"/>
        </w:rPr>
        <w:t>and finds it meaningful. (Describe how and from whom their input was obtained.)</w:t>
      </w:r>
    </w:p>
    <w:p w14:paraId="62BF43C0" w14:textId="77777777" w:rsidR="009B08ED" w:rsidRPr="008642F5" w:rsidRDefault="009B08ED">
      <w:pPr>
        <w:ind w:left="432" w:hanging="432"/>
        <w:rPr>
          <w:sz w:val="22"/>
          <w:szCs w:val="22"/>
        </w:rPr>
      </w:pPr>
    </w:p>
    <w:p w14:paraId="303AD49E" w14:textId="77777777" w:rsidR="009B08ED" w:rsidRPr="008642F5" w:rsidRDefault="009B08ED">
      <w:pPr>
        <w:ind w:left="432" w:hanging="432"/>
        <w:rPr>
          <w:b/>
          <w:color w:val="0000FF"/>
          <w:sz w:val="22"/>
          <w:szCs w:val="22"/>
        </w:rPr>
      </w:pPr>
    </w:p>
    <w:p w14:paraId="30F5E5C0" w14:textId="77777777" w:rsidR="00676BD4" w:rsidRPr="008642F5" w:rsidRDefault="45CF7C08" w:rsidP="45CF7C08">
      <w:pPr>
        <w:rPr>
          <w:b/>
          <w:bCs/>
          <w:color w:val="0000FF"/>
          <w:sz w:val="22"/>
          <w:szCs w:val="22"/>
        </w:rPr>
      </w:pPr>
      <w:r w:rsidRPr="45CF7C08">
        <w:rPr>
          <w:b/>
          <w:bCs/>
          <w:color w:val="0000FF"/>
          <w:sz w:val="22"/>
          <w:szCs w:val="22"/>
        </w:rPr>
        <w:t>**RESPOND TO ONLY ONE SECTION BELOW -EITHER 1a.2, 1a.3 or 1a.4) **</w:t>
      </w:r>
    </w:p>
    <w:p w14:paraId="30F5E5C1" w14:textId="77777777" w:rsidR="00676BD4" w:rsidRPr="008642F5" w:rsidRDefault="00676BD4" w:rsidP="002E2177">
      <w:pPr>
        <w:ind w:left="432" w:hanging="432"/>
        <w:rPr>
          <w:b/>
          <w:color w:val="0000FF"/>
          <w:sz w:val="22"/>
          <w:szCs w:val="22"/>
        </w:rPr>
      </w:pPr>
    </w:p>
    <w:p w14:paraId="2DB3D6C6" w14:textId="77777777" w:rsidR="009B08ED" w:rsidRPr="008642F5" w:rsidRDefault="45CF7C08" w:rsidP="45CF7C08">
      <w:pPr>
        <w:jc w:val="both"/>
        <w:rPr>
          <w:b/>
          <w:bCs/>
          <w:sz w:val="22"/>
          <w:szCs w:val="22"/>
        </w:rPr>
      </w:pPr>
      <w:r w:rsidRPr="45CF7C08">
        <w:rPr>
          <w:b/>
          <w:bCs/>
          <w:color w:val="0000FF"/>
          <w:sz w:val="22"/>
          <w:szCs w:val="22"/>
        </w:rPr>
        <w:t>1a.2</w:t>
      </w:r>
      <w:r w:rsidRPr="45CF7C08">
        <w:rPr>
          <w:sz w:val="22"/>
          <w:szCs w:val="22"/>
        </w:rPr>
        <w:t xml:space="preserve"> </w:t>
      </w:r>
      <w:r w:rsidRPr="45CF7C08">
        <w:rPr>
          <w:b/>
          <w:bCs/>
          <w:sz w:val="22"/>
          <w:szCs w:val="22"/>
        </w:rPr>
        <w:t xml:space="preserve">FOR OUTCOME MEASURES including PATIENT REPORTED OUTCOMES - Provide empirical data demonstrating the relationship between the outcome (or PRO) to at least one healthcare structure, process, intervention, or service. </w:t>
      </w:r>
    </w:p>
    <w:p w14:paraId="30F5E5C4" w14:textId="77777777" w:rsidR="00676BD4" w:rsidRDefault="00676BD4" w:rsidP="008642F5">
      <w:pPr>
        <w:jc w:val="both"/>
        <w:rPr>
          <w:i/>
          <w:iCs/>
          <w:highlight w:val="green"/>
          <w:u w:val="single"/>
        </w:rPr>
      </w:pPr>
    </w:p>
    <w:p w14:paraId="6281BF85" w14:textId="77777777" w:rsidR="009B08ED" w:rsidRPr="008642F5" w:rsidRDefault="45CF7C08" w:rsidP="45CF7C08">
      <w:pPr>
        <w:jc w:val="both"/>
        <w:rPr>
          <w:b/>
          <w:bCs/>
          <w:color w:val="0000FF"/>
          <w:sz w:val="22"/>
          <w:szCs w:val="22"/>
        </w:rPr>
      </w:pPr>
      <w:bookmarkStart w:id="8" w:name="Section1a3"/>
      <w:bookmarkEnd w:id="8"/>
      <w:r w:rsidRPr="45CF7C08">
        <w:rPr>
          <w:b/>
          <w:bCs/>
          <w:color w:val="0000FF"/>
          <w:sz w:val="22"/>
          <w:szCs w:val="22"/>
        </w:rPr>
        <w:t xml:space="preserve">1a.3. </w:t>
      </w:r>
      <w:r w:rsidRPr="45CF7C08">
        <w:rPr>
          <w:b/>
          <w:bCs/>
          <w:color w:val="000000" w:themeColor="text1"/>
          <w:sz w:val="22"/>
          <w:szCs w:val="22"/>
        </w:rPr>
        <w:t>SYSTEMATIC REVIEW(SR) OF THE EVIDENCE (</w:t>
      </w:r>
      <w:proofErr w:type="gramStart"/>
      <w:r w:rsidRPr="45CF7C08">
        <w:rPr>
          <w:b/>
          <w:bCs/>
          <w:color w:val="000000" w:themeColor="text1"/>
          <w:sz w:val="22"/>
          <w:szCs w:val="22"/>
        </w:rPr>
        <w:t>for  intermediate</w:t>
      </w:r>
      <w:proofErr w:type="gramEnd"/>
      <w:r w:rsidRPr="45CF7C08">
        <w:rPr>
          <w:b/>
          <w:bCs/>
          <w:color w:val="000000" w:themeColor="text1"/>
          <w:sz w:val="22"/>
          <w:szCs w:val="22"/>
        </w:rPr>
        <w:t xml:space="preserve"> outcome, PROCESS, or STRUCTURE PERFORMANCE measures, including those that are instrument-based) If the evidence is not based on a systematic review go to section 1a.4) If you wish to include more than one systematic review, add additional tables. </w:t>
      </w:r>
    </w:p>
    <w:p w14:paraId="30F5E5C6" w14:textId="77777777" w:rsidR="00496AF8" w:rsidRDefault="00496AF8" w:rsidP="002E2177">
      <w:pPr>
        <w:rPr>
          <w:i/>
          <w:iCs/>
        </w:rPr>
      </w:pPr>
    </w:p>
    <w:p w14:paraId="30F5E5C7" w14:textId="77777777" w:rsidR="00A9011D" w:rsidRPr="008642F5" w:rsidRDefault="45CF7C08" w:rsidP="45CF7C08">
      <w:pPr>
        <w:rPr>
          <w:rFonts w:eastAsia="Calibri"/>
          <w:b/>
          <w:bCs/>
          <w:sz w:val="22"/>
          <w:szCs w:val="22"/>
        </w:rPr>
      </w:pPr>
      <w:r w:rsidRPr="45CF7C08">
        <w:rPr>
          <w:rFonts w:eastAsia="Calibri"/>
          <w:b/>
          <w:bCs/>
          <w:sz w:val="22"/>
          <w:szCs w:val="22"/>
        </w:rPr>
        <w:t xml:space="preserve">What is the source of the </w:t>
      </w:r>
      <w:r w:rsidRPr="45CF7C08">
        <w:rPr>
          <w:rFonts w:eastAsia="Calibri"/>
          <w:b/>
          <w:bCs/>
          <w:sz w:val="22"/>
          <w:szCs w:val="22"/>
          <w:u w:val="single"/>
        </w:rPr>
        <w:t>systematic review of the body of evidence</w:t>
      </w:r>
      <w:r w:rsidRPr="45CF7C08">
        <w:rPr>
          <w:rFonts w:eastAsia="Calibri"/>
          <w:b/>
          <w:bCs/>
          <w:sz w:val="22"/>
          <w:szCs w:val="22"/>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30F5E5C8" w14:textId="50136EC1" w:rsidR="00A9011D" w:rsidRPr="008642F5" w:rsidRDefault="002B2A92" w:rsidP="45CF7C08">
      <w:pPr>
        <w:jc w:val="both"/>
        <w:rPr>
          <w:rFonts w:eastAsia="Calibri"/>
          <w:sz w:val="22"/>
          <w:szCs w:val="22"/>
        </w:rPr>
      </w:pPr>
      <w:r w:rsidRPr="008642F5">
        <w:rPr>
          <w:rFonts w:eastAsia="Arial Unicode MS"/>
          <w:color w:val="0000FF"/>
          <w:kern w:val="1"/>
          <w:sz w:val="22"/>
          <w:szCs w:val="22"/>
          <w:lang w:eastAsia="hi-IN" w:bidi="hi-IN"/>
        </w:rPr>
        <w:t xml:space="preserve">x </w:t>
      </w:r>
      <w:r w:rsidR="00A9011D" w:rsidRPr="008642F5">
        <w:rPr>
          <w:rFonts w:eastAsia="Calibri"/>
          <w:sz w:val="22"/>
          <w:szCs w:val="22"/>
        </w:rPr>
        <w:t xml:space="preserve">Clinical Practice Guideline </w:t>
      </w:r>
      <w:proofErr w:type="gramStart"/>
      <w:r w:rsidR="00A9011D" w:rsidRPr="008642F5">
        <w:rPr>
          <w:rFonts w:eastAsia="Calibri"/>
          <w:sz w:val="22"/>
          <w:szCs w:val="22"/>
        </w:rPr>
        <w:t xml:space="preserve">recommendation </w:t>
      </w:r>
      <w:r w:rsidR="00EC1225" w:rsidRPr="008642F5">
        <w:rPr>
          <w:rFonts w:eastAsia="Calibri"/>
          <w:sz w:val="22"/>
          <w:szCs w:val="22"/>
        </w:rPr>
        <w:t xml:space="preserve"> (</w:t>
      </w:r>
      <w:proofErr w:type="gramEnd"/>
      <w:r w:rsidR="00EC1225" w:rsidRPr="008642F5">
        <w:rPr>
          <w:rFonts w:eastAsia="Calibri"/>
          <w:sz w:val="22"/>
          <w:szCs w:val="22"/>
        </w:rPr>
        <w:t>with evidence review)</w:t>
      </w:r>
    </w:p>
    <w:p w14:paraId="30F5E5C9" w14:textId="77777777" w:rsidR="00A9011D" w:rsidRPr="008642F5" w:rsidRDefault="00A9011D" w:rsidP="45CF7C08">
      <w:pPr>
        <w:jc w:val="both"/>
        <w:outlineLvl w:val="0"/>
        <w:rPr>
          <w:rFonts w:eastAsia="Calibri"/>
          <w:b/>
          <w:bCs/>
          <w:i/>
          <w:iCs/>
          <w:sz w:val="22"/>
          <w:szCs w:val="22"/>
        </w:rPr>
      </w:pPr>
      <w:r w:rsidRPr="008642F5">
        <w:rPr>
          <w:rFonts w:ascii="MS Mincho" w:eastAsia="MS Mincho" w:hAnsi="MS Mincho" w:cs="MS Mincho"/>
          <w:color w:val="0000FF"/>
          <w:kern w:val="1"/>
          <w:sz w:val="22"/>
          <w:szCs w:val="22"/>
          <w:lang w:eastAsia="hi-IN" w:bidi="hi-IN"/>
        </w:rPr>
        <w:t>☐</w:t>
      </w:r>
      <w:r w:rsidRPr="008642F5">
        <w:rPr>
          <w:rFonts w:eastAsia="Calibri"/>
          <w:sz w:val="22"/>
          <w:szCs w:val="22"/>
        </w:rPr>
        <w:t xml:space="preserve"> US Preventive Services Task Force Recommendation</w:t>
      </w:r>
    </w:p>
    <w:p w14:paraId="30F5E5CA" w14:textId="758397C7" w:rsidR="00A9011D" w:rsidRPr="008642F5" w:rsidRDefault="002B2A92" w:rsidP="45CF7C08">
      <w:pPr>
        <w:jc w:val="both"/>
        <w:rPr>
          <w:rFonts w:eastAsia="Calibri"/>
          <w:sz w:val="22"/>
          <w:szCs w:val="22"/>
        </w:rPr>
      </w:pPr>
      <w:r w:rsidRPr="008642F5">
        <w:rPr>
          <w:rFonts w:eastAsia="Arial Unicode MS"/>
          <w:color w:val="0000FF"/>
          <w:kern w:val="1"/>
          <w:sz w:val="22"/>
          <w:szCs w:val="22"/>
          <w:lang w:eastAsia="hi-IN" w:bidi="hi-IN"/>
        </w:rPr>
        <w:t>x</w:t>
      </w:r>
      <w:r w:rsidRPr="008642F5">
        <w:rPr>
          <w:rFonts w:eastAsia="Calibri"/>
          <w:sz w:val="22"/>
          <w:szCs w:val="22"/>
        </w:rPr>
        <w:t xml:space="preserve"> </w:t>
      </w:r>
      <w:r w:rsidR="00A9011D" w:rsidRPr="008642F5">
        <w:rPr>
          <w:rFonts w:eastAsia="Calibri"/>
          <w:sz w:val="22"/>
          <w:szCs w:val="22"/>
        </w:rPr>
        <w:t>Other systematic review and grading of the body of evidence (</w:t>
      </w:r>
      <w:r w:rsidR="00A9011D" w:rsidRPr="45CF7C08">
        <w:rPr>
          <w:rFonts w:eastAsia="Calibri"/>
          <w:i/>
          <w:iCs/>
          <w:sz w:val="22"/>
          <w:szCs w:val="22"/>
        </w:rPr>
        <w:t>e.g., Cochrane Collaboration, AHRQ Evidence Practice Center</w:t>
      </w:r>
      <w:r w:rsidR="00A9011D" w:rsidRPr="008642F5">
        <w:rPr>
          <w:rFonts w:eastAsia="Calibri"/>
          <w:sz w:val="22"/>
          <w:szCs w:val="22"/>
        </w:rPr>
        <w:t xml:space="preserve">) </w:t>
      </w:r>
    </w:p>
    <w:p w14:paraId="30F5E5CB" w14:textId="77777777" w:rsidR="00A9011D" w:rsidRPr="008642F5" w:rsidRDefault="00A9011D" w:rsidP="45CF7C08">
      <w:pPr>
        <w:jc w:val="both"/>
        <w:rPr>
          <w:rFonts w:eastAsia="Calibri"/>
          <w:sz w:val="22"/>
          <w:szCs w:val="22"/>
        </w:rPr>
      </w:pPr>
      <w:r w:rsidRPr="008642F5">
        <w:rPr>
          <w:rFonts w:ascii="MS Mincho" w:eastAsia="MS Mincho" w:hAnsi="MS Mincho" w:cs="MS Mincho"/>
          <w:color w:val="0000FF"/>
          <w:kern w:val="1"/>
          <w:sz w:val="22"/>
          <w:szCs w:val="22"/>
          <w:lang w:eastAsia="hi-IN" w:bidi="hi-IN"/>
        </w:rPr>
        <w:t>☐</w:t>
      </w:r>
      <w:r w:rsidRPr="008642F5">
        <w:rPr>
          <w:rFonts w:eastAsia="Calibri"/>
          <w:sz w:val="22"/>
          <w:szCs w:val="22"/>
        </w:rPr>
        <w:t xml:space="preserve"> Other </w:t>
      </w:r>
    </w:p>
    <w:p w14:paraId="0E0DD879" w14:textId="23DF757B" w:rsidR="001B18FF" w:rsidRDefault="001B18FF" w:rsidP="001B18FF">
      <w:pPr>
        <w:jc w:val="both"/>
        <w:rPr>
          <w:i/>
          <w:iCs/>
          <w:sz w:val="22"/>
          <w:szCs w:val="22"/>
        </w:rPr>
      </w:pPr>
      <w:r>
        <w:rPr>
          <w:i/>
          <w:iCs/>
          <w:sz w:val="22"/>
          <w:szCs w:val="22"/>
        </w:rPr>
        <w:br w:type="page"/>
      </w:r>
    </w:p>
    <w:p w14:paraId="4EAABD02" w14:textId="7A0B8CA7" w:rsidR="001B18FF" w:rsidRPr="00F419A6" w:rsidRDefault="45CF7C08" w:rsidP="45CF7C08">
      <w:pPr>
        <w:jc w:val="both"/>
        <w:rPr>
          <w:b/>
          <w:bCs/>
          <w:color w:val="0070C0"/>
          <w:sz w:val="22"/>
          <w:szCs w:val="22"/>
        </w:rPr>
      </w:pPr>
      <w:r w:rsidRPr="45CF7C08">
        <w:rPr>
          <w:b/>
          <w:bCs/>
          <w:color w:val="0070C0"/>
          <w:sz w:val="22"/>
          <w:szCs w:val="22"/>
        </w:rPr>
        <w:lastRenderedPageBreak/>
        <w:t>Prior Submission:</w:t>
      </w:r>
    </w:p>
    <w:p w14:paraId="7619E8E8" w14:textId="74F18A62" w:rsidR="00EE0FAB" w:rsidRPr="00854A53" w:rsidRDefault="45CF7C08" w:rsidP="45CF7C08">
      <w:pPr>
        <w:jc w:val="both"/>
        <w:rPr>
          <w:color w:val="FF0000"/>
          <w:sz w:val="22"/>
          <w:szCs w:val="22"/>
        </w:rPr>
      </w:pPr>
      <w:r w:rsidRPr="45CF7C08">
        <w:rPr>
          <w:color w:val="FF0000"/>
          <w:sz w:val="22"/>
          <w:szCs w:val="22"/>
        </w:rPr>
        <w:t>When the measure was last submitted, some of the questions in the table below were not included in the evidence form. The current submission includes the addition of this information into the evidence form. All updates are presented below in red text.</w:t>
      </w:r>
    </w:p>
    <w:tbl>
      <w:tblPr>
        <w:tblStyle w:val="TableGrid"/>
        <w:tblW w:w="0" w:type="auto"/>
        <w:tblLook w:val="04A0" w:firstRow="1" w:lastRow="0" w:firstColumn="1" w:lastColumn="0" w:noHBand="0" w:noVBand="1"/>
      </w:tblPr>
      <w:tblGrid>
        <w:gridCol w:w="3055"/>
        <w:gridCol w:w="6143"/>
      </w:tblGrid>
      <w:tr w:rsidR="00EE0FAB" w:rsidRPr="008F6E02" w14:paraId="163BE96F" w14:textId="77777777" w:rsidTr="45CF7C08">
        <w:trPr>
          <w:trHeight w:val="63"/>
        </w:trPr>
        <w:tc>
          <w:tcPr>
            <w:tcW w:w="3055" w:type="dxa"/>
          </w:tcPr>
          <w:p w14:paraId="4293D1B3" w14:textId="77777777" w:rsidR="00C75D10" w:rsidRPr="008642F5" w:rsidRDefault="45CF7C08" w:rsidP="45CF7C08">
            <w:pPr>
              <w:rPr>
                <w:b/>
                <w:bCs/>
                <w:sz w:val="22"/>
                <w:szCs w:val="22"/>
              </w:rPr>
            </w:pPr>
            <w:r w:rsidRPr="45CF7C08">
              <w:rPr>
                <w:b/>
                <w:bCs/>
                <w:sz w:val="22"/>
                <w:szCs w:val="22"/>
              </w:rPr>
              <w:t>Source of Systematic Review:</w:t>
            </w:r>
          </w:p>
          <w:p w14:paraId="430637C7" w14:textId="77777777" w:rsidR="00C75D10" w:rsidRPr="008642F5" w:rsidRDefault="45CF7C08" w:rsidP="45CF7C08">
            <w:pPr>
              <w:pStyle w:val="ListParagraph"/>
              <w:numPr>
                <w:ilvl w:val="0"/>
                <w:numId w:val="9"/>
              </w:numPr>
              <w:tabs>
                <w:tab w:val="left" w:pos="159"/>
              </w:tabs>
              <w:spacing w:after="0" w:line="240" w:lineRule="auto"/>
              <w:ind w:left="-21" w:firstLine="0"/>
              <w:rPr>
                <w:rFonts w:ascii="Times New Roman" w:hAnsi="Times New Roman" w:cs="Times New Roman"/>
                <w:b/>
                <w:bCs/>
              </w:rPr>
            </w:pPr>
            <w:r w:rsidRPr="45CF7C08">
              <w:rPr>
                <w:rFonts w:ascii="Times New Roman" w:hAnsi="Times New Roman" w:cs="Times New Roman"/>
                <w:b/>
                <w:bCs/>
              </w:rPr>
              <w:t>Title</w:t>
            </w:r>
          </w:p>
          <w:p w14:paraId="31733738" w14:textId="77777777" w:rsidR="00C75D10" w:rsidRPr="008642F5" w:rsidRDefault="45CF7C08" w:rsidP="45CF7C08">
            <w:pPr>
              <w:pStyle w:val="ListParagraph"/>
              <w:numPr>
                <w:ilvl w:val="0"/>
                <w:numId w:val="9"/>
              </w:numPr>
              <w:tabs>
                <w:tab w:val="left" w:pos="159"/>
              </w:tabs>
              <w:spacing w:after="0" w:line="240" w:lineRule="auto"/>
              <w:ind w:left="-23" w:firstLine="0"/>
              <w:rPr>
                <w:rFonts w:ascii="Times New Roman" w:hAnsi="Times New Roman" w:cs="Times New Roman"/>
                <w:b/>
                <w:bCs/>
              </w:rPr>
            </w:pPr>
            <w:r w:rsidRPr="45CF7C08">
              <w:rPr>
                <w:rFonts w:ascii="Times New Roman" w:hAnsi="Times New Roman" w:cs="Times New Roman"/>
                <w:b/>
                <w:bCs/>
              </w:rPr>
              <w:t>Author</w:t>
            </w:r>
          </w:p>
          <w:p w14:paraId="289C0B2E" w14:textId="68841CA0" w:rsidR="00C75D10" w:rsidRPr="008642F5" w:rsidRDefault="45CF7C08" w:rsidP="45CF7C08">
            <w:pPr>
              <w:pStyle w:val="ListParagraph"/>
              <w:numPr>
                <w:ilvl w:val="0"/>
                <w:numId w:val="9"/>
              </w:numPr>
              <w:tabs>
                <w:tab w:val="left" w:pos="159"/>
              </w:tabs>
              <w:spacing w:after="0" w:line="240" w:lineRule="auto"/>
              <w:ind w:left="-23" w:firstLine="0"/>
              <w:rPr>
                <w:rFonts w:ascii="Times New Roman" w:hAnsi="Times New Roman" w:cs="Times New Roman"/>
                <w:b/>
                <w:bCs/>
              </w:rPr>
            </w:pPr>
            <w:r w:rsidRPr="45CF7C08">
              <w:rPr>
                <w:rFonts w:ascii="Times New Roman" w:hAnsi="Times New Roman" w:cs="Times New Roman"/>
                <w:b/>
                <w:bCs/>
              </w:rPr>
              <w:t>Date</w:t>
            </w:r>
          </w:p>
          <w:p w14:paraId="7AF191CB" w14:textId="77777777" w:rsidR="00F819FE" w:rsidRPr="008642F5" w:rsidRDefault="45CF7C08" w:rsidP="45CF7C08">
            <w:pPr>
              <w:pStyle w:val="ListParagraph"/>
              <w:numPr>
                <w:ilvl w:val="0"/>
                <w:numId w:val="9"/>
              </w:numPr>
              <w:tabs>
                <w:tab w:val="left" w:pos="159"/>
              </w:tabs>
              <w:spacing w:after="0" w:line="240" w:lineRule="auto"/>
              <w:ind w:left="157" w:hanging="178"/>
              <w:rPr>
                <w:rFonts w:ascii="Times New Roman" w:hAnsi="Times New Roman" w:cs="Times New Roman"/>
                <w:b/>
                <w:bCs/>
              </w:rPr>
            </w:pPr>
            <w:r w:rsidRPr="45CF7C08">
              <w:rPr>
                <w:rFonts w:ascii="Times New Roman" w:hAnsi="Times New Roman" w:cs="Times New Roman"/>
                <w:b/>
                <w:bCs/>
              </w:rPr>
              <w:t xml:space="preserve">Citation, including page number </w:t>
            </w:r>
          </w:p>
          <w:p w14:paraId="61A2CC6C" w14:textId="2E24E725" w:rsidR="00E37859" w:rsidRPr="008642F5" w:rsidRDefault="45CF7C08" w:rsidP="45CF7C08">
            <w:pPr>
              <w:pStyle w:val="ListParagraph"/>
              <w:numPr>
                <w:ilvl w:val="0"/>
                <w:numId w:val="9"/>
              </w:numPr>
              <w:tabs>
                <w:tab w:val="left" w:pos="159"/>
              </w:tabs>
              <w:spacing w:after="0" w:line="240" w:lineRule="auto"/>
              <w:ind w:left="-21" w:firstLine="0"/>
              <w:rPr>
                <w:b/>
                <w:bCs/>
              </w:rPr>
            </w:pPr>
            <w:r w:rsidRPr="45CF7C08">
              <w:rPr>
                <w:rFonts w:ascii="Times New Roman" w:hAnsi="Times New Roman" w:cs="Times New Roman"/>
                <w:b/>
                <w:bCs/>
              </w:rPr>
              <w:t>URL</w:t>
            </w:r>
          </w:p>
          <w:p w14:paraId="798CD8FD" w14:textId="4A876578" w:rsidR="00C75D10" w:rsidRPr="008642F5" w:rsidRDefault="00C75D10" w:rsidP="008642F5">
            <w:pPr>
              <w:pStyle w:val="ListParagraph"/>
              <w:tabs>
                <w:tab w:val="left" w:pos="159"/>
              </w:tabs>
              <w:spacing w:line="240" w:lineRule="auto"/>
              <w:ind w:left="0" w:firstLine="0"/>
              <w:rPr>
                <w:rFonts w:ascii="Times New Roman" w:hAnsi="Times New Roman" w:cs="Times New Roman"/>
                <w:b/>
              </w:rPr>
            </w:pPr>
          </w:p>
        </w:tc>
        <w:tc>
          <w:tcPr>
            <w:tcW w:w="6143" w:type="dxa"/>
          </w:tcPr>
          <w:p w14:paraId="622F6E2C" w14:textId="77777777" w:rsidR="00FF1275" w:rsidRPr="00FF1275" w:rsidRDefault="45CF7C08" w:rsidP="45CF7C08">
            <w:pPr>
              <w:rPr>
                <w:color w:val="0070C0"/>
                <w:sz w:val="22"/>
                <w:szCs w:val="22"/>
              </w:rPr>
            </w:pPr>
            <w:r w:rsidRPr="45CF7C08">
              <w:rPr>
                <w:color w:val="0070C0"/>
                <w:sz w:val="22"/>
                <w:szCs w:val="22"/>
              </w:rPr>
              <w:t xml:space="preserve">Title: Management of patients with atrial fibrillation (Compilation of 2006 ACCF/AHA/ESC and 2011 ACCF/AHA/HRS recommendations): A report of the American College of Cardiology/American Heart </w:t>
            </w:r>
            <w:proofErr w:type="spellStart"/>
            <w:r w:rsidRPr="45CF7C08">
              <w:rPr>
                <w:color w:val="0070C0"/>
                <w:sz w:val="22"/>
                <w:szCs w:val="22"/>
              </w:rPr>
              <w:t>Associations</w:t>
            </w:r>
            <w:proofErr w:type="spellEnd"/>
            <w:r w:rsidRPr="45CF7C08">
              <w:rPr>
                <w:color w:val="0070C0"/>
                <w:sz w:val="22"/>
                <w:szCs w:val="22"/>
              </w:rPr>
              <w:t xml:space="preserve"> Task Force on Practice Guidelines</w:t>
            </w:r>
          </w:p>
          <w:p w14:paraId="758EA84D" w14:textId="68DFAF38" w:rsidR="00FF1275" w:rsidRPr="00FF1275" w:rsidRDefault="45CF7C08" w:rsidP="45CF7C08">
            <w:pPr>
              <w:rPr>
                <w:color w:val="0070C0"/>
                <w:sz w:val="22"/>
                <w:szCs w:val="22"/>
              </w:rPr>
            </w:pPr>
            <w:r w:rsidRPr="45CF7C08">
              <w:rPr>
                <w:color w:val="0070C0"/>
                <w:sz w:val="22"/>
                <w:szCs w:val="22"/>
              </w:rPr>
              <w:t>Authors: Jeffrey L. Anderson, Jonathan L. Halperin, Nancy M. Albert, </w:t>
            </w:r>
            <w:proofErr w:type="spellStart"/>
            <w:r w:rsidRPr="45CF7C08">
              <w:rPr>
                <w:color w:val="0070C0"/>
                <w:sz w:val="22"/>
                <w:szCs w:val="22"/>
              </w:rPr>
              <w:t>Biykem</w:t>
            </w:r>
            <w:proofErr w:type="spellEnd"/>
            <w:r w:rsidRPr="45CF7C08">
              <w:rPr>
                <w:color w:val="0070C0"/>
                <w:sz w:val="22"/>
                <w:szCs w:val="22"/>
              </w:rPr>
              <w:t xml:space="preserve"> Bozkurt, Ralph G. </w:t>
            </w:r>
            <w:proofErr w:type="spellStart"/>
            <w:r w:rsidRPr="45CF7C08">
              <w:rPr>
                <w:color w:val="0070C0"/>
                <w:sz w:val="22"/>
                <w:szCs w:val="22"/>
              </w:rPr>
              <w:t>Brindis</w:t>
            </w:r>
            <w:proofErr w:type="spellEnd"/>
            <w:r w:rsidRPr="45CF7C08">
              <w:rPr>
                <w:color w:val="0070C0"/>
                <w:sz w:val="22"/>
                <w:szCs w:val="22"/>
              </w:rPr>
              <w:t xml:space="preserve">, Lesley H. Curtis, David </w:t>
            </w:r>
            <w:proofErr w:type="spellStart"/>
            <w:r w:rsidRPr="45CF7C08">
              <w:rPr>
                <w:color w:val="0070C0"/>
                <w:sz w:val="22"/>
                <w:szCs w:val="22"/>
              </w:rPr>
              <w:t>DeMets</w:t>
            </w:r>
            <w:proofErr w:type="spellEnd"/>
            <w:r w:rsidRPr="45CF7C08">
              <w:rPr>
                <w:color w:val="0070C0"/>
                <w:sz w:val="22"/>
                <w:szCs w:val="22"/>
              </w:rPr>
              <w:t xml:space="preserve">, Robert A. Guyton, Judith S. Hochman, Richard J. Kovacs, E. Magnus </w:t>
            </w:r>
            <w:proofErr w:type="spellStart"/>
            <w:r w:rsidRPr="45CF7C08">
              <w:rPr>
                <w:color w:val="0070C0"/>
                <w:sz w:val="22"/>
                <w:szCs w:val="22"/>
              </w:rPr>
              <w:t>Ohman</w:t>
            </w:r>
            <w:proofErr w:type="spellEnd"/>
            <w:r w:rsidRPr="45CF7C08">
              <w:rPr>
                <w:color w:val="0070C0"/>
                <w:sz w:val="22"/>
                <w:szCs w:val="22"/>
              </w:rPr>
              <w:t xml:space="preserve">, Susan J. Pressler, Frank W. </w:t>
            </w:r>
            <w:proofErr w:type="spellStart"/>
            <w:r w:rsidRPr="45CF7C08">
              <w:rPr>
                <w:color w:val="0070C0"/>
                <w:sz w:val="22"/>
                <w:szCs w:val="22"/>
              </w:rPr>
              <w:t>Sellke</w:t>
            </w:r>
            <w:proofErr w:type="spellEnd"/>
            <w:r w:rsidRPr="45CF7C08">
              <w:rPr>
                <w:color w:val="0070C0"/>
                <w:sz w:val="22"/>
                <w:szCs w:val="22"/>
              </w:rPr>
              <w:t>, Win-</w:t>
            </w:r>
            <w:proofErr w:type="spellStart"/>
            <w:r w:rsidRPr="45CF7C08">
              <w:rPr>
                <w:color w:val="0070C0"/>
                <w:sz w:val="22"/>
                <w:szCs w:val="22"/>
              </w:rPr>
              <w:t>Kuang</w:t>
            </w:r>
            <w:proofErr w:type="spellEnd"/>
            <w:r w:rsidRPr="45CF7C08">
              <w:rPr>
                <w:color w:val="0070C0"/>
                <w:sz w:val="22"/>
                <w:szCs w:val="22"/>
              </w:rPr>
              <w:t xml:space="preserve"> Shen</w:t>
            </w:r>
          </w:p>
          <w:p w14:paraId="08D56FD7" w14:textId="77777777" w:rsidR="00FF1275" w:rsidRPr="00FF1275" w:rsidRDefault="45CF7C08" w:rsidP="45CF7C08">
            <w:pPr>
              <w:rPr>
                <w:color w:val="0070C0"/>
                <w:sz w:val="22"/>
                <w:szCs w:val="22"/>
              </w:rPr>
            </w:pPr>
            <w:r w:rsidRPr="45CF7C08">
              <w:rPr>
                <w:color w:val="0070C0"/>
                <w:sz w:val="22"/>
                <w:szCs w:val="22"/>
              </w:rPr>
              <w:t>Date: May 6, 2013</w:t>
            </w:r>
          </w:p>
          <w:p w14:paraId="597997AA" w14:textId="77777777" w:rsidR="00C75D10" w:rsidRDefault="45CF7C08" w:rsidP="45CF7C08">
            <w:pPr>
              <w:rPr>
                <w:color w:val="0070C0"/>
                <w:sz w:val="22"/>
                <w:szCs w:val="22"/>
              </w:rPr>
            </w:pPr>
            <w:r w:rsidRPr="45CF7C08">
              <w:rPr>
                <w:color w:val="0070C0"/>
                <w:sz w:val="22"/>
                <w:szCs w:val="22"/>
              </w:rPr>
              <w:t xml:space="preserve">Citation: Anderson JL, Halperin JL, Albert NM, et al. Management of patients with atrial fibrillation (compilation of 2006 ACCF/AHA/ESC and 2011 ACCF/AHA/HRS recommendations): a report of the American College of Cardiology/American Heart Association Task Force on Practice Guidelines. </w:t>
            </w:r>
            <w:r w:rsidRPr="45CF7C08">
              <w:rPr>
                <w:i/>
                <w:iCs/>
                <w:color w:val="0070C0"/>
                <w:sz w:val="22"/>
                <w:szCs w:val="22"/>
              </w:rPr>
              <w:t xml:space="preserve">Journal of the American College of Cardiology. </w:t>
            </w:r>
            <w:r w:rsidRPr="45CF7C08">
              <w:rPr>
                <w:color w:val="0070C0"/>
                <w:sz w:val="22"/>
                <w:szCs w:val="22"/>
              </w:rPr>
              <w:t xml:space="preserve">2013;61(18):1935-1944. </w:t>
            </w:r>
            <w:proofErr w:type="spellStart"/>
            <w:r w:rsidRPr="45CF7C08">
              <w:rPr>
                <w:color w:val="0070C0"/>
                <w:sz w:val="22"/>
                <w:szCs w:val="22"/>
              </w:rPr>
              <w:t>doi</w:t>
            </w:r>
            <w:proofErr w:type="spellEnd"/>
            <w:r w:rsidRPr="45CF7C08">
              <w:rPr>
                <w:color w:val="0070C0"/>
                <w:sz w:val="22"/>
                <w:szCs w:val="22"/>
              </w:rPr>
              <w:t>: 10.1016/j.jacc.2013.02.001. (page 1918)</w:t>
            </w:r>
          </w:p>
          <w:p w14:paraId="1EA760DE" w14:textId="135F32B5" w:rsidR="001F48CC" w:rsidRPr="00487325" w:rsidRDefault="45CF7C08" w:rsidP="45CF7C08">
            <w:pPr>
              <w:rPr>
                <w:color w:val="0070C0"/>
                <w:sz w:val="22"/>
                <w:szCs w:val="22"/>
              </w:rPr>
            </w:pPr>
            <w:r w:rsidRPr="45CF7C08">
              <w:rPr>
                <w:color w:val="0070C0"/>
                <w:sz w:val="22"/>
                <w:szCs w:val="22"/>
              </w:rPr>
              <w:t xml:space="preserve">URL: </w:t>
            </w:r>
            <w:hyperlink r:id="rId17">
              <w:r w:rsidRPr="45CF7C08">
                <w:rPr>
                  <w:rStyle w:val="Hyperlink"/>
                  <w:sz w:val="22"/>
                  <w:szCs w:val="22"/>
                </w:rPr>
                <w:t>https://www.ncbi.nlm.nih.gov/pubmed/23558044</w:t>
              </w:r>
            </w:hyperlink>
            <w:r w:rsidRPr="45CF7C08">
              <w:rPr>
                <w:color w:val="0070C0"/>
                <w:sz w:val="22"/>
                <w:szCs w:val="22"/>
              </w:rPr>
              <w:t xml:space="preserve"> </w:t>
            </w:r>
          </w:p>
        </w:tc>
      </w:tr>
      <w:tr w:rsidR="00EE0FAB" w:rsidRPr="008F6E02" w14:paraId="66FC0BD8" w14:textId="77777777" w:rsidTr="45CF7C08">
        <w:tc>
          <w:tcPr>
            <w:tcW w:w="3055" w:type="dxa"/>
          </w:tcPr>
          <w:p w14:paraId="1377176D" w14:textId="77777777" w:rsidR="00C75D10" w:rsidRPr="008642F5" w:rsidRDefault="45CF7C08" w:rsidP="45CF7C08">
            <w:pPr>
              <w:rPr>
                <w:sz w:val="22"/>
                <w:szCs w:val="22"/>
              </w:rPr>
            </w:pPr>
            <w:r w:rsidRPr="45CF7C08">
              <w:rPr>
                <w:sz w:val="22"/>
                <w:szCs w:val="22"/>
              </w:rPr>
              <w:t>Quote the guideline or recommendation verbatim about the process, structure or intermediate outcome being measured. If not a guideline, summarize the conclusions from the SR.</w:t>
            </w:r>
          </w:p>
        </w:tc>
        <w:tc>
          <w:tcPr>
            <w:tcW w:w="6143" w:type="dxa"/>
          </w:tcPr>
          <w:p w14:paraId="0FAFD145" w14:textId="04F36842" w:rsidR="00C75D10" w:rsidRPr="008642F5" w:rsidRDefault="45CF7C08" w:rsidP="45CF7C08">
            <w:pPr>
              <w:rPr>
                <w:color w:val="0070C0"/>
                <w:sz w:val="22"/>
                <w:szCs w:val="22"/>
              </w:rPr>
            </w:pPr>
            <w:r w:rsidRPr="45CF7C08">
              <w:rPr>
                <w:color w:val="0070C0"/>
                <w:sz w:val="22"/>
                <w:szCs w:val="22"/>
              </w:rPr>
              <w:t>“5. INR should be determined at least weekly during initiation of therapy and monthly when anticoagulation is stable.”</w:t>
            </w:r>
          </w:p>
        </w:tc>
      </w:tr>
      <w:tr w:rsidR="00EE0FAB" w:rsidRPr="008F6E02" w14:paraId="57C6512D" w14:textId="77777777" w:rsidTr="45CF7C08">
        <w:tc>
          <w:tcPr>
            <w:tcW w:w="3055" w:type="dxa"/>
          </w:tcPr>
          <w:p w14:paraId="6E5F5E1E" w14:textId="77777777" w:rsidR="00C75D10" w:rsidRPr="008642F5" w:rsidRDefault="45CF7C08" w:rsidP="45CF7C08">
            <w:pPr>
              <w:rPr>
                <w:sz w:val="22"/>
                <w:szCs w:val="22"/>
              </w:rPr>
            </w:pPr>
            <w:r w:rsidRPr="45CF7C08">
              <w:rPr>
                <w:sz w:val="22"/>
                <w:szCs w:val="22"/>
              </w:rPr>
              <w:t xml:space="preserve">Grade assigned to the </w:t>
            </w:r>
            <w:r w:rsidRPr="45CF7C08">
              <w:rPr>
                <w:b/>
                <w:bCs/>
                <w:sz w:val="22"/>
                <w:szCs w:val="22"/>
              </w:rPr>
              <w:t>evidence</w:t>
            </w:r>
            <w:r w:rsidRPr="45CF7C08">
              <w:rPr>
                <w:sz w:val="22"/>
                <w:szCs w:val="22"/>
              </w:rPr>
              <w:t xml:space="preserve"> associated with the recommendation with the definition of the grade</w:t>
            </w:r>
          </w:p>
        </w:tc>
        <w:tc>
          <w:tcPr>
            <w:tcW w:w="6143" w:type="dxa"/>
          </w:tcPr>
          <w:p w14:paraId="79ED6F97" w14:textId="41AABBCB" w:rsidR="00475C77" w:rsidRPr="00475C77" w:rsidRDefault="00475C77" w:rsidP="45CF7C08">
            <w:pPr>
              <w:rPr>
                <w:color w:val="0070C0"/>
              </w:rPr>
            </w:pPr>
            <w:r w:rsidRPr="00475C77">
              <w:rPr>
                <w:rStyle w:val="normaltextrun"/>
                <w:color w:val="0070C0"/>
                <w:sz w:val="22"/>
                <w:szCs w:val="22"/>
                <w:shd w:val="clear" w:color="auto" w:fill="FFFFFF"/>
              </w:rPr>
              <w:t>(definitions provided in </w:t>
            </w:r>
            <w:proofErr w:type="spellStart"/>
            <w:r w:rsidRPr="00475C77">
              <w:rPr>
                <w:rStyle w:val="normaltextrun"/>
                <w:color w:val="0070C0"/>
                <w:sz w:val="22"/>
                <w:szCs w:val="22"/>
                <w:shd w:val="clear" w:color="auto" w:fill="FFFFFF"/>
              </w:rPr>
              <w:t>Fuster</w:t>
            </w:r>
            <w:proofErr w:type="spellEnd"/>
            <w:r w:rsidRPr="00475C77">
              <w:rPr>
                <w:rStyle w:val="normaltextrun"/>
                <w:color w:val="0070C0"/>
                <w:sz w:val="22"/>
                <w:szCs w:val="22"/>
                <w:shd w:val="clear" w:color="auto" w:fill="FFFFFF"/>
              </w:rPr>
              <w:t> et al., 2011)</w:t>
            </w:r>
            <w:r w:rsidRPr="00475C77">
              <w:rPr>
                <w:color w:val="0070C0"/>
              </w:rPr>
              <w:t>:</w:t>
            </w:r>
          </w:p>
          <w:p w14:paraId="78BBCE98" w14:textId="3CDCB3E0" w:rsidR="00585BE3" w:rsidRDefault="45CF7C08" w:rsidP="45CF7C08">
            <w:pPr>
              <w:rPr>
                <w:color w:val="0070C0"/>
                <w:sz w:val="22"/>
                <w:szCs w:val="22"/>
              </w:rPr>
            </w:pPr>
            <w:r w:rsidRPr="45CF7C08">
              <w:rPr>
                <w:color w:val="0070C0"/>
                <w:sz w:val="22"/>
                <w:szCs w:val="22"/>
              </w:rPr>
              <w:t>Class I = Benefit &gt;&gt;&gt; Risk. Procedure/Treatment SHOULD be performed/administered.</w:t>
            </w:r>
          </w:p>
          <w:p w14:paraId="3BD79044" w14:textId="2227A335" w:rsidR="00C75D10" w:rsidRPr="003E5E8C" w:rsidRDefault="45CF7C08" w:rsidP="45CF7C08">
            <w:pPr>
              <w:rPr>
                <w:color w:val="0070C0"/>
                <w:sz w:val="22"/>
                <w:szCs w:val="22"/>
              </w:rPr>
            </w:pPr>
            <w:r w:rsidRPr="45CF7C08">
              <w:rPr>
                <w:color w:val="0070C0"/>
                <w:sz w:val="22"/>
                <w:szCs w:val="22"/>
              </w:rPr>
              <w:t>Evidence Level: A - Multiple populations evaluated. Data derived from multiple randomized clinical trials or meta-analyses.</w:t>
            </w:r>
          </w:p>
        </w:tc>
      </w:tr>
      <w:tr w:rsidR="00EE0FAB" w:rsidRPr="008F6E02" w14:paraId="2706C074" w14:textId="77777777" w:rsidTr="45CF7C08">
        <w:tc>
          <w:tcPr>
            <w:tcW w:w="3055" w:type="dxa"/>
          </w:tcPr>
          <w:p w14:paraId="6E250855" w14:textId="77777777" w:rsidR="00C75D10" w:rsidRPr="008642F5" w:rsidRDefault="45CF7C08" w:rsidP="45CF7C08">
            <w:pPr>
              <w:rPr>
                <w:color w:val="0070C0"/>
                <w:sz w:val="22"/>
                <w:szCs w:val="22"/>
              </w:rPr>
            </w:pPr>
            <w:r w:rsidRPr="45CF7C08">
              <w:rPr>
                <w:sz w:val="22"/>
                <w:szCs w:val="22"/>
              </w:rPr>
              <w:t>Provide all other grades and definitions from the evidence grading system</w:t>
            </w:r>
          </w:p>
        </w:tc>
        <w:tc>
          <w:tcPr>
            <w:tcW w:w="6143" w:type="dxa"/>
          </w:tcPr>
          <w:p w14:paraId="52010E36" w14:textId="022E14B2" w:rsidR="00475C77" w:rsidRPr="00475C77" w:rsidRDefault="00475C77" w:rsidP="45CF7C08">
            <w:pPr>
              <w:rPr>
                <w:color w:val="0070C0"/>
              </w:rPr>
            </w:pPr>
            <w:r w:rsidRPr="00475C77">
              <w:rPr>
                <w:rStyle w:val="normaltextrun"/>
                <w:color w:val="0070C0"/>
                <w:sz w:val="22"/>
                <w:szCs w:val="22"/>
                <w:shd w:val="clear" w:color="auto" w:fill="FFFFFF"/>
              </w:rPr>
              <w:t>(definitions provided in </w:t>
            </w:r>
            <w:proofErr w:type="spellStart"/>
            <w:r w:rsidRPr="00475C77">
              <w:rPr>
                <w:rStyle w:val="normaltextrun"/>
                <w:color w:val="0070C0"/>
                <w:sz w:val="22"/>
                <w:szCs w:val="22"/>
                <w:shd w:val="clear" w:color="auto" w:fill="FFFFFF"/>
              </w:rPr>
              <w:t>Fuster</w:t>
            </w:r>
            <w:proofErr w:type="spellEnd"/>
            <w:r w:rsidRPr="00475C77">
              <w:rPr>
                <w:rStyle w:val="normaltextrun"/>
                <w:color w:val="0070C0"/>
                <w:sz w:val="22"/>
                <w:szCs w:val="22"/>
                <w:shd w:val="clear" w:color="auto" w:fill="FFFFFF"/>
              </w:rPr>
              <w:t> et al., 2011)</w:t>
            </w:r>
            <w:r w:rsidRPr="00475C77">
              <w:rPr>
                <w:color w:val="0070C0"/>
              </w:rPr>
              <w:t>:</w:t>
            </w:r>
          </w:p>
          <w:p w14:paraId="3A8AE930" w14:textId="7AE22DB9" w:rsidR="00E37859" w:rsidRPr="008642F5" w:rsidRDefault="45CF7C08" w:rsidP="45CF7C08">
            <w:pPr>
              <w:rPr>
                <w:color w:val="0070C0"/>
                <w:sz w:val="22"/>
                <w:szCs w:val="22"/>
              </w:rPr>
            </w:pPr>
            <w:r w:rsidRPr="45CF7C08">
              <w:rPr>
                <w:color w:val="0070C0"/>
                <w:sz w:val="22"/>
                <w:szCs w:val="22"/>
              </w:rPr>
              <w:t>Level B = Limited populations evaluated. Data derived from a single randomized trial or nonrandomized studies.</w:t>
            </w:r>
          </w:p>
          <w:p w14:paraId="0FED8B54" w14:textId="6A23DA37" w:rsidR="00C75D10" w:rsidRPr="008642F5" w:rsidRDefault="45CF7C08" w:rsidP="45CF7C08">
            <w:pPr>
              <w:rPr>
                <w:color w:val="0070C0"/>
                <w:sz w:val="22"/>
                <w:szCs w:val="22"/>
              </w:rPr>
            </w:pPr>
            <w:r w:rsidRPr="45CF7C08">
              <w:rPr>
                <w:color w:val="0070C0"/>
                <w:sz w:val="22"/>
                <w:szCs w:val="22"/>
              </w:rPr>
              <w:t>Level C = Very limited populations evaluated. Only consensus opinion of experts, case studies, or standard of care.</w:t>
            </w:r>
          </w:p>
        </w:tc>
      </w:tr>
      <w:tr w:rsidR="00EE0FAB" w:rsidRPr="008F6E02" w14:paraId="32DCB000" w14:textId="77777777" w:rsidTr="45CF7C08">
        <w:trPr>
          <w:trHeight w:val="386"/>
        </w:trPr>
        <w:tc>
          <w:tcPr>
            <w:tcW w:w="3055" w:type="dxa"/>
          </w:tcPr>
          <w:p w14:paraId="4911D8B0" w14:textId="77777777" w:rsidR="00C75D10" w:rsidRPr="008642F5" w:rsidRDefault="45CF7C08" w:rsidP="45CF7C08">
            <w:pPr>
              <w:rPr>
                <w:sz w:val="22"/>
                <w:szCs w:val="22"/>
              </w:rPr>
            </w:pPr>
            <w:r w:rsidRPr="45CF7C08">
              <w:rPr>
                <w:sz w:val="22"/>
                <w:szCs w:val="22"/>
              </w:rPr>
              <w:t xml:space="preserve">Grade assigned to the </w:t>
            </w:r>
            <w:r w:rsidRPr="45CF7C08">
              <w:rPr>
                <w:b/>
                <w:bCs/>
                <w:sz w:val="22"/>
                <w:szCs w:val="22"/>
              </w:rPr>
              <w:t>recommendation</w:t>
            </w:r>
            <w:r w:rsidRPr="45CF7C08">
              <w:rPr>
                <w:sz w:val="22"/>
                <w:szCs w:val="22"/>
              </w:rPr>
              <w:t xml:space="preserve"> with definition of the grade</w:t>
            </w:r>
          </w:p>
        </w:tc>
        <w:tc>
          <w:tcPr>
            <w:tcW w:w="6143" w:type="dxa"/>
          </w:tcPr>
          <w:p w14:paraId="609DD70A" w14:textId="7BC620B8" w:rsidR="00475C77" w:rsidRDefault="45CF7C08" w:rsidP="45CF7C08">
            <w:pPr>
              <w:rPr>
                <w:color w:val="0070C0"/>
                <w:sz w:val="22"/>
                <w:szCs w:val="22"/>
              </w:rPr>
            </w:pPr>
            <w:r w:rsidRPr="45CF7C08">
              <w:rPr>
                <w:color w:val="0070C0"/>
                <w:sz w:val="22"/>
                <w:szCs w:val="22"/>
              </w:rPr>
              <w:t>(definitions provided in </w:t>
            </w:r>
            <w:proofErr w:type="spellStart"/>
            <w:r w:rsidRPr="45CF7C08">
              <w:rPr>
                <w:color w:val="0070C0"/>
                <w:sz w:val="22"/>
                <w:szCs w:val="22"/>
              </w:rPr>
              <w:t>Fuster</w:t>
            </w:r>
            <w:proofErr w:type="spellEnd"/>
            <w:r w:rsidRPr="45CF7C08">
              <w:rPr>
                <w:color w:val="0070C0"/>
                <w:sz w:val="22"/>
                <w:szCs w:val="22"/>
              </w:rPr>
              <w:t> et al., 2011):</w:t>
            </w:r>
          </w:p>
          <w:p w14:paraId="7FB3E171" w14:textId="4580287B" w:rsidR="00C75D10" w:rsidRPr="008642F5" w:rsidRDefault="45CF7C08" w:rsidP="45CF7C08">
            <w:pPr>
              <w:rPr>
                <w:color w:val="0070C0"/>
                <w:sz w:val="22"/>
                <w:szCs w:val="22"/>
              </w:rPr>
            </w:pPr>
            <w:r w:rsidRPr="45CF7C08">
              <w:rPr>
                <w:color w:val="0070C0"/>
                <w:sz w:val="22"/>
                <w:szCs w:val="22"/>
              </w:rPr>
              <w:t>Recommendation: Class I - Multiple populations evaluated. Data derived from multiple randomized clinical trials or meta-analyses.</w:t>
            </w:r>
          </w:p>
        </w:tc>
      </w:tr>
      <w:tr w:rsidR="00EE0FAB" w:rsidRPr="008F6E02" w14:paraId="40C3AAA6" w14:textId="77777777" w:rsidTr="45CF7C08">
        <w:tc>
          <w:tcPr>
            <w:tcW w:w="3055" w:type="dxa"/>
          </w:tcPr>
          <w:p w14:paraId="5758C4E5" w14:textId="77777777" w:rsidR="00C75D10" w:rsidRPr="008642F5" w:rsidRDefault="45CF7C08" w:rsidP="45CF7C08">
            <w:pPr>
              <w:rPr>
                <w:sz w:val="22"/>
                <w:szCs w:val="22"/>
              </w:rPr>
            </w:pPr>
            <w:r w:rsidRPr="45CF7C08">
              <w:rPr>
                <w:sz w:val="22"/>
                <w:szCs w:val="22"/>
              </w:rPr>
              <w:t>Provide all other grades and definitions from the recommendation grading system</w:t>
            </w:r>
          </w:p>
        </w:tc>
        <w:tc>
          <w:tcPr>
            <w:tcW w:w="6143" w:type="dxa"/>
          </w:tcPr>
          <w:p w14:paraId="1CD9549E" w14:textId="1B2EBA6A" w:rsidR="00475C77" w:rsidRDefault="45CF7C08" w:rsidP="45CF7C08">
            <w:pPr>
              <w:rPr>
                <w:color w:val="0070C0"/>
                <w:sz w:val="22"/>
                <w:szCs w:val="22"/>
              </w:rPr>
            </w:pPr>
            <w:r w:rsidRPr="45CF7C08">
              <w:rPr>
                <w:color w:val="0070C0"/>
                <w:sz w:val="22"/>
                <w:szCs w:val="22"/>
              </w:rPr>
              <w:t>(definitions provided in </w:t>
            </w:r>
            <w:proofErr w:type="spellStart"/>
            <w:r w:rsidRPr="45CF7C08">
              <w:rPr>
                <w:color w:val="0070C0"/>
                <w:sz w:val="22"/>
                <w:szCs w:val="22"/>
              </w:rPr>
              <w:t>Fuster</w:t>
            </w:r>
            <w:proofErr w:type="spellEnd"/>
            <w:r w:rsidRPr="45CF7C08">
              <w:rPr>
                <w:color w:val="0070C0"/>
                <w:sz w:val="22"/>
                <w:szCs w:val="22"/>
              </w:rPr>
              <w:t> et al., 2011):</w:t>
            </w:r>
          </w:p>
          <w:p w14:paraId="39460588" w14:textId="617E4DEB" w:rsidR="00E37859" w:rsidRPr="008642F5" w:rsidRDefault="45CF7C08" w:rsidP="45CF7C08">
            <w:pPr>
              <w:rPr>
                <w:color w:val="0070C0"/>
                <w:sz w:val="22"/>
                <w:szCs w:val="22"/>
              </w:rPr>
            </w:pPr>
            <w:r w:rsidRPr="45CF7C08">
              <w:rPr>
                <w:color w:val="0070C0"/>
                <w:sz w:val="22"/>
                <w:szCs w:val="22"/>
              </w:rPr>
              <w:t xml:space="preserve">Class </w:t>
            </w:r>
            <w:proofErr w:type="spellStart"/>
            <w:r w:rsidRPr="45CF7C08">
              <w:rPr>
                <w:color w:val="0070C0"/>
                <w:sz w:val="22"/>
                <w:szCs w:val="22"/>
              </w:rPr>
              <w:t>IIa</w:t>
            </w:r>
            <w:proofErr w:type="spellEnd"/>
            <w:r w:rsidRPr="45CF7C08">
              <w:rPr>
                <w:color w:val="0070C0"/>
                <w:sz w:val="22"/>
                <w:szCs w:val="22"/>
              </w:rPr>
              <w:t xml:space="preserve"> = Benefit &gt;&gt; Risk. Additional studies with focused objectives needed. IT IS REASONABLE to perform procedure/administer treatment.</w:t>
            </w:r>
          </w:p>
          <w:p w14:paraId="4E4F14F0" w14:textId="77777777" w:rsidR="00E37859" w:rsidRPr="008642F5" w:rsidRDefault="45CF7C08" w:rsidP="45CF7C08">
            <w:pPr>
              <w:rPr>
                <w:color w:val="0070C0"/>
                <w:sz w:val="22"/>
                <w:szCs w:val="22"/>
              </w:rPr>
            </w:pPr>
            <w:r w:rsidRPr="45CF7C08">
              <w:rPr>
                <w:color w:val="0070C0"/>
                <w:sz w:val="22"/>
                <w:szCs w:val="22"/>
              </w:rPr>
              <w:lastRenderedPageBreak/>
              <w:t>Class IIb = Benefit ≥ Risk. Additional studies with broad objectives needed; additional registry data would be helpful. Procedure/Treatment MAY BE CONSIDERED.</w:t>
            </w:r>
          </w:p>
          <w:p w14:paraId="4AE30F8E" w14:textId="77777777" w:rsidR="00E37859" w:rsidRPr="008642F5" w:rsidRDefault="45CF7C08" w:rsidP="45CF7C08">
            <w:pPr>
              <w:rPr>
                <w:color w:val="0070C0"/>
                <w:sz w:val="22"/>
                <w:szCs w:val="22"/>
              </w:rPr>
            </w:pPr>
            <w:r w:rsidRPr="45CF7C08">
              <w:rPr>
                <w:color w:val="0070C0"/>
                <w:sz w:val="22"/>
                <w:szCs w:val="22"/>
              </w:rPr>
              <w:t>Class III No Benefit = Procedure/Test is not helpful. Treatment has no proven benefit.</w:t>
            </w:r>
          </w:p>
          <w:p w14:paraId="37472E30" w14:textId="5C1AE662" w:rsidR="00C75D10" w:rsidRPr="008642F5" w:rsidRDefault="45CF7C08" w:rsidP="45CF7C08">
            <w:pPr>
              <w:ind w:left="2" w:hanging="2"/>
              <w:rPr>
                <w:sz w:val="22"/>
                <w:szCs w:val="22"/>
              </w:rPr>
            </w:pPr>
            <w:r w:rsidRPr="45CF7C08">
              <w:rPr>
                <w:color w:val="0070C0"/>
                <w:sz w:val="22"/>
                <w:szCs w:val="22"/>
              </w:rPr>
              <w:t>Class III Harm = Procedure/Test entails excess cost without benefit or is harmful. Treatment is harmful to patients.</w:t>
            </w:r>
          </w:p>
        </w:tc>
      </w:tr>
      <w:tr w:rsidR="00EE0FAB" w:rsidRPr="008F6E02" w14:paraId="112519FE" w14:textId="77777777" w:rsidTr="45CF7C08">
        <w:trPr>
          <w:trHeight w:val="629"/>
        </w:trPr>
        <w:tc>
          <w:tcPr>
            <w:tcW w:w="3055" w:type="dxa"/>
          </w:tcPr>
          <w:p w14:paraId="2D767986" w14:textId="77777777" w:rsidR="00C75D10" w:rsidRPr="008642F5" w:rsidRDefault="45CF7C08" w:rsidP="45CF7C08">
            <w:pPr>
              <w:rPr>
                <w:sz w:val="22"/>
                <w:szCs w:val="22"/>
              </w:rPr>
            </w:pPr>
            <w:r w:rsidRPr="45CF7C08">
              <w:rPr>
                <w:sz w:val="22"/>
                <w:szCs w:val="22"/>
              </w:rPr>
              <w:lastRenderedPageBreak/>
              <w:t>Body of evidence:</w:t>
            </w:r>
          </w:p>
          <w:p w14:paraId="3520CDA4" w14:textId="77777777" w:rsidR="00C75D10" w:rsidRPr="008642F5" w:rsidRDefault="45CF7C08" w:rsidP="45CF7C08">
            <w:pPr>
              <w:pStyle w:val="ListParagraph"/>
              <w:numPr>
                <w:ilvl w:val="0"/>
                <w:numId w:val="10"/>
              </w:numPr>
              <w:tabs>
                <w:tab w:val="left" w:pos="159"/>
              </w:tabs>
              <w:spacing w:after="0" w:line="240" w:lineRule="auto"/>
              <w:ind w:left="-21" w:firstLine="0"/>
              <w:rPr>
                <w:rFonts w:ascii="Times New Roman" w:hAnsi="Times New Roman" w:cs="Times New Roman"/>
              </w:rPr>
            </w:pPr>
            <w:r w:rsidRPr="45CF7C08">
              <w:rPr>
                <w:rFonts w:ascii="Times New Roman" w:hAnsi="Times New Roman" w:cs="Times New Roman"/>
              </w:rPr>
              <w:t>Quantity – how many studies?</w:t>
            </w:r>
          </w:p>
          <w:p w14:paraId="467DDCC0" w14:textId="77777777" w:rsidR="00C75D10" w:rsidRPr="008642F5" w:rsidRDefault="45CF7C08" w:rsidP="45CF7C08">
            <w:pPr>
              <w:pStyle w:val="ListParagraph"/>
              <w:numPr>
                <w:ilvl w:val="0"/>
                <w:numId w:val="10"/>
              </w:numPr>
              <w:tabs>
                <w:tab w:val="left" w:pos="159"/>
              </w:tabs>
              <w:spacing w:after="0" w:line="240" w:lineRule="auto"/>
              <w:ind w:left="157" w:hanging="178"/>
              <w:rPr>
                <w:rFonts w:ascii="Times New Roman" w:hAnsi="Times New Roman" w:cs="Times New Roman"/>
              </w:rPr>
            </w:pPr>
            <w:r w:rsidRPr="45CF7C08">
              <w:rPr>
                <w:rFonts w:ascii="Times New Roman" w:hAnsi="Times New Roman" w:cs="Times New Roman"/>
              </w:rPr>
              <w:t>Quality – what type of studies?</w:t>
            </w:r>
          </w:p>
        </w:tc>
        <w:tc>
          <w:tcPr>
            <w:tcW w:w="6143" w:type="dxa"/>
          </w:tcPr>
          <w:p w14:paraId="4E232B4D" w14:textId="77777777" w:rsidR="00757938" w:rsidRDefault="45CF7C08" w:rsidP="45CF7C08">
            <w:pPr>
              <w:jc w:val="both"/>
              <w:rPr>
                <w:rFonts w:eastAsia="Times New Roman"/>
                <w:color w:val="FF0000"/>
                <w:sz w:val="22"/>
                <w:szCs w:val="22"/>
              </w:rPr>
            </w:pPr>
            <w:r w:rsidRPr="45CF7C08">
              <w:rPr>
                <w:rFonts w:eastAsia="Times New Roman"/>
                <w:color w:val="FF0000"/>
                <w:sz w:val="22"/>
                <w:szCs w:val="22"/>
              </w:rPr>
              <w:t>Quantity of studies on which the recommendation was made: N/A</w:t>
            </w:r>
          </w:p>
          <w:p w14:paraId="78352A4C" w14:textId="77777777" w:rsidR="00757938" w:rsidRDefault="00757938" w:rsidP="008642F5">
            <w:pPr>
              <w:jc w:val="both"/>
              <w:rPr>
                <w:rFonts w:eastAsia="Times New Roman"/>
                <w:color w:val="FF0000"/>
                <w:sz w:val="22"/>
                <w:szCs w:val="22"/>
              </w:rPr>
            </w:pPr>
          </w:p>
          <w:p w14:paraId="65DAE007" w14:textId="3924413D" w:rsidR="009A66C3" w:rsidRDefault="45CF7C08" w:rsidP="45CF7C08">
            <w:pPr>
              <w:jc w:val="both"/>
              <w:rPr>
                <w:rFonts w:eastAsia="Times New Roman"/>
                <w:color w:val="FF0000"/>
                <w:sz w:val="22"/>
                <w:szCs w:val="22"/>
              </w:rPr>
            </w:pPr>
            <w:r w:rsidRPr="45CF7C08">
              <w:rPr>
                <w:rFonts w:eastAsia="Times New Roman"/>
                <w:color w:val="FF0000"/>
                <w:sz w:val="22"/>
                <w:szCs w:val="22"/>
              </w:rPr>
              <w:t>Quality:</w:t>
            </w:r>
            <w:r w:rsidRPr="45CF7C08">
              <w:rPr>
                <w:color w:val="0070C0"/>
                <w:sz w:val="22"/>
                <w:szCs w:val="22"/>
              </w:rPr>
              <w:t xml:space="preserve"> </w:t>
            </w:r>
            <w:r w:rsidRPr="45CF7C08">
              <w:rPr>
                <w:color w:val="FF0000"/>
                <w:sz w:val="22"/>
                <w:szCs w:val="22"/>
              </w:rPr>
              <w:t>Evidence Level: A - Multiple populations evaluated. Data derived from multiple randomized clinical trials or meta-analyses.</w:t>
            </w:r>
          </w:p>
          <w:p w14:paraId="612A666A" w14:textId="32A7D42A" w:rsidR="00D75FFF" w:rsidRDefault="00D75FFF" w:rsidP="008642F5">
            <w:pPr>
              <w:jc w:val="both"/>
              <w:rPr>
                <w:rFonts w:eastAsia="Times New Roman"/>
                <w:color w:val="FF0000"/>
                <w:sz w:val="22"/>
                <w:szCs w:val="22"/>
              </w:rPr>
            </w:pPr>
          </w:p>
          <w:p w14:paraId="6B83190F" w14:textId="41A61D3F" w:rsidR="00D75FFF" w:rsidRDefault="45CF7C08" w:rsidP="45CF7C08">
            <w:pPr>
              <w:jc w:val="both"/>
              <w:rPr>
                <w:rFonts w:eastAsia="Times New Roman"/>
                <w:color w:val="FF0000"/>
                <w:sz w:val="22"/>
                <w:szCs w:val="22"/>
              </w:rPr>
            </w:pPr>
            <w:r w:rsidRPr="45CF7C08">
              <w:rPr>
                <w:rFonts w:eastAsia="Times New Roman"/>
                <w:color w:val="FF0000"/>
                <w:sz w:val="22"/>
                <w:szCs w:val="22"/>
              </w:rPr>
              <w:t>Methods Notes:</w:t>
            </w:r>
          </w:p>
          <w:p w14:paraId="658A9939" w14:textId="274085AD" w:rsidR="00C75D10" w:rsidRPr="008642F5" w:rsidRDefault="45CF7C08" w:rsidP="45CF7C08">
            <w:pPr>
              <w:jc w:val="both"/>
              <w:rPr>
                <w:rFonts w:eastAsia="Times New Roman"/>
                <w:sz w:val="22"/>
                <w:szCs w:val="22"/>
              </w:rPr>
            </w:pPr>
            <w:r w:rsidRPr="45CF7C08">
              <w:rPr>
                <w:rFonts w:eastAsia="Times New Roman"/>
                <w:color w:val="FF0000"/>
                <w:sz w:val="22"/>
                <w:szCs w:val="22"/>
              </w:rPr>
              <w:t>“This document is a compilation of the current American College of Cardiology Foundation/American Heart Association (ACCF/AHA) practice guideline recommendations for atrial fibrillation (AF) from the “ACC/AHA/ESC 2006 Guidelines for the Management of Patients With Atrial Fibrillation,” the “2011 ACCF/AHA/HRS Focused Update on the Management of Patients With Atrial Fibrillation (Updating the 2006 Guideline)”, and the “2011 ACCF/AHA/HRS Focused Update on the Management of Patients With Atrial Fibrillation (Update on Dabigatran).” Updated and new recommendations from 2011 are noted and outdated recommendations have been removed. No new evidence was reviewed, and no recommendations included herein are original to this document. The ACCF/AHA Task Force on Practice Guidelines chooses to republish the recommendations in this format to provide the complete set of practice guideline recommendations in a single resource.”</w:t>
            </w:r>
          </w:p>
        </w:tc>
      </w:tr>
      <w:tr w:rsidR="00EE0FAB" w:rsidRPr="008F6E02" w14:paraId="61532321" w14:textId="77777777" w:rsidTr="45CF7C08">
        <w:trPr>
          <w:trHeight w:val="386"/>
        </w:trPr>
        <w:tc>
          <w:tcPr>
            <w:tcW w:w="3055" w:type="dxa"/>
          </w:tcPr>
          <w:p w14:paraId="5762E988" w14:textId="77777777" w:rsidR="00C75D10" w:rsidRPr="008642F5" w:rsidRDefault="45CF7C08" w:rsidP="45CF7C08">
            <w:pPr>
              <w:rPr>
                <w:sz w:val="22"/>
                <w:szCs w:val="22"/>
              </w:rPr>
            </w:pPr>
            <w:r w:rsidRPr="45CF7C08">
              <w:rPr>
                <w:sz w:val="22"/>
                <w:szCs w:val="22"/>
              </w:rPr>
              <w:t xml:space="preserve">Estimates of benefit and consistency across studies </w:t>
            </w:r>
          </w:p>
        </w:tc>
        <w:tc>
          <w:tcPr>
            <w:tcW w:w="6143" w:type="dxa"/>
          </w:tcPr>
          <w:p w14:paraId="08A5F275" w14:textId="5BF486A5" w:rsidR="00C75D10" w:rsidRPr="008642F5" w:rsidRDefault="45CF7C08" w:rsidP="45CF7C08">
            <w:pPr>
              <w:rPr>
                <w:sz w:val="22"/>
                <w:szCs w:val="22"/>
              </w:rPr>
            </w:pPr>
            <w:r w:rsidRPr="45CF7C08">
              <w:rPr>
                <w:rFonts w:eastAsia="Times New Roman"/>
                <w:color w:val="FF0000"/>
                <w:sz w:val="22"/>
                <w:szCs w:val="22"/>
              </w:rPr>
              <w:t>The article did not discuss benefit and consistency across studies related to INR monitoring.</w:t>
            </w:r>
          </w:p>
        </w:tc>
      </w:tr>
      <w:tr w:rsidR="00EE0FAB" w:rsidRPr="008F6E02" w14:paraId="470629CC" w14:textId="77777777" w:rsidTr="45CF7C08">
        <w:tc>
          <w:tcPr>
            <w:tcW w:w="3055" w:type="dxa"/>
          </w:tcPr>
          <w:p w14:paraId="4D77A4C5" w14:textId="77777777" w:rsidR="00C75D10" w:rsidRPr="008642F5" w:rsidRDefault="45CF7C08" w:rsidP="45CF7C08">
            <w:pPr>
              <w:rPr>
                <w:sz w:val="22"/>
                <w:szCs w:val="22"/>
              </w:rPr>
            </w:pPr>
            <w:r w:rsidRPr="45CF7C08">
              <w:rPr>
                <w:sz w:val="22"/>
                <w:szCs w:val="22"/>
              </w:rPr>
              <w:t>What harms were identified?</w:t>
            </w:r>
          </w:p>
        </w:tc>
        <w:tc>
          <w:tcPr>
            <w:tcW w:w="6143" w:type="dxa"/>
          </w:tcPr>
          <w:p w14:paraId="01F8F61B" w14:textId="4F513F73" w:rsidR="00C75D10" w:rsidRPr="008642F5" w:rsidRDefault="45CF7C08" w:rsidP="45CF7C08">
            <w:pPr>
              <w:rPr>
                <w:sz w:val="22"/>
                <w:szCs w:val="22"/>
              </w:rPr>
            </w:pPr>
            <w:r w:rsidRPr="45CF7C08">
              <w:rPr>
                <w:rFonts w:eastAsia="Times New Roman"/>
                <w:color w:val="FF0000"/>
                <w:sz w:val="22"/>
                <w:szCs w:val="22"/>
              </w:rPr>
              <w:t>The article did not discuss harms related to INR monitoring.</w:t>
            </w:r>
          </w:p>
        </w:tc>
      </w:tr>
      <w:tr w:rsidR="00EE0FAB" w:rsidRPr="008F6E02" w14:paraId="3992A030" w14:textId="77777777" w:rsidTr="45CF7C08">
        <w:tc>
          <w:tcPr>
            <w:tcW w:w="3055" w:type="dxa"/>
          </w:tcPr>
          <w:p w14:paraId="527E5598" w14:textId="77777777" w:rsidR="00C75D10" w:rsidRPr="008642F5" w:rsidRDefault="45CF7C08" w:rsidP="45CF7C08">
            <w:pPr>
              <w:rPr>
                <w:sz w:val="22"/>
                <w:szCs w:val="22"/>
              </w:rPr>
            </w:pPr>
            <w:r w:rsidRPr="45CF7C08">
              <w:rPr>
                <w:sz w:val="22"/>
                <w:szCs w:val="22"/>
              </w:rPr>
              <w:t>Identify any new studies conducted since the SR. Do the new studies change the conclusions from the SR?</w:t>
            </w:r>
          </w:p>
        </w:tc>
        <w:tc>
          <w:tcPr>
            <w:tcW w:w="6143" w:type="dxa"/>
          </w:tcPr>
          <w:p w14:paraId="047019BA" w14:textId="77777777" w:rsidR="00834F95" w:rsidRPr="00834F95" w:rsidRDefault="45CF7C08" w:rsidP="45CF7C08">
            <w:pPr>
              <w:jc w:val="both"/>
              <w:rPr>
                <w:color w:val="0070C0"/>
                <w:sz w:val="22"/>
                <w:szCs w:val="22"/>
              </w:rPr>
            </w:pPr>
            <w:proofErr w:type="spellStart"/>
            <w:r w:rsidRPr="45CF7C08">
              <w:rPr>
                <w:color w:val="0070C0"/>
                <w:sz w:val="22"/>
                <w:szCs w:val="22"/>
              </w:rPr>
              <w:t>Fuster</w:t>
            </w:r>
            <w:proofErr w:type="spellEnd"/>
            <w:r w:rsidRPr="45CF7C08">
              <w:rPr>
                <w:color w:val="0070C0"/>
                <w:sz w:val="22"/>
                <w:szCs w:val="22"/>
              </w:rPr>
              <w:t xml:space="preserve">, V., </w:t>
            </w:r>
            <w:proofErr w:type="spellStart"/>
            <w:r w:rsidRPr="45CF7C08">
              <w:rPr>
                <w:color w:val="0070C0"/>
                <w:sz w:val="22"/>
                <w:szCs w:val="22"/>
              </w:rPr>
              <w:t>Ryden</w:t>
            </w:r>
            <w:proofErr w:type="spellEnd"/>
            <w:r w:rsidRPr="45CF7C08">
              <w:rPr>
                <w:color w:val="0070C0"/>
                <w:sz w:val="22"/>
                <w:szCs w:val="22"/>
              </w:rPr>
              <w:t xml:space="preserve">, L. E., </w:t>
            </w:r>
            <w:proofErr w:type="spellStart"/>
            <w:r w:rsidRPr="45CF7C08">
              <w:rPr>
                <w:color w:val="0070C0"/>
                <w:sz w:val="22"/>
                <w:szCs w:val="22"/>
              </w:rPr>
              <w:t>Cannom</w:t>
            </w:r>
            <w:proofErr w:type="spellEnd"/>
            <w:r w:rsidRPr="45CF7C08">
              <w:rPr>
                <w:color w:val="0070C0"/>
                <w:sz w:val="22"/>
                <w:szCs w:val="22"/>
              </w:rPr>
              <w:t xml:space="preserve">, D. S., </w:t>
            </w:r>
            <w:proofErr w:type="spellStart"/>
            <w:r w:rsidRPr="45CF7C08">
              <w:rPr>
                <w:color w:val="0070C0"/>
                <w:sz w:val="22"/>
                <w:szCs w:val="22"/>
              </w:rPr>
              <w:t>Crijns</w:t>
            </w:r>
            <w:proofErr w:type="spellEnd"/>
            <w:r w:rsidRPr="45CF7C08">
              <w:rPr>
                <w:color w:val="0070C0"/>
                <w:sz w:val="22"/>
                <w:szCs w:val="22"/>
              </w:rPr>
              <w:t xml:space="preserve">, H. J., Curtis, A. B., </w:t>
            </w:r>
            <w:proofErr w:type="spellStart"/>
            <w:r w:rsidRPr="45CF7C08">
              <w:rPr>
                <w:color w:val="0070C0"/>
                <w:sz w:val="22"/>
                <w:szCs w:val="22"/>
              </w:rPr>
              <w:t>Ellenbogen</w:t>
            </w:r>
            <w:proofErr w:type="spellEnd"/>
            <w:r w:rsidRPr="45CF7C08">
              <w:rPr>
                <w:color w:val="0070C0"/>
                <w:sz w:val="22"/>
                <w:szCs w:val="22"/>
              </w:rPr>
              <w:t xml:space="preserve">, K. A., . . . </w:t>
            </w:r>
            <w:proofErr w:type="spellStart"/>
            <w:r w:rsidRPr="45CF7C08">
              <w:rPr>
                <w:color w:val="0070C0"/>
                <w:sz w:val="22"/>
                <w:szCs w:val="22"/>
              </w:rPr>
              <w:t>Wann</w:t>
            </w:r>
            <w:proofErr w:type="spellEnd"/>
            <w:r w:rsidRPr="45CF7C08">
              <w:rPr>
                <w:color w:val="0070C0"/>
                <w:sz w:val="22"/>
                <w:szCs w:val="22"/>
              </w:rPr>
              <w:t>, L. S. (2011). Management of patients with atrial fibrillation: A report of the American College of Cardiology Foundation/American Heart Association Task Force on Practice Guidelines developed in partnership with the European Society of Cardiology and in collaboration with the European Heart Rhythm Association and the Heart Rhythm Society. </w:t>
            </w:r>
            <w:r w:rsidRPr="45CF7C08">
              <w:rPr>
                <w:i/>
                <w:iCs/>
                <w:color w:val="0070C0"/>
                <w:sz w:val="22"/>
                <w:szCs w:val="22"/>
              </w:rPr>
              <w:t>Journal of the American College of Cardiology, 57</w:t>
            </w:r>
            <w:r w:rsidRPr="45CF7C08">
              <w:rPr>
                <w:color w:val="0070C0"/>
                <w:sz w:val="22"/>
                <w:szCs w:val="22"/>
              </w:rPr>
              <w:t>(11), e101-198.  </w:t>
            </w:r>
          </w:p>
          <w:p w14:paraId="5D40CA7A" w14:textId="77777777" w:rsidR="00203779" w:rsidRDefault="00203779" w:rsidP="008642F5">
            <w:pPr>
              <w:jc w:val="both"/>
              <w:rPr>
                <w:color w:val="0070C0"/>
                <w:sz w:val="22"/>
                <w:szCs w:val="22"/>
              </w:rPr>
            </w:pPr>
          </w:p>
          <w:p w14:paraId="53A69AEF" w14:textId="6773B703" w:rsidR="00C75D10" w:rsidRPr="008642F5" w:rsidRDefault="45CF7C08" w:rsidP="45CF7C08">
            <w:pPr>
              <w:jc w:val="both"/>
              <w:rPr>
                <w:sz w:val="22"/>
                <w:szCs w:val="22"/>
              </w:rPr>
            </w:pPr>
            <w:r w:rsidRPr="45CF7C08">
              <w:rPr>
                <w:color w:val="0070C0"/>
                <w:sz w:val="22"/>
                <w:szCs w:val="22"/>
              </w:rPr>
              <w:t>See below (</w:t>
            </w:r>
            <w:proofErr w:type="spellStart"/>
            <w:r w:rsidRPr="45CF7C08">
              <w:rPr>
                <w:color w:val="0070C0"/>
                <w:sz w:val="22"/>
                <w:szCs w:val="22"/>
              </w:rPr>
              <w:t>Oake</w:t>
            </w:r>
            <w:proofErr w:type="spellEnd"/>
            <w:r w:rsidRPr="45CF7C08">
              <w:rPr>
                <w:color w:val="0070C0"/>
                <w:sz w:val="22"/>
                <w:szCs w:val="22"/>
              </w:rPr>
              <w:t xml:space="preserve"> et. al., 2008) for additional citations.</w:t>
            </w:r>
          </w:p>
        </w:tc>
      </w:tr>
    </w:tbl>
    <w:p w14:paraId="6E42C8B9" w14:textId="22C81664" w:rsidR="00F419A6" w:rsidRDefault="00F419A6">
      <w:pPr>
        <w:rPr>
          <w:i/>
          <w:iCs/>
        </w:rPr>
      </w:pPr>
      <w:r>
        <w:rPr>
          <w:i/>
          <w:iCs/>
        </w:rPr>
        <w:br w:type="page"/>
      </w:r>
    </w:p>
    <w:p w14:paraId="710FB884" w14:textId="74682CB4" w:rsidR="00BD1CEA" w:rsidRPr="00F419A6" w:rsidRDefault="45CF7C08" w:rsidP="45CF7C08">
      <w:pPr>
        <w:jc w:val="both"/>
        <w:rPr>
          <w:b/>
          <w:bCs/>
          <w:color w:val="0070C0"/>
          <w:sz w:val="22"/>
          <w:szCs w:val="22"/>
        </w:rPr>
      </w:pPr>
      <w:r w:rsidRPr="45CF7C08">
        <w:rPr>
          <w:b/>
          <w:bCs/>
          <w:color w:val="0070C0"/>
          <w:sz w:val="22"/>
          <w:szCs w:val="22"/>
        </w:rPr>
        <w:lastRenderedPageBreak/>
        <w:t>Prior Submission:</w:t>
      </w:r>
    </w:p>
    <w:p w14:paraId="6A6FCB9A" w14:textId="71550374" w:rsidR="00EE0FAB" w:rsidRPr="00854A53" w:rsidRDefault="45CF7C08" w:rsidP="45CF7C08">
      <w:pPr>
        <w:jc w:val="both"/>
        <w:rPr>
          <w:color w:val="FF0000"/>
          <w:sz w:val="22"/>
          <w:szCs w:val="22"/>
        </w:rPr>
      </w:pPr>
      <w:r w:rsidRPr="45CF7C08">
        <w:rPr>
          <w:color w:val="FF0000"/>
          <w:sz w:val="22"/>
          <w:szCs w:val="22"/>
        </w:rPr>
        <w:t>When the measure was last submitted, some of the questions within the table below were not included in the evidence form. The current submission includes the addition of this information into the evidence form. All updates are presented below in red text.</w:t>
      </w:r>
    </w:p>
    <w:tbl>
      <w:tblPr>
        <w:tblStyle w:val="TableGrid"/>
        <w:tblW w:w="0" w:type="auto"/>
        <w:tblLook w:val="04A0" w:firstRow="1" w:lastRow="0" w:firstColumn="1" w:lastColumn="0" w:noHBand="0" w:noVBand="1"/>
      </w:tblPr>
      <w:tblGrid>
        <w:gridCol w:w="3055"/>
        <w:gridCol w:w="6143"/>
      </w:tblGrid>
      <w:tr w:rsidR="00EE0FAB" w:rsidRPr="008F6E02" w14:paraId="30F5E5D5" w14:textId="77777777" w:rsidTr="45CF7C08">
        <w:trPr>
          <w:trHeight w:val="2024"/>
        </w:trPr>
        <w:tc>
          <w:tcPr>
            <w:tcW w:w="3055" w:type="dxa"/>
          </w:tcPr>
          <w:p w14:paraId="30F5E5CE" w14:textId="3802B1E0" w:rsidR="00AB4ECE" w:rsidRPr="008642F5" w:rsidRDefault="45CF7C08" w:rsidP="45CF7C08">
            <w:pPr>
              <w:rPr>
                <w:b/>
                <w:bCs/>
                <w:color w:val="000000" w:themeColor="text1"/>
                <w:sz w:val="22"/>
                <w:szCs w:val="22"/>
              </w:rPr>
            </w:pPr>
            <w:r w:rsidRPr="45CF7C08">
              <w:rPr>
                <w:b/>
                <w:bCs/>
                <w:sz w:val="22"/>
                <w:szCs w:val="22"/>
              </w:rPr>
              <w:t xml:space="preserve">Source of Systematic </w:t>
            </w:r>
            <w:r w:rsidRPr="45CF7C08">
              <w:rPr>
                <w:b/>
                <w:bCs/>
                <w:color w:val="000000" w:themeColor="text1"/>
                <w:sz w:val="22"/>
                <w:szCs w:val="22"/>
              </w:rPr>
              <w:t>Review:</w:t>
            </w:r>
          </w:p>
          <w:p w14:paraId="7D4219C9" w14:textId="37606E43" w:rsidR="008136A5" w:rsidRPr="008642F5" w:rsidRDefault="45CF7C08" w:rsidP="45CF7C08">
            <w:pPr>
              <w:pStyle w:val="ListParagraph"/>
              <w:numPr>
                <w:ilvl w:val="0"/>
                <w:numId w:val="9"/>
              </w:numPr>
              <w:tabs>
                <w:tab w:val="left" w:pos="159"/>
              </w:tabs>
              <w:spacing w:after="0" w:line="240" w:lineRule="auto"/>
              <w:ind w:left="-23" w:firstLine="0"/>
              <w:rPr>
                <w:rFonts w:ascii="Times New Roman" w:hAnsi="Times New Roman" w:cs="Times New Roman"/>
                <w:color w:val="0070C0"/>
              </w:rPr>
            </w:pPr>
            <w:r w:rsidRPr="45CF7C08">
              <w:rPr>
                <w:rFonts w:ascii="Times New Roman" w:hAnsi="Times New Roman" w:cs="Times New Roman"/>
                <w:b/>
                <w:bCs/>
                <w:color w:val="000000" w:themeColor="text1"/>
              </w:rPr>
              <w:t>Title</w:t>
            </w:r>
          </w:p>
          <w:p w14:paraId="0C1A28F0" w14:textId="12157C63" w:rsidR="008136A5" w:rsidRPr="008642F5" w:rsidRDefault="45CF7C08" w:rsidP="45CF7C08">
            <w:pPr>
              <w:pStyle w:val="ListParagraph"/>
              <w:numPr>
                <w:ilvl w:val="0"/>
                <w:numId w:val="9"/>
              </w:numPr>
              <w:tabs>
                <w:tab w:val="left" w:pos="159"/>
              </w:tabs>
              <w:spacing w:after="0" w:line="240" w:lineRule="auto"/>
              <w:ind w:left="-23" w:firstLine="0"/>
              <w:rPr>
                <w:rFonts w:ascii="Times New Roman" w:hAnsi="Times New Roman" w:cs="Times New Roman"/>
                <w:b/>
                <w:bCs/>
              </w:rPr>
            </w:pPr>
            <w:r w:rsidRPr="45CF7C08">
              <w:rPr>
                <w:rFonts w:ascii="Times New Roman" w:hAnsi="Times New Roman" w:cs="Times New Roman"/>
                <w:b/>
                <w:bCs/>
              </w:rPr>
              <w:t>Author</w:t>
            </w:r>
          </w:p>
          <w:p w14:paraId="5DF62BDC" w14:textId="5EDB1E47" w:rsidR="008136A5" w:rsidRPr="008642F5" w:rsidRDefault="45CF7C08" w:rsidP="45CF7C08">
            <w:pPr>
              <w:pStyle w:val="ListParagraph"/>
              <w:numPr>
                <w:ilvl w:val="0"/>
                <w:numId w:val="9"/>
              </w:numPr>
              <w:tabs>
                <w:tab w:val="left" w:pos="159"/>
              </w:tabs>
              <w:spacing w:after="0" w:line="240" w:lineRule="auto"/>
              <w:ind w:left="-21" w:firstLine="0"/>
              <w:rPr>
                <w:rFonts w:ascii="Times New Roman" w:hAnsi="Times New Roman" w:cs="Times New Roman"/>
                <w:b/>
                <w:bCs/>
              </w:rPr>
            </w:pPr>
            <w:r w:rsidRPr="45CF7C08">
              <w:rPr>
                <w:rFonts w:ascii="Times New Roman" w:hAnsi="Times New Roman" w:cs="Times New Roman"/>
                <w:b/>
                <w:bCs/>
              </w:rPr>
              <w:t>Date</w:t>
            </w:r>
          </w:p>
          <w:p w14:paraId="611537EC" w14:textId="77777777" w:rsidR="008136A5" w:rsidRPr="008642F5" w:rsidRDefault="45CF7C08" w:rsidP="45CF7C08">
            <w:pPr>
              <w:pStyle w:val="ListParagraph"/>
              <w:numPr>
                <w:ilvl w:val="0"/>
                <w:numId w:val="9"/>
              </w:numPr>
              <w:tabs>
                <w:tab w:val="left" w:pos="159"/>
              </w:tabs>
              <w:spacing w:after="0" w:line="240" w:lineRule="auto"/>
              <w:ind w:left="157" w:hanging="178"/>
              <w:rPr>
                <w:rFonts w:ascii="Times New Roman" w:hAnsi="Times New Roman" w:cs="Times New Roman"/>
                <w:b/>
                <w:bCs/>
              </w:rPr>
            </w:pPr>
            <w:r w:rsidRPr="45CF7C08">
              <w:rPr>
                <w:rFonts w:ascii="Times New Roman" w:hAnsi="Times New Roman" w:cs="Times New Roman"/>
                <w:b/>
                <w:bCs/>
              </w:rPr>
              <w:t>Citation, including page number</w:t>
            </w:r>
          </w:p>
          <w:p w14:paraId="14E80B78" w14:textId="567875A7" w:rsidR="008136A5" w:rsidRPr="008642F5" w:rsidRDefault="45CF7C08" w:rsidP="45CF7C08">
            <w:pPr>
              <w:pStyle w:val="ListParagraph"/>
              <w:numPr>
                <w:ilvl w:val="0"/>
                <w:numId w:val="9"/>
              </w:numPr>
              <w:tabs>
                <w:tab w:val="left" w:pos="159"/>
              </w:tabs>
              <w:spacing w:after="0" w:line="240" w:lineRule="auto"/>
              <w:ind w:left="-23" w:firstLine="0"/>
              <w:rPr>
                <w:rFonts w:ascii="Times New Roman" w:hAnsi="Times New Roman" w:cs="Times New Roman"/>
                <w:b/>
                <w:bCs/>
              </w:rPr>
            </w:pPr>
            <w:r w:rsidRPr="45CF7C08">
              <w:rPr>
                <w:rFonts w:ascii="Times New Roman" w:hAnsi="Times New Roman" w:cs="Times New Roman"/>
                <w:b/>
                <w:bCs/>
              </w:rPr>
              <w:t>URL</w:t>
            </w:r>
          </w:p>
          <w:p w14:paraId="30F5E5D3" w14:textId="04A5035A" w:rsidR="00AB4ECE" w:rsidRPr="008642F5" w:rsidRDefault="00AB4ECE" w:rsidP="008642F5">
            <w:pPr>
              <w:pStyle w:val="ListParagraph"/>
              <w:spacing w:after="0" w:line="240" w:lineRule="auto"/>
              <w:rPr>
                <w:rFonts w:ascii="Times New Roman" w:hAnsi="Times New Roman" w:cs="Times New Roman"/>
                <w:b/>
              </w:rPr>
            </w:pPr>
          </w:p>
        </w:tc>
        <w:tc>
          <w:tcPr>
            <w:tcW w:w="6143" w:type="dxa"/>
          </w:tcPr>
          <w:p w14:paraId="2B834AA5" w14:textId="00144C1A" w:rsidR="00EE0FAB" w:rsidRPr="00E613BB" w:rsidRDefault="45CF7C08" w:rsidP="45CF7C08">
            <w:pPr>
              <w:jc w:val="both"/>
              <w:rPr>
                <w:b/>
                <w:bCs/>
                <w:sz w:val="22"/>
                <w:szCs w:val="22"/>
              </w:rPr>
            </w:pPr>
            <w:r w:rsidRPr="45CF7C08">
              <w:rPr>
                <w:color w:val="0070C0"/>
                <w:sz w:val="22"/>
                <w:szCs w:val="22"/>
              </w:rPr>
              <w:t>Title: Evidence-based management of anticoagulant therapy: Antithrombotic therapy and prevention of thrombosis, 9</w:t>
            </w:r>
            <w:r w:rsidRPr="45CF7C08">
              <w:rPr>
                <w:color w:val="0070C0"/>
                <w:sz w:val="22"/>
                <w:szCs w:val="22"/>
                <w:vertAlign w:val="superscript"/>
              </w:rPr>
              <w:t>th</w:t>
            </w:r>
            <w:r w:rsidRPr="45CF7C08">
              <w:rPr>
                <w:color w:val="0070C0"/>
                <w:sz w:val="22"/>
                <w:szCs w:val="22"/>
              </w:rPr>
              <w:t xml:space="preserve"> ed.: American College of Chest Physicians Evidence-Based Clinical Practice Guidelines</w:t>
            </w:r>
          </w:p>
          <w:p w14:paraId="1AFDBA12" w14:textId="043D5F5B" w:rsidR="00EE0FAB" w:rsidRPr="00E613BB" w:rsidRDefault="45CF7C08" w:rsidP="45CF7C08">
            <w:pPr>
              <w:tabs>
                <w:tab w:val="left" w:pos="159"/>
              </w:tabs>
              <w:jc w:val="both"/>
              <w:rPr>
                <w:color w:val="0070C0"/>
                <w:sz w:val="22"/>
                <w:szCs w:val="22"/>
              </w:rPr>
            </w:pPr>
            <w:r w:rsidRPr="45CF7C08">
              <w:rPr>
                <w:color w:val="0070C0"/>
                <w:sz w:val="22"/>
                <w:szCs w:val="22"/>
              </w:rPr>
              <w:t xml:space="preserve">Authors: Anne Holbrook, Sam Schulman, Daniel M. Witt, Per Olav </w:t>
            </w:r>
            <w:proofErr w:type="spellStart"/>
            <w:r w:rsidRPr="45CF7C08">
              <w:rPr>
                <w:color w:val="0070C0"/>
                <w:sz w:val="22"/>
                <w:szCs w:val="22"/>
              </w:rPr>
              <w:t>Vandvik</w:t>
            </w:r>
            <w:proofErr w:type="spellEnd"/>
            <w:r w:rsidRPr="45CF7C08">
              <w:rPr>
                <w:color w:val="0070C0"/>
                <w:sz w:val="22"/>
                <w:szCs w:val="22"/>
              </w:rPr>
              <w:t xml:space="preserve">, Jason Fish, Michael J. Kovacs, Peter J. </w:t>
            </w:r>
            <w:proofErr w:type="spellStart"/>
            <w:r w:rsidRPr="45CF7C08">
              <w:rPr>
                <w:color w:val="0070C0"/>
                <w:sz w:val="22"/>
                <w:szCs w:val="22"/>
              </w:rPr>
              <w:t>Svensson</w:t>
            </w:r>
            <w:proofErr w:type="spellEnd"/>
            <w:r w:rsidRPr="45CF7C08">
              <w:rPr>
                <w:color w:val="0070C0"/>
                <w:sz w:val="22"/>
                <w:szCs w:val="22"/>
              </w:rPr>
              <w:t xml:space="preserve">, David L. </w:t>
            </w:r>
            <w:proofErr w:type="spellStart"/>
            <w:r w:rsidRPr="45CF7C08">
              <w:rPr>
                <w:color w:val="0070C0"/>
                <w:sz w:val="22"/>
                <w:szCs w:val="22"/>
              </w:rPr>
              <w:t>Veenstra</w:t>
            </w:r>
            <w:proofErr w:type="spellEnd"/>
            <w:r w:rsidRPr="45CF7C08">
              <w:rPr>
                <w:color w:val="0070C0"/>
                <w:sz w:val="22"/>
                <w:szCs w:val="22"/>
              </w:rPr>
              <w:t xml:space="preserve">, Mark Crowther, and Gordon H. </w:t>
            </w:r>
            <w:proofErr w:type="spellStart"/>
            <w:r w:rsidRPr="45CF7C08">
              <w:rPr>
                <w:color w:val="0070C0"/>
                <w:sz w:val="22"/>
                <w:szCs w:val="22"/>
              </w:rPr>
              <w:t>Guyatt</w:t>
            </w:r>
            <w:proofErr w:type="spellEnd"/>
          </w:p>
          <w:p w14:paraId="4C5700F9" w14:textId="5F08707E" w:rsidR="00EE0FAB" w:rsidRPr="00E613BB" w:rsidRDefault="45CF7C08" w:rsidP="45CF7C08">
            <w:pPr>
              <w:tabs>
                <w:tab w:val="left" w:pos="159"/>
              </w:tabs>
              <w:jc w:val="both"/>
              <w:rPr>
                <w:color w:val="0070C0"/>
                <w:sz w:val="22"/>
                <w:szCs w:val="22"/>
              </w:rPr>
            </w:pPr>
            <w:r w:rsidRPr="45CF7C08">
              <w:rPr>
                <w:color w:val="0070C0"/>
                <w:sz w:val="22"/>
                <w:szCs w:val="22"/>
              </w:rPr>
              <w:t>Date: January 23, 2012</w:t>
            </w:r>
          </w:p>
          <w:p w14:paraId="32107311" w14:textId="77AEAE52" w:rsidR="00EE0FAB" w:rsidRPr="00E613BB" w:rsidRDefault="00E613BB" w:rsidP="45CF7C08">
            <w:pPr>
              <w:tabs>
                <w:tab w:val="left" w:pos="159"/>
              </w:tabs>
              <w:jc w:val="both"/>
              <w:rPr>
                <w:color w:val="0070C0"/>
                <w:sz w:val="22"/>
                <w:szCs w:val="22"/>
              </w:rPr>
            </w:pPr>
            <w:r w:rsidRPr="00E613BB">
              <w:rPr>
                <w:color w:val="0070C0"/>
                <w:sz w:val="22"/>
                <w:szCs w:val="22"/>
              </w:rPr>
              <w:t xml:space="preserve">Citation: </w:t>
            </w:r>
            <w:r w:rsidR="00EE0FAB" w:rsidRPr="00E613BB">
              <w:rPr>
                <w:color w:val="0070C0"/>
                <w:sz w:val="22"/>
                <w:szCs w:val="22"/>
              </w:rPr>
              <w:t xml:space="preserve">Holbrook A, Schulman S, Witt DM, et al. Evidence-based management of anticoagulant therapy: Antithrombotic Therapy and Prevention of Thrombosis, 9th </w:t>
            </w:r>
            <w:proofErr w:type="spellStart"/>
            <w:r w:rsidR="00EE0FAB" w:rsidRPr="00E613BB">
              <w:rPr>
                <w:color w:val="0070C0"/>
                <w:sz w:val="22"/>
                <w:szCs w:val="22"/>
              </w:rPr>
              <w:t>ed</w:t>
            </w:r>
            <w:proofErr w:type="spellEnd"/>
            <w:r w:rsidR="00EE0FAB" w:rsidRPr="00E613BB">
              <w:rPr>
                <w:color w:val="0070C0"/>
                <w:sz w:val="22"/>
                <w:szCs w:val="22"/>
              </w:rPr>
              <w:t xml:space="preserve">: American College of Chest Physicians Evidence-Based Clinical Practice Guidelines. </w:t>
            </w:r>
            <w:r w:rsidR="00EE0FAB" w:rsidRPr="45CF7C08">
              <w:rPr>
                <w:i/>
                <w:iCs/>
                <w:color w:val="0070C0"/>
                <w:sz w:val="22"/>
                <w:szCs w:val="22"/>
              </w:rPr>
              <w:t xml:space="preserve">Chest. </w:t>
            </w:r>
            <w:r w:rsidR="00EE0FAB" w:rsidRPr="00E613BB">
              <w:rPr>
                <w:color w:val="0070C0"/>
                <w:sz w:val="22"/>
                <w:szCs w:val="22"/>
              </w:rPr>
              <w:t xml:space="preserve">2012;141(2 </w:t>
            </w:r>
            <w:proofErr w:type="spellStart"/>
            <w:r w:rsidR="00EE0FAB" w:rsidRPr="00E613BB">
              <w:rPr>
                <w:color w:val="0070C0"/>
                <w:sz w:val="22"/>
                <w:szCs w:val="22"/>
              </w:rPr>
              <w:t>Suppl</w:t>
            </w:r>
            <w:proofErr w:type="spellEnd"/>
            <w:proofErr w:type="gramStart"/>
            <w:r w:rsidR="00EE0FAB" w:rsidRPr="00E613BB">
              <w:rPr>
                <w:color w:val="0070C0"/>
                <w:sz w:val="22"/>
                <w:szCs w:val="22"/>
              </w:rPr>
              <w:t>):e</w:t>
            </w:r>
            <w:proofErr w:type="gramEnd"/>
            <w:r w:rsidR="00EE0FAB" w:rsidRPr="00E613BB">
              <w:rPr>
                <w:color w:val="0070C0"/>
                <w:sz w:val="22"/>
                <w:szCs w:val="22"/>
              </w:rPr>
              <w:t xml:space="preserve">152S-184S. </w:t>
            </w:r>
            <w:proofErr w:type="spellStart"/>
            <w:r w:rsidR="00EE0FAB" w:rsidRPr="00E613BB">
              <w:rPr>
                <w:color w:val="0070C0"/>
                <w:sz w:val="22"/>
                <w:szCs w:val="22"/>
              </w:rPr>
              <w:t>doi</w:t>
            </w:r>
            <w:proofErr w:type="spellEnd"/>
            <w:r w:rsidR="00EE0FAB" w:rsidRPr="00E613BB">
              <w:rPr>
                <w:color w:val="0070C0"/>
                <w:sz w:val="22"/>
                <w:szCs w:val="22"/>
              </w:rPr>
              <w:t xml:space="preserve">: 10.1378/chest.11-2295. </w:t>
            </w:r>
            <w:r w:rsidR="00EE0FAB" w:rsidRPr="00E613BB">
              <w:rPr>
                <w:rFonts w:eastAsia="Times New Roman"/>
                <w:color w:val="0070C0"/>
                <w:sz w:val="22"/>
                <w:szCs w:val="22"/>
              </w:rPr>
              <w:t>(page e153S)</w:t>
            </w:r>
            <w:r w:rsidR="00EE0FAB" w:rsidRPr="45CF7C08">
              <w:fldChar w:fldCharType="begin"/>
            </w:r>
            <w:r w:rsidR="00EE0FAB" w:rsidRPr="00E613BB">
              <w:rPr>
                <w:color w:val="0070C0"/>
                <w:sz w:val="22"/>
                <w:szCs w:val="22"/>
              </w:rPr>
              <w:instrText xml:space="preserve"> ADDIN EN.SECTION.REFLIST </w:instrText>
            </w:r>
            <w:r w:rsidR="00EE0FAB" w:rsidRPr="45CF7C08">
              <w:rPr>
                <w:color w:val="0070C0"/>
                <w:sz w:val="22"/>
                <w:szCs w:val="22"/>
              </w:rPr>
              <w:fldChar w:fldCharType="separate"/>
            </w:r>
          </w:p>
          <w:p w14:paraId="30F5E5D4" w14:textId="16F9CB46" w:rsidR="00C75D10" w:rsidRPr="008642F5" w:rsidRDefault="00EE0FAB" w:rsidP="45CF7C08">
            <w:pPr>
              <w:rPr>
                <w:b/>
                <w:bCs/>
              </w:rPr>
            </w:pPr>
            <w:r w:rsidRPr="45CF7C08">
              <w:fldChar w:fldCharType="end"/>
            </w:r>
            <w:r w:rsidR="00E613BB" w:rsidRPr="00E613BB">
              <w:rPr>
                <w:sz w:val="22"/>
                <w:szCs w:val="22"/>
              </w:rPr>
              <w:t xml:space="preserve">URL: </w:t>
            </w:r>
            <w:hyperlink r:id="rId18" w:history="1">
              <w:r w:rsidR="00E613BB" w:rsidRPr="0014481D">
                <w:rPr>
                  <w:rStyle w:val="Hyperlink"/>
                  <w:sz w:val="22"/>
                  <w:szCs w:val="22"/>
                </w:rPr>
                <w:t>https://www.ncbi.nlm.nih.gov/pmc/articles/PMC3278055/</w:t>
              </w:r>
            </w:hyperlink>
            <w:r w:rsidR="00E613BB">
              <w:rPr>
                <w:sz w:val="22"/>
                <w:szCs w:val="22"/>
              </w:rPr>
              <w:t xml:space="preserve"> </w:t>
            </w:r>
          </w:p>
        </w:tc>
      </w:tr>
      <w:tr w:rsidR="00EE0FAB" w:rsidRPr="008F6E02" w14:paraId="30F5E5D8" w14:textId="77777777" w:rsidTr="45CF7C08">
        <w:tc>
          <w:tcPr>
            <w:tcW w:w="3055" w:type="dxa"/>
          </w:tcPr>
          <w:p w14:paraId="30F5E5D6" w14:textId="77777777" w:rsidR="00AB4ECE" w:rsidRPr="008642F5" w:rsidRDefault="45CF7C08" w:rsidP="45CF7C08">
            <w:pPr>
              <w:rPr>
                <w:sz w:val="22"/>
                <w:szCs w:val="22"/>
              </w:rPr>
            </w:pPr>
            <w:r w:rsidRPr="45CF7C08">
              <w:rPr>
                <w:sz w:val="22"/>
                <w:szCs w:val="22"/>
              </w:rPr>
              <w:t>Quote the guideline or recommendation verbatim about the process, structure or intermediate outcome being measured. If not a guideline, summarize the conclusions from the SR.</w:t>
            </w:r>
          </w:p>
        </w:tc>
        <w:tc>
          <w:tcPr>
            <w:tcW w:w="6143" w:type="dxa"/>
          </w:tcPr>
          <w:p w14:paraId="30F5E5D7" w14:textId="5ADC527C" w:rsidR="00AB4ECE" w:rsidRPr="008642F5" w:rsidRDefault="45CF7C08" w:rsidP="45CF7C08">
            <w:pPr>
              <w:jc w:val="both"/>
              <w:rPr>
                <w:sz w:val="22"/>
                <w:szCs w:val="22"/>
              </w:rPr>
            </w:pPr>
            <w:r w:rsidRPr="45CF7C08">
              <w:rPr>
                <w:color w:val="0070C0"/>
                <w:sz w:val="22"/>
                <w:szCs w:val="22"/>
              </w:rPr>
              <w:t>“3.1. For patients taking VKA therapy with consistently stable INRs, we suggest an INR testing frequency of up to 12 weeks rather than every 4 weeks”</w:t>
            </w:r>
          </w:p>
        </w:tc>
      </w:tr>
      <w:tr w:rsidR="00EE0FAB" w:rsidRPr="008F6E02" w14:paraId="30F5E5DB" w14:textId="77777777" w:rsidTr="45CF7C08">
        <w:tc>
          <w:tcPr>
            <w:tcW w:w="3055" w:type="dxa"/>
          </w:tcPr>
          <w:p w14:paraId="30F5E5D9" w14:textId="77777777" w:rsidR="00AB4ECE" w:rsidRPr="008642F5" w:rsidRDefault="45CF7C08" w:rsidP="45CF7C08">
            <w:pPr>
              <w:rPr>
                <w:sz w:val="22"/>
                <w:szCs w:val="22"/>
              </w:rPr>
            </w:pPr>
            <w:r w:rsidRPr="45CF7C08">
              <w:rPr>
                <w:sz w:val="22"/>
                <w:szCs w:val="22"/>
              </w:rPr>
              <w:t xml:space="preserve">Grade assigned to the </w:t>
            </w:r>
            <w:r w:rsidRPr="45CF7C08">
              <w:rPr>
                <w:b/>
                <w:bCs/>
                <w:sz w:val="22"/>
                <w:szCs w:val="22"/>
              </w:rPr>
              <w:t>evidence</w:t>
            </w:r>
            <w:r w:rsidRPr="45CF7C08">
              <w:rPr>
                <w:sz w:val="22"/>
                <w:szCs w:val="22"/>
              </w:rPr>
              <w:t xml:space="preserve"> associated with the recommendation with the definition of the grade</w:t>
            </w:r>
          </w:p>
        </w:tc>
        <w:tc>
          <w:tcPr>
            <w:tcW w:w="6143" w:type="dxa"/>
          </w:tcPr>
          <w:p w14:paraId="51D06278" w14:textId="5FD1F9FD" w:rsidR="00D80A0F" w:rsidRPr="008642F5" w:rsidRDefault="45CF7C08" w:rsidP="45CF7C08">
            <w:pPr>
              <w:jc w:val="both"/>
              <w:rPr>
                <w:color w:val="0070C0"/>
                <w:sz w:val="22"/>
                <w:szCs w:val="22"/>
              </w:rPr>
            </w:pPr>
            <w:r w:rsidRPr="45CF7C08">
              <w:rPr>
                <w:color w:val="0070C0"/>
                <w:sz w:val="22"/>
                <w:szCs w:val="22"/>
              </w:rPr>
              <w:t xml:space="preserve">(definitions provided in </w:t>
            </w:r>
            <w:proofErr w:type="spellStart"/>
            <w:r w:rsidRPr="45CF7C08">
              <w:rPr>
                <w:color w:val="0070C0"/>
                <w:sz w:val="22"/>
                <w:szCs w:val="22"/>
              </w:rPr>
              <w:t>Guyatt</w:t>
            </w:r>
            <w:proofErr w:type="spellEnd"/>
            <w:r w:rsidRPr="45CF7C08">
              <w:rPr>
                <w:color w:val="0070C0"/>
                <w:sz w:val="22"/>
                <w:szCs w:val="22"/>
              </w:rPr>
              <w:t xml:space="preserve"> et al., 2012):</w:t>
            </w:r>
          </w:p>
          <w:p w14:paraId="30F5E5DA" w14:textId="66E862BC" w:rsidR="00AB4ECE" w:rsidRPr="008642F5" w:rsidRDefault="45CF7C08" w:rsidP="45CF7C08">
            <w:pPr>
              <w:jc w:val="both"/>
              <w:rPr>
                <w:sz w:val="22"/>
                <w:szCs w:val="22"/>
              </w:rPr>
            </w:pPr>
            <w:r w:rsidRPr="45CF7C08">
              <w:rPr>
                <w:color w:val="0070C0"/>
                <w:sz w:val="22"/>
                <w:szCs w:val="22"/>
              </w:rPr>
              <w:t>Grade 2B: Weak recommendation, moderate-quality evidence</w:t>
            </w:r>
          </w:p>
        </w:tc>
      </w:tr>
      <w:tr w:rsidR="00EE0FAB" w:rsidRPr="008F6E02" w14:paraId="30F5E5DE" w14:textId="77777777" w:rsidTr="45CF7C08">
        <w:tc>
          <w:tcPr>
            <w:tcW w:w="3055" w:type="dxa"/>
          </w:tcPr>
          <w:p w14:paraId="30F5E5DC" w14:textId="77777777" w:rsidR="00AB4ECE" w:rsidRPr="008642F5" w:rsidRDefault="45CF7C08" w:rsidP="45CF7C08">
            <w:pPr>
              <w:rPr>
                <w:sz w:val="22"/>
                <w:szCs w:val="22"/>
              </w:rPr>
            </w:pPr>
            <w:r w:rsidRPr="45CF7C08">
              <w:rPr>
                <w:sz w:val="22"/>
                <w:szCs w:val="22"/>
              </w:rPr>
              <w:t>Provide all other grades and definitions from the evidence grading system</w:t>
            </w:r>
          </w:p>
        </w:tc>
        <w:tc>
          <w:tcPr>
            <w:tcW w:w="6143" w:type="dxa"/>
          </w:tcPr>
          <w:p w14:paraId="4CDA7127" w14:textId="77777777" w:rsidR="009A5247" w:rsidRPr="008642F5" w:rsidRDefault="45CF7C08" w:rsidP="45CF7C08">
            <w:pPr>
              <w:jc w:val="both"/>
              <w:rPr>
                <w:color w:val="0070C0"/>
                <w:sz w:val="22"/>
                <w:szCs w:val="22"/>
              </w:rPr>
            </w:pPr>
            <w:r w:rsidRPr="45CF7C08">
              <w:rPr>
                <w:color w:val="0070C0"/>
                <w:sz w:val="22"/>
                <w:szCs w:val="22"/>
              </w:rPr>
              <w:t xml:space="preserve">(definitions provided in </w:t>
            </w:r>
            <w:proofErr w:type="spellStart"/>
            <w:r w:rsidRPr="45CF7C08">
              <w:rPr>
                <w:color w:val="0070C0"/>
                <w:sz w:val="22"/>
                <w:szCs w:val="22"/>
              </w:rPr>
              <w:t>Guyatt</w:t>
            </w:r>
            <w:proofErr w:type="spellEnd"/>
            <w:r w:rsidRPr="45CF7C08">
              <w:rPr>
                <w:color w:val="0070C0"/>
                <w:sz w:val="22"/>
                <w:szCs w:val="22"/>
              </w:rPr>
              <w:t xml:space="preserve"> et al., 2012):</w:t>
            </w:r>
          </w:p>
          <w:p w14:paraId="7333B68A" w14:textId="77777777" w:rsidR="009A5247" w:rsidRPr="008642F5" w:rsidRDefault="45CF7C08" w:rsidP="45CF7C08">
            <w:pPr>
              <w:outlineLvl w:val="0"/>
              <w:rPr>
                <w:color w:val="0070C0"/>
                <w:sz w:val="22"/>
                <w:szCs w:val="22"/>
              </w:rPr>
            </w:pPr>
            <w:r w:rsidRPr="45CF7C08">
              <w:rPr>
                <w:color w:val="0070C0"/>
                <w:sz w:val="22"/>
                <w:szCs w:val="22"/>
              </w:rPr>
              <w:t>Grade 1A: Strong recommendation, high-quality evidence</w:t>
            </w:r>
          </w:p>
          <w:p w14:paraId="21EEB004" w14:textId="77777777" w:rsidR="009A5247" w:rsidRPr="008642F5" w:rsidRDefault="45CF7C08" w:rsidP="45CF7C08">
            <w:pPr>
              <w:rPr>
                <w:color w:val="0070C0"/>
                <w:sz w:val="22"/>
                <w:szCs w:val="22"/>
              </w:rPr>
            </w:pPr>
            <w:r w:rsidRPr="45CF7C08">
              <w:rPr>
                <w:color w:val="0070C0"/>
                <w:sz w:val="22"/>
                <w:szCs w:val="22"/>
              </w:rPr>
              <w:t>Grade 1B: Strong recommendation, moderate-quality evidence</w:t>
            </w:r>
          </w:p>
          <w:p w14:paraId="5CE341DF" w14:textId="77777777" w:rsidR="009A5247" w:rsidRPr="008642F5" w:rsidRDefault="45CF7C08" w:rsidP="45CF7C08">
            <w:pPr>
              <w:outlineLvl w:val="0"/>
              <w:rPr>
                <w:color w:val="0070C0"/>
                <w:sz w:val="22"/>
                <w:szCs w:val="22"/>
              </w:rPr>
            </w:pPr>
            <w:r w:rsidRPr="45CF7C08">
              <w:rPr>
                <w:color w:val="0070C0"/>
                <w:sz w:val="22"/>
                <w:szCs w:val="22"/>
              </w:rPr>
              <w:t>Grade 1C: Strong recommendation, low- or very-low-quality evidence</w:t>
            </w:r>
          </w:p>
          <w:p w14:paraId="1562FF9A" w14:textId="77777777" w:rsidR="009A5247" w:rsidRPr="008642F5" w:rsidRDefault="45CF7C08" w:rsidP="45CF7C08">
            <w:pPr>
              <w:rPr>
                <w:color w:val="0070C0"/>
                <w:sz w:val="22"/>
                <w:szCs w:val="22"/>
              </w:rPr>
            </w:pPr>
            <w:r w:rsidRPr="45CF7C08">
              <w:rPr>
                <w:color w:val="0070C0"/>
                <w:sz w:val="22"/>
                <w:szCs w:val="22"/>
              </w:rPr>
              <w:t>Grade 2A: Weak recommendation, high-quality evidence</w:t>
            </w:r>
          </w:p>
          <w:p w14:paraId="30F5E5DD" w14:textId="7DB6DC33" w:rsidR="00AB4ECE" w:rsidRPr="008642F5" w:rsidRDefault="45CF7C08" w:rsidP="45CF7C08">
            <w:pPr>
              <w:rPr>
                <w:color w:val="0070C0"/>
                <w:sz w:val="22"/>
                <w:szCs w:val="22"/>
              </w:rPr>
            </w:pPr>
            <w:r w:rsidRPr="45CF7C08">
              <w:rPr>
                <w:color w:val="0070C0"/>
                <w:sz w:val="22"/>
                <w:szCs w:val="22"/>
              </w:rPr>
              <w:t>Grade 2C: Weak recommendation, low- or very-low-quality evidence</w:t>
            </w:r>
          </w:p>
        </w:tc>
      </w:tr>
      <w:tr w:rsidR="00EE0FAB" w:rsidRPr="008F6E02" w14:paraId="30F5E5E1" w14:textId="77777777" w:rsidTr="45CF7C08">
        <w:tc>
          <w:tcPr>
            <w:tcW w:w="3055" w:type="dxa"/>
          </w:tcPr>
          <w:p w14:paraId="30F5E5DF" w14:textId="77777777" w:rsidR="00AB4ECE" w:rsidRPr="008642F5" w:rsidRDefault="45CF7C08" w:rsidP="45CF7C08">
            <w:pPr>
              <w:rPr>
                <w:sz w:val="22"/>
                <w:szCs w:val="22"/>
              </w:rPr>
            </w:pPr>
            <w:r w:rsidRPr="45CF7C08">
              <w:rPr>
                <w:sz w:val="22"/>
                <w:szCs w:val="22"/>
              </w:rPr>
              <w:t xml:space="preserve">Grade assigned to the </w:t>
            </w:r>
            <w:r w:rsidRPr="45CF7C08">
              <w:rPr>
                <w:b/>
                <w:bCs/>
                <w:sz w:val="22"/>
                <w:szCs w:val="22"/>
              </w:rPr>
              <w:t>recommendation</w:t>
            </w:r>
            <w:r w:rsidRPr="45CF7C08">
              <w:rPr>
                <w:sz w:val="22"/>
                <w:szCs w:val="22"/>
              </w:rPr>
              <w:t xml:space="preserve"> with definition of the grade</w:t>
            </w:r>
          </w:p>
        </w:tc>
        <w:tc>
          <w:tcPr>
            <w:tcW w:w="6143" w:type="dxa"/>
          </w:tcPr>
          <w:p w14:paraId="0640A897" w14:textId="77777777" w:rsidR="009A5247" w:rsidRPr="008642F5" w:rsidRDefault="45CF7C08" w:rsidP="45CF7C08">
            <w:pPr>
              <w:jc w:val="both"/>
              <w:rPr>
                <w:color w:val="0070C0"/>
                <w:sz w:val="22"/>
                <w:szCs w:val="22"/>
              </w:rPr>
            </w:pPr>
            <w:r w:rsidRPr="45CF7C08">
              <w:rPr>
                <w:color w:val="0070C0"/>
                <w:sz w:val="22"/>
                <w:szCs w:val="22"/>
              </w:rPr>
              <w:t xml:space="preserve">(definition provided in </w:t>
            </w:r>
            <w:proofErr w:type="spellStart"/>
            <w:r w:rsidRPr="45CF7C08">
              <w:rPr>
                <w:color w:val="0070C0"/>
                <w:sz w:val="22"/>
                <w:szCs w:val="22"/>
              </w:rPr>
              <w:t>Guyatt</w:t>
            </w:r>
            <w:proofErr w:type="spellEnd"/>
            <w:r w:rsidRPr="45CF7C08">
              <w:rPr>
                <w:color w:val="0070C0"/>
                <w:sz w:val="22"/>
                <w:szCs w:val="22"/>
              </w:rPr>
              <w:t xml:space="preserve"> et al., 2012):</w:t>
            </w:r>
          </w:p>
          <w:p w14:paraId="30F5E5E0" w14:textId="799054C3" w:rsidR="00AB4ECE" w:rsidRPr="008642F5" w:rsidRDefault="45CF7C08" w:rsidP="45CF7C08">
            <w:pPr>
              <w:jc w:val="both"/>
              <w:rPr>
                <w:sz w:val="22"/>
                <w:szCs w:val="22"/>
              </w:rPr>
            </w:pPr>
            <w:r w:rsidRPr="45CF7C08">
              <w:rPr>
                <w:color w:val="0070C0"/>
                <w:sz w:val="22"/>
                <w:szCs w:val="22"/>
              </w:rPr>
              <w:t>Grade 2B: Weak recommendation, moderate-quality evidence</w:t>
            </w:r>
          </w:p>
        </w:tc>
      </w:tr>
      <w:tr w:rsidR="00EE0FAB" w:rsidRPr="008F6E02" w14:paraId="30F5E5E4" w14:textId="77777777" w:rsidTr="45CF7C08">
        <w:tc>
          <w:tcPr>
            <w:tcW w:w="3055" w:type="dxa"/>
          </w:tcPr>
          <w:p w14:paraId="30F5E5E2" w14:textId="77777777" w:rsidR="00AB4ECE" w:rsidRPr="008642F5" w:rsidRDefault="45CF7C08" w:rsidP="45CF7C08">
            <w:pPr>
              <w:rPr>
                <w:sz w:val="22"/>
                <w:szCs w:val="22"/>
              </w:rPr>
            </w:pPr>
            <w:r w:rsidRPr="45CF7C08">
              <w:rPr>
                <w:sz w:val="22"/>
                <w:szCs w:val="22"/>
              </w:rPr>
              <w:t>Provide all other grades and definitions from the recommendation grading system</w:t>
            </w:r>
          </w:p>
        </w:tc>
        <w:tc>
          <w:tcPr>
            <w:tcW w:w="6143" w:type="dxa"/>
          </w:tcPr>
          <w:p w14:paraId="01873AD0" w14:textId="77777777" w:rsidR="009A5247" w:rsidRPr="008642F5" w:rsidRDefault="45CF7C08" w:rsidP="45CF7C08">
            <w:pPr>
              <w:jc w:val="both"/>
              <w:rPr>
                <w:color w:val="0070C0"/>
                <w:sz w:val="22"/>
                <w:szCs w:val="22"/>
              </w:rPr>
            </w:pPr>
            <w:r w:rsidRPr="45CF7C08">
              <w:rPr>
                <w:color w:val="0070C0"/>
                <w:sz w:val="22"/>
                <w:szCs w:val="22"/>
              </w:rPr>
              <w:t xml:space="preserve">(definitions provided in </w:t>
            </w:r>
            <w:proofErr w:type="spellStart"/>
            <w:r w:rsidRPr="45CF7C08">
              <w:rPr>
                <w:color w:val="0070C0"/>
                <w:sz w:val="22"/>
                <w:szCs w:val="22"/>
              </w:rPr>
              <w:t>Guyatt</w:t>
            </w:r>
            <w:proofErr w:type="spellEnd"/>
            <w:r w:rsidRPr="45CF7C08">
              <w:rPr>
                <w:color w:val="0070C0"/>
                <w:sz w:val="22"/>
                <w:szCs w:val="22"/>
              </w:rPr>
              <w:t xml:space="preserve"> et al., 2012):</w:t>
            </w:r>
          </w:p>
          <w:p w14:paraId="3BE7F7B5" w14:textId="77777777" w:rsidR="009A5247" w:rsidRPr="008642F5" w:rsidRDefault="45CF7C08" w:rsidP="45CF7C08">
            <w:pPr>
              <w:outlineLvl w:val="0"/>
              <w:rPr>
                <w:color w:val="0070C0"/>
                <w:sz w:val="22"/>
                <w:szCs w:val="22"/>
              </w:rPr>
            </w:pPr>
            <w:r w:rsidRPr="45CF7C08">
              <w:rPr>
                <w:color w:val="0070C0"/>
                <w:sz w:val="22"/>
                <w:szCs w:val="22"/>
              </w:rPr>
              <w:t>Grade 1A: Strong recommendation, high-quality evidence</w:t>
            </w:r>
          </w:p>
          <w:p w14:paraId="4D16B2CC" w14:textId="77777777" w:rsidR="009A5247" w:rsidRPr="008642F5" w:rsidRDefault="45CF7C08" w:rsidP="45CF7C08">
            <w:pPr>
              <w:rPr>
                <w:color w:val="0070C0"/>
                <w:sz w:val="22"/>
                <w:szCs w:val="22"/>
              </w:rPr>
            </w:pPr>
            <w:r w:rsidRPr="45CF7C08">
              <w:rPr>
                <w:color w:val="0070C0"/>
                <w:sz w:val="22"/>
                <w:szCs w:val="22"/>
              </w:rPr>
              <w:t>Grade 1B: Strong recommendation, moderate-quality evidence</w:t>
            </w:r>
          </w:p>
          <w:p w14:paraId="7AD60B75" w14:textId="77777777" w:rsidR="009A5247" w:rsidRPr="008642F5" w:rsidRDefault="45CF7C08" w:rsidP="45CF7C08">
            <w:pPr>
              <w:outlineLvl w:val="0"/>
              <w:rPr>
                <w:color w:val="0070C0"/>
                <w:sz w:val="22"/>
                <w:szCs w:val="22"/>
              </w:rPr>
            </w:pPr>
            <w:r w:rsidRPr="45CF7C08">
              <w:rPr>
                <w:color w:val="0070C0"/>
                <w:sz w:val="22"/>
                <w:szCs w:val="22"/>
              </w:rPr>
              <w:t>Grade 1C: Strong recommendation, low- or very-low-quality evidence</w:t>
            </w:r>
          </w:p>
          <w:p w14:paraId="00826F0F" w14:textId="77777777" w:rsidR="009A5247" w:rsidRPr="008642F5" w:rsidRDefault="45CF7C08" w:rsidP="45CF7C08">
            <w:pPr>
              <w:rPr>
                <w:color w:val="0070C0"/>
                <w:sz w:val="22"/>
                <w:szCs w:val="22"/>
              </w:rPr>
            </w:pPr>
            <w:r w:rsidRPr="45CF7C08">
              <w:rPr>
                <w:color w:val="0070C0"/>
                <w:sz w:val="22"/>
                <w:szCs w:val="22"/>
              </w:rPr>
              <w:t>Grade 2A: Weak recommendation, high-quality evidence</w:t>
            </w:r>
          </w:p>
          <w:p w14:paraId="30F5E5E3" w14:textId="1B974A5B" w:rsidR="00AB4ECE" w:rsidRPr="008642F5" w:rsidRDefault="45CF7C08" w:rsidP="45CF7C08">
            <w:pPr>
              <w:rPr>
                <w:sz w:val="22"/>
                <w:szCs w:val="22"/>
              </w:rPr>
            </w:pPr>
            <w:r w:rsidRPr="45CF7C08">
              <w:rPr>
                <w:color w:val="0070C0"/>
                <w:sz w:val="22"/>
                <w:szCs w:val="22"/>
              </w:rPr>
              <w:t>Grade 2C: Weak recommendation, low- or very-low-quality evidence</w:t>
            </w:r>
          </w:p>
        </w:tc>
      </w:tr>
      <w:tr w:rsidR="00EE0FAB" w:rsidRPr="008F6E02" w14:paraId="30F5E5E9" w14:textId="77777777" w:rsidTr="45CF7C08">
        <w:tc>
          <w:tcPr>
            <w:tcW w:w="3055" w:type="dxa"/>
          </w:tcPr>
          <w:p w14:paraId="541C3575" w14:textId="77777777" w:rsidR="00A44446" w:rsidRPr="00965C27" w:rsidRDefault="45CF7C08" w:rsidP="45CF7C08">
            <w:pPr>
              <w:rPr>
                <w:sz w:val="22"/>
                <w:szCs w:val="22"/>
              </w:rPr>
            </w:pPr>
            <w:r w:rsidRPr="45CF7C08">
              <w:rPr>
                <w:sz w:val="22"/>
                <w:szCs w:val="22"/>
              </w:rPr>
              <w:t>Body of evidence:</w:t>
            </w:r>
          </w:p>
          <w:p w14:paraId="593BBC25" w14:textId="77777777" w:rsidR="00A44446" w:rsidRPr="00FE4D69" w:rsidRDefault="45CF7C08" w:rsidP="45CF7C08">
            <w:pPr>
              <w:pStyle w:val="ListParagraph"/>
              <w:numPr>
                <w:ilvl w:val="0"/>
                <w:numId w:val="10"/>
              </w:numPr>
              <w:tabs>
                <w:tab w:val="left" w:pos="159"/>
              </w:tabs>
              <w:spacing w:after="0" w:line="240" w:lineRule="auto"/>
              <w:ind w:left="-21" w:firstLine="0"/>
              <w:rPr>
                <w:rFonts w:ascii="Times New Roman" w:hAnsi="Times New Roman" w:cs="Times New Roman"/>
              </w:rPr>
            </w:pPr>
            <w:r w:rsidRPr="45CF7C08">
              <w:rPr>
                <w:rFonts w:ascii="Times New Roman" w:hAnsi="Times New Roman" w:cs="Times New Roman"/>
              </w:rPr>
              <w:lastRenderedPageBreak/>
              <w:t>Quantity – how many studies?</w:t>
            </w:r>
          </w:p>
          <w:p w14:paraId="30F5E5E7" w14:textId="0AF7B345" w:rsidR="000E5C93" w:rsidRPr="008642F5" w:rsidRDefault="45CF7C08" w:rsidP="45CF7C08">
            <w:pPr>
              <w:pStyle w:val="ListParagraph"/>
              <w:numPr>
                <w:ilvl w:val="0"/>
                <w:numId w:val="10"/>
              </w:numPr>
              <w:spacing w:line="240" w:lineRule="auto"/>
              <w:ind w:left="157" w:hanging="157"/>
              <w:rPr>
                <w:rFonts w:ascii="Times New Roman" w:hAnsi="Times New Roman" w:cs="Times New Roman"/>
              </w:rPr>
            </w:pPr>
            <w:r w:rsidRPr="45CF7C08">
              <w:rPr>
                <w:rFonts w:ascii="Times New Roman" w:hAnsi="Times New Roman" w:cs="Times New Roman"/>
              </w:rPr>
              <w:t>Quality – what type of studies?</w:t>
            </w:r>
          </w:p>
        </w:tc>
        <w:tc>
          <w:tcPr>
            <w:tcW w:w="6143" w:type="dxa"/>
          </w:tcPr>
          <w:p w14:paraId="65A1C043" w14:textId="77777777" w:rsidR="00BF43F6" w:rsidRDefault="45CF7C08" w:rsidP="45CF7C08">
            <w:pPr>
              <w:jc w:val="both"/>
              <w:rPr>
                <w:rFonts w:eastAsia="Times New Roman"/>
                <w:color w:val="FF0000"/>
                <w:sz w:val="22"/>
                <w:szCs w:val="22"/>
              </w:rPr>
            </w:pPr>
            <w:r w:rsidRPr="45CF7C08">
              <w:rPr>
                <w:rFonts w:eastAsia="Times New Roman"/>
                <w:color w:val="FF0000"/>
                <w:sz w:val="22"/>
                <w:szCs w:val="22"/>
              </w:rPr>
              <w:lastRenderedPageBreak/>
              <w:t>Quantity of studies on which the recommendation was made: n=3</w:t>
            </w:r>
          </w:p>
          <w:p w14:paraId="017DA711" w14:textId="2F1E6EE4" w:rsidR="00C139C0" w:rsidRDefault="45CF7C08" w:rsidP="45CF7C08">
            <w:pPr>
              <w:jc w:val="both"/>
              <w:rPr>
                <w:color w:val="FF0000"/>
                <w:sz w:val="22"/>
                <w:szCs w:val="22"/>
              </w:rPr>
            </w:pPr>
            <w:r w:rsidRPr="45CF7C08">
              <w:rPr>
                <w:rFonts w:eastAsia="Times New Roman"/>
                <w:color w:val="FF0000"/>
                <w:sz w:val="22"/>
                <w:szCs w:val="22"/>
              </w:rPr>
              <w:lastRenderedPageBreak/>
              <w:t xml:space="preserve">Quality: </w:t>
            </w:r>
            <w:r w:rsidRPr="45CF7C08">
              <w:rPr>
                <w:color w:val="FF0000"/>
                <w:sz w:val="22"/>
                <w:szCs w:val="22"/>
              </w:rPr>
              <w:t>Grade 2B: Weak recommendation, moderate-quality evidence</w:t>
            </w:r>
          </w:p>
          <w:p w14:paraId="3D90E430" w14:textId="7A8EEA96" w:rsidR="009A66C3" w:rsidRDefault="009A66C3" w:rsidP="008642F5">
            <w:pPr>
              <w:jc w:val="both"/>
              <w:rPr>
                <w:color w:val="FF0000"/>
                <w:sz w:val="22"/>
                <w:szCs w:val="22"/>
              </w:rPr>
            </w:pPr>
          </w:p>
          <w:p w14:paraId="57CA84EF" w14:textId="322EF9B5" w:rsidR="009A66C3" w:rsidRDefault="45CF7C08" w:rsidP="45CF7C08">
            <w:pPr>
              <w:jc w:val="both"/>
              <w:rPr>
                <w:rFonts w:eastAsia="Times New Roman"/>
                <w:color w:val="FF0000"/>
                <w:sz w:val="22"/>
                <w:szCs w:val="22"/>
              </w:rPr>
            </w:pPr>
            <w:r w:rsidRPr="45CF7C08">
              <w:rPr>
                <w:color w:val="FF0000"/>
                <w:sz w:val="22"/>
                <w:szCs w:val="22"/>
              </w:rPr>
              <w:t>Methods notes:</w:t>
            </w:r>
          </w:p>
          <w:p w14:paraId="30F5E5E8" w14:textId="703A602D" w:rsidR="00AB4ECE" w:rsidRPr="008642F5" w:rsidRDefault="45CF7C08" w:rsidP="45CF7C08">
            <w:pPr>
              <w:jc w:val="both"/>
              <w:rPr>
                <w:rFonts w:eastAsia="Times New Roman"/>
                <w:sz w:val="22"/>
                <w:szCs w:val="22"/>
              </w:rPr>
            </w:pPr>
            <w:r w:rsidRPr="45CF7C08">
              <w:rPr>
                <w:rFonts w:eastAsia="Times New Roman"/>
                <w:color w:val="FF0000"/>
                <w:sz w:val="22"/>
                <w:szCs w:val="22"/>
              </w:rPr>
              <w:t xml:space="preserve">“The methods for the development of this article’s recommendations follow those developed for the Antithrombotic Therapy and Prevention of Thrombosis, 9th </w:t>
            </w:r>
            <w:proofErr w:type="spellStart"/>
            <w:r w:rsidRPr="45CF7C08">
              <w:rPr>
                <w:rFonts w:eastAsia="Times New Roman"/>
                <w:color w:val="FF0000"/>
                <w:sz w:val="22"/>
                <w:szCs w:val="22"/>
              </w:rPr>
              <w:t>ed</w:t>
            </w:r>
            <w:proofErr w:type="spellEnd"/>
            <w:r w:rsidRPr="45CF7C08">
              <w:rPr>
                <w:rFonts w:eastAsia="Times New Roman"/>
                <w:color w:val="FF0000"/>
                <w:sz w:val="22"/>
                <w:szCs w:val="22"/>
              </w:rPr>
              <w:t>: American College of Chest Physicians Evidence-Based Clinical Practice Guidelines.</w:t>
            </w:r>
            <w:r>
              <w:t xml:space="preserve"> </w:t>
            </w:r>
            <w:r w:rsidRPr="45CF7C08">
              <w:rPr>
                <w:rFonts w:eastAsia="Times New Roman"/>
                <w:color w:val="FF0000"/>
                <w:sz w:val="22"/>
                <w:szCs w:val="22"/>
              </w:rPr>
              <w:t>Although we aimed to summarize and use randomized controlled trial (RCT) evidence to inform recommendations for clinicians, we found only lower-quality evidence to address most of our questions. At the onset of our review process, our panel decided to limit the recommendations to questions in which evidence met a minimum threshold for quality: at least one comparative study with ≥ 50 patients per group with contemporaneous or historical controls reporting on patient-important outcomes or closely related surrogates. Despite this low threshold, evidence was unavailable for several important clinical management questions. When randomized trials were available, confidence in estimates often decreased because of indirectness (surrogate outcomes) and imprecision (wide CIs).”</w:t>
            </w:r>
          </w:p>
        </w:tc>
      </w:tr>
      <w:tr w:rsidR="00EE0FAB" w:rsidRPr="008F6E02" w14:paraId="30F5E5EC" w14:textId="77777777" w:rsidTr="45CF7C08">
        <w:tc>
          <w:tcPr>
            <w:tcW w:w="3055" w:type="dxa"/>
          </w:tcPr>
          <w:p w14:paraId="30F5E5EA" w14:textId="77777777" w:rsidR="00AB4ECE" w:rsidRPr="008642F5" w:rsidRDefault="45CF7C08" w:rsidP="45CF7C08">
            <w:pPr>
              <w:rPr>
                <w:sz w:val="22"/>
                <w:szCs w:val="22"/>
              </w:rPr>
            </w:pPr>
            <w:r w:rsidRPr="45CF7C08">
              <w:rPr>
                <w:sz w:val="22"/>
                <w:szCs w:val="22"/>
              </w:rPr>
              <w:lastRenderedPageBreak/>
              <w:t xml:space="preserve">Estimates of benefit and consistency across studies </w:t>
            </w:r>
          </w:p>
        </w:tc>
        <w:tc>
          <w:tcPr>
            <w:tcW w:w="6143" w:type="dxa"/>
          </w:tcPr>
          <w:p w14:paraId="1E60C6BD" w14:textId="1010EFCF" w:rsidR="00D66ECA" w:rsidRPr="00D66ECA" w:rsidRDefault="00873B54" w:rsidP="45CF7C08">
            <w:pPr>
              <w:jc w:val="both"/>
              <w:rPr>
                <w:rFonts w:eastAsia="Times New Roman"/>
                <w:color w:val="FF0000"/>
                <w:sz w:val="22"/>
                <w:szCs w:val="22"/>
              </w:rPr>
            </w:pPr>
            <w:r w:rsidRPr="00D54D5C" w:rsidDel="00873B54">
              <w:rPr>
                <w:color w:val="FF0000"/>
                <w:sz w:val="22"/>
                <w:szCs w:val="22"/>
              </w:rPr>
              <w:t xml:space="preserve"> </w:t>
            </w:r>
            <w:r w:rsidR="007E4AF6" w:rsidRPr="008642F5">
              <w:rPr>
                <w:rFonts w:eastAsia="Times New Roman"/>
                <w:color w:val="FF0000"/>
                <w:sz w:val="22"/>
                <w:szCs w:val="22"/>
              </w:rPr>
              <w:t>“</w:t>
            </w:r>
            <w:r w:rsidR="008611CE" w:rsidRPr="008642F5">
              <w:rPr>
                <w:rFonts w:eastAsia="Times New Roman"/>
                <w:color w:val="FF0000"/>
                <w:sz w:val="22"/>
                <w:szCs w:val="22"/>
              </w:rPr>
              <w:t xml:space="preserve">For patients receiving traditional laboratory-based INR monitoring, retrospective studies have found increasing INR recall intervals associated with both increased and decreased time in therapeutic range (TTR). Other observational studies have suggested that for patients who demonstrate a consistent pattern of stable therapeutic INRs, allowing </w:t>
            </w:r>
            <w:r w:rsidR="008611CE" w:rsidRPr="00AD62FE">
              <w:rPr>
                <w:rFonts w:eastAsia="Times New Roman"/>
                <w:color w:val="FF0000"/>
                <w:sz w:val="22"/>
                <w:szCs w:val="22"/>
                <w:u w:val="single"/>
              </w:rPr>
              <w:t>INR recall intervals of up to 8 weeks would not result in increased risk for bleeding or thromboembolism</w:t>
            </w:r>
            <w:r w:rsidR="008611CE" w:rsidRPr="008642F5">
              <w:rPr>
                <w:rFonts w:eastAsia="Times New Roman"/>
                <w:color w:val="FF0000"/>
                <w:sz w:val="22"/>
                <w:szCs w:val="22"/>
              </w:rPr>
              <w:t>.</w:t>
            </w:r>
            <w:r w:rsidR="008611CE" w:rsidRPr="008642F5">
              <w:rPr>
                <w:rFonts w:eastAsia="Times New Roman"/>
                <w:color w:val="000000"/>
                <w:sz w:val="22"/>
                <w:szCs w:val="22"/>
                <w:shd w:val="clear" w:color="auto" w:fill="FFFFFF"/>
                <w:vertAlign w:val="superscript"/>
              </w:rPr>
              <w:t xml:space="preserve"> </w:t>
            </w:r>
            <w:r w:rsidR="007E4AF6" w:rsidRPr="008642F5">
              <w:rPr>
                <w:rFonts w:eastAsia="Times New Roman"/>
                <w:color w:val="FF0000"/>
                <w:sz w:val="22"/>
                <w:szCs w:val="22"/>
              </w:rPr>
              <w:t>Three RCTs have evaluated the effectiveness of INR recall intervals exceeding the traditional North American standard of 4 weeks. One study compared 6- to 4-week recall intervals, whereas another evaluated a flexible approach that allowed recall intervals of up to 12 weeks based on several factors, including the number of prior INRs, longitudinal INR variability, and the risk of adverse events expressed as a function of the INR. The third study compared 4- to 12-week recall intervals using a blinded design. None of the studies found a difference in rates of thromboembolism, bleeding, or INR control.</w:t>
            </w:r>
            <w:r w:rsidR="003225A5">
              <w:rPr>
                <w:rFonts w:eastAsia="Times New Roman"/>
                <w:color w:val="FF0000"/>
                <w:sz w:val="22"/>
                <w:szCs w:val="22"/>
              </w:rPr>
              <w:t xml:space="preserve"> </w:t>
            </w:r>
            <w:r w:rsidR="00D66ECA" w:rsidRPr="00D66ECA">
              <w:rPr>
                <w:rFonts w:eastAsia="Times New Roman"/>
                <w:color w:val="FF0000"/>
                <w:sz w:val="22"/>
                <w:szCs w:val="22"/>
              </w:rPr>
              <w:t>The appropriat</w:t>
            </w:r>
            <w:r w:rsidR="00D66ECA">
              <w:rPr>
                <w:rFonts w:eastAsia="Times New Roman"/>
                <w:color w:val="FF0000"/>
                <w:sz w:val="22"/>
                <w:szCs w:val="22"/>
              </w:rPr>
              <w:t xml:space="preserve">e length of the recall interval </w:t>
            </w:r>
            <w:r w:rsidR="00D66ECA" w:rsidRPr="00D66ECA">
              <w:rPr>
                <w:rFonts w:eastAsia="Times New Roman"/>
                <w:color w:val="FF0000"/>
                <w:sz w:val="22"/>
                <w:szCs w:val="22"/>
              </w:rPr>
              <w:t>depends on the duration of prior stabil</w:t>
            </w:r>
            <w:r w:rsidR="00D66ECA">
              <w:rPr>
                <w:rFonts w:eastAsia="Times New Roman"/>
                <w:color w:val="FF0000"/>
                <w:sz w:val="22"/>
                <w:szCs w:val="22"/>
              </w:rPr>
              <w:t xml:space="preserve">ity and </w:t>
            </w:r>
            <w:r w:rsidR="00D66ECA" w:rsidRPr="00D66ECA">
              <w:rPr>
                <w:rFonts w:eastAsia="Times New Roman"/>
                <w:color w:val="FF0000"/>
                <w:sz w:val="22"/>
                <w:szCs w:val="22"/>
              </w:rPr>
              <w:t>foreseeable future changes in medications or disorders</w:t>
            </w:r>
          </w:p>
          <w:p w14:paraId="30F5E5EB" w14:textId="1A7BD811" w:rsidR="00AB4ECE" w:rsidRPr="008642F5" w:rsidRDefault="45CF7C08" w:rsidP="45CF7C08">
            <w:pPr>
              <w:jc w:val="both"/>
              <w:rPr>
                <w:rFonts w:eastAsia="Times New Roman"/>
                <w:sz w:val="22"/>
                <w:szCs w:val="22"/>
              </w:rPr>
            </w:pPr>
            <w:r w:rsidRPr="45CF7C08">
              <w:rPr>
                <w:rFonts w:eastAsia="Times New Roman"/>
                <w:color w:val="FF0000"/>
                <w:sz w:val="22"/>
                <w:szCs w:val="22"/>
              </w:rPr>
              <w:t>that affect the INR.”</w:t>
            </w:r>
          </w:p>
        </w:tc>
      </w:tr>
      <w:tr w:rsidR="00EE0FAB" w:rsidRPr="008F6E02" w14:paraId="30F5E5EF" w14:textId="77777777" w:rsidTr="45CF7C08">
        <w:tc>
          <w:tcPr>
            <w:tcW w:w="3055" w:type="dxa"/>
          </w:tcPr>
          <w:p w14:paraId="30F5E5ED" w14:textId="77777777" w:rsidR="000E5C93" w:rsidRPr="008642F5" w:rsidRDefault="45CF7C08" w:rsidP="45CF7C08">
            <w:pPr>
              <w:rPr>
                <w:sz w:val="22"/>
                <w:szCs w:val="22"/>
              </w:rPr>
            </w:pPr>
            <w:r w:rsidRPr="45CF7C08">
              <w:rPr>
                <w:sz w:val="22"/>
                <w:szCs w:val="22"/>
              </w:rPr>
              <w:t>What harms were identified?</w:t>
            </w:r>
          </w:p>
        </w:tc>
        <w:tc>
          <w:tcPr>
            <w:tcW w:w="6143" w:type="dxa"/>
          </w:tcPr>
          <w:p w14:paraId="0649523C" w14:textId="64394BE0" w:rsidR="00BD0396" w:rsidRPr="00D66ECA" w:rsidRDefault="45CF7C08" w:rsidP="45CF7C08">
            <w:pPr>
              <w:jc w:val="both"/>
              <w:rPr>
                <w:rFonts w:eastAsia="Times New Roman"/>
                <w:color w:val="FF0000"/>
                <w:sz w:val="22"/>
                <w:szCs w:val="22"/>
              </w:rPr>
            </w:pPr>
            <w:r w:rsidRPr="45CF7C08">
              <w:rPr>
                <w:rFonts w:eastAsia="Times New Roman"/>
                <w:color w:val="FF0000"/>
                <w:sz w:val="22"/>
                <w:szCs w:val="22"/>
              </w:rPr>
              <w:t>“None of the studies found a difference in rates of thromboembolism, bleeding, or INR control. The appropriate length of the recall interval depends on the duration of prior stability and foreseeable future changes in medications or disorders</w:t>
            </w:r>
          </w:p>
          <w:p w14:paraId="30F5E5EE" w14:textId="45E487B6" w:rsidR="000E5C93" w:rsidRPr="008642F5" w:rsidRDefault="45CF7C08" w:rsidP="45CF7C08">
            <w:pPr>
              <w:jc w:val="both"/>
              <w:rPr>
                <w:sz w:val="22"/>
                <w:szCs w:val="22"/>
              </w:rPr>
            </w:pPr>
            <w:r w:rsidRPr="45CF7C08">
              <w:rPr>
                <w:rFonts w:eastAsia="Times New Roman"/>
                <w:color w:val="FF0000"/>
                <w:sz w:val="22"/>
                <w:szCs w:val="22"/>
              </w:rPr>
              <w:t>that affect the INR.”</w:t>
            </w:r>
          </w:p>
        </w:tc>
      </w:tr>
      <w:tr w:rsidR="00EE0FAB" w:rsidRPr="008F6E02" w14:paraId="30F5E5F2" w14:textId="77777777" w:rsidTr="45CF7C08">
        <w:tc>
          <w:tcPr>
            <w:tcW w:w="3055" w:type="dxa"/>
          </w:tcPr>
          <w:p w14:paraId="30F5E5F0" w14:textId="77777777" w:rsidR="000E5C93" w:rsidRPr="008642F5" w:rsidRDefault="45CF7C08" w:rsidP="45CF7C08">
            <w:pPr>
              <w:rPr>
                <w:sz w:val="22"/>
                <w:szCs w:val="22"/>
              </w:rPr>
            </w:pPr>
            <w:r w:rsidRPr="45CF7C08">
              <w:rPr>
                <w:sz w:val="22"/>
                <w:szCs w:val="22"/>
              </w:rPr>
              <w:t>Identify any new studies conducted since the SR. Do the new studies change the conclusions from the SR?</w:t>
            </w:r>
          </w:p>
        </w:tc>
        <w:tc>
          <w:tcPr>
            <w:tcW w:w="6143" w:type="dxa"/>
          </w:tcPr>
          <w:p w14:paraId="68E3048E" w14:textId="77777777" w:rsidR="009A45E9" w:rsidRPr="009A45E9" w:rsidRDefault="45CF7C08" w:rsidP="45CF7C08">
            <w:pPr>
              <w:jc w:val="both"/>
              <w:rPr>
                <w:color w:val="0070C0"/>
                <w:sz w:val="22"/>
                <w:szCs w:val="22"/>
              </w:rPr>
            </w:pPr>
            <w:proofErr w:type="spellStart"/>
            <w:r w:rsidRPr="45CF7C08">
              <w:rPr>
                <w:color w:val="0070C0"/>
                <w:sz w:val="22"/>
                <w:szCs w:val="22"/>
              </w:rPr>
              <w:t>Guyatt</w:t>
            </w:r>
            <w:proofErr w:type="spellEnd"/>
            <w:r w:rsidRPr="45CF7C08">
              <w:rPr>
                <w:color w:val="0070C0"/>
                <w:sz w:val="22"/>
                <w:szCs w:val="22"/>
              </w:rPr>
              <w:t xml:space="preserve">, G. H., Norris, S. L., Schulman, S., Hirsh, J., Eckman, M. H., </w:t>
            </w:r>
            <w:proofErr w:type="spellStart"/>
            <w:r w:rsidRPr="45CF7C08">
              <w:rPr>
                <w:color w:val="0070C0"/>
                <w:sz w:val="22"/>
                <w:szCs w:val="22"/>
              </w:rPr>
              <w:t>Akl</w:t>
            </w:r>
            <w:proofErr w:type="spellEnd"/>
            <w:r w:rsidRPr="45CF7C08">
              <w:rPr>
                <w:color w:val="0070C0"/>
                <w:sz w:val="22"/>
                <w:szCs w:val="22"/>
              </w:rPr>
              <w:t xml:space="preserve">, E. A., . . . </w:t>
            </w:r>
            <w:proofErr w:type="spellStart"/>
            <w:r w:rsidRPr="45CF7C08">
              <w:rPr>
                <w:color w:val="0070C0"/>
                <w:sz w:val="22"/>
                <w:szCs w:val="22"/>
              </w:rPr>
              <w:t>Schünemann</w:t>
            </w:r>
            <w:proofErr w:type="spellEnd"/>
            <w:r w:rsidRPr="45CF7C08">
              <w:rPr>
                <w:color w:val="0070C0"/>
                <w:sz w:val="22"/>
                <w:szCs w:val="22"/>
              </w:rPr>
              <w:t>, H. J. (2012). Methodology for the development of antithrombotic therapy and prevention of thrombosis guidelines: Antithrombotic Therapy and Prevention of Thrombosis, 9</w:t>
            </w:r>
            <w:r w:rsidRPr="45CF7C08">
              <w:rPr>
                <w:color w:val="0070C0"/>
                <w:sz w:val="22"/>
                <w:szCs w:val="22"/>
                <w:vertAlign w:val="superscript"/>
              </w:rPr>
              <w:t>th</w:t>
            </w:r>
            <w:r w:rsidRPr="45CF7C08">
              <w:rPr>
                <w:color w:val="0070C0"/>
                <w:sz w:val="22"/>
                <w:szCs w:val="22"/>
              </w:rPr>
              <w:t xml:space="preserve"> ed.: American College of Chest Physicians </w:t>
            </w:r>
            <w:r w:rsidRPr="45CF7C08">
              <w:rPr>
                <w:color w:val="0070C0"/>
                <w:sz w:val="22"/>
                <w:szCs w:val="22"/>
              </w:rPr>
              <w:lastRenderedPageBreak/>
              <w:t>evidence-based clinical practice guidelines. </w:t>
            </w:r>
            <w:r w:rsidRPr="45CF7C08">
              <w:rPr>
                <w:i/>
                <w:iCs/>
                <w:color w:val="0070C0"/>
                <w:sz w:val="22"/>
                <w:szCs w:val="22"/>
              </w:rPr>
              <w:t>Chest,141</w:t>
            </w:r>
            <w:r w:rsidRPr="45CF7C08">
              <w:rPr>
                <w:color w:val="0070C0"/>
                <w:sz w:val="22"/>
                <w:szCs w:val="22"/>
              </w:rPr>
              <w:t>(2_suppl), 53S-70S.  </w:t>
            </w:r>
          </w:p>
          <w:p w14:paraId="550BBFEA" w14:textId="77777777" w:rsidR="00834F95" w:rsidRDefault="00834F95" w:rsidP="008642F5">
            <w:pPr>
              <w:jc w:val="both"/>
              <w:rPr>
                <w:color w:val="0070C0"/>
                <w:sz w:val="22"/>
                <w:szCs w:val="22"/>
              </w:rPr>
            </w:pPr>
          </w:p>
          <w:p w14:paraId="30F5E5F1" w14:textId="488FF08A" w:rsidR="000E5C93" w:rsidRPr="00834F95" w:rsidRDefault="45CF7C08" w:rsidP="45CF7C08">
            <w:pPr>
              <w:jc w:val="both"/>
              <w:rPr>
                <w:color w:val="0070C0"/>
                <w:sz w:val="22"/>
                <w:szCs w:val="22"/>
              </w:rPr>
            </w:pPr>
            <w:r w:rsidRPr="45CF7C08">
              <w:rPr>
                <w:color w:val="0070C0"/>
                <w:sz w:val="22"/>
                <w:szCs w:val="22"/>
              </w:rPr>
              <w:t>See below (</w:t>
            </w:r>
            <w:proofErr w:type="spellStart"/>
            <w:r w:rsidRPr="45CF7C08">
              <w:rPr>
                <w:color w:val="0070C0"/>
                <w:sz w:val="22"/>
                <w:szCs w:val="22"/>
              </w:rPr>
              <w:t>Oake</w:t>
            </w:r>
            <w:proofErr w:type="spellEnd"/>
            <w:r w:rsidRPr="45CF7C08">
              <w:rPr>
                <w:color w:val="0070C0"/>
                <w:sz w:val="22"/>
                <w:szCs w:val="22"/>
              </w:rPr>
              <w:t xml:space="preserve"> et. al., 2008) for additional citations.</w:t>
            </w:r>
          </w:p>
        </w:tc>
      </w:tr>
    </w:tbl>
    <w:p w14:paraId="49C46E81" w14:textId="77777777" w:rsidR="00793CA0" w:rsidRDefault="00793CA0" w:rsidP="00854A53">
      <w:pPr>
        <w:jc w:val="both"/>
        <w:rPr>
          <w:b/>
          <w:iCs/>
          <w:color w:val="0070C0"/>
          <w:sz w:val="22"/>
          <w:szCs w:val="22"/>
        </w:rPr>
      </w:pPr>
    </w:p>
    <w:p w14:paraId="565503FA" w14:textId="799CA0DC" w:rsidR="00EE0FAB" w:rsidRPr="00854A53" w:rsidRDefault="45CF7C08" w:rsidP="45CF7C08">
      <w:pPr>
        <w:jc w:val="both"/>
        <w:rPr>
          <w:color w:val="FF0000"/>
          <w:sz w:val="22"/>
          <w:szCs w:val="22"/>
        </w:rPr>
      </w:pPr>
      <w:r w:rsidRPr="45CF7C08">
        <w:rPr>
          <w:b/>
          <w:bCs/>
          <w:color w:val="0070C0"/>
          <w:sz w:val="22"/>
          <w:szCs w:val="22"/>
        </w:rPr>
        <w:t>Prior Submission:</w:t>
      </w:r>
    </w:p>
    <w:tbl>
      <w:tblPr>
        <w:tblStyle w:val="TableGrid"/>
        <w:tblW w:w="0" w:type="auto"/>
        <w:tblLook w:val="04A0" w:firstRow="1" w:lastRow="0" w:firstColumn="1" w:lastColumn="0" w:noHBand="0" w:noVBand="1"/>
      </w:tblPr>
      <w:tblGrid>
        <w:gridCol w:w="3055"/>
        <w:gridCol w:w="6143"/>
      </w:tblGrid>
      <w:tr w:rsidR="00EE0FAB" w:rsidRPr="008F6E02" w14:paraId="1587119A" w14:textId="77777777" w:rsidTr="45CF7C08">
        <w:trPr>
          <w:trHeight w:val="3023"/>
        </w:trPr>
        <w:tc>
          <w:tcPr>
            <w:tcW w:w="3055" w:type="dxa"/>
          </w:tcPr>
          <w:p w14:paraId="60C054D9" w14:textId="77777777" w:rsidR="00A736FA" w:rsidRPr="008642F5" w:rsidRDefault="45CF7C08" w:rsidP="45CF7C08">
            <w:pPr>
              <w:rPr>
                <w:b/>
                <w:bCs/>
                <w:sz w:val="22"/>
                <w:szCs w:val="22"/>
              </w:rPr>
            </w:pPr>
            <w:r w:rsidRPr="45CF7C08">
              <w:rPr>
                <w:b/>
                <w:bCs/>
                <w:sz w:val="22"/>
                <w:szCs w:val="22"/>
              </w:rPr>
              <w:t>Source of Systematic Review:</w:t>
            </w:r>
          </w:p>
          <w:p w14:paraId="4D83F0C2" w14:textId="77777777" w:rsidR="00A736FA" w:rsidRPr="008642F5" w:rsidRDefault="45CF7C08" w:rsidP="45CF7C08">
            <w:pPr>
              <w:pStyle w:val="ListParagraph"/>
              <w:numPr>
                <w:ilvl w:val="0"/>
                <w:numId w:val="9"/>
              </w:numPr>
              <w:tabs>
                <w:tab w:val="left" w:pos="159"/>
              </w:tabs>
              <w:spacing w:after="0" w:line="240" w:lineRule="auto"/>
              <w:ind w:left="0" w:hanging="21"/>
              <w:rPr>
                <w:rFonts w:ascii="Times New Roman" w:hAnsi="Times New Roman" w:cs="Times New Roman"/>
                <w:b/>
                <w:bCs/>
              </w:rPr>
            </w:pPr>
            <w:r w:rsidRPr="45CF7C08">
              <w:rPr>
                <w:rFonts w:ascii="Times New Roman" w:hAnsi="Times New Roman" w:cs="Times New Roman"/>
                <w:b/>
                <w:bCs/>
              </w:rPr>
              <w:t>Title</w:t>
            </w:r>
          </w:p>
          <w:p w14:paraId="795BCE85" w14:textId="77777777" w:rsidR="00BC7ADB" w:rsidRPr="008642F5" w:rsidRDefault="45CF7C08" w:rsidP="45CF7C08">
            <w:pPr>
              <w:pStyle w:val="ListParagraph"/>
              <w:numPr>
                <w:ilvl w:val="0"/>
                <w:numId w:val="9"/>
              </w:numPr>
              <w:tabs>
                <w:tab w:val="left" w:pos="159"/>
              </w:tabs>
              <w:spacing w:after="0" w:line="240" w:lineRule="auto"/>
              <w:ind w:left="-21" w:firstLine="0"/>
              <w:rPr>
                <w:b/>
                <w:bCs/>
              </w:rPr>
            </w:pPr>
            <w:r w:rsidRPr="45CF7C08">
              <w:rPr>
                <w:rFonts w:ascii="Times New Roman" w:hAnsi="Times New Roman" w:cs="Times New Roman"/>
                <w:b/>
                <w:bCs/>
              </w:rPr>
              <w:t>Author</w:t>
            </w:r>
          </w:p>
          <w:p w14:paraId="22D1BA7E" w14:textId="4B5EA29C" w:rsidR="00A736FA" w:rsidRPr="008642F5" w:rsidRDefault="45CF7C08" w:rsidP="45CF7C08">
            <w:pPr>
              <w:pStyle w:val="ListParagraph"/>
              <w:numPr>
                <w:ilvl w:val="0"/>
                <w:numId w:val="9"/>
              </w:numPr>
              <w:tabs>
                <w:tab w:val="left" w:pos="159"/>
              </w:tabs>
              <w:spacing w:after="0" w:line="240" w:lineRule="auto"/>
              <w:ind w:left="-21" w:firstLine="0"/>
              <w:rPr>
                <w:rFonts w:ascii="Times New Roman" w:hAnsi="Times New Roman" w:cs="Times New Roman"/>
                <w:b/>
                <w:bCs/>
                <w:color w:val="000000" w:themeColor="text1"/>
              </w:rPr>
            </w:pPr>
            <w:r w:rsidRPr="45CF7C08">
              <w:rPr>
                <w:rFonts w:ascii="Times New Roman" w:hAnsi="Times New Roman" w:cs="Times New Roman"/>
                <w:b/>
                <w:bCs/>
                <w:color w:val="000000" w:themeColor="text1"/>
              </w:rPr>
              <w:t>Date</w:t>
            </w:r>
          </w:p>
          <w:p w14:paraId="1C790815" w14:textId="77777777" w:rsidR="00A736FA" w:rsidRPr="008642F5" w:rsidRDefault="45CF7C08" w:rsidP="45CF7C08">
            <w:pPr>
              <w:pStyle w:val="ListParagraph"/>
              <w:numPr>
                <w:ilvl w:val="0"/>
                <w:numId w:val="9"/>
              </w:numPr>
              <w:tabs>
                <w:tab w:val="left" w:pos="159"/>
              </w:tabs>
              <w:spacing w:after="0" w:line="240" w:lineRule="auto"/>
              <w:ind w:left="-23" w:firstLine="0"/>
              <w:rPr>
                <w:rFonts w:ascii="Times New Roman" w:hAnsi="Times New Roman" w:cs="Times New Roman"/>
                <w:b/>
                <w:bCs/>
              </w:rPr>
            </w:pPr>
            <w:r w:rsidRPr="45CF7C08">
              <w:rPr>
                <w:rFonts w:ascii="Times New Roman" w:hAnsi="Times New Roman" w:cs="Times New Roman"/>
                <w:b/>
                <w:bCs/>
              </w:rPr>
              <w:t>Citation, including page number</w:t>
            </w:r>
          </w:p>
          <w:p w14:paraId="7B423496" w14:textId="77777777" w:rsidR="00A736FA" w:rsidRPr="008642F5" w:rsidRDefault="45CF7C08" w:rsidP="45CF7C08">
            <w:pPr>
              <w:pStyle w:val="ListParagraph"/>
              <w:numPr>
                <w:ilvl w:val="0"/>
                <w:numId w:val="9"/>
              </w:numPr>
              <w:tabs>
                <w:tab w:val="left" w:pos="159"/>
              </w:tabs>
              <w:spacing w:after="0" w:line="240" w:lineRule="auto"/>
              <w:ind w:left="-23" w:firstLine="0"/>
              <w:rPr>
                <w:rFonts w:ascii="Times New Roman" w:hAnsi="Times New Roman" w:cs="Times New Roman"/>
                <w:b/>
                <w:bCs/>
              </w:rPr>
            </w:pPr>
            <w:r w:rsidRPr="45CF7C08">
              <w:rPr>
                <w:rFonts w:ascii="Times New Roman" w:hAnsi="Times New Roman" w:cs="Times New Roman"/>
                <w:b/>
                <w:bCs/>
              </w:rPr>
              <w:t>URL</w:t>
            </w:r>
          </w:p>
          <w:p w14:paraId="35E84C0A" w14:textId="1A1F4A64" w:rsidR="00A736FA" w:rsidRPr="008642F5" w:rsidRDefault="00A736FA" w:rsidP="008642F5">
            <w:pPr>
              <w:pStyle w:val="ListParagraph"/>
              <w:spacing w:after="0" w:line="240" w:lineRule="auto"/>
              <w:ind w:left="-21" w:firstLine="0"/>
              <w:rPr>
                <w:rFonts w:ascii="Times New Roman" w:hAnsi="Times New Roman" w:cs="Times New Roman"/>
              </w:rPr>
            </w:pPr>
          </w:p>
        </w:tc>
        <w:tc>
          <w:tcPr>
            <w:tcW w:w="6143" w:type="dxa"/>
          </w:tcPr>
          <w:p w14:paraId="5C5FD801" w14:textId="530EAA28" w:rsidR="00EE0FAB" w:rsidRPr="000D119F" w:rsidRDefault="45CF7C08" w:rsidP="45CF7C08">
            <w:pPr>
              <w:tabs>
                <w:tab w:val="left" w:pos="159"/>
              </w:tabs>
              <w:jc w:val="both"/>
              <w:rPr>
                <w:sz w:val="22"/>
                <w:szCs w:val="22"/>
              </w:rPr>
            </w:pPr>
            <w:r w:rsidRPr="45CF7C08">
              <w:rPr>
                <w:color w:val="0070C0"/>
                <w:sz w:val="22"/>
                <w:szCs w:val="22"/>
              </w:rPr>
              <w:t>Title: Anticoagulation intensity and outcomes among patients prescribed oral anticoagulant therapy: A systematic review and meta-analysis.</w:t>
            </w:r>
          </w:p>
          <w:p w14:paraId="26008770" w14:textId="5F1CA480" w:rsidR="00EE0FAB" w:rsidRPr="000D119F" w:rsidRDefault="00A25876" w:rsidP="45CF7C08">
            <w:pPr>
              <w:tabs>
                <w:tab w:val="left" w:pos="159"/>
              </w:tabs>
              <w:jc w:val="both"/>
              <w:rPr>
                <w:b/>
                <w:bCs/>
                <w:sz w:val="22"/>
                <w:szCs w:val="22"/>
              </w:rPr>
            </w:pPr>
            <w:r w:rsidRPr="000D119F">
              <w:rPr>
                <w:rStyle w:val="name"/>
                <w:color w:val="0070C0"/>
                <w:sz w:val="22"/>
                <w:szCs w:val="22"/>
              </w:rPr>
              <w:t xml:space="preserve">Authors: </w:t>
            </w:r>
            <w:r w:rsidR="00EE0FAB" w:rsidRPr="000D119F">
              <w:rPr>
                <w:rStyle w:val="name"/>
                <w:color w:val="0070C0"/>
                <w:sz w:val="22"/>
                <w:szCs w:val="22"/>
              </w:rPr>
              <w:t xml:space="preserve">Natalie </w:t>
            </w:r>
            <w:proofErr w:type="spellStart"/>
            <w:r w:rsidR="00EE0FAB" w:rsidRPr="000D119F">
              <w:rPr>
                <w:rStyle w:val="name"/>
                <w:color w:val="0070C0"/>
                <w:sz w:val="22"/>
                <w:szCs w:val="22"/>
              </w:rPr>
              <w:t>Oake</w:t>
            </w:r>
            <w:proofErr w:type="spellEnd"/>
            <w:r w:rsidR="00EE0FAB" w:rsidRPr="000D119F">
              <w:rPr>
                <w:rStyle w:val="name"/>
                <w:rFonts w:eastAsia="Times New Roman"/>
                <w:color w:val="0070C0"/>
                <w:sz w:val="22"/>
                <w:szCs w:val="22"/>
                <w:bdr w:val="none" w:sz="0" w:space="0" w:color="auto" w:frame="1"/>
              </w:rPr>
              <w:t xml:space="preserve">, </w:t>
            </w:r>
            <w:r w:rsidR="00EE0FAB" w:rsidRPr="000D119F">
              <w:rPr>
                <w:rStyle w:val="name"/>
                <w:color w:val="0070C0"/>
                <w:sz w:val="22"/>
                <w:szCs w:val="22"/>
              </w:rPr>
              <w:t>Alison Jennings</w:t>
            </w:r>
            <w:r w:rsidR="00EE0FAB" w:rsidRPr="000D119F">
              <w:rPr>
                <w:rStyle w:val="name"/>
                <w:rFonts w:eastAsia="Times New Roman"/>
                <w:color w:val="0070C0"/>
                <w:sz w:val="22"/>
                <w:szCs w:val="22"/>
                <w:bdr w:val="none" w:sz="0" w:space="0" w:color="auto" w:frame="1"/>
              </w:rPr>
              <w:t xml:space="preserve">, </w:t>
            </w:r>
            <w:r w:rsidR="00EE0FAB" w:rsidRPr="000D119F">
              <w:rPr>
                <w:rStyle w:val="name"/>
                <w:color w:val="0070C0"/>
                <w:sz w:val="22"/>
                <w:szCs w:val="22"/>
              </w:rPr>
              <w:t>Alan J. Forster</w:t>
            </w:r>
            <w:r w:rsidR="00EE0FAB" w:rsidRPr="000D119F">
              <w:rPr>
                <w:rStyle w:val="name"/>
                <w:rFonts w:eastAsia="Times New Roman"/>
                <w:color w:val="0070C0"/>
                <w:sz w:val="22"/>
                <w:szCs w:val="22"/>
                <w:bdr w:val="none" w:sz="0" w:space="0" w:color="auto" w:frame="1"/>
              </w:rPr>
              <w:t xml:space="preserve">, </w:t>
            </w:r>
            <w:r w:rsidR="00EE0FAB" w:rsidRPr="000D119F">
              <w:rPr>
                <w:rStyle w:val="name"/>
                <w:color w:val="0070C0"/>
                <w:sz w:val="22"/>
                <w:szCs w:val="22"/>
              </w:rPr>
              <w:t>Dean Fergusson</w:t>
            </w:r>
            <w:r w:rsidR="00EE0FAB" w:rsidRPr="000D119F">
              <w:rPr>
                <w:rStyle w:val="name"/>
                <w:rFonts w:eastAsia="Times New Roman"/>
                <w:color w:val="0070C0"/>
                <w:sz w:val="22"/>
                <w:szCs w:val="22"/>
                <w:bdr w:val="none" w:sz="0" w:space="0" w:color="auto" w:frame="1"/>
              </w:rPr>
              <w:t>, Steve Doucette</w:t>
            </w:r>
            <w:r w:rsidR="00EE0FAB" w:rsidRPr="000D119F">
              <w:rPr>
                <w:rFonts w:eastAsia="Times New Roman"/>
                <w:color w:val="0070C0"/>
                <w:sz w:val="22"/>
                <w:szCs w:val="22"/>
              </w:rPr>
              <w:t>,</w:t>
            </w:r>
            <w:r w:rsidR="00EE0FAB" w:rsidRPr="000D119F">
              <w:rPr>
                <w:rStyle w:val="apple-converted-space"/>
                <w:rFonts w:eastAsia="Times New Roman"/>
                <w:color w:val="0070C0"/>
                <w:sz w:val="22"/>
                <w:szCs w:val="22"/>
              </w:rPr>
              <w:t xml:space="preserve"> &amp; </w:t>
            </w:r>
            <w:r w:rsidR="00EE0FAB" w:rsidRPr="000D119F">
              <w:rPr>
                <w:rStyle w:val="name"/>
                <w:color w:val="0070C0"/>
                <w:sz w:val="22"/>
                <w:szCs w:val="22"/>
              </w:rPr>
              <w:t xml:space="preserve">Carl van </w:t>
            </w:r>
            <w:proofErr w:type="spellStart"/>
            <w:r w:rsidR="00EE0FAB" w:rsidRPr="000D119F">
              <w:rPr>
                <w:rStyle w:val="name"/>
                <w:color w:val="0070C0"/>
                <w:sz w:val="22"/>
                <w:szCs w:val="22"/>
              </w:rPr>
              <w:t>Walraven</w:t>
            </w:r>
            <w:proofErr w:type="spellEnd"/>
          </w:p>
          <w:p w14:paraId="5B2A84B4" w14:textId="5412C3F8" w:rsidR="00EE0FAB" w:rsidRPr="000D119F" w:rsidRDefault="45CF7C08" w:rsidP="45CF7C08">
            <w:pPr>
              <w:tabs>
                <w:tab w:val="left" w:pos="159"/>
              </w:tabs>
              <w:jc w:val="both"/>
              <w:rPr>
                <w:color w:val="0070C0"/>
                <w:sz w:val="22"/>
                <w:szCs w:val="22"/>
              </w:rPr>
            </w:pPr>
            <w:r w:rsidRPr="45CF7C08">
              <w:rPr>
                <w:color w:val="0070C0"/>
                <w:sz w:val="22"/>
                <w:szCs w:val="22"/>
              </w:rPr>
              <w:t>Date: July 29, 2008</w:t>
            </w:r>
          </w:p>
          <w:p w14:paraId="641AEE7A" w14:textId="1A16F7D6" w:rsidR="00EE0FAB" w:rsidRPr="000D119F" w:rsidRDefault="45CF7C08" w:rsidP="45CF7C08">
            <w:pPr>
              <w:tabs>
                <w:tab w:val="left" w:pos="159"/>
              </w:tabs>
              <w:jc w:val="both"/>
              <w:rPr>
                <w:color w:val="0070C0"/>
                <w:sz w:val="22"/>
                <w:szCs w:val="22"/>
              </w:rPr>
            </w:pPr>
            <w:r w:rsidRPr="45CF7C08">
              <w:rPr>
                <w:color w:val="0070C0"/>
                <w:sz w:val="22"/>
                <w:szCs w:val="22"/>
              </w:rPr>
              <w:t xml:space="preserve">Citation: </w:t>
            </w:r>
            <w:proofErr w:type="spellStart"/>
            <w:r w:rsidRPr="45CF7C08">
              <w:rPr>
                <w:color w:val="0070C0"/>
                <w:sz w:val="22"/>
                <w:szCs w:val="22"/>
              </w:rPr>
              <w:t>Oake</w:t>
            </w:r>
            <w:proofErr w:type="spellEnd"/>
            <w:r w:rsidRPr="45CF7C08">
              <w:rPr>
                <w:color w:val="0070C0"/>
                <w:sz w:val="22"/>
                <w:szCs w:val="22"/>
              </w:rPr>
              <w:t xml:space="preserve"> N, Jennings A, Forster AJ, Fergusson D, Doucette S, van </w:t>
            </w:r>
            <w:proofErr w:type="spellStart"/>
            <w:r w:rsidRPr="45CF7C08">
              <w:rPr>
                <w:color w:val="0070C0"/>
                <w:sz w:val="22"/>
                <w:szCs w:val="22"/>
              </w:rPr>
              <w:t>Walraven</w:t>
            </w:r>
            <w:proofErr w:type="spellEnd"/>
            <w:r w:rsidRPr="45CF7C08">
              <w:rPr>
                <w:color w:val="0070C0"/>
                <w:sz w:val="22"/>
                <w:szCs w:val="22"/>
              </w:rPr>
              <w:t xml:space="preserve"> C. Anticoagulation intensity and outcomes among patients prescribed oral anticoagulant therapy: a systematic review and meta-analysis. </w:t>
            </w:r>
            <w:proofErr w:type="gramStart"/>
            <w:r w:rsidRPr="45CF7C08">
              <w:rPr>
                <w:i/>
                <w:iCs/>
                <w:color w:val="0070C0"/>
                <w:sz w:val="22"/>
                <w:szCs w:val="22"/>
              </w:rPr>
              <w:t>CMAJ :</w:t>
            </w:r>
            <w:proofErr w:type="gramEnd"/>
            <w:r w:rsidRPr="45CF7C08">
              <w:rPr>
                <w:i/>
                <w:iCs/>
                <w:color w:val="0070C0"/>
                <w:sz w:val="22"/>
                <w:szCs w:val="22"/>
              </w:rPr>
              <w:t xml:space="preserve"> Canadian Medical Association journal = journal de </w:t>
            </w:r>
            <w:proofErr w:type="spellStart"/>
            <w:r w:rsidRPr="45CF7C08">
              <w:rPr>
                <w:i/>
                <w:iCs/>
                <w:color w:val="0070C0"/>
                <w:sz w:val="22"/>
                <w:szCs w:val="22"/>
              </w:rPr>
              <w:t>l'Association</w:t>
            </w:r>
            <w:proofErr w:type="spellEnd"/>
            <w:r w:rsidRPr="45CF7C08">
              <w:rPr>
                <w:i/>
                <w:iCs/>
                <w:color w:val="0070C0"/>
                <w:sz w:val="22"/>
                <w:szCs w:val="22"/>
              </w:rPr>
              <w:t xml:space="preserve"> </w:t>
            </w:r>
            <w:proofErr w:type="spellStart"/>
            <w:r w:rsidRPr="45CF7C08">
              <w:rPr>
                <w:i/>
                <w:iCs/>
                <w:color w:val="0070C0"/>
                <w:sz w:val="22"/>
                <w:szCs w:val="22"/>
              </w:rPr>
              <w:t>medicale</w:t>
            </w:r>
            <w:proofErr w:type="spellEnd"/>
            <w:r w:rsidRPr="45CF7C08">
              <w:rPr>
                <w:i/>
                <w:iCs/>
                <w:color w:val="0070C0"/>
                <w:sz w:val="22"/>
                <w:szCs w:val="22"/>
              </w:rPr>
              <w:t xml:space="preserve"> </w:t>
            </w:r>
            <w:proofErr w:type="spellStart"/>
            <w:r w:rsidRPr="45CF7C08">
              <w:rPr>
                <w:i/>
                <w:iCs/>
                <w:color w:val="0070C0"/>
                <w:sz w:val="22"/>
                <w:szCs w:val="22"/>
              </w:rPr>
              <w:t>canadienne</w:t>
            </w:r>
            <w:proofErr w:type="spellEnd"/>
            <w:r w:rsidRPr="45CF7C08">
              <w:rPr>
                <w:i/>
                <w:iCs/>
                <w:color w:val="0070C0"/>
                <w:sz w:val="22"/>
                <w:szCs w:val="22"/>
              </w:rPr>
              <w:t xml:space="preserve">. </w:t>
            </w:r>
            <w:r w:rsidRPr="45CF7C08">
              <w:rPr>
                <w:color w:val="0070C0"/>
                <w:sz w:val="22"/>
                <w:szCs w:val="22"/>
              </w:rPr>
              <w:t xml:space="preserve">2008;179(3):235-244. </w:t>
            </w:r>
            <w:proofErr w:type="spellStart"/>
            <w:r w:rsidRPr="45CF7C08">
              <w:rPr>
                <w:color w:val="0070C0"/>
                <w:sz w:val="22"/>
                <w:szCs w:val="22"/>
              </w:rPr>
              <w:t>doi</w:t>
            </w:r>
            <w:proofErr w:type="spellEnd"/>
            <w:r w:rsidRPr="45CF7C08">
              <w:rPr>
                <w:color w:val="0070C0"/>
                <w:sz w:val="22"/>
                <w:szCs w:val="22"/>
              </w:rPr>
              <w:t>: 10.1503/cmaj.080171.</w:t>
            </w:r>
          </w:p>
          <w:p w14:paraId="2BB9E4B1" w14:textId="5313806C" w:rsidR="00A736FA" w:rsidRPr="008642F5" w:rsidRDefault="45CF7C08" w:rsidP="00A25876">
            <w:pPr>
              <w:tabs>
                <w:tab w:val="left" w:pos="159"/>
              </w:tabs>
              <w:jc w:val="both"/>
            </w:pPr>
            <w:r w:rsidRPr="45CF7C08">
              <w:rPr>
                <w:color w:val="0070C0"/>
                <w:sz w:val="22"/>
                <w:szCs w:val="22"/>
              </w:rPr>
              <w:t xml:space="preserve">URL: </w:t>
            </w:r>
            <w:hyperlink r:id="rId19">
              <w:r w:rsidRPr="45CF7C08">
                <w:rPr>
                  <w:rStyle w:val="Hyperlink"/>
                  <w:sz w:val="22"/>
                  <w:szCs w:val="22"/>
                </w:rPr>
                <w:t>http://www.cmaj.ca/content/179/3/235.long</w:t>
              </w:r>
            </w:hyperlink>
            <w:r w:rsidRPr="45CF7C08">
              <w:rPr>
                <w:color w:val="0070C0"/>
                <w:sz w:val="22"/>
                <w:szCs w:val="22"/>
              </w:rPr>
              <w:t xml:space="preserve"> </w:t>
            </w:r>
          </w:p>
        </w:tc>
      </w:tr>
      <w:tr w:rsidR="00EE0FAB" w:rsidRPr="008F6E02" w14:paraId="208C86FC" w14:textId="77777777" w:rsidTr="45CF7C08">
        <w:tc>
          <w:tcPr>
            <w:tcW w:w="3055" w:type="dxa"/>
          </w:tcPr>
          <w:p w14:paraId="79BAF65E" w14:textId="77777777" w:rsidR="00A736FA" w:rsidRPr="008642F5" w:rsidRDefault="45CF7C08" w:rsidP="45CF7C08">
            <w:pPr>
              <w:rPr>
                <w:sz w:val="22"/>
                <w:szCs w:val="22"/>
              </w:rPr>
            </w:pPr>
            <w:r w:rsidRPr="45CF7C08">
              <w:rPr>
                <w:sz w:val="22"/>
                <w:szCs w:val="22"/>
              </w:rPr>
              <w:t>Quote the guideline or recommendation verbatim about the process, structure or intermediate outcome being measured. If not a guideline, summarize the conclusions from the SR.</w:t>
            </w:r>
          </w:p>
        </w:tc>
        <w:tc>
          <w:tcPr>
            <w:tcW w:w="6143" w:type="dxa"/>
          </w:tcPr>
          <w:p w14:paraId="39C3B8D6" w14:textId="77777777" w:rsidR="00A736FA" w:rsidRDefault="45CF7C08" w:rsidP="45CF7C08">
            <w:pPr>
              <w:jc w:val="both"/>
              <w:rPr>
                <w:color w:val="0070C0"/>
                <w:sz w:val="22"/>
                <w:szCs w:val="22"/>
              </w:rPr>
            </w:pPr>
            <w:r w:rsidRPr="45CF7C08">
              <w:rPr>
                <w:color w:val="0070C0"/>
                <w:sz w:val="22"/>
                <w:szCs w:val="22"/>
              </w:rPr>
              <w:t>The authors examined evidence as to the risk of hemorrhagic (bleeding) and thromboembolic outcomes associated with levels of the international normalized ratio (INR) that are above and below the recommended range of 2-3. The meta-analysis used person-year data to calculate the relative risk (RR) of hemorrhage and/or thromboembolic event with an INR between 3 and 5, above 5, and below 2, compared to a reference group in the range of 2-3.</w:t>
            </w:r>
          </w:p>
          <w:p w14:paraId="457E2C73" w14:textId="77777777" w:rsidR="00B11C7D" w:rsidRDefault="00B11C7D" w:rsidP="008642F5">
            <w:pPr>
              <w:jc w:val="both"/>
              <w:rPr>
                <w:color w:val="0070C0"/>
                <w:sz w:val="22"/>
                <w:szCs w:val="22"/>
              </w:rPr>
            </w:pPr>
          </w:p>
          <w:p w14:paraId="147C1118" w14:textId="77777777" w:rsidR="00B11C7D" w:rsidRPr="008642F5" w:rsidRDefault="45CF7C08" w:rsidP="45CF7C08">
            <w:pPr>
              <w:jc w:val="both"/>
              <w:rPr>
                <w:color w:val="0070C0"/>
                <w:sz w:val="22"/>
                <w:szCs w:val="22"/>
              </w:rPr>
            </w:pPr>
            <w:r w:rsidRPr="45CF7C08">
              <w:rPr>
                <w:color w:val="0070C0"/>
                <w:sz w:val="22"/>
                <w:szCs w:val="22"/>
                <w:u w:val="single"/>
              </w:rPr>
              <w:t>Effect on Hemorrhagic Events</w:t>
            </w:r>
          </w:p>
          <w:p w14:paraId="76A88CF9" w14:textId="77777777" w:rsidR="00B11C7D" w:rsidRPr="008642F5" w:rsidRDefault="45CF7C08" w:rsidP="45CF7C08">
            <w:pPr>
              <w:jc w:val="both"/>
              <w:rPr>
                <w:color w:val="0070C0"/>
                <w:sz w:val="22"/>
                <w:szCs w:val="22"/>
              </w:rPr>
            </w:pPr>
            <w:r w:rsidRPr="45CF7C08">
              <w:rPr>
                <w:color w:val="0070C0"/>
                <w:sz w:val="22"/>
                <w:szCs w:val="22"/>
              </w:rPr>
              <w:t>The meta-analysis found that the relative risk of a hemorrhagic event was 2.7 (95% CI: 1.8-3.9) for patients with an INR between 3 and 5 and 21.8 (95% CI: 12.1-39.4) for patients with an INR above 5, compared to those with an INR of 2-3 (the reference group). The relative risks for patients with an INR between 3 and 5 and above 5 were statistically significantly different from those with an INR of 2-3. The above relative risks “translated to absolute risks (and 95% CIs) of 3.7% [per year] (2.2% - 6.3%) for INRs between 3 and 5 and 30.1% [per year] (14.9% - 60.9%) for INRs above 5.” These absolute risks can be compared to an absolute risk of 1.4% per year (0.9% - 2.3%) for INRs between 2 and 3.</w:t>
            </w:r>
          </w:p>
          <w:p w14:paraId="3B3522B2" w14:textId="77777777" w:rsidR="00B11C7D" w:rsidRPr="008642F5" w:rsidRDefault="00B11C7D" w:rsidP="00B11C7D">
            <w:pPr>
              <w:jc w:val="both"/>
              <w:rPr>
                <w:color w:val="0070C0"/>
                <w:sz w:val="22"/>
                <w:szCs w:val="22"/>
              </w:rPr>
            </w:pPr>
          </w:p>
          <w:p w14:paraId="0080D26C" w14:textId="77777777" w:rsidR="00B11C7D" w:rsidRPr="008642F5" w:rsidRDefault="45CF7C08" w:rsidP="45CF7C08">
            <w:pPr>
              <w:jc w:val="both"/>
              <w:rPr>
                <w:color w:val="0070C0"/>
                <w:sz w:val="22"/>
                <w:szCs w:val="22"/>
              </w:rPr>
            </w:pPr>
            <w:r w:rsidRPr="45CF7C08">
              <w:rPr>
                <w:color w:val="0070C0"/>
                <w:sz w:val="22"/>
                <w:szCs w:val="22"/>
              </w:rPr>
              <w:t>For hemorrhagic events, the relative risks for patients with an INR between 3 and 5, ranged from 0.5 to 11.1 across the 17 individual studies, and for patients with an INR above 5, the relative risks ranged from 4.0 to 161.3. Again, all relative risks are in relation to an INR between 2 and 3. Three studies did not report relative risks for patients with an INR above 5.</w:t>
            </w:r>
          </w:p>
          <w:p w14:paraId="733596E7" w14:textId="77777777" w:rsidR="00B11C7D" w:rsidRDefault="00B11C7D" w:rsidP="008642F5">
            <w:pPr>
              <w:jc w:val="both"/>
              <w:rPr>
                <w:color w:val="0070C0"/>
                <w:sz w:val="22"/>
                <w:szCs w:val="22"/>
              </w:rPr>
            </w:pPr>
          </w:p>
          <w:p w14:paraId="69EB00C5" w14:textId="77777777" w:rsidR="00B11C7D" w:rsidRPr="008642F5" w:rsidRDefault="45CF7C08" w:rsidP="45CF7C08">
            <w:pPr>
              <w:jc w:val="both"/>
              <w:rPr>
                <w:color w:val="0070C0"/>
                <w:sz w:val="22"/>
                <w:szCs w:val="22"/>
                <w:u w:val="single"/>
              </w:rPr>
            </w:pPr>
            <w:r w:rsidRPr="45CF7C08">
              <w:rPr>
                <w:color w:val="0070C0"/>
                <w:sz w:val="22"/>
                <w:szCs w:val="22"/>
                <w:u w:val="single"/>
              </w:rPr>
              <w:t>Effect on Thromboembolic Events</w:t>
            </w:r>
          </w:p>
          <w:p w14:paraId="77897249" w14:textId="77777777" w:rsidR="00B11C7D" w:rsidRPr="008642F5" w:rsidRDefault="45CF7C08" w:rsidP="45CF7C08">
            <w:pPr>
              <w:jc w:val="both"/>
              <w:rPr>
                <w:color w:val="0070C0"/>
                <w:sz w:val="22"/>
                <w:szCs w:val="22"/>
              </w:rPr>
            </w:pPr>
            <w:r w:rsidRPr="45CF7C08">
              <w:rPr>
                <w:color w:val="0070C0"/>
                <w:sz w:val="22"/>
                <w:szCs w:val="22"/>
              </w:rPr>
              <w:t>The meta-analysis found that the relative risk of a thromboembolic event was 3.5 (95% CI: 2.8–4.4; p&lt;0.01) for patients with an INR less than 2, and 2.6 (95% CI: 1.3–5.1;</w:t>
            </w:r>
            <w:r w:rsidRPr="45CF7C08">
              <w:rPr>
                <w:i/>
                <w:iCs/>
                <w:color w:val="0070C0"/>
                <w:sz w:val="22"/>
                <w:szCs w:val="22"/>
              </w:rPr>
              <w:t xml:space="preserve"> </w:t>
            </w:r>
            <w:r w:rsidRPr="45CF7C08">
              <w:rPr>
                <w:color w:val="0070C0"/>
                <w:sz w:val="22"/>
                <w:szCs w:val="22"/>
              </w:rPr>
              <w:t xml:space="preserve">p&lt;0.01) for patients with an </w:t>
            </w:r>
            <w:r w:rsidRPr="45CF7C08">
              <w:rPr>
                <w:color w:val="0070C0"/>
                <w:sz w:val="22"/>
                <w:szCs w:val="22"/>
              </w:rPr>
              <w:lastRenderedPageBreak/>
              <w:t>INR above 5, compared to those with an INR of 2-3 (the reference group). The relative risks for patients with an INR less than 2 and above 5 were statistically significantly different from those with an INR of 2-3. These relative risks represent absolute risks (and 95% CIs) of 9.0% per year (6.1% - 13.4%) for INRs less than 2 and 6.6% per year (3.2% -13.9%) for INRs above 5. These absolute risks can be compared to an absolute risk of 2.6% per year (1.8% - 3.6%) for INRs between 2 and 3.</w:t>
            </w:r>
          </w:p>
          <w:p w14:paraId="6EF249DC" w14:textId="77777777" w:rsidR="00B11C7D" w:rsidRPr="008642F5" w:rsidRDefault="00B11C7D" w:rsidP="00B11C7D">
            <w:pPr>
              <w:jc w:val="both"/>
              <w:rPr>
                <w:color w:val="0070C0"/>
                <w:sz w:val="22"/>
                <w:szCs w:val="22"/>
              </w:rPr>
            </w:pPr>
          </w:p>
          <w:p w14:paraId="1BCCF2D5" w14:textId="60087A20" w:rsidR="00B11C7D" w:rsidRPr="008642F5" w:rsidRDefault="45CF7C08" w:rsidP="45CF7C08">
            <w:pPr>
              <w:jc w:val="both"/>
              <w:rPr>
                <w:color w:val="0070C0"/>
                <w:sz w:val="22"/>
                <w:szCs w:val="22"/>
              </w:rPr>
            </w:pPr>
            <w:r w:rsidRPr="45CF7C08">
              <w:rPr>
                <w:color w:val="0070C0"/>
                <w:sz w:val="22"/>
                <w:szCs w:val="22"/>
              </w:rPr>
              <w:t>For thromboembolic events, the relative risks for patients with an INR less than 2 ranged from 0.0 to 10.9 across the 17 individual studies, and for patients with an INR above 5, the relative risks ranged from 0.0 to 9.0. Again, all relative risks are in relation to an INR between 2 and 3. Six studies did not report relative risks for patients with an INR above 5.</w:t>
            </w:r>
          </w:p>
        </w:tc>
      </w:tr>
      <w:tr w:rsidR="00EE0FAB" w:rsidRPr="008F6E02" w14:paraId="294B1E45" w14:textId="77777777" w:rsidTr="45CF7C08">
        <w:tc>
          <w:tcPr>
            <w:tcW w:w="3055" w:type="dxa"/>
          </w:tcPr>
          <w:p w14:paraId="4A232E77" w14:textId="77777777" w:rsidR="00A736FA" w:rsidRPr="008642F5" w:rsidRDefault="45CF7C08" w:rsidP="45CF7C08">
            <w:pPr>
              <w:rPr>
                <w:sz w:val="22"/>
                <w:szCs w:val="22"/>
              </w:rPr>
            </w:pPr>
            <w:r w:rsidRPr="45CF7C08">
              <w:rPr>
                <w:sz w:val="22"/>
                <w:szCs w:val="22"/>
              </w:rPr>
              <w:lastRenderedPageBreak/>
              <w:t xml:space="preserve">Grade assigned to the </w:t>
            </w:r>
            <w:r w:rsidRPr="45CF7C08">
              <w:rPr>
                <w:b/>
                <w:bCs/>
                <w:sz w:val="22"/>
                <w:szCs w:val="22"/>
              </w:rPr>
              <w:t>evidence</w:t>
            </w:r>
            <w:r w:rsidRPr="45CF7C08">
              <w:rPr>
                <w:sz w:val="22"/>
                <w:szCs w:val="22"/>
              </w:rPr>
              <w:t xml:space="preserve"> associated with the recommendation with the definition of the grade</w:t>
            </w:r>
          </w:p>
        </w:tc>
        <w:tc>
          <w:tcPr>
            <w:tcW w:w="6143" w:type="dxa"/>
          </w:tcPr>
          <w:p w14:paraId="01E42AD0" w14:textId="732E8647" w:rsidR="00A736FA" w:rsidRPr="008642F5" w:rsidRDefault="45CF7C08" w:rsidP="45CF7C08">
            <w:pPr>
              <w:jc w:val="both"/>
              <w:rPr>
                <w:color w:val="0070C0"/>
                <w:sz w:val="22"/>
                <w:szCs w:val="22"/>
              </w:rPr>
            </w:pPr>
            <w:r w:rsidRPr="45CF7C08">
              <w:rPr>
                <w:color w:val="0070C0"/>
                <w:sz w:val="22"/>
                <w:szCs w:val="22"/>
              </w:rPr>
              <w:t>There was no grade assigned for the quality of quoted evidence.</w:t>
            </w:r>
          </w:p>
        </w:tc>
      </w:tr>
      <w:tr w:rsidR="00EE0FAB" w:rsidRPr="008F6E02" w14:paraId="706729A4" w14:textId="77777777" w:rsidTr="45CF7C08">
        <w:tc>
          <w:tcPr>
            <w:tcW w:w="3055" w:type="dxa"/>
          </w:tcPr>
          <w:p w14:paraId="41D4F318" w14:textId="77777777" w:rsidR="00A736FA" w:rsidRPr="008642F5" w:rsidRDefault="45CF7C08" w:rsidP="45CF7C08">
            <w:pPr>
              <w:rPr>
                <w:sz w:val="22"/>
                <w:szCs w:val="22"/>
              </w:rPr>
            </w:pPr>
            <w:r w:rsidRPr="45CF7C08">
              <w:rPr>
                <w:sz w:val="22"/>
                <w:szCs w:val="22"/>
              </w:rPr>
              <w:t>Provide all other grades and definitions from the evidence grading system</w:t>
            </w:r>
          </w:p>
        </w:tc>
        <w:tc>
          <w:tcPr>
            <w:tcW w:w="6143" w:type="dxa"/>
          </w:tcPr>
          <w:p w14:paraId="131D9198" w14:textId="566791B3" w:rsidR="00A736FA" w:rsidRPr="008642F5" w:rsidRDefault="45CF7C08" w:rsidP="45CF7C08">
            <w:pPr>
              <w:jc w:val="both"/>
              <w:rPr>
                <w:sz w:val="22"/>
                <w:szCs w:val="22"/>
              </w:rPr>
            </w:pPr>
            <w:r w:rsidRPr="45CF7C08">
              <w:rPr>
                <w:color w:val="0070C0"/>
                <w:sz w:val="22"/>
                <w:szCs w:val="22"/>
              </w:rPr>
              <w:t>Because there was no grade assigned for the quality of quoted evidence, this information is not available.</w:t>
            </w:r>
          </w:p>
        </w:tc>
      </w:tr>
      <w:tr w:rsidR="00EE0FAB" w:rsidRPr="008F6E02" w14:paraId="04AA375A" w14:textId="77777777" w:rsidTr="45CF7C08">
        <w:tc>
          <w:tcPr>
            <w:tcW w:w="3055" w:type="dxa"/>
          </w:tcPr>
          <w:p w14:paraId="40B565F9" w14:textId="77777777" w:rsidR="00A736FA" w:rsidRPr="008642F5" w:rsidRDefault="45CF7C08" w:rsidP="45CF7C08">
            <w:pPr>
              <w:rPr>
                <w:sz w:val="22"/>
                <w:szCs w:val="22"/>
              </w:rPr>
            </w:pPr>
            <w:r w:rsidRPr="45CF7C08">
              <w:rPr>
                <w:sz w:val="22"/>
                <w:szCs w:val="22"/>
              </w:rPr>
              <w:t xml:space="preserve">Grade assigned to the </w:t>
            </w:r>
            <w:r w:rsidRPr="45CF7C08">
              <w:rPr>
                <w:b/>
                <w:bCs/>
                <w:sz w:val="22"/>
                <w:szCs w:val="22"/>
              </w:rPr>
              <w:t>recommendation</w:t>
            </w:r>
            <w:r w:rsidRPr="45CF7C08">
              <w:rPr>
                <w:sz w:val="22"/>
                <w:szCs w:val="22"/>
              </w:rPr>
              <w:t xml:space="preserve"> with definition of the grade</w:t>
            </w:r>
          </w:p>
        </w:tc>
        <w:tc>
          <w:tcPr>
            <w:tcW w:w="6143" w:type="dxa"/>
          </w:tcPr>
          <w:p w14:paraId="0A15E2CB" w14:textId="767E2494" w:rsidR="00A736FA" w:rsidRPr="008642F5" w:rsidRDefault="45CF7C08" w:rsidP="45CF7C08">
            <w:pPr>
              <w:jc w:val="both"/>
              <w:rPr>
                <w:color w:val="0070C0"/>
                <w:sz w:val="22"/>
                <w:szCs w:val="22"/>
              </w:rPr>
            </w:pPr>
            <w:r w:rsidRPr="45CF7C08">
              <w:rPr>
                <w:color w:val="0070C0"/>
                <w:sz w:val="22"/>
                <w:szCs w:val="22"/>
              </w:rPr>
              <w:t>There was no grade assigned for the quality of quoted evidence.</w:t>
            </w:r>
          </w:p>
        </w:tc>
      </w:tr>
      <w:tr w:rsidR="00EE0FAB" w:rsidRPr="008F6E02" w14:paraId="6DBC0CA4" w14:textId="77777777" w:rsidTr="45CF7C08">
        <w:tc>
          <w:tcPr>
            <w:tcW w:w="3055" w:type="dxa"/>
          </w:tcPr>
          <w:p w14:paraId="111A349D" w14:textId="77777777" w:rsidR="00A736FA" w:rsidRPr="008642F5" w:rsidRDefault="45CF7C08" w:rsidP="45CF7C08">
            <w:pPr>
              <w:rPr>
                <w:sz w:val="22"/>
                <w:szCs w:val="22"/>
              </w:rPr>
            </w:pPr>
            <w:r w:rsidRPr="45CF7C08">
              <w:rPr>
                <w:sz w:val="22"/>
                <w:szCs w:val="22"/>
              </w:rPr>
              <w:t>Provide all other grades and definitions from the recommendation grading system</w:t>
            </w:r>
          </w:p>
        </w:tc>
        <w:tc>
          <w:tcPr>
            <w:tcW w:w="6143" w:type="dxa"/>
          </w:tcPr>
          <w:p w14:paraId="3561385D" w14:textId="52FE07CD" w:rsidR="00A736FA" w:rsidRPr="008642F5" w:rsidRDefault="45CF7C08" w:rsidP="45CF7C08">
            <w:pPr>
              <w:jc w:val="both"/>
              <w:rPr>
                <w:sz w:val="22"/>
                <w:szCs w:val="22"/>
              </w:rPr>
            </w:pPr>
            <w:r w:rsidRPr="45CF7C08">
              <w:rPr>
                <w:color w:val="0070C0"/>
                <w:sz w:val="22"/>
                <w:szCs w:val="22"/>
              </w:rPr>
              <w:t>Because there was no grade assigned for the quality of quoted evidence, this information is not available.</w:t>
            </w:r>
          </w:p>
        </w:tc>
      </w:tr>
      <w:tr w:rsidR="00EE0FAB" w:rsidRPr="008F6E02" w14:paraId="6EBDC878" w14:textId="77777777" w:rsidTr="45CF7C08">
        <w:tc>
          <w:tcPr>
            <w:tcW w:w="3055" w:type="dxa"/>
          </w:tcPr>
          <w:p w14:paraId="5D2BCC74" w14:textId="77777777" w:rsidR="00A44446" w:rsidRPr="00965C27" w:rsidRDefault="45CF7C08" w:rsidP="45CF7C08">
            <w:pPr>
              <w:rPr>
                <w:sz w:val="22"/>
                <w:szCs w:val="22"/>
              </w:rPr>
            </w:pPr>
            <w:r w:rsidRPr="45CF7C08">
              <w:rPr>
                <w:sz w:val="22"/>
                <w:szCs w:val="22"/>
              </w:rPr>
              <w:t>Body of evidence:</w:t>
            </w:r>
          </w:p>
          <w:p w14:paraId="744F70C7" w14:textId="77777777" w:rsidR="00A44446" w:rsidRPr="00965C27" w:rsidRDefault="45CF7C08" w:rsidP="45CF7C08">
            <w:pPr>
              <w:pStyle w:val="ListParagraph"/>
              <w:numPr>
                <w:ilvl w:val="0"/>
                <w:numId w:val="10"/>
              </w:numPr>
              <w:tabs>
                <w:tab w:val="left" w:pos="159"/>
              </w:tabs>
              <w:spacing w:after="0" w:line="240" w:lineRule="auto"/>
              <w:ind w:left="-21" w:firstLine="0"/>
              <w:rPr>
                <w:rFonts w:ascii="Times New Roman" w:hAnsi="Times New Roman" w:cs="Times New Roman"/>
              </w:rPr>
            </w:pPr>
            <w:r w:rsidRPr="45CF7C08">
              <w:rPr>
                <w:rFonts w:ascii="Times New Roman" w:hAnsi="Times New Roman" w:cs="Times New Roman"/>
              </w:rPr>
              <w:t>Quantity – how many studies?</w:t>
            </w:r>
          </w:p>
          <w:p w14:paraId="108CEAB2" w14:textId="2AF63F00" w:rsidR="00A736FA" w:rsidRPr="008642F5" w:rsidRDefault="45CF7C08" w:rsidP="45CF7C08">
            <w:pPr>
              <w:pStyle w:val="ListParagraph"/>
              <w:numPr>
                <w:ilvl w:val="0"/>
                <w:numId w:val="10"/>
              </w:numPr>
              <w:spacing w:after="0" w:line="240" w:lineRule="auto"/>
              <w:ind w:left="157" w:hanging="180"/>
              <w:rPr>
                <w:rFonts w:ascii="Times New Roman" w:hAnsi="Times New Roman" w:cs="Times New Roman"/>
              </w:rPr>
            </w:pPr>
            <w:r w:rsidRPr="45CF7C08">
              <w:rPr>
                <w:rFonts w:ascii="Times New Roman" w:hAnsi="Times New Roman" w:cs="Times New Roman"/>
              </w:rPr>
              <w:t>Quality – what type of studies?</w:t>
            </w:r>
          </w:p>
        </w:tc>
        <w:tc>
          <w:tcPr>
            <w:tcW w:w="6143" w:type="dxa"/>
          </w:tcPr>
          <w:p w14:paraId="1A55F2E3" w14:textId="09EA2F82" w:rsidR="00B269BE" w:rsidRPr="00645317" w:rsidRDefault="45CF7C08" w:rsidP="45CF7C08">
            <w:pPr>
              <w:jc w:val="both"/>
              <w:rPr>
                <w:rFonts w:eastAsia="Times New Roman"/>
                <w:color w:val="FF0000"/>
                <w:sz w:val="22"/>
                <w:szCs w:val="22"/>
              </w:rPr>
            </w:pPr>
            <w:r w:rsidRPr="45CF7C08">
              <w:rPr>
                <w:rFonts w:eastAsia="Times New Roman"/>
                <w:color w:val="FF0000"/>
                <w:sz w:val="22"/>
                <w:szCs w:val="22"/>
              </w:rPr>
              <w:t>Quantity of studies on which the recommendation was made: n=19</w:t>
            </w:r>
          </w:p>
          <w:p w14:paraId="6E53B951" w14:textId="77777777" w:rsidR="00B269BE" w:rsidRPr="00645317" w:rsidRDefault="00B269BE" w:rsidP="00B269BE">
            <w:pPr>
              <w:jc w:val="both"/>
              <w:rPr>
                <w:rFonts w:eastAsia="Times New Roman"/>
                <w:color w:val="FF0000"/>
                <w:sz w:val="22"/>
                <w:szCs w:val="22"/>
              </w:rPr>
            </w:pPr>
          </w:p>
          <w:p w14:paraId="0674AFFF" w14:textId="4EC1A114" w:rsidR="00B269BE" w:rsidRPr="00645317" w:rsidRDefault="45CF7C08" w:rsidP="45CF7C08">
            <w:pPr>
              <w:jc w:val="both"/>
              <w:rPr>
                <w:rFonts w:eastAsia="Times New Roman"/>
                <w:color w:val="FF0000"/>
                <w:sz w:val="22"/>
                <w:szCs w:val="22"/>
              </w:rPr>
            </w:pPr>
            <w:r w:rsidRPr="45CF7C08">
              <w:rPr>
                <w:rFonts w:eastAsia="Times New Roman"/>
                <w:color w:val="FF0000"/>
                <w:sz w:val="22"/>
                <w:szCs w:val="22"/>
              </w:rPr>
              <w:t>Quality: not described.</w:t>
            </w:r>
          </w:p>
          <w:p w14:paraId="71BE0855" w14:textId="77777777" w:rsidR="00B269BE" w:rsidRPr="00645317" w:rsidRDefault="00B269BE" w:rsidP="00B269BE">
            <w:pPr>
              <w:jc w:val="both"/>
              <w:rPr>
                <w:rFonts w:eastAsia="Times New Roman"/>
                <w:color w:val="FF0000"/>
                <w:sz w:val="22"/>
                <w:szCs w:val="22"/>
              </w:rPr>
            </w:pPr>
          </w:p>
          <w:p w14:paraId="4947FAC7" w14:textId="231F650F" w:rsidR="008A4151" w:rsidRPr="00645317" w:rsidRDefault="45CF7C08" w:rsidP="45CF7C08">
            <w:pPr>
              <w:jc w:val="both"/>
              <w:rPr>
                <w:rFonts w:eastAsia="Times New Roman"/>
                <w:color w:val="FF0000"/>
                <w:sz w:val="22"/>
                <w:szCs w:val="22"/>
              </w:rPr>
            </w:pPr>
            <w:r w:rsidRPr="45CF7C08">
              <w:rPr>
                <w:rFonts w:eastAsia="Times New Roman"/>
                <w:color w:val="FF0000"/>
                <w:sz w:val="22"/>
                <w:szCs w:val="22"/>
              </w:rPr>
              <w:t>Methods notes:</w:t>
            </w:r>
          </w:p>
          <w:p w14:paraId="091466F0" w14:textId="77777777" w:rsidR="00A736FA" w:rsidRPr="008642F5" w:rsidRDefault="45CF7C08" w:rsidP="45CF7C08">
            <w:pPr>
              <w:jc w:val="both"/>
              <w:rPr>
                <w:sz w:val="22"/>
                <w:szCs w:val="22"/>
              </w:rPr>
            </w:pPr>
            <w:r w:rsidRPr="45CF7C08">
              <w:rPr>
                <w:color w:val="FF0000"/>
                <w:sz w:val="22"/>
                <w:szCs w:val="22"/>
              </w:rPr>
              <w:t>Of the 19 studies included in the systematic review, 10 were retrospective cohort studies, six were randomized controlled trials, and three were prospective cohort studies.</w:t>
            </w:r>
          </w:p>
        </w:tc>
      </w:tr>
      <w:tr w:rsidR="00EE0FAB" w:rsidRPr="008F6E02" w14:paraId="1C2DA194" w14:textId="77777777" w:rsidTr="45CF7C08">
        <w:tc>
          <w:tcPr>
            <w:tcW w:w="3055" w:type="dxa"/>
          </w:tcPr>
          <w:p w14:paraId="01C0A825" w14:textId="77777777" w:rsidR="00A736FA" w:rsidRPr="008642F5" w:rsidRDefault="45CF7C08" w:rsidP="45CF7C08">
            <w:pPr>
              <w:rPr>
                <w:sz w:val="22"/>
                <w:szCs w:val="22"/>
              </w:rPr>
            </w:pPr>
            <w:r w:rsidRPr="45CF7C08">
              <w:rPr>
                <w:sz w:val="22"/>
                <w:szCs w:val="22"/>
              </w:rPr>
              <w:t xml:space="preserve">Estimates of benefit and consistency across studies </w:t>
            </w:r>
          </w:p>
        </w:tc>
        <w:tc>
          <w:tcPr>
            <w:tcW w:w="6143" w:type="dxa"/>
          </w:tcPr>
          <w:p w14:paraId="5C898987" w14:textId="77777777" w:rsidR="00073A34" w:rsidRPr="008642F5" w:rsidRDefault="45CF7C08" w:rsidP="45CF7C08">
            <w:pPr>
              <w:jc w:val="both"/>
              <w:rPr>
                <w:color w:val="0070C0"/>
                <w:sz w:val="22"/>
                <w:szCs w:val="22"/>
              </w:rPr>
            </w:pPr>
            <w:r w:rsidRPr="45CF7C08">
              <w:rPr>
                <w:color w:val="0070C0"/>
                <w:sz w:val="22"/>
                <w:szCs w:val="22"/>
                <w:u w:val="single"/>
              </w:rPr>
              <w:t>Effect on Hemorrhagic Events</w:t>
            </w:r>
          </w:p>
          <w:p w14:paraId="236DE1C0" w14:textId="49AA6AF9" w:rsidR="00073A34" w:rsidRPr="008642F5" w:rsidRDefault="45CF7C08" w:rsidP="45CF7C08">
            <w:pPr>
              <w:jc w:val="both"/>
              <w:rPr>
                <w:color w:val="0070C0"/>
                <w:sz w:val="22"/>
                <w:szCs w:val="22"/>
              </w:rPr>
            </w:pPr>
            <w:r w:rsidRPr="45CF7C08">
              <w:rPr>
                <w:color w:val="0070C0"/>
                <w:sz w:val="22"/>
                <w:szCs w:val="22"/>
              </w:rPr>
              <w:t>The meta-analysis found that the relative risk of a hemorrhagic event was 2.7 (95% CI: 1.8-3.9) for patients with an INR between 3 and 5 and 21.8 (95% CI: 12.1-39.4) for patients with an INR above 5, compared to those with an INR of 2-3 (the reference group). The relative risks for patients with an INR between 3 and 5 and above 5 were statistically significantly different from those with an INR of 2-3. The above relative risks “translated to absolute risks (and 95% CIs) of 3.7% [per year] (2.2% - 6.3%) for INRs between 3 and 5 and 30.1% [per year] (14.9% - 60.9%) for INRs above 5.” These absolute risks can be compared to an absolute risk of 1.4% per year (0.9% - 2.3%) for INRs between 2 and 3.</w:t>
            </w:r>
          </w:p>
          <w:p w14:paraId="497A5732" w14:textId="77777777" w:rsidR="00073A34" w:rsidRPr="008642F5" w:rsidRDefault="00073A34" w:rsidP="008642F5">
            <w:pPr>
              <w:jc w:val="both"/>
              <w:rPr>
                <w:color w:val="0070C0"/>
                <w:sz w:val="22"/>
                <w:szCs w:val="22"/>
              </w:rPr>
            </w:pPr>
          </w:p>
          <w:p w14:paraId="756FE7D6" w14:textId="77777777" w:rsidR="00073A34" w:rsidRPr="008642F5" w:rsidRDefault="45CF7C08" w:rsidP="45CF7C08">
            <w:pPr>
              <w:jc w:val="both"/>
              <w:rPr>
                <w:color w:val="0070C0"/>
                <w:sz w:val="22"/>
                <w:szCs w:val="22"/>
              </w:rPr>
            </w:pPr>
            <w:r w:rsidRPr="45CF7C08">
              <w:rPr>
                <w:color w:val="0070C0"/>
                <w:sz w:val="22"/>
                <w:szCs w:val="22"/>
              </w:rPr>
              <w:lastRenderedPageBreak/>
              <w:t>For hemorrhagic events, the relative risks for patients with an INR between 3 and 5, ranged from 0.5 to 11.1 across the 17 individual studies, and for patients with an INR above 5, the relative risks ranged from 4.0 to 161.3. Again, all relative risks are in relation to an INR between 2 and 3. Three studies did not report relative risks for patients with an INR above 5.</w:t>
            </w:r>
          </w:p>
          <w:p w14:paraId="611DF24E" w14:textId="77777777" w:rsidR="00073A34" w:rsidRPr="008642F5" w:rsidRDefault="00073A34" w:rsidP="008642F5">
            <w:pPr>
              <w:jc w:val="both"/>
              <w:rPr>
                <w:color w:val="0070C0"/>
                <w:sz w:val="22"/>
                <w:szCs w:val="22"/>
              </w:rPr>
            </w:pPr>
          </w:p>
          <w:p w14:paraId="54E57406" w14:textId="77777777" w:rsidR="00073A34" w:rsidRPr="008642F5" w:rsidRDefault="45CF7C08" w:rsidP="45CF7C08">
            <w:pPr>
              <w:jc w:val="both"/>
              <w:rPr>
                <w:color w:val="0070C0"/>
                <w:sz w:val="22"/>
                <w:szCs w:val="22"/>
                <w:u w:val="single"/>
              </w:rPr>
            </w:pPr>
            <w:r w:rsidRPr="45CF7C08">
              <w:rPr>
                <w:color w:val="0070C0"/>
                <w:sz w:val="22"/>
                <w:szCs w:val="22"/>
                <w:u w:val="single"/>
              </w:rPr>
              <w:t>Effect on Thromboembolic Events</w:t>
            </w:r>
          </w:p>
          <w:p w14:paraId="01A0F448" w14:textId="2E17F4B4" w:rsidR="00073A34" w:rsidRPr="008642F5" w:rsidRDefault="45CF7C08" w:rsidP="45CF7C08">
            <w:pPr>
              <w:jc w:val="both"/>
              <w:rPr>
                <w:color w:val="0070C0"/>
                <w:sz w:val="22"/>
                <w:szCs w:val="22"/>
              </w:rPr>
            </w:pPr>
            <w:r w:rsidRPr="45CF7C08">
              <w:rPr>
                <w:color w:val="0070C0"/>
                <w:sz w:val="22"/>
                <w:szCs w:val="22"/>
              </w:rPr>
              <w:t>The meta-analysis found that the relative risk of a thromboembolic event was 3.5 (95% CI: 2.8–4.4; p&lt;0.01) for patients with an INR less than 2, and 2.6 (95% CI: 1.3–5.1;</w:t>
            </w:r>
            <w:r w:rsidRPr="45CF7C08">
              <w:rPr>
                <w:i/>
                <w:iCs/>
                <w:color w:val="0070C0"/>
                <w:sz w:val="22"/>
                <w:szCs w:val="22"/>
              </w:rPr>
              <w:t xml:space="preserve"> </w:t>
            </w:r>
            <w:r w:rsidRPr="45CF7C08">
              <w:rPr>
                <w:color w:val="0070C0"/>
                <w:sz w:val="22"/>
                <w:szCs w:val="22"/>
              </w:rPr>
              <w:t>p&lt;0.01) for patients with an INR above 5, compared to those with an INR of 2-3 (the reference group). The relative risks for patients with an INR less than 2 and above 5 were statistically significantly different from those with an INR of 2-3. These relative risks represent absolute risks (and 95% CIs) of 9.0% per year (6.1% - 13.4%) for INRs less than 2 and 6.6% per year (3.2% -13.9%) for INRs above 5. These absolute risks can be compared to an absolute risk of 2.6% per year (1.8% - 3.6%) for INRs between 2 and 3.</w:t>
            </w:r>
          </w:p>
          <w:p w14:paraId="16C8296D" w14:textId="77777777" w:rsidR="00073A34" w:rsidRPr="008642F5" w:rsidRDefault="00073A34" w:rsidP="008642F5">
            <w:pPr>
              <w:jc w:val="both"/>
              <w:rPr>
                <w:color w:val="0070C0"/>
                <w:sz w:val="22"/>
                <w:szCs w:val="22"/>
              </w:rPr>
            </w:pPr>
          </w:p>
          <w:p w14:paraId="56FF535B" w14:textId="32143610" w:rsidR="00A736FA" w:rsidRPr="008642F5" w:rsidRDefault="45CF7C08" w:rsidP="45CF7C08">
            <w:pPr>
              <w:jc w:val="both"/>
              <w:rPr>
                <w:sz w:val="22"/>
                <w:szCs w:val="22"/>
              </w:rPr>
            </w:pPr>
            <w:r w:rsidRPr="45CF7C08">
              <w:rPr>
                <w:color w:val="0070C0"/>
                <w:sz w:val="22"/>
                <w:szCs w:val="22"/>
              </w:rPr>
              <w:t>For thromboembolic events, the relative risks for patients with an INR less than 2 ranged from 0.0 to 10.9 across the 17 individual studies, and for patients with an INR above 5, the relative risks ranged from 0.0 to 9.0. Again, all relative risks are in relation to an INR between 2 and 3. Six studies did not report relative risks for patients with an INR above 5.</w:t>
            </w:r>
          </w:p>
        </w:tc>
      </w:tr>
      <w:tr w:rsidR="00EE0FAB" w:rsidRPr="008F6E02" w14:paraId="41E2653E" w14:textId="77777777" w:rsidTr="45CF7C08">
        <w:tc>
          <w:tcPr>
            <w:tcW w:w="3055" w:type="dxa"/>
          </w:tcPr>
          <w:p w14:paraId="1D9C7B3E" w14:textId="77777777" w:rsidR="00A736FA" w:rsidRPr="008642F5" w:rsidRDefault="45CF7C08" w:rsidP="45CF7C08">
            <w:pPr>
              <w:rPr>
                <w:sz w:val="22"/>
                <w:szCs w:val="22"/>
              </w:rPr>
            </w:pPr>
            <w:r w:rsidRPr="45CF7C08">
              <w:rPr>
                <w:sz w:val="22"/>
                <w:szCs w:val="22"/>
              </w:rPr>
              <w:lastRenderedPageBreak/>
              <w:t>What harms were identified?</w:t>
            </w:r>
          </w:p>
        </w:tc>
        <w:tc>
          <w:tcPr>
            <w:tcW w:w="6143" w:type="dxa"/>
          </w:tcPr>
          <w:p w14:paraId="1730B026" w14:textId="4D0D31FB" w:rsidR="00A736FA" w:rsidRPr="008642F5" w:rsidRDefault="45CF7C08" w:rsidP="45CF7C08">
            <w:pPr>
              <w:jc w:val="both"/>
              <w:rPr>
                <w:sz w:val="22"/>
                <w:szCs w:val="22"/>
              </w:rPr>
            </w:pPr>
            <w:r w:rsidRPr="45CF7C08">
              <w:rPr>
                <w:color w:val="0070C0"/>
                <w:sz w:val="22"/>
                <w:szCs w:val="22"/>
              </w:rPr>
              <w:t xml:space="preserve">Monitoring INR values and titrating warfarin therapy only requires drawing blood and patient counseling and therefore is not </w:t>
            </w:r>
            <w:proofErr w:type="gramStart"/>
            <w:r w:rsidRPr="45CF7C08">
              <w:rPr>
                <w:color w:val="0070C0"/>
                <w:sz w:val="22"/>
                <w:szCs w:val="22"/>
              </w:rPr>
              <w:t>generally associated</w:t>
            </w:r>
            <w:proofErr w:type="gramEnd"/>
            <w:r w:rsidRPr="45CF7C08">
              <w:rPr>
                <w:color w:val="0070C0"/>
                <w:sz w:val="22"/>
                <w:szCs w:val="22"/>
              </w:rPr>
              <w:t xml:space="preserve"> with harms.</w:t>
            </w:r>
          </w:p>
        </w:tc>
      </w:tr>
      <w:tr w:rsidR="00EE0FAB" w:rsidRPr="008F6E02" w14:paraId="5B0FE132" w14:textId="77777777" w:rsidTr="45CF7C08">
        <w:tc>
          <w:tcPr>
            <w:tcW w:w="3055" w:type="dxa"/>
          </w:tcPr>
          <w:p w14:paraId="2552C149" w14:textId="77777777" w:rsidR="00A736FA" w:rsidRPr="008642F5" w:rsidRDefault="45CF7C08" w:rsidP="45CF7C08">
            <w:pPr>
              <w:rPr>
                <w:sz w:val="22"/>
                <w:szCs w:val="22"/>
              </w:rPr>
            </w:pPr>
            <w:r w:rsidRPr="45CF7C08">
              <w:rPr>
                <w:sz w:val="22"/>
                <w:szCs w:val="22"/>
              </w:rPr>
              <w:t>Identify any new studies conducted since the SR. Do the new studies change the conclusions from the SR?</w:t>
            </w:r>
          </w:p>
        </w:tc>
        <w:tc>
          <w:tcPr>
            <w:tcW w:w="6143" w:type="dxa"/>
          </w:tcPr>
          <w:p w14:paraId="1C82A336" w14:textId="77777777" w:rsidR="00073A34" w:rsidRPr="008642F5" w:rsidRDefault="45CF7C08" w:rsidP="45CF7C08">
            <w:pPr>
              <w:jc w:val="both"/>
              <w:rPr>
                <w:b/>
                <w:bCs/>
                <w:color w:val="0070C0"/>
                <w:sz w:val="22"/>
                <w:szCs w:val="22"/>
              </w:rPr>
            </w:pPr>
            <w:r w:rsidRPr="45CF7C08">
              <w:rPr>
                <w:color w:val="0070C0"/>
                <w:sz w:val="22"/>
                <w:szCs w:val="22"/>
              </w:rPr>
              <w:t xml:space="preserve">The systematic review concluded, "The risks of hemorrhage and </w:t>
            </w:r>
            <w:proofErr w:type="spellStart"/>
            <w:r w:rsidRPr="45CF7C08">
              <w:rPr>
                <w:color w:val="0070C0"/>
                <w:sz w:val="22"/>
                <w:szCs w:val="22"/>
              </w:rPr>
              <w:t>thromboemboli</w:t>
            </w:r>
            <w:proofErr w:type="spellEnd"/>
            <w:r w:rsidRPr="45CF7C08">
              <w:rPr>
                <w:color w:val="0070C0"/>
                <w:sz w:val="22"/>
                <w:szCs w:val="22"/>
              </w:rPr>
              <w:t xml:space="preserve"> are minimized at international normalized ratios of 2–3. Ratios that are moderately higher than this therapeutic range appear safe and more effective than subtherapeutic ratios." Since the publication of the systematic review, we identified six additional studies that support the conclusions of the systematic review and additionally provide evidence that the frequency of INR monitoring is associated with both improved intermediate outcomes (i.e., time in the therapeutic range) and increased risk of thromboembolic events. </w:t>
            </w:r>
          </w:p>
          <w:p w14:paraId="129C538E" w14:textId="77777777" w:rsidR="00A736FA" w:rsidRPr="008642F5" w:rsidRDefault="45CF7C08" w:rsidP="45CF7C08">
            <w:pPr>
              <w:jc w:val="both"/>
              <w:rPr>
                <w:color w:val="0070C0"/>
                <w:sz w:val="22"/>
                <w:szCs w:val="22"/>
                <w:u w:val="single"/>
              </w:rPr>
            </w:pPr>
            <w:r w:rsidRPr="45CF7C08">
              <w:rPr>
                <w:color w:val="0070C0"/>
                <w:sz w:val="22"/>
                <w:szCs w:val="22"/>
                <w:u w:val="single"/>
              </w:rPr>
              <w:t>Citations:</w:t>
            </w:r>
          </w:p>
          <w:p w14:paraId="77C141B0" w14:textId="1B80BDB6" w:rsidR="00073A34" w:rsidRPr="008642F5" w:rsidRDefault="45CF7C08" w:rsidP="45CF7C08">
            <w:pPr>
              <w:ind w:left="145" w:hanging="145"/>
              <w:jc w:val="both"/>
              <w:rPr>
                <w:color w:val="0070C0"/>
                <w:sz w:val="22"/>
                <w:szCs w:val="22"/>
              </w:rPr>
            </w:pPr>
            <w:r w:rsidRPr="45CF7C08">
              <w:rPr>
                <w:color w:val="0070C0"/>
                <w:sz w:val="22"/>
                <w:szCs w:val="22"/>
              </w:rPr>
              <w:t xml:space="preserve">Gomes T, Mamdani MM, Holbrook AM, Paterson JM, </w:t>
            </w:r>
            <w:proofErr w:type="spellStart"/>
            <w:r w:rsidRPr="45CF7C08">
              <w:rPr>
                <w:color w:val="0070C0"/>
                <w:sz w:val="22"/>
                <w:szCs w:val="22"/>
              </w:rPr>
              <w:t>Hellings</w:t>
            </w:r>
            <w:proofErr w:type="spellEnd"/>
            <w:r w:rsidRPr="45CF7C08">
              <w:rPr>
                <w:color w:val="0070C0"/>
                <w:sz w:val="22"/>
                <w:szCs w:val="22"/>
              </w:rPr>
              <w:t xml:space="preserve"> C, </w:t>
            </w:r>
            <w:proofErr w:type="spellStart"/>
            <w:r w:rsidRPr="45CF7C08">
              <w:rPr>
                <w:color w:val="0070C0"/>
                <w:sz w:val="22"/>
                <w:szCs w:val="22"/>
              </w:rPr>
              <w:t>Juurlink</w:t>
            </w:r>
            <w:proofErr w:type="spellEnd"/>
            <w:r w:rsidRPr="45CF7C08">
              <w:rPr>
                <w:color w:val="0070C0"/>
                <w:sz w:val="22"/>
                <w:szCs w:val="22"/>
              </w:rPr>
              <w:t xml:space="preserve"> DN. Rates of hemorrhage during warfarin therapy for atrial fibrillation. </w:t>
            </w:r>
            <w:r w:rsidRPr="45CF7C08">
              <w:rPr>
                <w:i/>
                <w:iCs/>
                <w:color w:val="0070C0"/>
                <w:sz w:val="22"/>
                <w:szCs w:val="22"/>
              </w:rPr>
              <w:t xml:space="preserve">CMAJ. </w:t>
            </w:r>
            <w:r w:rsidRPr="45CF7C08">
              <w:rPr>
                <w:color w:val="0070C0"/>
                <w:sz w:val="22"/>
                <w:szCs w:val="22"/>
              </w:rPr>
              <w:t>2013;185(2</w:t>
            </w:r>
            <w:proofErr w:type="gramStart"/>
            <w:r w:rsidRPr="45CF7C08">
              <w:rPr>
                <w:color w:val="0070C0"/>
                <w:sz w:val="22"/>
                <w:szCs w:val="22"/>
              </w:rPr>
              <w:t>):E</w:t>
            </w:r>
            <w:proofErr w:type="gramEnd"/>
            <w:r w:rsidRPr="45CF7C08">
              <w:rPr>
                <w:color w:val="0070C0"/>
                <w:sz w:val="22"/>
                <w:szCs w:val="22"/>
              </w:rPr>
              <w:t xml:space="preserve">121-127. </w:t>
            </w:r>
            <w:proofErr w:type="spellStart"/>
            <w:r w:rsidRPr="45CF7C08">
              <w:rPr>
                <w:color w:val="0070C0"/>
                <w:sz w:val="22"/>
                <w:szCs w:val="22"/>
              </w:rPr>
              <w:t>doi</w:t>
            </w:r>
            <w:proofErr w:type="spellEnd"/>
            <w:r w:rsidRPr="45CF7C08">
              <w:rPr>
                <w:color w:val="0070C0"/>
                <w:sz w:val="22"/>
                <w:szCs w:val="22"/>
              </w:rPr>
              <w:t>: 10.1503/cmaj.121218.</w:t>
            </w:r>
          </w:p>
          <w:p w14:paraId="27347E65" w14:textId="34FABD6B" w:rsidR="007D48A7" w:rsidRPr="008642F5" w:rsidRDefault="45CF7C08" w:rsidP="45CF7C08">
            <w:pPr>
              <w:ind w:left="145" w:hanging="145"/>
              <w:jc w:val="both"/>
              <w:rPr>
                <w:color w:val="0070C0"/>
                <w:sz w:val="22"/>
                <w:szCs w:val="22"/>
              </w:rPr>
            </w:pPr>
            <w:r w:rsidRPr="45CF7C08">
              <w:rPr>
                <w:color w:val="0070C0"/>
                <w:sz w:val="22"/>
                <w:szCs w:val="22"/>
              </w:rPr>
              <w:t xml:space="preserve">Inoue H, Okumura K, </w:t>
            </w:r>
            <w:proofErr w:type="spellStart"/>
            <w:r w:rsidRPr="45CF7C08">
              <w:rPr>
                <w:color w:val="0070C0"/>
                <w:sz w:val="22"/>
                <w:szCs w:val="22"/>
              </w:rPr>
              <w:t>Atarashi</w:t>
            </w:r>
            <w:proofErr w:type="spellEnd"/>
            <w:r w:rsidRPr="45CF7C08">
              <w:rPr>
                <w:color w:val="0070C0"/>
                <w:sz w:val="22"/>
                <w:szCs w:val="22"/>
              </w:rPr>
              <w:t xml:space="preserve"> H, et al. Target international normalized ratio values for preventing thromboembolic and hemorrhagic events in Japanese patients with non-valvular atrial fibrillation: results of the J-RHYTHM Registry. </w:t>
            </w:r>
            <w:proofErr w:type="spellStart"/>
            <w:r w:rsidRPr="45CF7C08">
              <w:rPr>
                <w:i/>
                <w:iCs/>
                <w:color w:val="0070C0"/>
                <w:sz w:val="22"/>
                <w:szCs w:val="22"/>
              </w:rPr>
              <w:t>Circ</w:t>
            </w:r>
            <w:proofErr w:type="spellEnd"/>
            <w:r w:rsidRPr="45CF7C08">
              <w:rPr>
                <w:i/>
                <w:iCs/>
                <w:color w:val="0070C0"/>
                <w:sz w:val="22"/>
                <w:szCs w:val="22"/>
              </w:rPr>
              <w:t xml:space="preserve"> J. </w:t>
            </w:r>
            <w:r w:rsidRPr="45CF7C08">
              <w:rPr>
                <w:color w:val="0070C0"/>
                <w:sz w:val="22"/>
                <w:szCs w:val="22"/>
              </w:rPr>
              <w:t>2013;77(9):2264-2270. </w:t>
            </w:r>
          </w:p>
          <w:p w14:paraId="7DED40CE" w14:textId="12418498" w:rsidR="00B50B87" w:rsidRPr="008642F5" w:rsidRDefault="45CF7C08" w:rsidP="45CF7C08">
            <w:pPr>
              <w:ind w:left="145" w:hanging="145"/>
              <w:jc w:val="both"/>
              <w:rPr>
                <w:color w:val="0070C0"/>
                <w:sz w:val="22"/>
                <w:szCs w:val="22"/>
              </w:rPr>
            </w:pPr>
            <w:r w:rsidRPr="45CF7C08">
              <w:rPr>
                <w:color w:val="0070C0"/>
                <w:sz w:val="22"/>
                <w:szCs w:val="22"/>
              </w:rPr>
              <w:lastRenderedPageBreak/>
              <w:t xml:space="preserve">Rose AJ, </w:t>
            </w:r>
            <w:proofErr w:type="spellStart"/>
            <w:r w:rsidRPr="45CF7C08">
              <w:rPr>
                <w:color w:val="0070C0"/>
                <w:sz w:val="22"/>
                <w:szCs w:val="22"/>
              </w:rPr>
              <w:t>Ozonoff</w:t>
            </w:r>
            <w:proofErr w:type="spellEnd"/>
            <w:r w:rsidRPr="45CF7C08">
              <w:rPr>
                <w:color w:val="0070C0"/>
                <w:sz w:val="22"/>
                <w:szCs w:val="22"/>
              </w:rPr>
              <w:t xml:space="preserve"> A, </w:t>
            </w:r>
            <w:proofErr w:type="spellStart"/>
            <w:r w:rsidRPr="45CF7C08">
              <w:rPr>
                <w:color w:val="0070C0"/>
                <w:sz w:val="22"/>
                <w:szCs w:val="22"/>
              </w:rPr>
              <w:t>Henault</w:t>
            </w:r>
            <w:proofErr w:type="spellEnd"/>
            <w:r w:rsidRPr="45CF7C08">
              <w:rPr>
                <w:color w:val="0070C0"/>
                <w:sz w:val="22"/>
                <w:szCs w:val="22"/>
              </w:rPr>
              <w:t xml:space="preserve"> LE, </w:t>
            </w:r>
            <w:proofErr w:type="spellStart"/>
            <w:r w:rsidRPr="45CF7C08">
              <w:rPr>
                <w:color w:val="0070C0"/>
                <w:sz w:val="22"/>
                <w:szCs w:val="22"/>
              </w:rPr>
              <w:t>Hylek</w:t>
            </w:r>
            <w:proofErr w:type="spellEnd"/>
            <w:r w:rsidRPr="45CF7C08">
              <w:rPr>
                <w:color w:val="0070C0"/>
                <w:sz w:val="22"/>
                <w:szCs w:val="22"/>
              </w:rPr>
              <w:t xml:space="preserve"> EM. Warfarin for atrial fibrillation in community-based </w:t>
            </w:r>
            <w:proofErr w:type="spellStart"/>
            <w:r w:rsidRPr="45CF7C08">
              <w:rPr>
                <w:color w:val="0070C0"/>
                <w:sz w:val="22"/>
                <w:szCs w:val="22"/>
              </w:rPr>
              <w:t>practise</w:t>
            </w:r>
            <w:proofErr w:type="spellEnd"/>
            <w:r w:rsidRPr="45CF7C08">
              <w:rPr>
                <w:color w:val="0070C0"/>
                <w:sz w:val="22"/>
                <w:szCs w:val="22"/>
              </w:rPr>
              <w:t xml:space="preserve">. </w:t>
            </w:r>
            <w:r w:rsidRPr="45CF7C08">
              <w:rPr>
                <w:i/>
                <w:iCs/>
                <w:color w:val="0070C0"/>
                <w:sz w:val="22"/>
                <w:szCs w:val="22"/>
              </w:rPr>
              <w:t xml:space="preserve">J </w:t>
            </w:r>
            <w:proofErr w:type="spellStart"/>
            <w:r w:rsidRPr="45CF7C08">
              <w:rPr>
                <w:i/>
                <w:iCs/>
                <w:color w:val="0070C0"/>
                <w:sz w:val="22"/>
                <w:szCs w:val="22"/>
              </w:rPr>
              <w:t>Thromb</w:t>
            </w:r>
            <w:proofErr w:type="spellEnd"/>
            <w:r w:rsidRPr="45CF7C08">
              <w:rPr>
                <w:i/>
                <w:iCs/>
                <w:color w:val="0070C0"/>
                <w:sz w:val="22"/>
                <w:szCs w:val="22"/>
              </w:rPr>
              <w:t xml:space="preserve"> </w:t>
            </w:r>
            <w:proofErr w:type="spellStart"/>
            <w:r w:rsidRPr="45CF7C08">
              <w:rPr>
                <w:i/>
                <w:iCs/>
                <w:color w:val="0070C0"/>
                <w:sz w:val="22"/>
                <w:szCs w:val="22"/>
              </w:rPr>
              <w:t>Haemost</w:t>
            </w:r>
            <w:proofErr w:type="spellEnd"/>
            <w:r w:rsidRPr="45CF7C08">
              <w:rPr>
                <w:i/>
                <w:iCs/>
                <w:color w:val="0070C0"/>
                <w:sz w:val="22"/>
                <w:szCs w:val="22"/>
              </w:rPr>
              <w:t xml:space="preserve">. </w:t>
            </w:r>
            <w:r w:rsidRPr="45CF7C08">
              <w:rPr>
                <w:color w:val="0070C0"/>
                <w:sz w:val="22"/>
                <w:szCs w:val="22"/>
              </w:rPr>
              <w:t>2008;6(10):1647-1654. </w:t>
            </w:r>
          </w:p>
          <w:p w14:paraId="42B9EE5F" w14:textId="76888312" w:rsidR="00790C68" w:rsidRPr="008642F5" w:rsidRDefault="45CF7C08" w:rsidP="45CF7C08">
            <w:pPr>
              <w:ind w:left="145" w:hanging="145"/>
              <w:jc w:val="both"/>
              <w:rPr>
                <w:color w:val="0070C0"/>
                <w:sz w:val="22"/>
                <w:szCs w:val="22"/>
              </w:rPr>
            </w:pPr>
            <w:r w:rsidRPr="45CF7C08">
              <w:rPr>
                <w:color w:val="0070C0"/>
                <w:sz w:val="22"/>
                <w:szCs w:val="22"/>
              </w:rPr>
              <w:t xml:space="preserve">Rose AJ, Miller DR, </w:t>
            </w:r>
            <w:proofErr w:type="spellStart"/>
            <w:r w:rsidRPr="45CF7C08">
              <w:rPr>
                <w:color w:val="0070C0"/>
                <w:sz w:val="22"/>
                <w:szCs w:val="22"/>
              </w:rPr>
              <w:t>Ozonoff</w:t>
            </w:r>
            <w:proofErr w:type="spellEnd"/>
            <w:r w:rsidRPr="45CF7C08">
              <w:rPr>
                <w:color w:val="0070C0"/>
                <w:sz w:val="22"/>
                <w:szCs w:val="22"/>
              </w:rPr>
              <w:t xml:space="preserve"> A, et al. Gaps in monitoring during oral anticoagulation: insights into care transitions, monitoring barriers, and medication nonadherence. </w:t>
            </w:r>
            <w:r w:rsidRPr="45CF7C08">
              <w:rPr>
                <w:i/>
                <w:iCs/>
                <w:color w:val="0070C0"/>
                <w:sz w:val="22"/>
                <w:szCs w:val="22"/>
              </w:rPr>
              <w:t xml:space="preserve">Chest. </w:t>
            </w:r>
            <w:r w:rsidRPr="45CF7C08">
              <w:rPr>
                <w:color w:val="0070C0"/>
                <w:sz w:val="22"/>
                <w:szCs w:val="22"/>
              </w:rPr>
              <w:t xml:space="preserve">2013;143(3):751-757. </w:t>
            </w:r>
            <w:proofErr w:type="spellStart"/>
            <w:r w:rsidRPr="45CF7C08">
              <w:rPr>
                <w:color w:val="0070C0"/>
                <w:sz w:val="22"/>
                <w:szCs w:val="22"/>
              </w:rPr>
              <w:t>doi</w:t>
            </w:r>
            <w:proofErr w:type="spellEnd"/>
            <w:r w:rsidRPr="45CF7C08">
              <w:rPr>
                <w:color w:val="0070C0"/>
                <w:sz w:val="22"/>
                <w:szCs w:val="22"/>
              </w:rPr>
              <w:t>: 10.1378/chest.12-1119.</w:t>
            </w:r>
          </w:p>
          <w:p w14:paraId="56ADF43E" w14:textId="6E195128" w:rsidR="00790C68" w:rsidRPr="008642F5" w:rsidRDefault="45CF7C08" w:rsidP="45CF7C08">
            <w:pPr>
              <w:ind w:left="145" w:hanging="145"/>
              <w:jc w:val="both"/>
              <w:rPr>
                <w:color w:val="0070C0"/>
                <w:sz w:val="22"/>
                <w:szCs w:val="22"/>
              </w:rPr>
            </w:pPr>
            <w:r w:rsidRPr="45CF7C08">
              <w:rPr>
                <w:color w:val="0070C0"/>
                <w:sz w:val="22"/>
                <w:szCs w:val="22"/>
              </w:rPr>
              <w:t xml:space="preserve">Witt DM, Delate T, Clark NP, et al. Nonadherence with INR monitoring and anticoagulant complications. </w:t>
            </w:r>
            <w:proofErr w:type="spellStart"/>
            <w:r w:rsidRPr="45CF7C08">
              <w:rPr>
                <w:i/>
                <w:iCs/>
                <w:color w:val="0070C0"/>
                <w:sz w:val="22"/>
                <w:szCs w:val="22"/>
              </w:rPr>
              <w:t>Thromb</w:t>
            </w:r>
            <w:proofErr w:type="spellEnd"/>
            <w:r w:rsidRPr="45CF7C08">
              <w:rPr>
                <w:i/>
                <w:iCs/>
                <w:color w:val="0070C0"/>
                <w:sz w:val="22"/>
                <w:szCs w:val="22"/>
              </w:rPr>
              <w:t xml:space="preserve"> Res. </w:t>
            </w:r>
            <w:r w:rsidRPr="45CF7C08">
              <w:rPr>
                <w:color w:val="0070C0"/>
                <w:sz w:val="22"/>
                <w:szCs w:val="22"/>
              </w:rPr>
              <w:t>2013;132(2</w:t>
            </w:r>
            <w:proofErr w:type="gramStart"/>
            <w:r w:rsidRPr="45CF7C08">
              <w:rPr>
                <w:color w:val="0070C0"/>
                <w:sz w:val="22"/>
                <w:szCs w:val="22"/>
              </w:rPr>
              <w:t>):e</w:t>
            </w:r>
            <w:proofErr w:type="gramEnd"/>
            <w:r w:rsidRPr="45CF7C08">
              <w:rPr>
                <w:color w:val="0070C0"/>
                <w:sz w:val="22"/>
                <w:szCs w:val="22"/>
              </w:rPr>
              <w:t xml:space="preserve">124-130. </w:t>
            </w:r>
            <w:proofErr w:type="spellStart"/>
            <w:r w:rsidRPr="45CF7C08">
              <w:rPr>
                <w:color w:val="0070C0"/>
                <w:sz w:val="22"/>
                <w:szCs w:val="22"/>
              </w:rPr>
              <w:t>doi</w:t>
            </w:r>
            <w:proofErr w:type="spellEnd"/>
            <w:r w:rsidRPr="45CF7C08">
              <w:rPr>
                <w:color w:val="0070C0"/>
                <w:sz w:val="22"/>
                <w:szCs w:val="22"/>
              </w:rPr>
              <w:t>: 10.1016/j.thromres.2013.06.006.</w:t>
            </w:r>
          </w:p>
          <w:p w14:paraId="72CDC51D" w14:textId="60403D69" w:rsidR="00790C68" w:rsidRPr="008642F5" w:rsidRDefault="45CF7C08" w:rsidP="45CF7C08">
            <w:pPr>
              <w:ind w:left="145" w:hanging="145"/>
              <w:jc w:val="both"/>
              <w:rPr>
                <w:sz w:val="22"/>
                <w:szCs w:val="22"/>
              </w:rPr>
            </w:pPr>
            <w:r w:rsidRPr="45CF7C08">
              <w:rPr>
                <w:color w:val="0070C0"/>
                <w:sz w:val="22"/>
                <w:szCs w:val="22"/>
              </w:rPr>
              <w:t xml:space="preserve">Witt DM, Delate T, Clark NP, et al. Twelve-month outcomes and predictors of very stable INR control in prevalent warfarin users. </w:t>
            </w:r>
            <w:r w:rsidRPr="45CF7C08">
              <w:rPr>
                <w:i/>
                <w:iCs/>
                <w:color w:val="0070C0"/>
                <w:sz w:val="22"/>
                <w:szCs w:val="22"/>
              </w:rPr>
              <w:t xml:space="preserve">J </w:t>
            </w:r>
            <w:proofErr w:type="spellStart"/>
            <w:r w:rsidRPr="45CF7C08">
              <w:rPr>
                <w:i/>
                <w:iCs/>
                <w:color w:val="0070C0"/>
                <w:sz w:val="22"/>
                <w:szCs w:val="22"/>
              </w:rPr>
              <w:t>Thromb</w:t>
            </w:r>
            <w:proofErr w:type="spellEnd"/>
            <w:r w:rsidRPr="45CF7C08">
              <w:rPr>
                <w:i/>
                <w:iCs/>
                <w:color w:val="0070C0"/>
                <w:sz w:val="22"/>
                <w:szCs w:val="22"/>
              </w:rPr>
              <w:t xml:space="preserve"> </w:t>
            </w:r>
            <w:proofErr w:type="spellStart"/>
            <w:r w:rsidRPr="45CF7C08">
              <w:rPr>
                <w:i/>
                <w:iCs/>
                <w:color w:val="0070C0"/>
                <w:sz w:val="22"/>
                <w:szCs w:val="22"/>
              </w:rPr>
              <w:t>Haemost</w:t>
            </w:r>
            <w:proofErr w:type="spellEnd"/>
            <w:r w:rsidRPr="45CF7C08">
              <w:rPr>
                <w:i/>
                <w:iCs/>
                <w:color w:val="0070C0"/>
                <w:sz w:val="22"/>
                <w:szCs w:val="22"/>
              </w:rPr>
              <w:t xml:space="preserve">. </w:t>
            </w:r>
            <w:r w:rsidRPr="45CF7C08">
              <w:rPr>
                <w:color w:val="0070C0"/>
                <w:sz w:val="22"/>
                <w:szCs w:val="22"/>
              </w:rPr>
              <w:t xml:space="preserve">2010;8(4):744-749. </w:t>
            </w:r>
            <w:proofErr w:type="spellStart"/>
            <w:r w:rsidRPr="45CF7C08">
              <w:rPr>
                <w:color w:val="0070C0"/>
                <w:sz w:val="22"/>
                <w:szCs w:val="22"/>
              </w:rPr>
              <w:t>doi</w:t>
            </w:r>
            <w:proofErr w:type="spellEnd"/>
            <w:r w:rsidRPr="45CF7C08">
              <w:rPr>
                <w:color w:val="0070C0"/>
                <w:sz w:val="22"/>
                <w:szCs w:val="22"/>
              </w:rPr>
              <w:t>: 10.1111/j.1538-7836.2010.</w:t>
            </w:r>
            <w:proofErr w:type="gramStart"/>
            <w:r w:rsidRPr="45CF7C08">
              <w:rPr>
                <w:color w:val="0070C0"/>
                <w:sz w:val="22"/>
                <w:szCs w:val="22"/>
              </w:rPr>
              <w:t>03756.x.</w:t>
            </w:r>
            <w:proofErr w:type="gramEnd"/>
          </w:p>
        </w:tc>
      </w:tr>
    </w:tbl>
    <w:p w14:paraId="45328004" w14:textId="77777777" w:rsidR="00BD1CEA" w:rsidRDefault="00BD1CEA">
      <w:r>
        <w:lastRenderedPageBreak/>
        <w:br w:type="page"/>
      </w:r>
    </w:p>
    <w:p w14:paraId="5D1F9A36" w14:textId="6AFC8F38" w:rsidR="00EE0FAB" w:rsidRPr="00F419A6" w:rsidRDefault="45CF7C08" w:rsidP="45CF7C08">
      <w:pPr>
        <w:rPr>
          <w:b/>
          <w:bCs/>
          <w:sz w:val="22"/>
          <w:szCs w:val="22"/>
        </w:rPr>
      </w:pPr>
      <w:r w:rsidRPr="45CF7C08">
        <w:rPr>
          <w:b/>
          <w:bCs/>
          <w:sz w:val="22"/>
          <w:szCs w:val="22"/>
        </w:rPr>
        <w:lastRenderedPageBreak/>
        <w:t>Updated Evidence:</w:t>
      </w:r>
    </w:p>
    <w:p w14:paraId="760F3813" w14:textId="77777777" w:rsidR="00F419A6" w:rsidRPr="00F419A6" w:rsidRDefault="00F419A6" w:rsidP="002E2177">
      <w:pPr>
        <w:rPr>
          <w:b/>
        </w:rPr>
      </w:pPr>
    </w:p>
    <w:tbl>
      <w:tblPr>
        <w:tblStyle w:val="TableGrid"/>
        <w:tblW w:w="0" w:type="auto"/>
        <w:tblLook w:val="04A0" w:firstRow="1" w:lastRow="0" w:firstColumn="1" w:lastColumn="0" w:noHBand="0" w:noVBand="1"/>
      </w:tblPr>
      <w:tblGrid>
        <w:gridCol w:w="3055"/>
        <w:gridCol w:w="6143"/>
      </w:tblGrid>
      <w:tr w:rsidR="00EE0FAB" w:rsidRPr="008F6E02" w14:paraId="3392DE43" w14:textId="77777777" w:rsidTr="45CF7C08">
        <w:trPr>
          <w:trHeight w:val="2573"/>
        </w:trPr>
        <w:tc>
          <w:tcPr>
            <w:tcW w:w="3055" w:type="dxa"/>
          </w:tcPr>
          <w:p w14:paraId="54BF87F2" w14:textId="77777777" w:rsidR="00C876E6" w:rsidRPr="008642F5" w:rsidRDefault="45CF7C08" w:rsidP="45CF7C08">
            <w:pPr>
              <w:jc w:val="both"/>
              <w:rPr>
                <w:b/>
                <w:bCs/>
                <w:sz w:val="22"/>
                <w:szCs w:val="22"/>
              </w:rPr>
            </w:pPr>
            <w:r w:rsidRPr="45CF7C08">
              <w:rPr>
                <w:b/>
                <w:bCs/>
                <w:sz w:val="22"/>
                <w:szCs w:val="22"/>
              </w:rPr>
              <w:t>Source of Systematic Review:</w:t>
            </w:r>
          </w:p>
          <w:p w14:paraId="52CF418E" w14:textId="77777777" w:rsidR="00C876E6" w:rsidRPr="008642F5" w:rsidRDefault="45CF7C08" w:rsidP="45CF7C08">
            <w:pPr>
              <w:pStyle w:val="ListParagraph"/>
              <w:numPr>
                <w:ilvl w:val="0"/>
                <w:numId w:val="9"/>
              </w:numPr>
              <w:tabs>
                <w:tab w:val="left" w:pos="159"/>
              </w:tabs>
              <w:spacing w:after="0" w:line="240" w:lineRule="auto"/>
              <w:ind w:left="0" w:hanging="21"/>
              <w:rPr>
                <w:rFonts w:ascii="Times New Roman" w:hAnsi="Times New Roman" w:cs="Times New Roman"/>
                <w:b/>
                <w:bCs/>
              </w:rPr>
            </w:pPr>
            <w:r w:rsidRPr="45CF7C08">
              <w:rPr>
                <w:rFonts w:ascii="Times New Roman" w:hAnsi="Times New Roman" w:cs="Times New Roman"/>
                <w:b/>
                <w:bCs/>
              </w:rPr>
              <w:t>Title</w:t>
            </w:r>
          </w:p>
          <w:p w14:paraId="0D9BF339" w14:textId="77777777" w:rsidR="00C876E6" w:rsidRPr="008642F5" w:rsidRDefault="45CF7C08" w:rsidP="45CF7C08">
            <w:pPr>
              <w:pStyle w:val="ListParagraph"/>
              <w:numPr>
                <w:ilvl w:val="0"/>
                <w:numId w:val="9"/>
              </w:numPr>
              <w:tabs>
                <w:tab w:val="left" w:pos="159"/>
              </w:tabs>
              <w:spacing w:after="0" w:line="240" w:lineRule="auto"/>
              <w:ind w:left="-21" w:firstLine="0"/>
              <w:rPr>
                <w:rFonts w:ascii="Times New Roman" w:hAnsi="Times New Roman" w:cs="Times New Roman"/>
                <w:b/>
                <w:bCs/>
              </w:rPr>
            </w:pPr>
            <w:r w:rsidRPr="45CF7C08">
              <w:rPr>
                <w:rFonts w:ascii="Times New Roman" w:hAnsi="Times New Roman" w:cs="Times New Roman"/>
                <w:b/>
                <w:bCs/>
              </w:rPr>
              <w:t>Author</w:t>
            </w:r>
          </w:p>
          <w:p w14:paraId="3770B267" w14:textId="77777777" w:rsidR="00C876E6" w:rsidRPr="008642F5" w:rsidRDefault="45CF7C08" w:rsidP="45CF7C08">
            <w:pPr>
              <w:pStyle w:val="ListParagraph"/>
              <w:numPr>
                <w:ilvl w:val="0"/>
                <w:numId w:val="9"/>
              </w:numPr>
              <w:tabs>
                <w:tab w:val="left" w:pos="159"/>
              </w:tabs>
              <w:spacing w:after="0" w:line="240" w:lineRule="auto"/>
              <w:ind w:left="-21" w:firstLine="0"/>
              <w:rPr>
                <w:rFonts w:ascii="Times New Roman" w:hAnsi="Times New Roman" w:cs="Times New Roman"/>
                <w:b/>
                <w:bCs/>
                <w:color w:val="000000" w:themeColor="text1"/>
              </w:rPr>
            </w:pPr>
            <w:r w:rsidRPr="45CF7C08">
              <w:rPr>
                <w:rFonts w:ascii="Times New Roman" w:hAnsi="Times New Roman" w:cs="Times New Roman"/>
                <w:b/>
                <w:bCs/>
                <w:color w:val="000000" w:themeColor="text1"/>
              </w:rPr>
              <w:t>Date</w:t>
            </w:r>
          </w:p>
          <w:p w14:paraId="2F444638" w14:textId="77777777" w:rsidR="00C876E6" w:rsidRPr="008642F5" w:rsidRDefault="45CF7C08" w:rsidP="45CF7C08">
            <w:pPr>
              <w:pStyle w:val="ListParagraph"/>
              <w:numPr>
                <w:ilvl w:val="0"/>
                <w:numId w:val="9"/>
              </w:numPr>
              <w:tabs>
                <w:tab w:val="left" w:pos="159"/>
              </w:tabs>
              <w:spacing w:after="0" w:line="240" w:lineRule="auto"/>
              <w:ind w:left="157" w:hanging="180"/>
              <w:rPr>
                <w:rFonts w:ascii="Times New Roman" w:hAnsi="Times New Roman" w:cs="Times New Roman"/>
                <w:b/>
                <w:bCs/>
              </w:rPr>
            </w:pPr>
            <w:r w:rsidRPr="45CF7C08">
              <w:rPr>
                <w:rFonts w:ascii="Times New Roman" w:hAnsi="Times New Roman" w:cs="Times New Roman"/>
                <w:b/>
                <w:bCs/>
              </w:rPr>
              <w:t>Citation, including page number</w:t>
            </w:r>
          </w:p>
          <w:p w14:paraId="56EC5CE2" w14:textId="77777777" w:rsidR="00C876E6" w:rsidRPr="008642F5" w:rsidRDefault="45CF7C08" w:rsidP="45CF7C08">
            <w:pPr>
              <w:pStyle w:val="ListParagraph"/>
              <w:numPr>
                <w:ilvl w:val="0"/>
                <w:numId w:val="9"/>
              </w:numPr>
              <w:tabs>
                <w:tab w:val="left" w:pos="159"/>
              </w:tabs>
              <w:spacing w:after="0" w:line="240" w:lineRule="auto"/>
              <w:ind w:left="-23" w:firstLine="0"/>
              <w:rPr>
                <w:rFonts w:ascii="Times New Roman" w:hAnsi="Times New Roman" w:cs="Times New Roman"/>
                <w:b/>
                <w:bCs/>
              </w:rPr>
            </w:pPr>
            <w:r w:rsidRPr="45CF7C08">
              <w:rPr>
                <w:rFonts w:ascii="Times New Roman" w:hAnsi="Times New Roman" w:cs="Times New Roman"/>
                <w:b/>
                <w:bCs/>
              </w:rPr>
              <w:t>URL</w:t>
            </w:r>
          </w:p>
          <w:p w14:paraId="44B43446" w14:textId="0B18F5AE" w:rsidR="00C876E6" w:rsidRPr="008642F5" w:rsidRDefault="00C876E6" w:rsidP="008642F5">
            <w:pPr>
              <w:pStyle w:val="ListParagraph"/>
              <w:tabs>
                <w:tab w:val="left" w:pos="159"/>
              </w:tabs>
              <w:spacing w:after="0" w:line="240" w:lineRule="auto"/>
              <w:ind w:left="0" w:firstLine="0"/>
              <w:rPr>
                <w:rFonts w:ascii="Times New Roman" w:hAnsi="Times New Roman" w:cs="Times New Roman"/>
              </w:rPr>
            </w:pPr>
          </w:p>
        </w:tc>
        <w:tc>
          <w:tcPr>
            <w:tcW w:w="6143" w:type="dxa"/>
          </w:tcPr>
          <w:p w14:paraId="18F64BC9" w14:textId="6DCB01AD" w:rsidR="00EE0FAB" w:rsidRPr="000D119F" w:rsidRDefault="45CF7C08" w:rsidP="45CF7C08">
            <w:pPr>
              <w:tabs>
                <w:tab w:val="left" w:pos="159"/>
              </w:tabs>
              <w:jc w:val="both"/>
              <w:rPr>
                <w:color w:val="FF0000"/>
                <w:sz w:val="22"/>
                <w:szCs w:val="22"/>
              </w:rPr>
            </w:pPr>
            <w:r w:rsidRPr="45CF7C08">
              <w:rPr>
                <w:color w:val="FF0000"/>
                <w:sz w:val="22"/>
                <w:szCs w:val="22"/>
              </w:rPr>
              <w:t>Title: 2014 AHA/ACC/HRS guideline for the management of patients with atrial fibrillation: a report of the American College of Cardiology/American Heart Association Task Force on Practice Guidelines and the Heart Rhythm Society.</w:t>
            </w:r>
          </w:p>
          <w:p w14:paraId="2EDE0896" w14:textId="12964F71" w:rsidR="00EE0FAB" w:rsidRPr="000D119F" w:rsidRDefault="45CF7C08" w:rsidP="45CF7C08">
            <w:pPr>
              <w:tabs>
                <w:tab w:val="left" w:pos="159"/>
              </w:tabs>
              <w:jc w:val="both"/>
              <w:rPr>
                <w:color w:val="FF0000"/>
                <w:sz w:val="22"/>
                <w:szCs w:val="22"/>
              </w:rPr>
            </w:pPr>
            <w:r w:rsidRPr="45CF7C08">
              <w:rPr>
                <w:color w:val="FF0000"/>
                <w:sz w:val="22"/>
                <w:szCs w:val="22"/>
              </w:rPr>
              <w:t xml:space="preserve">Authors: Craig T. January, L. Samuel </w:t>
            </w:r>
            <w:proofErr w:type="spellStart"/>
            <w:r w:rsidRPr="45CF7C08">
              <w:rPr>
                <w:color w:val="FF0000"/>
                <w:sz w:val="22"/>
                <w:szCs w:val="22"/>
              </w:rPr>
              <w:t>Wann</w:t>
            </w:r>
            <w:proofErr w:type="spellEnd"/>
            <w:r w:rsidRPr="45CF7C08">
              <w:rPr>
                <w:color w:val="FF0000"/>
                <w:sz w:val="22"/>
                <w:szCs w:val="22"/>
              </w:rPr>
              <w:t xml:space="preserve">, Joseph S. Alpert, Hugh Calkins, Joaquin E. </w:t>
            </w:r>
            <w:proofErr w:type="spellStart"/>
            <w:r w:rsidRPr="45CF7C08">
              <w:rPr>
                <w:color w:val="FF0000"/>
                <w:sz w:val="22"/>
                <w:szCs w:val="22"/>
              </w:rPr>
              <w:t>Cigarroa</w:t>
            </w:r>
            <w:proofErr w:type="spellEnd"/>
            <w:r w:rsidRPr="45CF7C08">
              <w:rPr>
                <w:color w:val="FF0000"/>
                <w:sz w:val="22"/>
                <w:szCs w:val="22"/>
              </w:rPr>
              <w:t xml:space="preserve">, Joseph C. Cleveland Jr., Jamie B. Conti, Patrick T. </w:t>
            </w:r>
            <w:proofErr w:type="spellStart"/>
            <w:r w:rsidRPr="45CF7C08">
              <w:rPr>
                <w:color w:val="FF0000"/>
                <w:sz w:val="22"/>
                <w:szCs w:val="22"/>
              </w:rPr>
              <w:t>Ellinor</w:t>
            </w:r>
            <w:proofErr w:type="spellEnd"/>
            <w:r w:rsidRPr="45CF7C08">
              <w:rPr>
                <w:color w:val="FF0000"/>
                <w:sz w:val="22"/>
                <w:szCs w:val="22"/>
              </w:rPr>
              <w:t xml:space="preserve">, Michael D. </w:t>
            </w:r>
            <w:proofErr w:type="spellStart"/>
            <w:r w:rsidRPr="45CF7C08">
              <w:rPr>
                <w:color w:val="FF0000"/>
                <w:sz w:val="22"/>
                <w:szCs w:val="22"/>
              </w:rPr>
              <w:t>Ezekowitz</w:t>
            </w:r>
            <w:proofErr w:type="spellEnd"/>
            <w:r w:rsidRPr="45CF7C08">
              <w:rPr>
                <w:color w:val="FF0000"/>
                <w:sz w:val="22"/>
                <w:szCs w:val="22"/>
              </w:rPr>
              <w:t xml:space="preserve">, Michael E. Field, Katherine T. Murray, Ralph L. Sacco, William G. Stevenson, Patrick J. </w:t>
            </w:r>
            <w:proofErr w:type="spellStart"/>
            <w:r w:rsidRPr="45CF7C08">
              <w:rPr>
                <w:color w:val="FF0000"/>
                <w:sz w:val="22"/>
                <w:szCs w:val="22"/>
              </w:rPr>
              <w:t>Tchou</w:t>
            </w:r>
            <w:proofErr w:type="spellEnd"/>
            <w:r w:rsidRPr="45CF7C08">
              <w:rPr>
                <w:color w:val="FF0000"/>
                <w:sz w:val="22"/>
                <w:szCs w:val="22"/>
              </w:rPr>
              <w:t>, Cynthia M. Tracy and Clyde W. Yancy</w:t>
            </w:r>
          </w:p>
          <w:p w14:paraId="5AD68081" w14:textId="41318F34" w:rsidR="000D119F" w:rsidRPr="000D119F" w:rsidRDefault="45CF7C08" w:rsidP="45CF7C08">
            <w:pPr>
              <w:tabs>
                <w:tab w:val="left" w:pos="159"/>
              </w:tabs>
              <w:jc w:val="both"/>
              <w:rPr>
                <w:color w:val="FF0000"/>
                <w:sz w:val="22"/>
                <w:szCs w:val="22"/>
              </w:rPr>
            </w:pPr>
            <w:r w:rsidRPr="45CF7C08">
              <w:rPr>
                <w:color w:val="FF0000"/>
                <w:sz w:val="22"/>
                <w:szCs w:val="22"/>
              </w:rPr>
              <w:t>Date: December 2, 2014</w:t>
            </w:r>
          </w:p>
          <w:p w14:paraId="34FDF50E" w14:textId="4C0DF058" w:rsidR="000D119F" w:rsidRPr="000D119F" w:rsidRDefault="45CF7C08" w:rsidP="45CF7C08">
            <w:pPr>
              <w:tabs>
                <w:tab w:val="left" w:pos="159"/>
              </w:tabs>
              <w:jc w:val="both"/>
              <w:rPr>
                <w:color w:val="FF0000"/>
                <w:sz w:val="22"/>
                <w:szCs w:val="22"/>
              </w:rPr>
            </w:pPr>
            <w:r w:rsidRPr="45CF7C08">
              <w:rPr>
                <w:color w:val="FF0000"/>
                <w:sz w:val="22"/>
                <w:szCs w:val="22"/>
              </w:rPr>
              <w:t xml:space="preserve">Citation: January CT, </w:t>
            </w:r>
            <w:proofErr w:type="spellStart"/>
            <w:r w:rsidRPr="45CF7C08">
              <w:rPr>
                <w:color w:val="FF0000"/>
                <w:sz w:val="22"/>
                <w:szCs w:val="22"/>
              </w:rPr>
              <w:t>Wann</w:t>
            </w:r>
            <w:proofErr w:type="spellEnd"/>
            <w:r w:rsidRPr="45CF7C08">
              <w:rPr>
                <w:color w:val="FF0000"/>
                <w:sz w:val="22"/>
                <w:szCs w:val="22"/>
              </w:rPr>
              <w:t xml:space="preserve"> LS, Alpert JS, et al. 2014 AHA/ACC/HRS guideline for the management of patients with atrial fibrillation: a report of the American College of Cardiology/American Heart Association Task Force on Practice Guidelines and the Heart Rhythm Society. </w:t>
            </w:r>
            <w:r w:rsidRPr="45CF7C08">
              <w:rPr>
                <w:i/>
                <w:iCs/>
                <w:color w:val="FF0000"/>
                <w:sz w:val="22"/>
                <w:szCs w:val="22"/>
              </w:rPr>
              <w:t xml:space="preserve">Journal of the American College of Cardiology. </w:t>
            </w:r>
            <w:r w:rsidRPr="45CF7C08">
              <w:rPr>
                <w:color w:val="FF0000"/>
                <w:sz w:val="22"/>
                <w:szCs w:val="22"/>
              </w:rPr>
              <w:t>2014;64(21</w:t>
            </w:r>
            <w:proofErr w:type="gramStart"/>
            <w:r w:rsidRPr="45CF7C08">
              <w:rPr>
                <w:color w:val="FF0000"/>
                <w:sz w:val="22"/>
                <w:szCs w:val="22"/>
              </w:rPr>
              <w:t>):e</w:t>
            </w:r>
            <w:proofErr w:type="gramEnd"/>
            <w:r w:rsidRPr="45CF7C08">
              <w:rPr>
                <w:color w:val="FF0000"/>
                <w:sz w:val="22"/>
                <w:szCs w:val="22"/>
              </w:rPr>
              <w:t xml:space="preserve">1-76. </w:t>
            </w:r>
            <w:proofErr w:type="spellStart"/>
            <w:r w:rsidRPr="45CF7C08">
              <w:rPr>
                <w:color w:val="FF0000"/>
                <w:sz w:val="22"/>
                <w:szCs w:val="22"/>
              </w:rPr>
              <w:t>doi</w:t>
            </w:r>
            <w:proofErr w:type="spellEnd"/>
            <w:r w:rsidRPr="45CF7C08">
              <w:rPr>
                <w:color w:val="FF0000"/>
                <w:sz w:val="22"/>
                <w:szCs w:val="22"/>
              </w:rPr>
              <w:t>: 10.1016/j.jacc.2014.03.022.</w:t>
            </w:r>
            <w:r w:rsidRPr="45CF7C08">
              <w:rPr>
                <w:i/>
                <w:iCs/>
                <w:color w:val="FF0000"/>
                <w:sz w:val="22"/>
                <w:szCs w:val="22"/>
              </w:rPr>
              <w:t xml:space="preserve"> (page 2251)</w:t>
            </w:r>
          </w:p>
          <w:p w14:paraId="50464A07" w14:textId="1A1E0036" w:rsidR="00C876E6" w:rsidRPr="000D119F" w:rsidRDefault="45CF7C08" w:rsidP="45CF7C08">
            <w:pPr>
              <w:tabs>
                <w:tab w:val="left" w:pos="159"/>
              </w:tabs>
              <w:jc w:val="both"/>
              <w:rPr>
                <w:color w:val="FF0000"/>
              </w:rPr>
            </w:pPr>
            <w:r w:rsidRPr="45CF7C08">
              <w:rPr>
                <w:color w:val="FF0000"/>
                <w:sz w:val="22"/>
                <w:szCs w:val="22"/>
              </w:rPr>
              <w:t xml:space="preserve">URL: </w:t>
            </w:r>
            <w:hyperlink r:id="rId20">
              <w:r w:rsidRPr="45CF7C08">
                <w:rPr>
                  <w:rStyle w:val="Hyperlink"/>
                  <w:sz w:val="22"/>
                  <w:szCs w:val="22"/>
                </w:rPr>
                <w:t>http://www.onlinejacc.org/content/64/21/e1</w:t>
              </w:r>
            </w:hyperlink>
            <w:r w:rsidRPr="45CF7C08">
              <w:rPr>
                <w:color w:val="FF0000"/>
                <w:sz w:val="22"/>
                <w:szCs w:val="22"/>
              </w:rPr>
              <w:t xml:space="preserve"> </w:t>
            </w:r>
          </w:p>
        </w:tc>
      </w:tr>
      <w:tr w:rsidR="00EE0FAB" w:rsidRPr="008F6E02" w14:paraId="086930BA" w14:textId="77777777" w:rsidTr="45CF7C08">
        <w:tc>
          <w:tcPr>
            <w:tcW w:w="3055" w:type="dxa"/>
          </w:tcPr>
          <w:p w14:paraId="24658383" w14:textId="77777777" w:rsidR="00C876E6" w:rsidRPr="008642F5" w:rsidRDefault="45CF7C08" w:rsidP="45CF7C08">
            <w:pPr>
              <w:rPr>
                <w:sz w:val="22"/>
                <w:szCs w:val="22"/>
              </w:rPr>
            </w:pPr>
            <w:r w:rsidRPr="45CF7C08">
              <w:rPr>
                <w:sz w:val="22"/>
                <w:szCs w:val="22"/>
              </w:rPr>
              <w:t>Quote the guideline or recommendation verbatim about the process, structure or intermediate outcome being measured. If not a guideline, summarize the conclusions from the SR.</w:t>
            </w:r>
          </w:p>
        </w:tc>
        <w:tc>
          <w:tcPr>
            <w:tcW w:w="6143" w:type="dxa"/>
          </w:tcPr>
          <w:p w14:paraId="657303E4" w14:textId="77777777" w:rsidR="00C876E6" w:rsidRPr="008642F5" w:rsidRDefault="45CF7C08" w:rsidP="45CF7C08">
            <w:pPr>
              <w:tabs>
                <w:tab w:val="left" w:pos="1772"/>
              </w:tabs>
              <w:jc w:val="both"/>
              <w:rPr>
                <w:sz w:val="22"/>
                <w:szCs w:val="22"/>
              </w:rPr>
            </w:pPr>
            <w:r w:rsidRPr="45CF7C08">
              <w:rPr>
                <w:rFonts w:eastAsia="Times New Roman"/>
                <w:color w:val="FF0000"/>
                <w:sz w:val="22"/>
                <w:szCs w:val="22"/>
              </w:rPr>
              <w:t>“</w:t>
            </w:r>
            <w:r w:rsidRPr="45CF7C08">
              <w:rPr>
                <w:i/>
                <w:iCs/>
                <w:color w:val="FF0000"/>
                <w:sz w:val="22"/>
                <w:szCs w:val="22"/>
              </w:rPr>
              <w:t>6. Among patients treated with warfarin, the INR should be determined at least weekly during initiation of antithrombotic therapy and at least monthly when anticoagulation (INR in range) is stable.”</w:t>
            </w:r>
          </w:p>
        </w:tc>
      </w:tr>
      <w:tr w:rsidR="00EE0FAB" w:rsidRPr="008F6E02" w14:paraId="08759707" w14:textId="77777777" w:rsidTr="45CF7C08">
        <w:tc>
          <w:tcPr>
            <w:tcW w:w="3055" w:type="dxa"/>
          </w:tcPr>
          <w:p w14:paraId="467EFC74" w14:textId="77777777" w:rsidR="00C876E6" w:rsidRPr="008642F5" w:rsidRDefault="45CF7C08" w:rsidP="45CF7C08">
            <w:pPr>
              <w:rPr>
                <w:sz w:val="22"/>
                <w:szCs w:val="22"/>
              </w:rPr>
            </w:pPr>
            <w:r w:rsidRPr="45CF7C08">
              <w:rPr>
                <w:sz w:val="22"/>
                <w:szCs w:val="22"/>
              </w:rPr>
              <w:t xml:space="preserve">Grade assigned to the </w:t>
            </w:r>
            <w:r w:rsidRPr="45CF7C08">
              <w:rPr>
                <w:b/>
                <w:bCs/>
                <w:sz w:val="22"/>
                <w:szCs w:val="22"/>
              </w:rPr>
              <w:t>evidence</w:t>
            </w:r>
            <w:r w:rsidRPr="45CF7C08">
              <w:rPr>
                <w:sz w:val="22"/>
                <w:szCs w:val="22"/>
              </w:rPr>
              <w:t xml:space="preserve"> associated with the recommendation with the definition of the grade</w:t>
            </w:r>
          </w:p>
        </w:tc>
        <w:tc>
          <w:tcPr>
            <w:tcW w:w="6143" w:type="dxa"/>
          </w:tcPr>
          <w:p w14:paraId="61B218FD" w14:textId="4D39C06F" w:rsidR="0055355C" w:rsidRPr="0055355C" w:rsidRDefault="45CF7C08" w:rsidP="45CF7C08">
            <w:pPr>
              <w:jc w:val="both"/>
              <w:rPr>
                <w:color w:val="FF0000"/>
                <w:sz w:val="22"/>
                <w:szCs w:val="22"/>
              </w:rPr>
            </w:pPr>
            <w:r w:rsidRPr="45CF7C08">
              <w:rPr>
                <w:rFonts w:eastAsia="Times New Roman"/>
                <w:color w:val="FF0000"/>
                <w:sz w:val="22"/>
                <w:szCs w:val="22"/>
              </w:rPr>
              <w:t>Level of Evidence A: Data derived from multiple randomized clinical trials or meta-analyses.</w:t>
            </w:r>
          </w:p>
        </w:tc>
      </w:tr>
      <w:tr w:rsidR="00EE0FAB" w:rsidRPr="008F6E02" w14:paraId="11BAD0C4" w14:textId="77777777" w:rsidTr="45CF7C08">
        <w:tc>
          <w:tcPr>
            <w:tcW w:w="3055" w:type="dxa"/>
          </w:tcPr>
          <w:p w14:paraId="222F9759" w14:textId="77777777" w:rsidR="00C876E6" w:rsidRPr="008642F5" w:rsidRDefault="45CF7C08" w:rsidP="45CF7C08">
            <w:pPr>
              <w:rPr>
                <w:sz w:val="22"/>
                <w:szCs w:val="22"/>
              </w:rPr>
            </w:pPr>
            <w:r w:rsidRPr="45CF7C08">
              <w:rPr>
                <w:sz w:val="22"/>
                <w:szCs w:val="22"/>
              </w:rPr>
              <w:t>Provide all other grades and definitions from the evidence grading system</w:t>
            </w:r>
          </w:p>
        </w:tc>
        <w:tc>
          <w:tcPr>
            <w:tcW w:w="6143" w:type="dxa"/>
          </w:tcPr>
          <w:p w14:paraId="16CE06D4" w14:textId="56C09E63" w:rsidR="00C876E6" w:rsidRPr="008642F5" w:rsidRDefault="45CF7C08" w:rsidP="45CF7C08">
            <w:pPr>
              <w:jc w:val="both"/>
              <w:rPr>
                <w:rFonts w:eastAsia="Times New Roman"/>
                <w:color w:val="FF0000"/>
                <w:sz w:val="22"/>
                <w:szCs w:val="22"/>
              </w:rPr>
            </w:pPr>
            <w:r w:rsidRPr="45CF7C08">
              <w:rPr>
                <w:rFonts w:eastAsia="Times New Roman"/>
                <w:color w:val="FF0000"/>
                <w:sz w:val="22"/>
                <w:szCs w:val="22"/>
              </w:rPr>
              <w:t xml:space="preserve">Level of Evidence B: Data derived from a single randomized trial, or nonrandomized studies. </w:t>
            </w:r>
          </w:p>
          <w:p w14:paraId="78E8B027" w14:textId="1899736A" w:rsidR="00C876E6" w:rsidRPr="008642F5" w:rsidRDefault="45CF7C08" w:rsidP="45CF7C08">
            <w:pPr>
              <w:jc w:val="both"/>
              <w:rPr>
                <w:sz w:val="22"/>
                <w:szCs w:val="22"/>
              </w:rPr>
            </w:pPr>
            <w:r w:rsidRPr="45CF7C08">
              <w:rPr>
                <w:rFonts w:eastAsia="Times New Roman"/>
                <w:color w:val="FF0000"/>
                <w:sz w:val="22"/>
                <w:szCs w:val="22"/>
              </w:rPr>
              <w:t xml:space="preserve">Level of Evidence C: Consensus opinion of experts, case studies, or standard of care. </w:t>
            </w:r>
          </w:p>
        </w:tc>
      </w:tr>
      <w:tr w:rsidR="00EE0FAB" w:rsidRPr="008F6E02" w14:paraId="1553DE0F" w14:textId="77777777" w:rsidTr="45CF7C08">
        <w:tc>
          <w:tcPr>
            <w:tcW w:w="3055" w:type="dxa"/>
          </w:tcPr>
          <w:p w14:paraId="46E7A7C6" w14:textId="77777777" w:rsidR="00C876E6" w:rsidRPr="008642F5" w:rsidRDefault="45CF7C08" w:rsidP="45CF7C08">
            <w:pPr>
              <w:rPr>
                <w:sz w:val="22"/>
                <w:szCs w:val="22"/>
              </w:rPr>
            </w:pPr>
            <w:r w:rsidRPr="45CF7C08">
              <w:rPr>
                <w:sz w:val="22"/>
                <w:szCs w:val="22"/>
              </w:rPr>
              <w:t xml:space="preserve">Grade assigned to the </w:t>
            </w:r>
            <w:r w:rsidRPr="45CF7C08">
              <w:rPr>
                <w:b/>
                <w:bCs/>
                <w:sz w:val="22"/>
                <w:szCs w:val="22"/>
              </w:rPr>
              <w:t>recommendation</w:t>
            </w:r>
            <w:r w:rsidRPr="45CF7C08">
              <w:rPr>
                <w:sz w:val="22"/>
                <w:szCs w:val="22"/>
              </w:rPr>
              <w:t xml:space="preserve"> with definition of the grade</w:t>
            </w:r>
          </w:p>
        </w:tc>
        <w:tc>
          <w:tcPr>
            <w:tcW w:w="6143" w:type="dxa"/>
          </w:tcPr>
          <w:p w14:paraId="401C3617" w14:textId="77777777" w:rsidR="00C876E6" w:rsidRPr="008642F5" w:rsidRDefault="45CF7C08" w:rsidP="45CF7C08">
            <w:pPr>
              <w:jc w:val="both"/>
              <w:rPr>
                <w:sz w:val="22"/>
                <w:szCs w:val="22"/>
              </w:rPr>
            </w:pPr>
            <w:r w:rsidRPr="45CF7C08">
              <w:rPr>
                <w:rFonts w:eastAsia="Times New Roman"/>
                <w:color w:val="FF0000"/>
                <w:sz w:val="22"/>
                <w:szCs w:val="22"/>
              </w:rPr>
              <w:t xml:space="preserve">Class I: Conditions for which there is evidence and/or general agreement that a given procedure or treatment is useful and effective. </w:t>
            </w:r>
          </w:p>
        </w:tc>
      </w:tr>
      <w:tr w:rsidR="00EE0FAB" w:rsidRPr="008F6E02" w14:paraId="6CB2C1E3" w14:textId="77777777" w:rsidTr="45CF7C08">
        <w:tc>
          <w:tcPr>
            <w:tcW w:w="3055" w:type="dxa"/>
          </w:tcPr>
          <w:p w14:paraId="4D7AA6C9" w14:textId="77777777" w:rsidR="00C876E6" w:rsidRPr="008642F5" w:rsidRDefault="45CF7C08" w:rsidP="45CF7C08">
            <w:pPr>
              <w:rPr>
                <w:sz w:val="22"/>
                <w:szCs w:val="22"/>
              </w:rPr>
            </w:pPr>
            <w:r w:rsidRPr="45CF7C08">
              <w:rPr>
                <w:sz w:val="22"/>
                <w:szCs w:val="22"/>
              </w:rPr>
              <w:t>Provide all other grades and definitions from the recommendation grading system</w:t>
            </w:r>
          </w:p>
        </w:tc>
        <w:tc>
          <w:tcPr>
            <w:tcW w:w="6143" w:type="dxa"/>
          </w:tcPr>
          <w:p w14:paraId="755D55D7" w14:textId="77777777" w:rsidR="00C876E6" w:rsidRPr="008642F5" w:rsidRDefault="45CF7C08" w:rsidP="45CF7C08">
            <w:pPr>
              <w:jc w:val="both"/>
              <w:rPr>
                <w:rFonts w:eastAsia="Times New Roman"/>
                <w:color w:val="FF0000"/>
                <w:sz w:val="22"/>
                <w:szCs w:val="22"/>
              </w:rPr>
            </w:pPr>
            <w:r w:rsidRPr="45CF7C08">
              <w:rPr>
                <w:rFonts w:eastAsia="Times New Roman"/>
                <w:color w:val="FF0000"/>
                <w:sz w:val="22"/>
                <w:szCs w:val="22"/>
              </w:rPr>
              <w:t xml:space="preserve">Class II: Conditions for which there is conflicting evidence and/or a divergence of opinion about the usefulness/efficacy of a procedure or treatment. </w:t>
            </w:r>
          </w:p>
          <w:p w14:paraId="18B31DBB" w14:textId="1BB8272D" w:rsidR="00C876E6" w:rsidRPr="008642F5" w:rsidRDefault="45CF7C08" w:rsidP="45CF7C08">
            <w:pPr>
              <w:ind w:left="1060" w:hanging="990"/>
              <w:jc w:val="both"/>
              <w:rPr>
                <w:rFonts w:eastAsia="Times New Roman"/>
                <w:color w:val="FF0000"/>
                <w:sz w:val="22"/>
                <w:szCs w:val="22"/>
              </w:rPr>
            </w:pPr>
            <w:r w:rsidRPr="45CF7C08">
              <w:rPr>
                <w:rFonts w:eastAsia="Times New Roman"/>
                <w:color w:val="FF0000"/>
                <w:sz w:val="22"/>
                <w:szCs w:val="22"/>
              </w:rPr>
              <w:t xml:space="preserve">        </w:t>
            </w:r>
            <w:proofErr w:type="spellStart"/>
            <w:r w:rsidRPr="45CF7C08">
              <w:rPr>
                <w:rFonts w:eastAsia="Times New Roman"/>
                <w:color w:val="FF0000"/>
                <w:sz w:val="22"/>
                <w:szCs w:val="22"/>
              </w:rPr>
              <w:t>IIa</w:t>
            </w:r>
            <w:proofErr w:type="spellEnd"/>
            <w:r w:rsidRPr="45CF7C08">
              <w:rPr>
                <w:rFonts w:eastAsia="Times New Roman"/>
                <w:color w:val="FF0000"/>
                <w:sz w:val="22"/>
                <w:szCs w:val="22"/>
              </w:rPr>
              <w:t xml:space="preserve">: Weight of evidence/opinion is in favor of usefulness/efficacy </w:t>
            </w:r>
          </w:p>
          <w:p w14:paraId="2A8855E4" w14:textId="77777777" w:rsidR="00C876E6" w:rsidRPr="008642F5" w:rsidRDefault="45CF7C08" w:rsidP="45CF7C08">
            <w:pPr>
              <w:ind w:left="1060" w:hanging="990"/>
              <w:jc w:val="both"/>
              <w:rPr>
                <w:rFonts w:eastAsia="Times New Roman"/>
                <w:color w:val="FF0000"/>
                <w:sz w:val="22"/>
                <w:szCs w:val="22"/>
              </w:rPr>
            </w:pPr>
            <w:r w:rsidRPr="45CF7C08">
              <w:rPr>
                <w:rFonts w:eastAsia="Times New Roman"/>
                <w:color w:val="FF0000"/>
                <w:sz w:val="22"/>
                <w:szCs w:val="22"/>
              </w:rPr>
              <w:t xml:space="preserve">        IIb: Usefulness/efficacy is less well established by evidence/opinion. </w:t>
            </w:r>
          </w:p>
          <w:p w14:paraId="671C47C2" w14:textId="4CEE4592" w:rsidR="00F157C5" w:rsidRDefault="45CF7C08" w:rsidP="45CF7C08">
            <w:pPr>
              <w:jc w:val="both"/>
              <w:rPr>
                <w:rFonts w:eastAsia="Times New Roman"/>
                <w:color w:val="FF0000"/>
                <w:sz w:val="22"/>
                <w:szCs w:val="22"/>
              </w:rPr>
            </w:pPr>
            <w:r w:rsidRPr="45CF7C08">
              <w:rPr>
                <w:rFonts w:eastAsia="Times New Roman"/>
                <w:color w:val="FF0000"/>
                <w:sz w:val="22"/>
                <w:szCs w:val="22"/>
              </w:rPr>
              <w:t xml:space="preserve">Class III: Conditions for which there is evidence and/or general agreement that the procedure/treatment is not useful/effective and in some cases may be harmful. No Benefit - Procedure/Test not helpful or Treatment without established proven benefit </w:t>
            </w:r>
          </w:p>
          <w:p w14:paraId="4B53E631" w14:textId="7EEE726A" w:rsidR="00C876E6" w:rsidRPr="008642F5" w:rsidRDefault="45CF7C08" w:rsidP="45CF7C08">
            <w:pPr>
              <w:jc w:val="both"/>
              <w:rPr>
                <w:sz w:val="22"/>
                <w:szCs w:val="22"/>
              </w:rPr>
            </w:pPr>
            <w:r w:rsidRPr="45CF7C08">
              <w:rPr>
                <w:rFonts w:eastAsia="Times New Roman"/>
                <w:color w:val="FF0000"/>
                <w:sz w:val="22"/>
                <w:szCs w:val="22"/>
              </w:rPr>
              <w:lastRenderedPageBreak/>
              <w:t xml:space="preserve">Harm - Procedure/Test leads to excess cost without benefit or is harmful, and or Treatment is harmful </w:t>
            </w:r>
          </w:p>
        </w:tc>
      </w:tr>
      <w:tr w:rsidR="00EE0FAB" w:rsidRPr="008F6E02" w14:paraId="2507A707" w14:textId="77777777" w:rsidTr="45CF7C08">
        <w:tc>
          <w:tcPr>
            <w:tcW w:w="3055" w:type="dxa"/>
          </w:tcPr>
          <w:p w14:paraId="52A9CA69" w14:textId="77777777" w:rsidR="00A44446" w:rsidRPr="00965C27" w:rsidRDefault="45CF7C08" w:rsidP="45CF7C08">
            <w:pPr>
              <w:rPr>
                <w:sz w:val="22"/>
                <w:szCs w:val="22"/>
              </w:rPr>
            </w:pPr>
            <w:r w:rsidRPr="45CF7C08">
              <w:rPr>
                <w:sz w:val="22"/>
                <w:szCs w:val="22"/>
              </w:rPr>
              <w:lastRenderedPageBreak/>
              <w:t>Body of evidence:</w:t>
            </w:r>
          </w:p>
          <w:p w14:paraId="56C6ECE5" w14:textId="77777777" w:rsidR="00A44446" w:rsidRPr="00965C27" w:rsidRDefault="45CF7C08" w:rsidP="45CF7C08">
            <w:pPr>
              <w:pStyle w:val="ListParagraph"/>
              <w:numPr>
                <w:ilvl w:val="0"/>
                <w:numId w:val="10"/>
              </w:numPr>
              <w:tabs>
                <w:tab w:val="left" w:pos="159"/>
              </w:tabs>
              <w:spacing w:after="0" w:line="240" w:lineRule="auto"/>
              <w:ind w:left="-21" w:firstLine="0"/>
              <w:rPr>
                <w:rFonts w:ascii="Times New Roman" w:hAnsi="Times New Roman" w:cs="Times New Roman"/>
              </w:rPr>
            </w:pPr>
            <w:r w:rsidRPr="45CF7C08">
              <w:rPr>
                <w:rFonts w:ascii="Times New Roman" w:hAnsi="Times New Roman" w:cs="Times New Roman"/>
              </w:rPr>
              <w:t>Quantity – how many studies?</w:t>
            </w:r>
          </w:p>
          <w:p w14:paraId="22807FE3" w14:textId="7BA5F075" w:rsidR="00C876E6" w:rsidRPr="008642F5" w:rsidRDefault="45CF7C08" w:rsidP="45CF7C08">
            <w:pPr>
              <w:pStyle w:val="ListParagraph"/>
              <w:numPr>
                <w:ilvl w:val="0"/>
                <w:numId w:val="10"/>
              </w:numPr>
              <w:spacing w:line="240" w:lineRule="auto"/>
              <w:ind w:left="157" w:hanging="180"/>
              <w:rPr>
                <w:rFonts w:ascii="Times New Roman" w:hAnsi="Times New Roman" w:cs="Times New Roman"/>
              </w:rPr>
            </w:pPr>
            <w:r w:rsidRPr="45CF7C08">
              <w:rPr>
                <w:rFonts w:ascii="Times New Roman" w:hAnsi="Times New Roman" w:cs="Times New Roman"/>
              </w:rPr>
              <w:t>Quality – what type of studies?</w:t>
            </w:r>
          </w:p>
        </w:tc>
        <w:tc>
          <w:tcPr>
            <w:tcW w:w="6143" w:type="dxa"/>
          </w:tcPr>
          <w:p w14:paraId="629A6678" w14:textId="6708BC0E" w:rsidR="00911D66" w:rsidRDefault="45CF7C08" w:rsidP="45CF7C08">
            <w:pPr>
              <w:jc w:val="both"/>
              <w:rPr>
                <w:rFonts w:eastAsia="Times New Roman"/>
                <w:color w:val="FF0000"/>
                <w:sz w:val="22"/>
                <w:szCs w:val="22"/>
              </w:rPr>
            </w:pPr>
            <w:r w:rsidRPr="45CF7C08">
              <w:rPr>
                <w:rFonts w:eastAsia="Times New Roman"/>
                <w:color w:val="FF0000"/>
                <w:sz w:val="22"/>
                <w:szCs w:val="22"/>
              </w:rPr>
              <w:t>Quantity of studies on which the recommendation was made: n=3</w:t>
            </w:r>
          </w:p>
          <w:p w14:paraId="419F4B2C" w14:textId="77777777" w:rsidR="005C4943" w:rsidRDefault="005C4943" w:rsidP="008642F5">
            <w:pPr>
              <w:jc w:val="both"/>
              <w:rPr>
                <w:rFonts w:eastAsia="Times New Roman"/>
                <w:color w:val="FF0000"/>
                <w:sz w:val="22"/>
                <w:szCs w:val="22"/>
              </w:rPr>
            </w:pPr>
          </w:p>
          <w:p w14:paraId="0F0A3979" w14:textId="7B2E7DDC" w:rsidR="00210A7D" w:rsidRDefault="45CF7C08" w:rsidP="45CF7C08">
            <w:pPr>
              <w:jc w:val="both"/>
              <w:rPr>
                <w:rFonts w:eastAsia="Times New Roman"/>
                <w:color w:val="FF0000"/>
                <w:sz w:val="22"/>
                <w:szCs w:val="22"/>
              </w:rPr>
            </w:pPr>
            <w:r w:rsidRPr="45CF7C08">
              <w:rPr>
                <w:rFonts w:eastAsia="Times New Roman"/>
                <w:color w:val="FF0000"/>
                <w:sz w:val="22"/>
                <w:szCs w:val="22"/>
              </w:rPr>
              <w:t>Quality: Level of Evidence A: Data derived from multiple randomized clinical trials or meta-analyses.</w:t>
            </w:r>
          </w:p>
          <w:p w14:paraId="4B08FE38" w14:textId="77777777" w:rsidR="005C4943" w:rsidRDefault="005C4943" w:rsidP="008642F5">
            <w:pPr>
              <w:jc w:val="both"/>
              <w:rPr>
                <w:rFonts w:eastAsia="Times New Roman"/>
                <w:color w:val="FF0000"/>
                <w:sz w:val="22"/>
                <w:szCs w:val="22"/>
              </w:rPr>
            </w:pPr>
          </w:p>
          <w:p w14:paraId="2BC80BE4" w14:textId="5FEBFBFA" w:rsidR="005C4943" w:rsidRDefault="45CF7C08" w:rsidP="45CF7C08">
            <w:pPr>
              <w:jc w:val="both"/>
              <w:rPr>
                <w:rFonts w:eastAsia="Times New Roman"/>
                <w:color w:val="FF0000"/>
                <w:sz w:val="22"/>
                <w:szCs w:val="22"/>
              </w:rPr>
            </w:pPr>
            <w:r w:rsidRPr="45CF7C08">
              <w:rPr>
                <w:rFonts w:eastAsia="Times New Roman"/>
                <w:color w:val="FF0000"/>
                <w:sz w:val="22"/>
                <w:szCs w:val="22"/>
              </w:rPr>
              <w:t>Methods notes:</w:t>
            </w:r>
          </w:p>
          <w:p w14:paraId="0F67065A" w14:textId="67700BF3" w:rsidR="00804BF7" w:rsidRPr="008642F5" w:rsidRDefault="45CF7C08" w:rsidP="45CF7C08">
            <w:pPr>
              <w:jc w:val="both"/>
              <w:rPr>
                <w:rFonts w:eastAsia="Times New Roman"/>
                <w:color w:val="FF0000"/>
                <w:sz w:val="22"/>
                <w:szCs w:val="22"/>
              </w:rPr>
            </w:pPr>
            <w:r w:rsidRPr="45CF7C08">
              <w:rPr>
                <w:rFonts w:eastAsia="Times New Roman"/>
                <w:color w:val="FF0000"/>
                <w:sz w:val="22"/>
                <w:szCs w:val="22"/>
              </w:rPr>
              <w:t>“An extensive evidence review was conducted, focusing on 2006 through October 2012 and selected other references through March 2014.”</w:t>
            </w:r>
          </w:p>
          <w:p w14:paraId="4B5FCE69" w14:textId="6F7EBE84" w:rsidR="00804BF7" w:rsidRPr="008642F5" w:rsidRDefault="45CF7C08" w:rsidP="45CF7C08">
            <w:pPr>
              <w:jc w:val="both"/>
              <w:rPr>
                <w:rFonts w:eastAsia="Times New Roman"/>
                <w:color w:val="FF0000"/>
                <w:sz w:val="22"/>
                <w:szCs w:val="22"/>
              </w:rPr>
            </w:pPr>
            <w:r w:rsidRPr="45CF7C08">
              <w:rPr>
                <w:rFonts w:eastAsia="Times New Roman"/>
                <w:color w:val="FF0000"/>
                <w:sz w:val="22"/>
                <w:szCs w:val="22"/>
              </w:rPr>
              <w:t>“Searches were extended to studies, reviews, and other evidence conducted in human subjects, published in English, and accessible through PubMed, EMBASE, Cochrane, Agency for Healthcare Research and Quality Reports, and other selected databases relevant to this guideline.”</w:t>
            </w:r>
          </w:p>
          <w:p w14:paraId="36B6FCA9" w14:textId="5591E3C1" w:rsidR="00C876E6" w:rsidRPr="008642F5" w:rsidRDefault="45CF7C08" w:rsidP="45CF7C08">
            <w:pPr>
              <w:jc w:val="both"/>
              <w:rPr>
                <w:rFonts w:eastAsia="Times New Roman"/>
                <w:color w:val="FF0000"/>
                <w:sz w:val="22"/>
                <w:szCs w:val="22"/>
              </w:rPr>
            </w:pPr>
            <w:r w:rsidRPr="45CF7C08">
              <w:rPr>
                <w:rFonts w:eastAsia="Times New Roman"/>
                <w:color w:val="FF0000"/>
                <w:sz w:val="22"/>
                <w:szCs w:val="22"/>
              </w:rPr>
              <w:t>“Additionally, the writing committee reviewed documents related to atrial fibrillation (AF) previously published by the ACC and AHA. References selected and published in this document are representative and not all-inclusive.”</w:t>
            </w:r>
          </w:p>
        </w:tc>
      </w:tr>
      <w:tr w:rsidR="00EE0FAB" w:rsidRPr="008F6E02" w14:paraId="730E987F" w14:textId="77777777" w:rsidTr="45CF7C08">
        <w:tc>
          <w:tcPr>
            <w:tcW w:w="3055" w:type="dxa"/>
          </w:tcPr>
          <w:p w14:paraId="319F83E5" w14:textId="7395B8E9" w:rsidR="00C876E6" w:rsidRPr="008642F5" w:rsidRDefault="45CF7C08" w:rsidP="45CF7C08">
            <w:pPr>
              <w:rPr>
                <w:sz w:val="22"/>
                <w:szCs w:val="22"/>
              </w:rPr>
            </w:pPr>
            <w:r w:rsidRPr="45CF7C08">
              <w:rPr>
                <w:sz w:val="22"/>
                <w:szCs w:val="22"/>
              </w:rPr>
              <w:t xml:space="preserve">Estimates of benefit and consistency across studies </w:t>
            </w:r>
          </w:p>
        </w:tc>
        <w:tc>
          <w:tcPr>
            <w:tcW w:w="6143" w:type="dxa"/>
          </w:tcPr>
          <w:p w14:paraId="4F93C58D" w14:textId="396C7DF1" w:rsidR="00C876E6" w:rsidRPr="008642F5" w:rsidRDefault="45CF7C08" w:rsidP="45CF7C08">
            <w:pPr>
              <w:rPr>
                <w:sz w:val="22"/>
                <w:szCs w:val="22"/>
              </w:rPr>
            </w:pPr>
            <w:r w:rsidRPr="45CF7C08">
              <w:rPr>
                <w:rFonts w:eastAsia="Times New Roman"/>
                <w:color w:val="FF0000"/>
                <w:sz w:val="22"/>
                <w:szCs w:val="22"/>
              </w:rPr>
              <w:t>The article did not discuss benefits or consistency across studies related to INR monitoring.</w:t>
            </w:r>
          </w:p>
        </w:tc>
      </w:tr>
      <w:tr w:rsidR="00EE0FAB" w:rsidRPr="008F6E02" w14:paraId="478E7992" w14:textId="77777777" w:rsidTr="45CF7C08">
        <w:tc>
          <w:tcPr>
            <w:tcW w:w="3055" w:type="dxa"/>
          </w:tcPr>
          <w:p w14:paraId="11FD3E05" w14:textId="7395B8E9" w:rsidR="00C876E6" w:rsidRPr="008642F5" w:rsidRDefault="45CF7C08" w:rsidP="45CF7C08">
            <w:pPr>
              <w:rPr>
                <w:sz w:val="22"/>
                <w:szCs w:val="22"/>
              </w:rPr>
            </w:pPr>
            <w:r w:rsidRPr="45CF7C08">
              <w:rPr>
                <w:sz w:val="22"/>
                <w:szCs w:val="22"/>
              </w:rPr>
              <w:t>What harms were identified?</w:t>
            </w:r>
          </w:p>
        </w:tc>
        <w:tc>
          <w:tcPr>
            <w:tcW w:w="6143" w:type="dxa"/>
          </w:tcPr>
          <w:p w14:paraId="3B40FF49" w14:textId="5A2A0174" w:rsidR="00C876E6" w:rsidRPr="008642F5" w:rsidRDefault="45CF7C08" w:rsidP="45CF7C08">
            <w:pPr>
              <w:rPr>
                <w:sz w:val="22"/>
                <w:szCs w:val="22"/>
              </w:rPr>
            </w:pPr>
            <w:r w:rsidRPr="45CF7C08">
              <w:rPr>
                <w:rFonts w:eastAsia="Times New Roman"/>
                <w:color w:val="FF0000"/>
                <w:sz w:val="22"/>
                <w:szCs w:val="22"/>
              </w:rPr>
              <w:t>The article did not discuss harms related to INR monitoring.</w:t>
            </w:r>
          </w:p>
        </w:tc>
      </w:tr>
      <w:tr w:rsidR="00EE0FAB" w:rsidRPr="008F6E02" w14:paraId="3C421D7B" w14:textId="77777777" w:rsidTr="45CF7C08">
        <w:tc>
          <w:tcPr>
            <w:tcW w:w="3055" w:type="dxa"/>
          </w:tcPr>
          <w:p w14:paraId="3FDABF04" w14:textId="77777777" w:rsidR="00C876E6" w:rsidRPr="008642F5" w:rsidRDefault="45CF7C08" w:rsidP="45CF7C08">
            <w:pPr>
              <w:rPr>
                <w:sz w:val="22"/>
                <w:szCs w:val="22"/>
              </w:rPr>
            </w:pPr>
            <w:r w:rsidRPr="45CF7C08">
              <w:rPr>
                <w:sz w:val="22"/>
                <w:szCs w:val="22"/>
              </w:rPr>
              <w:t>Identify any new studies conducted since the SR. Do the new studies change the conclusions from the SR?</w:t>
            </w:r>
          </w:p>
        </w:tc>
        <w:tc>
          <w:tcPr>
            <w:tcW w:w="6143" w:type="dxa"/>
          </w:tcPr>
          <w:p w14:paraId="16E7E576" w14:textId="72EAD74D" w:rsidR="00274E7C" w:rsidRDefault="45CF7C08" w:rsidP="45CF7C08">
            <w:pPr>
              <w:jc w:val="both"/>
              <w:rPr>
                <w:color w:val="FF0000"/>
                <w:sz w:val="22"/>
                <w:szCs w:val="22"/>
              </w:rPr>
            </w:pPr>
            <w:r w:rsidRPr="45CF7C08">
              <w:rPr>
                <w:color w:val="FF0000"/>
                <w:sz w:val="22"/>
                <w:szCs w:val="22"/>
              </w:rPr>
              <w:t xml:space="preserve">Witt et al (2016) published guidance for the management of warfarin therapy. The guidance provided was based on a review of medical literature and consensus </w:t>
            </w:r>
            <w:proofErr w:type="gramStart"/>
            <w:r w:rsidRPr="45CF7C08">
              <w:rPr>
                <w:color w:val="FF0000"/>
                <w:sz w:val="22"/>
                <w:szCs w:val="22"/>
              </w:rPr>
              <w:t>opinions  of</w:t>
            </w:r>
            <w:proofErr w:type="gramEnd"/>
            <w:r w:rsidRPr="45CF7C08">
              <w:rPr>
                <w:color w:val="FF0000"/>
                <w:sz w:val="22"/>
                <w:szCs w:val="22"/>
              </w:rPr>
              <w:t xml:space="preserve"> all authors and the endorsement of the Anticoagulation Forum’s Board of Directors. The guidance (below) supports an INR monitoring interval of up to 12 weeks. This guidance supports the recommendations and does not change the concussions of the systematic review by Holbrook et al. (2012). Further, Witt et al. (2016) shows the ambiguity in the appropriate length for follow-up.</w:t>
            </w:r>
          </w:p>
          <w:p w14:paraId="05EBB5E6" w14:textId="77777777" w:rsidR="00E40854" w:rsidRDefault="00E40854" w:rsidP="008642F5">
            <w:pPr>
              <w:jc w:val="both"/>
              <w:rPr>
                <w:color w:val="FF0000"/>
                <w:sz w:val="22"/>
                <w:szCs w:val="22"/>
              </w:rPr>
            </w:pPr>
          </w:p>
          <w:p w14:paraId="267CD426" w14:textId="77777777" w:rsidR="00E40854" w:rsidRPr="001B0B3B" w:rsidRDefault="45CF7C08" w:rsidP="45CF7C08">
            <w:pPr>
              <w:pStyle w:val="ListParagraph"/>
              <w:numPr>
                <w:ilvl w:val="0"/>
                <w:numId w:val="22"/>
              </w:numPr>
              <w:ind w:left="162" w:hanging="180"/>
              <w:jc w:val="both"/>
              <w:rPr>
                <w:rFonts w:ascii="Times New Roman" w:hAnsi="Times New Roman" w:cs="Times New Roman"/>
                <w:color w:val="FF0000"/>
              </w:rPr>
            </w:pPr>
            <w:r w:rsidRPr="45CF7C08">
              <w:rPr>
                <w:rFonts w:ascii="Times New Roman" w:hAnsi="Times New Roman" w:cs="Times New Roman"/>
                <w:color w:val="FF0000"/>
              </w:rPr>
              <w:t>“During the first 3 months of warfarin therapy for VTE we suggest that INR recall intervals not exceed 6 weeks.”</w:t>
            </w:r>
          </w:p>
          <w:p w14:paraId="055FEB4A" w14:textId="1DE37DAA" w:rsidR="00274E7C" w:rsidRPr="001B0B3B" w:rsidRDefault="45CF7C08" w:rsidP="45CF7C08">
            <w:pPr>
              <w:pStyle w:val="ListParagraph"/>
              <w:numPr>
                <w:ilvl w:val="0"/>
                <w:numId w:val="22"/>
              </w:numPr>
              <w:ind w:left="162" w:hanging="180"/>
              <w:jc w:val="both"/>
              <w:rPr>
                <w:rFonts w:ascii="Times New Roman" w:hAnsi="Times New Roman" w:cs="Times New Roman"/>
                <w:color w:val="FF0000"/>
              </w:rPr>
            </w:pPr>
            <w:r w:rsidRPr="45CF7C08">
              <w:rPr>
                <w:rFonts w:ascii="Times New Roman" w:hAnsi="Times New Roman" w:cs="Times New Roman"/>
                <w:color w:val="FF0000"/>
              </w:rPr>
              <w:t>“For patients demonstrating consistently stable INRs after 3 months of warfarin therapy for VTE we suggest that INR recall intervals can be extended up to 12 weeks.”</w:t>
            </w:r>
          </w:p>
          <w:p w14:paraId="5641FA59" w14:textId="77777777" w:rsidR="00274E7C" w:rsidRDefault="00274E7C" w:rsidP="008642F5">
            <w:pPr>
              <w:jc w:val="both"/>
              <w:rPr>
                <w:color w:val="FF0000"/>
                <w:sz w:val="22"/>
                <w:szCs w:val="22"/>
              </w:rPr>
            </w:pPr>
          </w:p>
          <w:p w14:paraId="39209D0D" w14:textId="2FFA681A" w:rsidR="00D05051" w:rsidRDefault="45CF7C08" w:rsidP="45CF7C08">
            <w:pPr>
              <w:jc w:val="both"/>
              <w:rPr>
                <w:color w:val="FF0000"/>
                <w:sz w:val="22"/>
                <w:szCs w:val="22"/>
              </w:rPr>
            </w:pPr>
            <w:r w:rsidRPr="45CF7C08">
              <w:rPr>
                <w:color w:val="FF0000"/>
                <w:sz w:val="22"/>
                <w:szCs w:val="22"/>
              </w:rPr>
              <w:t>The additional studies cited below support the recommendations of the presented evidence that INR should be regularly monitored for patients on warfarin.</w:t>
            </w:r>
          </w:p>
          <w:p w14:paraId="31941AE7" w14:textId="77777777" w:rsidR="00D05051" w:rsidRDefault="00D05051" w:rsidP="008642F5">
            <w:pPr>
              <w:jc w:val="both"/>
              <w:rPr>
                <w:color w:val="FF0000"/>
                <w:sz w:val="22"/>
                <w:szCs w:val="22"/>
              </w:rPr>
            </w:pPr>
          </w:p>
          <w:p w14:paraId="586702E1" w14:textId="77777777" w:rsidR="00D05051" w:rsidRPr="008642F5" w:rsidRDefault="45CF7C08" w:rsidP="45CF7C08">
            <w:pPr>
              <w:jc w:val="both"/>
              <w:rPr>
                <w:color w:val="FF0000"/>
                <w:sz w:val="22"/>
                <w:szCs w:val="22"/>
                <w:u w:val="single"/>
              </w:rPr>
            </w:pPr>
            <w:r w:rsidRPr="45CF7C08">
              <w:rPr>
                <w:color w:val="FF0000"/>
                <w:sz w:val="22"/>
                <w:szCs w:val="22"/>
                <w:u w:val="single"/>
              </w:rPr>
              <w:t>Citations:</w:t>
            </w:r>
          </w:p>
          <w:p w14:paraId="02E6503A" w14:textId="77777777" w:rsidR="00D05051" w:rsidRPr="008642F5" w:rsidRDefault="45CF7C08" w:rsidP="45CF7C08">
            <w:pPr>
              <w:ind w:left="145" w:hanging="145"/>
              <w:jc w:val="both"/>
              <w:rPr>
                <w:color w:val="FF0000"/>
                <w:sz w:val="22"/>
                <w:szCs w:val="22"/>
              </w:rPr>
            </w:pPr>
            <w:r w:rsidRPr="45CF7C08">
              <w:rPr>
                <w:color w:val="FF0000"/>
                <w:sz w:val="22"/>
                <w:szCs w:val="22"/>
              </w:rPr>
              <w:t xml:space="preserve">Barnes GD, Lucas E, Alexander GC, Goldberger ZD. National trends in ambulatory oral anticoagulant use. </w:t>
            </w:r>
            <w:r w:rsidRPr="45CF7C08">
              <w:rPr>
                <w:i/>
                <w:iCs/>
                <w:color w:val="FF0000"/>
                <w:sz w:val="22"/>
                <w:szCs w:val="22"/>
              </w:rPr>
              <w:t xml:space="preserve">The American journal of medicine. </w:t>
            </w:r>
            <w:r w:rsidRPr="45CF7C08">
              <w:rPr>
                <w:color w:val="FF0000"/>
                <w:sz w:val="22"/>
                <w:szCs w:val="22"/>
              </w:rPr>
              <w:t xml:space="preserve">2015;128(12):1300-1305 e1302. </w:t>
            </w:r>
            <w:proofErr w:type="spellStart"/>
            <w:r w:rsidRPr="45CF7C08">
              <w:rPr>
                <w:color w:val="FF0000"/>
                <w:sz w:val="22"/>
                <w:szCs w:val="22"/>
              </w:rPr>
              <w:t>doi</w:t>
            </w:r>
            <w:proofErr w:type="spellEnd"/>
            <w:r w:rsidRPr="45CF7C08">
              <w:rPr>
                <w:color w:val="FF0000"/>
                <w:sz w:val="22"/>
                <w:szCs w:val="22"/>
              </w:rPr>
              <w:t>: 10.1016/j.amjmed.2015.05.044.</w:t>
            </w:r>
          </w:p>
          <w:p w14:paraId="6853D82B" w14:textId="77777777" w:rsidR="00814F5A" w:rsidRPr="008642F5" w:rsidRDefault="45CF7C08" w:rsidP="45CF7C08">
            <w:pPr>
              <w:ind w:left="145" w:hanging="145"/>
              <w:jc w:val="both"/>
              <w:rPr>
                <w:color w:val="FF0000"/>
                <w:sz w:val="22"/>
                <w:szCs w:val="22"/>
              </w:rPr>
            </w:pPr>
            <w:proofErr w:type="spellStart"/>
            <w:r w:rsidRPr="45CF7C08">
              <w:rPr>
                <w:color w:val="FF0000"/>
                <w:sz w:val="22"/>
                <w:szCs w:val="22"/>
              </w:rPr>
              <w:lastRenderedPageBreak/>
              <w:t>Deitelzweig</w:t>
            </w:r>
            <w:proofErr w:type="spellEnd"/>
            <w:r w:rsidRPr="45CF7C08">
              <w:rPr>
                <w:color w:val="FF0000"/>
                <w:sz w:val="22"/>
                <w:szCs w:val="22"/>
              </w:rPr>
              <w:t xml:space="preserve"> S, Evans M, </w:t>
            </w:r>
            <w:proofErr w:type="spellStart"/>
            <w:r w:rsidRPr="45CF7C08">
              <w:rPr>
                <w:color w:val="FF0000"/>
                <w:sz w:val="22"/>
                <w:szCs w:val="22"/>
              </w:rPr>
              <w:t>Hillson</w:t>
            </w:r>
            <w:proofErr w:type="spellEnd"/>
            <w:r w:rsidRPr="45CF7C08">
              <w:rPr>
                <w:color w:val="FF0000"/>
                <w:sz w:val="22"/>
                <w:szCs w:val="22"/>
              </w:rPr>
              <w:t xml:space="preserve"> E, et al. Warfarin time in therapeutic range and its impact on healthcare resource utilization and costs among patients with nonvalvular atrial fibrillation. </w:t>
            </w:r>
            <w:r w:rsidRPr="45CF7C08">
              <w:rPr>
                <w:i/>
                <w:iCs/>
                <w:color w:val="FF0000"/>
                <w:sz w:val="22"/>
                <w:szCs w:val="22"/>
              </w:rPr>
              <w:t xml:space="preserve">Current medical research and opinion. </w:t>
            </w:r>
            <w:r w:rsidRPr="45CF7C08">
              <w:rPr>
                <w:color w:val="FF0000"/>
                <w:sz w:val="22"/>
                <w:szCs w:val="22"/>
              </w:rPr>
              <w:t xml:space="preserve">2016;32(1):87-94. </w:t>
            </w:r>
            <w:proofErr w:type="spellStart"/>
            <w:r w:rsidRPr="45CF7C08">
              <w:rPr>
                <w:color w:val="FF0000"/>
                <w:sz w:val="22"/>
                <w:szCs w:val="22"/>
              </w:rPr>
              <w:t>doi</w:t>
            </w:r>
            <w:proofErr w:type="spellEnd"/>
            <w:r w:rsidRPr="45CF7C08">
              <w:rPr>
                <w:color w:val="FF0000"/>
                <w:sz w:val="22"/>
                <w:szCs w:val="22"/>
              </w:rPr>
              <w:t>: 10.1185/03007995.2015.1103217.</w:t>
            </w:r>
          </w:p>
          <w:p w14:paraId="321DA7CC" w14:textId="77777777" w:rsidR="00262857" w:rsidRPr="008642F5" w:rsidRDefault="45CF7C08" w:rsidP="45CF7C08">
            <w:pPr>
              <w:ind w:left="145" w:hanging="145"/>
              <w:jc w:val="both"/>
              <w:rPr>
                <w:color w:val="FF0000"/>
                <w:sz w:val="22"/>
                <w:szCs w:val="22"/>
              </w:rPr>
            </w:pPr>
            <w:proofErr w:type="spellStart"/>
            <w:r w:rsidRPr="45CF7C08">
              <w:rPr>
                <w:color w:val="FF0000"/>
                <w:sz w:val="22"/>
                <w:szCs w:val="22"/>
              </w:rPr>
              <w:t>Hylek</w:t>
            </w:r>
            <w:proofErr w:type="spellEnd"/>
            <w:r w:rsidRPr="45CF7C08">
              <w:rPr>
                <w:color w:val="FF0000"/>
                <w:sz w:val="22"/>
                <w:szCs w:val="22"/>
              </w:rPr>
              <w:t xml:space="preserve"> EM, Held C, Alexander JH, et al. Major bleeding in patients with atrial fibrillation receiving apixaban or warfarin: The ARISTOTLE Trial (Apixaban for Reduction in Stroke and Other Thromboembolic Events in Atrial Fibrillation): Predictors, Characteristics, and Clinical Outcomes. </w:t>
            </w:r>
            <w:r w:rsidRPr="45CF7C08">
              <w:rPr>
                <w:i/>
                <w:iCs/>
                <w:color w:val="FF0000"/>
                <w:sz w:val="22"/>
                <w:szCs w:val="22"/>
              </w:rPr>
              <w:t xml:space="preserve">Journal of the American College of Cardiology. </w:t>
            </w:r>
            <w:r w:rsidRPr="45CF7C08">
              <w:rPr>
                <w:color w:val="FF0000"/>
                <w:sz w:val="22"/>
                <w:szCs w:val="22"/>
              </w:rPr>
              <w:t xml:space="preserve">2014;63(20):2141-2147. </w:t>
            </w:r>
            <w:proofErr w:type="spellStart"/>
            <w:r w:rsidRPr="45CF7C08">
              <w:rPr>
                <w:color w:val="FF0000"/>
                <w:sz w:val="22"/>
                <w:szCs w:val="22"/>
              </w:rPr>
              <w:t>doi</w:t>
            </w:r>
            <w:proofErr w:type="spellEnd"/>
            <w:r w:rsidRPr="45CF7C08">
              <w:rPr>
                <w:color w:val="FF0000"/>
                <w:sz w:val="22"/>
                <w:szCs w:val="22"/>
              </w:rPr>
              <w:t>: 10.1016/j.jacc.2014.02.549.</w:t>
            </w:r>
          </w:p>
          <w:p w14:paraId="094CC5C3" w14:textId="77777777" w:rsidR="00EF3C56" w:rsidRPr="008642F5" w:rsidRDefault="45CF7C08" w:rsidP="45CF7C08">
            <w:pPr>
              <w:ind w:left="145" w:hanging="145"/>
              <w:jc w:val="both"/>
              <w:rPr>
                <w:color w:val="FF0000"/>
                <w:sz w:val="22"/>
                <w:szCs w:val="22"/>
              </w:rPr>
            </w:pPr>
            <w:proofErr w:type="spellStart"/>
            <w:r w:rsidRPr="45CF7C08">
              <w:rPr>
                <w:color w:val="FF0000"/>
                <w:sz w:val="22"/>
                <w:szCs w:val="22"/>
              </w:rPr>
              <w:t>Iung</w:t>
            </w:r>
            <w:proofErr w:type="spellEnd"/>
            <w:r w:rsidRPr="45CF7C08">
              <w:rPr>
                <w:color w:val="FF0000"/>
                <w:sz w:val="22"/>
                <w:szCs w:val="22"/>
              </w:rPr>
              <w:t xml:space="preserve"> B, </w:t>
            </w:r>
            <w:proofErr w:type="spellStart"/>
            <w:r w:rsidRPr="45CF7C08">
              <w:rPr>
                <w:color w:val="FF0000"/>
                <w:sz w:val="22"/>
                <w:szCs w:val="22"/>
              </w:rPr>
              <w:t>Vahanian</w:t>
            </w:r>
            <w:proofErr w:type="spellEnd"/>
            <w:r w:rsidRPr="45CF7C08">
              <w:rPr>
                <w:color w:val="FF0000"/>
                <w:sz w:val="22"/>
                <w:szCs w:val="22"/>
              </w:rPr>
              <w:t xml:space="preserve"> A. Epidemiology of acquired valvular heart disease. </w:t>
            </w:r>
            <w:r w:rsidRPr="45CF7C08">
              <w:rPr>
                <w:i/>
                <w:iCs/>
                <w:color w:val="FF0000"/>
                <w:sz w:val="22"/>
                <w:szCs w:val="22"/>
              </w:rPr>
              <w:t xml:space="preserve">The Canadian journal of cardiology. </w:t>
            </w:r>
            <w:r w:rsidRPr="45CF7C08">
              <w:rPr>
                <w:color w:val="FF0000"/>
                <w:sz w:val="22"/>
                <w:szCs w:val="22"/>
              </w:rPr>
              <w:t xml:space="preserve">2014;30(9):962-970. </w:t>
            </w:r>
            <w:proofErr w:type="spellStart"/>
            <w:r w:rsidRPr="45CF7C08">
              <w:rPr>
                <w:color w:val="FF0000"/>
                <w:sz w:val="22"/>
                <w:szCs w:val="22"/>
              </w:rPr>
              <w:t>doi</w:t>
            </w:r>
            <w:proofErr w:type="spellEnd"/>
            <w:r w:rsidRPr="45CF7C08">
              <w:rPr>
                <w:color w:val="FF0000"/>
                <w:sz w:val="22"/>
                <w:szCs w:val="22"/>
              </w:rPr>
              <w:t>: 10.1016/j.cjca.2014.03.022.</w:t>
            </w:r>
          </w:p>
          <w:p w14:paraId="4BB752F9" w14:textId="77777777" w:rsidR="001E2F2C" w:rsidRPr="008642F5" w:rsidRDefault="45CF7C08" w:rsidP="45CF7C08">
            <w:pPr>
              <w:ind w:left="145" w:hanging="145"/>
              <w:jc w:val="both"/>
              <w:rPr>
                <w:color w:val="FF0000"/>
                <w:sz w:val="22"/>
                <w:szCs w:val="22"/>
              </w:rPr>
            </w:pPr>
            <w:r w:rsidRPr="45CF7C08">
              <w:rPr>
                <w:color w:val="FF0000"/>
                <w:sz w:val="22"/>
                <w:szCs w:val="22"/>
              </w:rPr>
              <w:t xml:space="preserve">Nelson WW, Wang L, Baser O, </w:t>
            </w:r>
            <w:proofErr w:type="spellStart"/>
            <w:r w:rsidRPr="45CF7C08">
              <w:rPr>
                <w:color w:val="FF0000"/>
                <w:sz w:val="22"/>
                <w:szCs w:val="22"/>
              </w:rPr>
              <w:t>Damaraju</w:t>
            </w:r>
            <w:proofErr w:type="spellEnd"/>
            <w:r w:rsidRPr="45CF7C08">
              <w:rPr>
                <w:color w:val="FF0000"/>
                <w:sz w:val="22"/>
                <w:szCs w:val="22"/>
              </w:rPr>
              <w:t xml:space="preserve"> CV, Schein JR. Out-of-range international normalized ratio values and healthcare cost among new warfarin patients with non-valvular atrial fibrillation. </w:t>
            </w:r>
            <w:r w:rsidRPr="45CF7C08">
              <w:rPr>
                <w:i/>
                <w:iCs/>
                <w:color w:val="FF0000"/>
                <w:sz w:val="22"/>
                <w:szCs w:val="22"/>
              </w:rPr>
              <w:t xml:space="preserve">Journal of medical economics. </w:t>
            </w:r>
            <w:r w:rsidRPr="45CF7C08">
              <w:rPr>
                <w:color w:val="FF0000"/>
                <w:sz w:val="22"/>
                <w:szCs w:val="22"/>
              </w:rPr>
              <w:t xml:space="preserve">2015;18(5):333-340. </w:t>
            </w:r>
            <w:proofErr w:type="spellStart"/>
            <w:r w:rsidRPr="45CF7C08">
              <w:rPr>
                <w:color w:val="FF0000"/>
                <w:sz w:val="22"/>
                <w:szCs w:val="22"/>
              </w:rPr>
              <w:t>doi</w:t>
            </w:r>
            <w:proofErr w:type="spellEnd"/>
            <w:r w:rsidRPr="45CF7C08">
              <w:rPr>
                <w:color w:val="FF0000"/>
                <w:sz w:val="22"/>
                <w:szCs w:val="22"/>
              </w:rPr>
              <w:t>: 10.3111/13696998.2014.1001851.</w:t>
            </w:r>
          </w:p>
          <w:p w14:paraId="6C5D46F4" w14:textId="77777777" w:rsidR="001675EE" w:rsidRPr="008642F5" w:rsidRDefault="45CF7C08" w:rsidP="45CF7C08">
            <w:pPr>
              <w:ind w:left="145" w:hanging="145"/>
              <w:jc w:val="both"/>
              <w:rPr>
                <w:color w:val="FF0000"/>
                <w:sz w:val="22"/>
                <w:szCs w:val="22"/>
              </w:rPr>
            </w:pPr>
            <w:proofErr w:type="spellStart"/>
            <w:r w:rsidRPr="45CF7C08">
              <w:rPr>
                <w:color w:val="FF0000"/>
                <w:sz w:val="22"/>
                <w:szCs w:val="22"/>
              </w:rPr>
              <w:t>Razouki</w:t>
            </w:r>
            <w:proofErr w:type="spellEnd"/>
            <w:r w:rsidRPr="45CF7C08">
              <w:rPr>
                <w:color w:val="FF0000"/>
                <w:sz w:val="22"/>
                <w:szCs w:val="22"/>
              </w:rPr>
              <w:t xml:space="preserve"> Z, </w:t>
            </w:r>
            <w:proofErr w:type="spellStart"/>
            <w:r w:rsidRPr="45CF7C08">
              <w:rPr>
                <w:color w:val="FF0000"/>
                <w:sz w:val="22"/>
                <w:szCs w:val="22"/>
              </w:rPr>
              <w:t>Ozonoff</w:t>
            </w:r>
            <w:proofErr w:type="spellEnd"/>
            <w:r w:rsidRPr="45CF7C08">
              <w:rPr>
                <w:color w:val="FF0000"/>
                <w:sz w:val="22"/>
                <w:szCs w:val="22"/>
              </w:rPr>
              <w:t xml:space="preserve"> A, Zhao S, </w:t>
            </w:r>
            <w:proofErr w:type="spellStart"/>
            <w:r w:rsidRPr="45CF7C08">
              <w:rPr>
                <w:color w:val="FF0000"/>
                <w:sz w:val="22"/>
                <w:szCs w:val="22"/>
              </w:rPr>
              <w:t>Jasuja</w:t>
            </w:r>
            <w:proofErr w:type="spellEnd"/>
            <w:r w:rsidRPr="45CF7C08">
              <w:rPr>
                <w:color w:val="FF0000"/>
                <w:sz w:val="22"/>
                <w:szCs w:val="22"/>
              </w:rPr>
              <w:t xml:space="preserve"> GK, Rose AJ. Improving quality measurement for anticoagulation: adding international normalized ratio variability to percent time in therapeutic range. </w:t>
            </w:r>
            <w:r w:rsidRPr="45CF7C08">
              <w:rPr>
                <w:i/>
                <w:iCs/>
                <w:color w:val="FF0000"/>
                <w:sz w:val="22"/>
                <w:szCs w:val="22"/>
              </w:rPr>
              <w:t xml:space="preserve">Circulation Cardiovascular quality and outcomes. </w:t>
            </w:r>
            <w:r w:rsidRPr="45CF7C08">
              <w:rPr>
                <w:color w:val="FF0000"/>
                <w:sz w:val="22"/>
                <w:szCs w:val="22"/>
              </w:rPr>
              <w:t xml:space="preserve">2014;7(5):664-669. </w:t>
            </w:r>
            <w:proofErr w:type="spellStart"/>
            <w:r w:rsidRPr="45CF7C08">
              <w:rPr>
                <w:color w:val="FF0000"/>
                <w:sz w:val="22"/>
                <w:szCs w:val="22"/>
              </w:rPr>
              <w:t>doi</w:t>
            </w:r>
            <w:proofErr w:type="spellEnd"/>
            <w:r w:rsidRPr="45CF7C08">
              <w:rPr>
                <w:color w:val="FF0000"/>
                <w:sz w:val="22"/>
                <w:szCs w:val="22"/>
              </w:rPr>
              <w:t>: 10.1161/CIRCOUTCOMES.114.000804.</w:t>
            </w:r>
          </w:p>
          <w:p w14:paraId="6BE708AE" w14:textId="77777777" w:rsidR="0010032F" w:rsidRPr="008642F5" w:rsidRDefault="45CF7C08" w:rsidP="45CF7C08">
            <w:pPr>
              <w:ind w:left="145" w:hanging="145"/>
              <w:jc w:val="both"/>
              <w:rPr>
                <w:color w:val="FF0000"/>
                <w:sz w:val="22"/>
                <w:szCs w:val="22"/>
              </w:rPr>
            </w:pPr>
            <w:r w:rsidRPr="45CF7C08">
              <w:rPr>
                <w:color w:val="FF0000"/>
                <w:sz w:val="22"/>
                <w:szCs w:val="22"/>
              </w:rPr>
              <w:t xml:space="preserve">Rose AJ, Park A, Gillespie C, et al. Results of a regional effort to improve warfarin management. </w:t>
            </w:r>
            <w:r w:rsidRPr="45CF7C08">
              <w:rPr>
                <w:i/>
                <w:iCs/>
                <w:color w:val="FF0000"/>
                <w:sz w:val="22"/>
                <w:szCs w:val="22"/>
              </w:rPr>
              <w:t xml:space="preserve">Annals of Pharmacotherapy. </w:t>
            </w:r>
            <w:r w:rsidRPr="45CF7C08">
              <w:rPr>
                <w:color w:val="FF0000"/>
                <w:sz w:val="22"/>
                <w:szCs w:val="22"/>
              </w:rPr>
              <w:t xml:space="preserve">2017. </w:t>
            </w:r>
            <w:proofErr w:type="spellStart"/>
            <w:r w:rsidRPr="45CF7C08">
              <w:rPr>
                <w:color w:val="FF0000"/>
                <w:sz w:val="22"/>
                <w:szCs w:val="22"/>
              </w:rPr>
              <w:t>doi</w:t>
            </w:r>
            <w:proofErr w:type="spellEnd"/>
            <w:r w:rsidRPr="45CF7C08">
              <w:rPr>
                <w:color w:val="FF0000"/>
                <w:sz w:val="22"/>
                <w:szCs w:val="22"/>
              </w:rPr>
              <w:t>: 10.1177/1060028016681030.</w:t>
            </w:r>
          </w:p>
          <w:p w14:paraId="016C8BF6" w14:textId="02B72D08" w:rsidR="00C876E6" w:rsidRPr="008642F5" w:rsidRDefault="45CF7C08" w:rsidP="45CF7C08">
            <w:pPr>
              <w:tabs>
                <w:tab w:val="left" w:pos="1152"/>
              </w:tabs>
              <w:ind w:left="158" w:hanging="158"/>
              <w:rPr>
                <w:sz w:val="22"/>
                <w:szCs w:val="22"/>
              </w:rPr>
            </w:pPr>
            <w:r w:rsidRPr="45CF7C08">
              <w:rPr>
                <w:color w:val="FF0000"/>
                <w:sz w:val="22"/>
                <w:szCs w:val="22"/>
              </w:rPr>
              <w:t xml:space="preserve">Schein JR, White CM, Nelson WW, Kluger J, Mearns ES, Coleman CI. Vitamin K antagonist use: evidence of the difficulty of achieving and maintaining target INR range and subsequent consequences. </w:t>
            </w:r>
            <w:proofErr w:type="spellStart"/>
            <w:r w:rsidRPr="45CF7C08">
              <w:rPr>
                <w:i/>
                <w:iCs/>
                <w:color w:val="FF0000"/>
                <w:sz w:val="22"/>
                <w:szCs w:val="22"/>
              </w:rPr>
              <w:t>Thromb</w:t>
            </w:r>
            <w:proofErr w:type="spellEnd"/>
            <w:r w:rsidRPr="45CF7C08">
              <w:rPr>
                <w:i/>
                <w:iCs/>
                <w:color w:val="FF0000"/>
                <w:sz w:val="22"/>
                <w:szCs w:val="22"/>
              </w:rPr>
              <w:t xml:space="preserve"> J. </w:t>
            </w:r>
            <w:proofErr w:type="gramStart"/>
            <w:r w:rsidRPr="45CF7C08">
              <w:rPr>
                <w:color w:val="FF0000"/>
                <w:sz w:val="22"/>
                <w:szCs w:val="22"/>
              </w:rPr>
              <w:t>2016;14:14</w:t>
            </w:r>
            <w:proofErr w:type="gramEnd"/>
            <w:r w:rsidRPr="45CF7C08">
              <w:rPr>
                <w:color w:val="FF0000"/>
                <w:sz w:val="22"/>
                <w:szCs w:val="22"/>
              </w:rPr>
              <w:t xml:space="preserve">. </w:t>
            </w:r>
            <w:proofErr w:type="spellStart"/>
            <w:r w:rsidRPr="45CF7C08">
              <w:rPr>
                <w:color w:val="FF0000"/>
                <w:sz w:val="22"/>
                <w:szCs w:val="22"/>
              </w:rPr>
              <w:t>doi</w:t>
            </w:r>
            <w:proofErr w:type="spellEnd"/>
            <w:r w:rsidRPr="45CF7C08">
              <w:rPr>
                <w:color w:val="FF0000"/>
                <w:sz w:val="22"/>
                <w:szCs w:val="22"/>
              </w:rPr>
              <w:t xml:space="preserve">: 10.1186/s12959-016-0088-y.US Department of Health and Human Services. National action plan for adverse drug event prevention. Washington, DC: US Department of Health &amp; Human Services Office of Disease Prevention and Health Promotion; 2014. </w:t>
            </w:r>
            <w:hyperlink r:id="rId21">
              <w:r w:rsidRPr="45CF7C08">
                <w:rPr>
                  <w:rStyle w:val="Hyperlink"/>
                  <w:sz w:val="22"/>
                  <w:szCs w:val="22"/>
                </w:rPr>
                <w:t>http://health.gov/hcq/ade-action-plan.asp</w:t>
              </w:r>
            </w:hyperlink>
            <w:r w:rsidRPr="45CF7C08">
              <w:rPr>
                <w:color w:val="FF0000"/>
                <w:sz w:val="22"/>
                <w:szCs w:val="22"/>
              </w:rPr>
              <w:t>.  Accessed November 17, 2015.</w:t>
            </w:r>
          </w:p>
        </w:tc>
      </w:tr>
    </w:tbl>
    <w:p w14:paraId="29336694" w14:textId="4F517790" w:rsidR="003E4EED" w:rsidRDefault="003E4EED" w:rsidP="002E2177"/>
    <w:p w14:paraId="30F5E5F4" w14:textId="5B7CC9FF" w:rsidR="0094689F" w:rsidRPr="008642F5" w:rsidRDefault="45CF7C08" w:rsidP="45CF7C08">
      <w:pPr>
        <w:jc w:val="both"/>
        <w:rPr>
          <w:b/>
          <w:bCs/>
          <w:color w:val="0070C0"/>
          <w:sz w:val="22"/>
          <w:szCs w:val="22"/>
        </w:rPr>
      </w:pPr>
      <w:r w:rsidRPr="45CF7C08">
        <w:rPr>
          <w:b/>
          <w:bCs/>
          <w:caps/>
          <w:sz w:val="22"/>
          <w:szCs w:val="22"/>
        </w:rPr>
        <w:t>_______________________</w:t>
      </w:r>
    </w:p>
    <w:p w14:paraId="30F5E5F5" w14:textId="77777777" w:rsidR="00837121" w:rsidRPr="008642F5" w:rsidRDefault="45CF7C08" w:rsidP="45CF7C08">
      <w:pPr>
        <w:jc w:val="both"/>
        <w:rPr>
          <w:b/>
          <w:bCs/>
          <w:sz w:val="22"/>
          <w:szCs w:val="22"/>
        </w:rPr>
      </w:pPr>
      <w:bookmarkStart w:id="9" w:name="Section1a8"/>
      <w:bookmarkEnd w:id="9"/>
      <w:r w:rsidRPr="45CF7C08">
        <w:rPr>
          <w:b/>
          <w:bCs/>
          <w:color w:val="0000FF"/>
          <w:sz w:val="22"/>
          <w:szCs w:val="22"/>
        </w:rPr>
        <w:t xml:space="preserve">1a.4 </w:t>
      </w:r>
      <w:r w:rsidRPr="45CF7C08">
        <w:rPr>
          <w:b/>
          <w:bCs/>
          <w:sz w:val="22"/>
          <w:szCs w:val="22"/>
        </w:rPr>
        <w:t>OTHER SOURCE OF EVIDENCE</w:t>
      </w:r>
    </w:p>
    <w:p w14:paraId="30F5E5F6" w14:textId="77777777" w:rsidR="00837121" w:rsidRPr="008642F5" w:rsidRDefault="45CF7C08" w:rsidP="45CF7C08">
      <w:pPr>
        <w:jc w:val="both"/>
        <w:rPr>
          <w:i/>
          <w:iCs/>
          <w:sz w:val="22"/>
          <w:szCs w:val="22"/>
        </w:rPr>
      </w:pPr>
      <w:r w:rsidRPr="45CF7C08">
        <w:rPr>
          <w:i/>
          <w:iCs/>
          <w:sz w:val="22"/>
          <w:szCs w:val="22"/>
        </w:rPr>
        <w:t>If source of evidence is NOT from a clinical practice guideline, USPSTF, or systematic review, please describe the evidence on which you are basing the performance measure.</w:t>
      </w:r>
    </w:p>
    <w:p w14:paraId="30F5E5F7" w14:textId="77777777" w:rsidR="00837121" w:rsidRPr="008642F5" w:rsidRDefault="00837121" w:rsidP="008642F5">
      <w:pPr>
        <w:jc w:val="both"/>
        <w:rPr>
          <w:sz w:val="22"/>
          <w:szCs w:val="22"/>
        </w:rPr>
      </w:pPr>
    </w:p>
    <w:p w14:paraId="30F5E5F8" w14:textId="77777777" w:rsidR="000E5C93" w:rsidRPr="008642F5" w:rsidRDefault="45CF7C08" w:rsidP="45CF7C08">
      <w:pPr>
        <w:jc w:val="both"/>
        <w:rPr>
          <w:color w:val="0070C0"/>
          <w:sz w:val="22"/>
          <w:szCs w:val="22"/>
        </w:rPr>
      </w:pPr>
      <w:r w:rsidRPr="45CF7C08">
        <w:rPr>
          <w:b/>
          <w:bCs/>
          <w:color w:val="0000FF"/>
          <w:sz w:val="22"/>
          <w:szCs w:val="22"/>
        </w:rPr>
        <w:t>1a.4.1</w:t>
      </w:r>
      <w:r w:rsidRPr="45CF7C08">
        <w:rPr>
          <w:color w:val="0070C0"/>
          <w:sz w:val="22"/>
          <w:szCs w:val="22"/>
        </w:rPr>
        <w:t xml:space="preserve"> </w:t>
      </w:r>
      <w:r w:rsidRPr="45CF7C08">
        <w:rPr>
          <w:b/>
          <w:bCs/>
          <w:sz w:val="22"/>
          <w:szCs w:val="22"/>
        </w:rPr>
        <w:t xml:space="preserve">Briefly SYNTHESIZE the evidence that supports the measure. </w:t>
      </w:r>
      <w:r w:rsidRPr="45CF7C08">
        <w:rPr>
          <w:sz w:val="22"/>
          <w:szCs w:val="22"/>
        </w:rPr>
        <w:t>A list of references without a summary is not acceptable.</w:t>
      </w:r>
    </w:p>
    <w:p w14:paraId="30F5E5F9" w14:textId="77777777" w:rsidR="000E5C93" w:rsidRPr="008642F5" w:rsidRDefault="000E5C93" w:rsidP="008642F5">
      <w:pPr>
        <w:jc w:val="both"/>
        <w:rPr>
          <w:b/>
          <w:sz w:val="22"/>
          <w:szCs w:val="22"/>
        </w:rPr>
      </w:pPr>
    </w:p>
    <w:p w14:paraId="30F5E5FA" w14:textId="77777777" w:rsidR="00837121" w:rsidRPr="008642F5" w:rsidRDefault="45CF7C08" w:rsidP="45CF7C08">
      <w:pPr>
        <w:jc w:val="both"/>
        <w:rPr>
          <w:sz w:val="22"/>
          <w:szCs w:val="22"/>
        </w:rPr>
      </w:pPr>
      <w:r w:rsidRPr="45CF7C08">
        <w:rPr>
          <w:b/>
          <w:bCs/>
          <w:color w:val="530AFF"/>
          <w:sz w:val="22"/>
          <w:szCs w:val="22"/>
        </w:rPr>
        <w:t>1a.4.2</w:t>
      </w:r>
      <w:r w:rsidRPr="45CF7C08">
        <w:rPr>
          <w:b/>
          <w:bCs/>
          <w:color w:val="244061"/>
          <w:sz w:val="22"/>
          <w:szCs w:val="22"/>
        </w:rPr>
        <w:t xml:space="preserve"> </w:t>
      </w:r>
      <w:r w:rsidRPr="45CF7C08">
        <w:rPr>
          <w:b/>
          <w:bCs/>
          <w:sz w:val="22"/>
          <w:szCs w:val="22"/>
        </w:rPr>
        <w:t>What process was used to identify the evidence?</w:t>
      </w:r>
    </w:p>
    <w:p w14:paraId="30F5E5FB" w14:textId="77777777" w:rsidR="00837121" w:rsidRPr="008642F5" w:rsidRDefault="00837121" w:rsidP="008642F5">
      <w:pPr>
        <w:jc w:val="both"/>
        <w:rPr>
          <w:sz w:val="22"/>
          <w:szCs w:val="22"/>
        </w:rPr>
      </w:pPr>
    </w:p>
    <w:p w14:paraId="30F5E5FC" w14:textId="77777777" w:rsidR="00837121" w:rsidRPr="008642F5" w:rsidRDefault="45CF7C08" w:rsidP="45CF7C08">
      <w:pPr>
        <w:jc w:val="both"/>
        <w:rPr>
          <w:b/>
          <w:bCs/>
          <w:sz w:val="22"/>
          <w:szCs w:val="22"/>
        </w:rPr>
      </w:pPr>
      <w:r w:rsidRPr="45CF7C08">
        <w:rPr>
          <w:b/>
          <w:bCs/>
          <w:color w:val="0000FF"/>
          <w:sz w:val="22"/>
          <w:szCs w:val="22"/>
        </w:rPr>
        <w:t>1a.4.3.</w:t>
      </w:r>
      <w:r w:rsidRPr="45CF7C08">
        <w:rPr>
          <w:color w:val="0070C0"/>
          <w:sz w:val="22"/>
          <w:szCs w:val="22"/>
        </w:rPr>
        <w:t xml:space="preserve"> </w:t>
      </w:r>
      <w:r w:rsidRPr="45CF7C08">
        <w:rPr>
          <w:b/>
          <w:bCs/>
          <w:sz w:val="22"/>
          <w:szCs w:val="22"/>
        </w:rPr>
        <w:t>Provide the citation(s) for the evidence.</w:t>
      </w:r>
    </w:p>
    <w:p w14:paraId="132FE4AF" w14:textId="36F98346" w:rsidR="005B7B3D" w:rsidRPr="008642F5" w:rsidRDefault="005B7B3D" w:rsidP="008642F5">
      <w:pPr>
        <w:tabs>
          <w:tab w:val="left" w:pos="2166"/>
        </w:tabs>
        <w:rPr>
          <w:sz w:val="16"/>
          <w:szCs w:val="16"/>
        </w:rPr>
      </w:pPr>
    </w:p>
    <w:sectPr w:rsidR="005B7B3D" w:rsidRPr="008642F5" w:rsidSect="006E1C9E">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39281" w14:textId="77777777" w:rsidR="003C033A" w:rsidRDefault="003C033A" w:rsidP="007E37A5">
      <w:r>
        <w:separator/>
      </w:r>
    </w:p>
  </w:endnote>
  <w:endnote w:type="continuationSeparator" w:id="0">
    <w:p w14:paraId="0352CD23" w14:textId="77777777" w:rsidR="003C033A" w:rsidRDefault="003C033A" w:rsidP="007E37A5">
      <w:r>
        <w:continuationSeparator/>
      </w:r>
    </w:p>
  </w:endnote>
  <w:endnote w:type="continuationNotice" w:id="1">
    <w:p w14:paraId="4BFD9BAC" w14:textId="77777777" w:rsidR="003C033A" w:rsidRDefault="003C0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C048E" w14:textId="77777777" w:rsidR="008F6CCB" w:rsidRDefault="008F6CCB" w:rsidP="007C448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902799" w14:textId="77777777" w:rsidR="008F6CCB" w:rsidRDefault="008F6CCB" w:rsidP="008642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78B9B" w14:textId="77777777" w:rsidR="008F6CCB" w:rsidRDefault="008F6CCB" w:rsidP="007C448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3CA0">
      <w:rPr>
        <w:rStyle w:val="PageNumber"/>
        <w:noProof/>
      </w:rPr>
      <w:t>1</w:t>
    </w:r>
    <w:r>
      <w:rPr>
        <w:rStyle w:val="PageNumber"/>
      </w:rPr>
      <w:fldChar w:fldCharType="end"/>
    </w:r>
  </w:p>
  <w:p w14:paraId="28DF12D0" w14:textId="66EC69BF" w:rsidR="008F6CCB" w:rsidRDefault="45CF7C08" w:rsidP="008642F5">
    <w:pPr>
      <w:pStyle w:val="Footer"/>
      <w:ind w:right="360"/>
    </w:pPr>
    <w:r>
      <w:t>Version 7.1  9/6/17</w:t>
    </w:r>
  </w:p>
  <w:p w14:paraId="30F5E602" w14:textId="12001981" w:rsidR="008F6CCB" w:rsidRDefault="008F6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506E5" w14:textId="77777777" w:rsidR="008F5BD8" w:rsidRDefault="008F5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F7286" w14:textId="77777777" w:rsidR="003C033A" w:rsidRDefault="003C033A" w:rsidP="007E37A5">
      <w:r>
        <w:separator/>
      </w:r>
    </w:p>
  </w:footnote>
  <w:footnote w:type="continuationSeparator" w:id="0">
    <w:p w14:paraId="53DF91B5" w14:textId="77777777" w:rsidR="003C033A" w:rsidRDefault="003C033A" w:rsidP="007E37A5">
      <w:r>
        <w:continuationSeparator/>
      </w:r>
    </w:p>
  </w:footnote>
  <w:footnote w:type="continuationNotice" w:id="1">
    <w:p w14:paraId="0231847E" w14:textId="77777777" w:rsidR="003C033A" w:rsidRDefault="003C03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68FC0" w14:textId="664B773C" w:rsidR="008F5BD8" w:rsidRDefault="008F5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5E601" w14:textId="782A1A5A" w:rsidR="008F6CCB" w:rsidRDefault="008F6CCB" w:rsidP="007E37A5">
    <w:pPr>
      <w:pStyle w:val="Header"/>
      <w:ind w:left="0"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B82BB" w14:textId="444D5890" w:rsidR="008F5BD8" w:rsidRDefault="008F5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9898A55C"/>
    <w:lvl w:ilvl="0" w:tplc="6ACC8C7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8D94F77"/>
    <w:multiLevelType w:val="hybridMultilevel"/>
    <w:tmpl w:val="95462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E8C4752"/>
    <w:multiLevelType w:val="hybridMultilevel"/>
    <w:tmpl w:val="63BA5B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0454F67"/>
    <w:multiLevelType w:val="hybridMultilevel"/>
    <w:tmpl w:val="007E2B06"/>
    <w:lvl w:ilvl="0" w:tplc="D50269A8">
      <w:start w:val="1"/>
      <w:numFmt w:val="bullet"/>
      <w:lvlText w:val=""/>
      <w:lvlJc w:val="left"/>
      <w:pPr>
        <w:ind w:left="360" w:hanging="360"/>
      </w:pPr>
      <w:rPr>
        <w:rFonts w:ascii="Symbol" w:hAnsi="Symbol" w:hint="default"/>
        <w:color w:val="FF00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01424B"/>
    <w:multiLevelType w:val="multilevel"/>
    <w:tmpl w:val="163ECD78"/>
    <w:lvl w:ilvl="0">
      <w:start w:val="1"/>
      <w:numFmt w:val="upp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89B1E86"/>
    <w:multiLevelType w:val="hybridMultilevel"/>
    <w:tmpl w:val="79AE8AAA"/>
    <w:lvl w:ilvl="0" w:tplc="348A0AA6">
      <w:start w:val="1"/>
      <w:numFmt w:val="bullet"/>
      <w:lvlText w:val=""/>
      <w:lvlJc w:val="left"/>
      <w:pPr>
        <w:ind w:left="339" w:hanging="360"/>
      </w:pPr>
      <w:rPr>
        <w:rFonts w:ascii="Symbol" w:hAnsi="Symbol" w:hint="default"/>
        <w:color w:val="0070C0"/>
        <w:sz w:val="22"/>
        <w:szCs w:val="22"/>
      </w:rPr>
    </w:lvl>
    <w:lvl w:ilvl="1" w:tplc="04090003" w:tentative="1">
      <w:start w:val="1"/>
      <w:numFmt w:val="bullet"/>
      <w:lvlText w:val="o"/>
      <w:lvlJc w:val="left"/>
      <w:pPr>
        <w:ind w:left="1419" w:hanging="360"/>
      </w:pPr>
      <w:rPr>
        <w:rFonts w:ascii="Courier New" w:hAnsi="Courier New" w:cs="Courier New" w:hint="default"/>
      </w:rPr>
    </w:lvl>
    <w:lvl w:ilvl="2" w:tplc="04090005" w:tentative="1">
      <w:start w:val="1"/>
      <w:numFmt w:val="bullet"/>
      <w:lvlText w:val=""/>
      <w:lvlJc w:val="left"/>
      <w:pPr>
        <w:ind w:left="2139" w:hanging="360"/>
      </w:pPr>
      <w:rPr>
        <w:rFonts w:ascii="Wingdings" w:hAnsi="Wingdings" w:hint="default"/>
      </w:rPr>
    </w:lvl>
    <w:lvl w:ilvl="3" w:tplc="04090001" w:tentative="1">
      <w:start w:val="1"/>
      <w:numFmt w:val="bullet"/>
      <w:lvlText w:val=""/>
      <w:lvlJc w:val="left"/>
      <w:pPr>
        <w:ind w:left="2859" w:hanging="360"/>
      </w:pPr>
      <w:rPr>
        <w:rFonts w:ascii="Symbol" w:hAnsi="Symbol" w:hint="default"/>
      </w:rPr>
    </w:lvl>
    <w:lvl w:ilvl="4" w:tplc="04090003" w:tentative="1">
      <w:start w:val="1"/>
      <w:numFmt w:val="bullet"/>
      <w:lvlText w:val="o"/>
      <w:lvlJc w:val="left"/>
      <w:pPr>
        <w:ind w:left="3579" w:hanging="360"/>
      </w:pPr>
      <w:rPr>
        <w:rFonts w:ascii="Courier New" w:hAnsi="Courier New" w:cs="Courier New" w:hint="default"/>
      </w:rPr>
    </w:lvl>
    <w:lvl w:ilvl="5" w:tplc="04090005" w:tentative="1">
      <w:start w:val="1"/>
      <w:numFmt w:val="bullet"/>
      <w:lvlText w:val=""/>
      <w:lvlJc w:val="left"/>
      <w:pPr>
        <w:ind w:left="4299" w:hanging="360"/>
      </w:pPr>
      <w:rPr>
        <w:rFonts w:ascii="Wingdings" w:hAnsi="Wingdings" w:hint="default"/>
      </w:rPr>
    </w:lvl>
    <w:lvl w:ilvl="6" w:tplc="04090001" w:tentative="1">
      <w:start w:val="1"/>
      <w:numFmt w:val="bullet"/>
      <w:lvlText w:val=""/>
      <w:lvlJc w:val="left"/>
      <w:pPr>
        <w:ind w:left="5019" w:hanging="360"/>
      </w:pPr>
      <w:rPr>
        <w:rFonts w:ascii="Symbol" w:hAnsi="Symbol" w:hint="default"/>
      </w:rPr>
    </w:lvl>
    <w:lvl w:ilvl="7" w:tplc="04090003" w:tentative="1">
      <w:start w:val="1"/>
      <w:numFmt w:val="bullet"/>
      <w:lvlText w:val="o"/>
      <w:lvlJc w:val="left"/>
      <w:pPr>
        <w:ind w:left="5739" w:hanging="360"/>
      </w:pPr>
      <w:rPr>
        <w:rFonts w:ascii="Courier New" w:hAnsi="Courier New" w:cs="Courier New" w:hint="default"/>
      </w:rPr>
    </w:lvl>
    <w:lvl w:ilvl="8" w:tplc="04090005" w:tentative="1">
      <w:start w:val="1"/>
      <w:numFmt w:val="bullet"/>
      <w:lvlText w:val=""/>
      <w:lvlJc w:val="left"/>
      <w:pPr>
        <w:ind w:left="6459" w:hanging="360"/>
      </w:pPr>
      <w:rPr>
        <w:rFonts w:ascii="Wingdings" w:hAnsi="Wingdings" w:hint="default"/>
      </w:rPr>
    </w:lvl>
  </w:abstractNum>
  <w:abstractNum w:abstractNumId="11" w15:restartNumberingAfterBreak="0">
    <w:nsid w:val="4C0364E5"/>
    <w:multiLevelType w:val="hybridMultilevel"/>
    <w:tmpl w:val="F7AAC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8D1252"/>
    <w:multiLevelType w:val="hybridMultilevel"/>
    <w:tmpl w:val="03BA6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431576"/>
    <w:multiLevelType w:val="hybridMultilevel"/>
    <w:tmpl w:val="8FD44838"/>
    <w:lvl w:ilvl="0" w:tplc="0636B9CE">
      <w:start w:val="1"/>
      <w:numFmt w:val="bullet"/>
      <w:lvlText w:val=""/>
      <w:lvlJc w:val="left"/>
      <w:pPr>
        <w:ind w:left="360" w:hanging="360"/>
      </w:pPr>
      <w:rPr>
        <w:rFonts w:ascii="Symbol" w:hAnsi="Symbol" w:hint="default"/>
        <w:color w:val="0070C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6B710F"/>
    <w:multiLevelType w:val="hybridMultilevel"/>
    <w:tmpl w:val="1DF81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D80BA6"/>
    <w:multiLevelType w:val="hybridMultilevel"/>
    <w:tmpl w:val="2B0A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9C0207"/>
    <w:multiLevelType w:val="hybridMultilevel"/>
    <w:tmpl w:val="97E83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87893"/>
    <w:multiLevelType w:val="multilevel"/>
    <w:tmpl w:val="97E830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FA3729"/>
    <w:multiLevelType w:val="multilevel"/>
    <w:tmpl w:val="DA2EB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E21B75"/>
    <w:multiLevelType w:val="hybridMultilevel"/>
    <w:tmpl w:val="487293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50F11DF"/>
    <w:multiLevelType w:val="hybridMultilevel"/>
    <w:tmpl w:val="17D0046C"/>
    <w:lvl w:ilvl="0" w:tplc="E2AEBA6E">
      <w:start w:val="1"/>
      <w:numFmt w:val="bullet"/>
      <w:lvlText w:val=""/>
      <w:lvlJc w:val="left"/>
      <w:pPr>
        <w:ind w:left="720" w:hanging="360"/>
      </w:pPr>
      <w:rPr>
        <w:rFonts w:ascii="Symbol" w:hAnsi="Symbol" w:hint="default"/>
        <w:color w:val="000000" w:themeColor="text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7930BE"/>
    <w:multiLevelType w:val="multilevel"/>
    <w:tmpl w:val="97E830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
  </w:num>
  <w:num w:numId="4">
    <w:abstractNumId w:val="3"/>
  </w:num>
  <w:num w:numId="5">
    <w:abstractNumId w:val="5"/>
  </w:num>
  <w:num w:numId="6">
    <w:abstractNumId w:val="4"/>
  </w:num>
  <w:num w:numId="7">
    <w:abstractNumId w:val="21"/>
  </w:num>
  <w:num w:numId="8">
    <w:abstractNumId w:val="20"/>
  </w:num>
  <w:num w:numId="9">
    <w:abstractNumId w:val="23"/>
  </w:num>
  <w:num w:numId="10">
    <w:abstractNumId w:val="0"/>
  </w:num>
  <w:num w:numId="11">
    <w:abstractNumId w:val="17"/>
  </w:num>
  <w:num w:numId="12">
    <w:abstractNumId w:val="24"/>
  </w:num>
  <w:num w:numId="13">
    <w:abstractNumId w:val="18"/>
  </w:num>
  <w:num w:numId="14">
    <w:abstractNumId w:val="19"/>
  </w:num>
  <w:num w:numId="15">
    <w:abstractNumId w:val="7"/>
  </w:num>
  <w:num w:numId="16">
    <w:abstractNumId w:val="22"/>
  </w:num>
  <w:num w:numId="17">
    <w:abstractNumId w:val="12"/>
  </w:num>
  <w:num w:numId="18">
    <w:abstractNumId w:val="13"/>
  </w:num>
  <w:num w:numId="19">
    <w:abstractNumId w:val="10"/>
  </w:num>
  <w:num w:numId="20">
    <w:abstractNumId w:val="8"/>
  </w:num>
  <w:num w:numId="21">
    <w:abstractNumId w:val="15"/>
  </w:num>
  <w:num w:numId="22">
    <w:abstractNumId w:val="2"/>
  </w:num>
  <w:num w:numId="23">
    <w:abstractNumId w:val="14"/>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01ED4"/>
    <w:rsid w:val="00003C5A"/>
    <w:rsid w:val="000042AF"/>
    <w:rsid w:val="00005688"/>
    <w:rsid w:val="000063CA"/>
    <w:rsid w:val="00015986"/>
    <w:rsid w:val="000160E6"/>
    <w:rsid w:val="00017C28"/>
    <w:rsid w:val="00024526"/>
    <w:rsid w:val="00026FFF"/>
    <w:rsid w:val="0003063E"/>
    <w:rsid w:val="00030F43"/>
    <w:rsid w:val="0003161E"/>
    <w:rsid w:val="00031801"/>
    <w:rsid w:val="00032972"/>
    <w:rsid w:val="0003439B"/>
    <w:rsid w:val="00034DAE"/>
    <w:rsid w:val="00035A85"/>
    <w:rsid w:val="000370D4"/>
    <w:rsid w:val="00040DCF"/>
    <w:rsid w:val="00041548"/>
    <w:rsid w:val="00045912"/>
    <w:rsid w:val="00046BE3"/>
    <w:rsid w:val="000502D8"/>
    <w:rsid w:val="0005031C"/>
    <w:rsid w:val="00052C0B"/>
    <w:rsid w:val="00055F11"/>
    <w:rsid w:val="0006017E"/>
    <w:rsid w:val="000618FF"/>
    <w:rsid w:val="00061CF3"/>
    <w:rsid w:val="00063601"/>
    <w:rsid w:val="0006676A"/>
    <w:rsid w:val="00070A31"/>
    <w:rsid w:val="00071358"/>
    <w:rsid w:val="00072801"/>
    <w:rsid w:val="00073079"/>
    <w:rsid w:val="00073A34"/>
    <w:rsid w:val="0007593F"/>
    <w:rsid w:val="0008100A"/>
    <w:rsid w:val="00087D6F"/>
    <w:rsid w:val="00094193"/>
    <w:rsid w:val="0009446C"/>
    <w:rsid w:val="00095175"/>
    <w:rsid w:val="00095EC9"/>
    <w:rsid w:val="00096A37"/>
    <w:rsid w:val="000A0810"/>
    <w:rsid w:val="000A0F94"/>
    <w:rsid w:val="000A2402"/>
    <w:rsid w:val="000A5EA5"/>
    <w:rsid w:val="000B0D0C"/>
    <w:rsid w:val="000B1935"/>
    <w:rsid w:val="000B627F"/>
    <w:rsid w:val="000C1CA5"/>
    <w:rsid w:val="000C35B8"/>
    <w:rsid w:val="000C5BC8"/>
    <w:rsid w:val="000C67E8"/>
    <w:rsid w:val="000C6B52"/>
    <w:rsid w:val="000D0C2B"/>
    <w:rsid w:val="000D119F"/>
    <w:rsid w:val="000D11B7"/>
    <w:rsid w:val="000D2006"/>
    <w:rsid w:val="000D2031"/>
    <w:rsid w:val="000D24C3"/>
    <w:rsid w:val="000D330B"/>
    <w:rsid w:val="000D478D"/>
    <w:rsid w:val="000D6232"/>
    <w:rsid w:val="000D649E"/>
    <w:rsid w:val="000D6D06"/>
    <w:rsid w:val="000D6D29"/>
    <w:rsid w:val="000E34A0"/>
    <w:rsid w:val="000E5C93"/>
    <w:rsid w:val="000F2C0C"/>
    <w:rsid w:val="000F2DA6"/>
    <w:rsid w:val="000F3429"/>
    <w:rsid w:val="000F4A7F"/>
    <w:rsid w:val="000F52BE"/>
    <w:rsid w:val="000F5C30"/>
    <w:rsid w:val="000F64EA"/>
    <w:rsid w:val="0010032F"/>
    <w:rsid w:val="00102030"/>
    <w:rsid w:val="001079E0"/>
    <w:rsid w:val="001100AF"/>
    <w:rsid w:val="00110573"/>
    <w:rsid w:val="00110B4A"/>
    <w:rsid w:val="001131CF"/>
    <w:rsid w:val="00113F04"/>
    <w:rsid w:val="00114848"/>
    <w:rsid w:val="001166CB"/>
    <w:rsid w:val="00116AB0"/>
    <w:rsid w:val="0011794E"/>
    <w:rsid w:val="00117D06"/>
    <w:rsid w:val="00120934"/>
    <w:rsid w:val="001218BD"/>
    <w:rsid w:val="00123379"/>
    <w:rsid w:val="0012646E"/>
    <w:rsid w:val="001305ED"/>
    <w:rsid w:val="00131188"/>
    <w:rsid w:val="00132070"/>
    <w:rsid w:val="00135445"/>
    <w:rsid w:val="00137294"/>
    <w:rsid w:val="0013779E"/>
    <w:rsid w:val="00141875"/>
    <w:rsid w:val="00141939"/>
    <w:rsid w:val="00141D85"/>
    <w:rsid w:val="0014347E"/>
    <w:rsid w:val="001450F4"/>
    <w:rsid w:val="00146460"/>
    <w:rsid w:val="00146FCA"/>
    <w:rsid w:val="001474A9"/>
    <w:rsid w:val="00147F11"/>
    <w:rsid w:val="00153AE7"/>
    <w:rsid w:val="00154438"/>
    <w:rsid w:val="001551F6"/>
    <w:rsid w:val="0015535B"/>
    <w:rsid w:val="00156B2B"/>
    <w:rsid w:val="00162036"/>
    <w:rsid w:val="001632DD"/>
    <w:rsid w:val="001633AB"/>
    <w:rsid w:val="00163FF3"/>
    <w:rsid w:val="001651D7"/>
    <w:rsid w:val="001675EE"/>
    <w:rsid w:val="00167DC2"/>
    <w:rsid w:val="00171FE5"/>
    <w:rsid w:val="001727CB"/>
    <w:rsid w:val="001744AD"/>
    <w:rsid w:val="00176E60"/>
    <w:rsid w:val="00181776"/>
    <w:rsid w:val="00181C16"/>
    <w:rsid w:val="0018255A"/>
    <w:rsid w:val="001866A7"/>
    <w:rsid w:val="00187B28"/>
    <w:rsid w:val="00192623"/>
    <w:rsid w:val="001931C5"/>
    <w:rsid w:val="00194D9A"/>
    <w:rsid w:val="0019571E"/>
    <w:rsid w:val="001A196B"/>
    <w:rsid w:val="001A1FDE"/>
    <w:rsid w:val="001A64E9"/>
    <w:rsid w:val="001A6D05"/>
    <w:rsid w:val="001B009A"/>
    <w:rsid w:val="001B0355"/>
    <w:rsid w:val="001B0B3B"/>
    <w:rsid w:val="001B0CFD"/>
    <w:rsid w:val="001B18FF"/>
    <w:rsid w:val="001B1DDE"/>
    <w:rsid w:val="001B2571"/>
    <w:rsid w:val="001B38BF"/>
    <w:rsid w:val="001B3E8E"/>
    <w:rsid w:val="001B772D"/>
    <w:rsid w:val="001C0160"/>
    <w:rsid w:val="001C1B8A"/>
    <w:rsid w:val="001C1E39"/>
    <w:rsid w:val="001C33E7"/>
    <w:rsid w:val="001C464A"/>
    <w:rsid w:val="001C69F0"/>
    <w:rsid w:val="001C7B02"/>
    <w:rsid w:val="001D1567"/>
    <w:rsid w:val="001D3CB8"/>
    <w:rsid w:val="001D515F"/>
    <w:rsid w:val="001D5B5D"/>
    <w:rsid w:val="001E0EB3"/>
    <w:rsid w:val="001E1BCA"/>
    <w:rsid w:val="001E23B7"/>
    <w:rsid w:val="001E2F2C"/>
    <w:rsid w:val="001E30C8"/>
    <w:rsid w:val="001E3AB6"/>
    <w:rsid w:val="001E4F22"/>
    <w:rsid w:val="001E5236"/>
    <w:rsid w:val="001E6153"/>
    <w:rsid w:val="001F32DC"/>
    <w:rsid w:val="001F48CC"/>
    <w:rsid w:val="001F62B0"/>
    <w:rsid w:val="001F6700"/>
    <w:rsid w:val="00200C0F"/>
    <w:rsid w:val="0020181C"/>
    <w:rsid w:val="00201FF9"/>
    <w:rsid w:val="00203210"/>
    <w:rsid w:val="00203779"/>
    <w:rsid w:val="0020493D"/>
    <w:rsid w:val="00205857"/>
    <w:rsid w:val="00210A7D"/>
    <w:rsid w:val="002113AE"/>
    <w:rsid w:val="0021261F"/>
    <w:rsid w:val="00215C76"/>
    <w:rsid w:val="0022196F"/>
    <w:rsid w:val="00222077"/>
    <w:rsid w:val="00223572"/>
    <w:rsid w:val="00227968"/>
    <w:rsid w:val="00227EC5"/>
    <w:rsid w:val="00227F59"/>
    <w:rsid w:val="00231436"/>
    <w:rsid w:val="00231BC7"/>
    <w:rsid w:val="00235A97"/>
    <w:rsid w:val="00235ADC"/>
    <w:rsid w:val="00235BCA"/>
    <w:rsid w:val="00236020"/>
    <w:rsid w:val="00236F87"/>
    <w:rsid w:val="002401FF"/>
    <w:rsid w:val="002402C4"/>
    <w:rsid w:val="002402DF"/>
    <w:rsid w:val="00244889"/>
    <w:rsid w:val="00247513"/>
    <w:rsid w:val="00253245"/>
    <w:rsid w:val="00261CB7"/>
    <w:rsid w:val="00262540"/>
    <w:rsid w:val="00262857"/>
    <w:rsid w:val="002648E8"/>
    <w:rsid w:val="00265702"/>
    <w:rsid w:val="00265B9E"/>
    <w:rsid w:val="002662B2"/>
    <w:rsid w:val="002662B9"/>
    <w:rsid w:val="002717C7"/>
    <w:rsid w:val="00271862"/>
    <w:rsid w:val="0027287D"/>
    <w:rsid w:val="00272D27"/>
    <w:rsid w:val="00273418"/>
    <w:rsid w:val="0027425E"/>
    <w:rsid w:val="00274E7C"/>
    <w:rsid w:val="00275B20"/>
    <w:rsid w:val="00276C96"/>
    <w:rsid w:val="002777DC"/>
    <w:rsid w:val="00286114"/>
    <w:rsid w:val="002875E9"/>
    <w:rsid w:val="00287EB3"/>
    <w:rsid w:val="00291E72"/>
    <w:rsid w:val="002967B5"/>
    <w:rsid w:val="002A07E0"/>
    <w:rsid w:val="002A1764"/>
    <w:rsid w:val="002A1B61"/>
    <w:rsid w:val="002A313A"/>
    <w:rsid w:val="002A47BA"/>
    <w:rsid w:val="002A6777"/>
    <w:rsid w:val="002A6FF6"/>
    <w:rsid w:val="002A7729"/>
    <w:rsid w:val="002B06BD"/>
    <w:rsid w:val="002B0D21"/>
    <w:rsid w:val="002B2A92"/>
    <w:rsid w:val="002B2EE1"/>
    <w:rsid w:val="002B6533"/>
    <w:rsid w:val="002B7802"/>
    <w:rsid w:val="002C0731"/>
    <w:rsid w:val="002C0E48"/>
    <w:rsid w:val="002C171B"/>
    <w:rsid w:val="002C3894"/>
    <w:rsid w:val="002C6F04"/>
    <w:rsid w:val="002C7222"/>
    <w:rsid w:val="002D381A"/>
    <w:rsid w:val="002D4A62"/>
    <w:rsid w:val="002D4F8B"/>
    <w:rsid w:val="002E09D5"/>
    <w:rsid w:val="002E1157"/>
    <w:rsid w:val="002E2177"/>
    <w:rsid w:val="002E2E41"/>
    <w:rsid w:val="002E50CA"/>
    <w:rsid w:val="002E5F36"/>
    <w:rsid w:val="002E78CD"/>
    <w:rsid w:val="002F20A7"/>
    <w:rsid w:val="002F3174"/>
    <w:rsid w:val="002F5E5F"/>
    <w:rsid w:val="002F63F9"/>
    <w:rsid w:val="003008F4"/>
    <w:rsid w:val="00301E0E"/>
    <w:rsid w:val="00302B1D"/>
    <w:rsid w:val="0030529F"/>
    <w:rsid w:val="00307E90"/>
    <w:rsid w:val="00307FA5"/>
    <w:rsid w:val="003136B4"/>
    <w:rsid w:val="00314246"/>
    <w:rsid w:val="003162DE"/>
    <w:rsid w:val="0032158F"/>
    <w:rsid w:val="003225A5"/>
    <w:rsid w:val="003231EC"/>
    <w:rsid w:val="00323E8A"/>
    <w:rsid w:val="00323F36"/>
    <w:rsid w:val="00324D64"/>
    <w:rsid w:val="00325C17"/>
    <w:rsid w:val="00326E5F"/>
    <w:rsid w:val="00330F17"/>
    <w:rsid w:val="00331F8B"/>
    <w:rsid w:val="00331FF4"/>
    <w:rsid w:val="00334EC0"/>
    <w:rsid w:val="003375B1"/>
    <w:rsid w:val="00337F7F"/>
    <w:rsid w:val="00340144"/>
    <w:rsid w:val="0034286D"/>
    <w:rsid w:val="003443CD"/>
    <w:rsid w:val="00344690"/>
    <w:rsid w:val="003458A0"/>
    <w:rsid w:val="003459C3"/>
    <w:rsid w:val="00351FBC"/>
    <w:rsid w:val="00352528"/>
    <w:rsid w:val="00352B52"/>
    <w:rsid w:val="0035533A"/>
    <w:rsid w:val="00355E75"/>
    <w:rsid w:val="0035760D"/>
    <w:rsid w:val="0036071E"/>
    <w:rsid w:val="00361B48"/>
    <w:rsid w:val="00363ECC"/>
    <w:rsid w:val="00364CC4"/>
    <w:rsid w:val="00367D68"/>
    <w:rsid w:val="003700E7"/>
    <w:rsid w:val="00371655"/>
    <w:rsid w:val="00371E21"/>
    <w:rsid w:val="00373C86"/>
    <w:rsid w:val="00375A51"/>
    <w:rsid w:val="00380004"/>
    <w:rsid w:val="00382371"/>
    <w:rsid w:val="00384790"/>
    <w:rsid w:val="00384C13"/>
    <w:rsid w:val="00384C6B"/>
    <w:rsid w:val="003859E3"/>
    <w:rsid w:val="0039020B"/>
    <w:rsid w:val="0039195B"/>
    <w:rsid w:val="00392803"/>
    <w:rsid w:val="00392FFF"/>
    <w:rsid w:val="00395263"/>
    <w:rsid w:val="003956E0"/>
    <w:rsid w:val="0039609A"/>
    <w:rsid w:val="0039638F"/>
    <w:rsid w:val="003968DF"/>
    <w:rsid w:val="00397500"/>
    <w:rsid w:val="00397628"/>
    <w:rsid w:val="003A56CA"/>
    <w:rsid w:val="003A5E15"/>
    <w:rsid w:val="003B0A35"/>
    <w:rsid w:val="003B1CC5"/>
    <w:rsid w:val="003B1D0C"/>
    <w:rsid w:val="003B2A27"/>
    <w:rsid w:val="003B65CE"/>
    <w:rsid w:val="003C033A"/>
    <w:rsid w:val="003C17F9"/>
    <w:rsid w:val="003C2D28"/>
    <w:rsid w:val="003C32EA"/>
    <w:rsid w:val="003C33B7"/>
    <w:rsid w:val="003C5590"/>
    <w:rsid w:val="003D02CB"/>
    <w:rsid w:val="003D198B"/>
    <w:rsid w:val="003D341E"/>
    <w:rsid w:val="003E039E"/>
    <w:rsid w:val="003E13D7"/>
    <w:rsid w:val="003E2442"/>
    <w:rsid w:val="003E3197"/>
    <w:rsid w:val="003E4EED"/>
    <w:rsid w:val="003E5E8C"/>
    <w:rsid w:val="003E66CA"/>
    <w:rsid w:val="003F0243"/>
    <w:rsid w:val="003F0D98"/>
    <w:rsid w:val="003F1DF9"/>
    <w:rsid w:val="003F23C5"/>
    <w:rsid w:val="003F30E5"/>
    <w:rsid w:val="003F6C15"/>
    <w:rsid w:val="0040230E"/>
    <w:rsid w:val="00405719"/>
    <w:rsid w:val="0040674F"/>
    <w:rsid w:val="004143BF"/>
    <w:rsid w:val="0041468D"/>
    <w:rsid w:val="004152B6"/>
    <w:rsid w:val="00415A66"/>
    <w:rsid w:val="0041662F"/>
    <w:rsid w:val="00422917"/>
    <w:rsid w:val="00423C9A"/>
    <w:rsid w:val="00426404"/>
    <w:rsid w:val="00430225"/>
    <w:rsid w:val="004303A7"/>
    <w:rsid w:val="0043586E"/>
    <w:rsid w:val="00435C8A"/>
    <w:rsid w:val="00435FF0"/>
    <w:rsid w:val="004368DC"/>
    <w:rsid w:val="00440687"/>
    <w:rsid w:val="0044131D"/>
    <w:rsid w:val="00441ADA"/>
    <w:rsid w:val="00442EBD"/>
    <w:rsid w:val="004469DC"/>
    <w:rsid w:val="00447403"/>
    <w:rsid w:val="004512F6"/>
    <w:rsid w:val="004541CB"/>
    <w:rsid w:val="00457E46"/>
    <w:rsid w:val="00461B19"/>
    <w:rsid w:val="00464357"/>
    <w:rsid w:val="00467726"/>
    <w:rsid w:val="00470512"/>
    <w:rsid w:val="0047173A"/>
    <w:rsid w:val="00471B95"/>
    <w:rsid w:val="0047365B"/>
    <w:rsid w:val="00475C77"/>
    <w:rsid w:val="00483554"/>
    <w:rsid w:val="0048439C"/>
    <w:rsid w:val="00485A3D"/>
    <w:rsid w:val="00487325"/>
    <w:rsid w:val="00490B77"/>
    <w:rsid w:val="00490BBF"/>
    <w:rsid w:val="00491A13"/>
    <w:rsid w:val="00492E01"/>
    <w:rsid w:val="004931D0"/>
    <w:rsid w:val="00495CE3"/>
    <w:rsid w:val="0049656B"/>
    <w:rsid w:val="00496AF8"/>
    <w:rsid w:val="004971C2"/>
    <w:rsid w:val="0049736C"/>
    <w:rsid w:val="004A09BE"/>
    <w:rsid w:val="004A0A16"/>
    <w:rsid w:val="004A0AA4"/>
    <w:rsid w:val="004A0DA8"/>
    <w:rsid w:val="004A3E3C"/>
    <w:rsid w:val="004A575D"/>
    <w:rsid w:val="004A5EB8"/>
    <w:rsid w:val="004B12E6"/>
    <w:rsid w:val="004B183B"/>
    <w:rsid w:val="004B1903"/>
    <w:rsid w:val="004B512C"/>
    <w:rsid w:val="004B65C6"/>
    <w:rsid w:val="004B7393"/>
    <w:rsid w:val="004C0F58"/>
    <w:rsid w:val="004C6702"/>
    <w:rsid w:val="004D0742"/>
    <w:rsid w:val="004D1451"/>
    <w:rsid w:val="004D1DC7"/>
    <w:rsid w:val="004D4212"/>
    <w:rsid w:val="004D4B6F"/>
    <w:rsid w:val="004D5A4B"/>
    <w:rsid w:val="004D5FFF"/>
    <w:rsid w:val="004E14A7"/>
    <w:rsid w:val="004E38C4"/>
    <w:rsid w:val="004E4D6C"/>
    <w:rsid w:val="004E5889"/>
    <w:rsid w:val="004E603D"/>
    <w:rsid w:val="004E7215"/>
    <w:rsid w:val="004E7898"/>
    <w:rsid w:val="004F012F"/>
    <w:rsid w:val="004F2483"/>
    <w:rsid w:val="004F2F91"/>
    <w:rsid w:val="004F7D7E"/>
    <w:rsid w:val="00500016"/>
    <w:rsid w:val="00500B0C"/>
    <w:rsid w:val="005024E2"/>
    <w:rsid w:val="00511EAE"/>
    <w:rsid w:val="00512CDC"/>
    <w:rsid w:val="00515E17"/>
    <w:rsid w:val="00523A5A"/>
    <w:rsid w:val="00523E39"/>
    <w:rsid w:val="00524982"/>
    <w:rsid w:val="005253B3"/>
    <w:rsid w:val="0052605F"/>
    <w:rsid w:val="0053271B"/>
    <w:rsid w:val="00533EC0"/>
    <w:rsid w:val="00534713"/>
    <w:rsid w:val="00535B0E"/>
    <w:rsid w:val="00537150"/>
    <w:rsid w:val="0053761F"/>
    <w:rsid w:val="005376C4"/>
    <w:rsid w:val="00540984"/>
    <w:rsid w:val="00543851"/>
    <w:rsid w:val="005476F4"/>
    <w:rsid w:val="005519BF"/>
    <w:rsid w:val="0055268F"/>
    <w:rsid w:val="0055355C"/>
    <w:rsid w:val="0055439D"/>
    <w:rsid w:val="005543DC"/>
    <w:rsid w:val="0055559D"/>
    <w:rsid w:val="005562AB"/>
    <w:rsid w:val="005569AE"/>
    <w:rsid w:val="005639E9"/>
    <w:rsid w:val="00564AA1"/>
    <w:rsid w:val="00565D02"/>
    <w:rsid w:val="0057174E"/>
    <w:rsid w:val="00573FCF"/>
    <w:rsid w:val="005747A8"/>
    <w:rsid w:val="00574FF8"/>
    <w:rsid w:val="00577F5A"/>
    <w:rsid w:val="0058073D"/>
    <w:rsid w:val="005857F8"/>
    <w:rsid w:val="00585BE3"/>
    <w:rsid w:val="00587AC7"/>
    <w:rsid w:val="00590CC9"/>
    <w:rsid w:val="00596748"/>
    <w:rsid w:val="0059681C"/>
    <w:rsid w:val="00597FD8"/>
    <w:rsid w:val="005A164D"/>
    <w:rsid w:val="005A5215"/>
    <w:rsid w:val="005A5886"/>
    <w:rsid w:val="005A5C19"/>
    <w:rsid w:val="005B0D18"/>
    <w:rsid w:val="005B12C3"/>
    <w:rsid w:val="005B3402"/>
    <w:rsid w:val="005B3682"/>
    <w:rsid w:val="005B3A1E"/>
    <w:rsid w:val="005B409D"/>
    <w:rsid w:val="005B59DE"/>
    <w:rsid w:val="005B5B8B"/>
    <w:rsid w:val="005B7B3D"/>
    <w:rsid w:val="005B7F47"/>
    <w:rsid w:val="005C0E2F"/>
    <w:rsid w:val="005C11F9"/>
    <w:rsid w:val="005C3EF9"/>
    <w:rsid w:val="005C4943"/>
    <w:rsid w:val="005C4C52"/>
    <w:rsid w:val="005C596F"/>
    <w:rsid w:val="005C5C3F"/>
    <w:rsid w:val="005D0FDB"/>
    <w:rsid w:val="005D25E9"/>
    <w:rsid w:val="005D29BA"/>
    <w:rsid w:val="005D2FA8"/>
    <w:rsid w:val="005D4037"/>
    <w:rsid w:val="005D4C65"/>
    <w:rsid w:val="005D54B1"/>
    <w:rsid w:val="005D6D59"/>
    <w:rsid w:val="005E3F82"/>
    <w:rsid w:val="005E54FA"/>
    <w:rsid w:val="005E6425"/>
    <w:rsid w:val="00601A99"/>
    <w:rsid w:val="00605966"/>
    <w:rsid w:val="0061017F"/>
    <w:rsid w:val="0061327A"/>
    <w:rsid w:val="00615DEF"/>
    <w:rsid w:val="00617390"/>
    <w:rsid w:val="00621E94"/>
    <w:rsid w:val="00622878"/>
    <w:rsid w:val="00622B37"/>
    <w:rsid w:val="00622C48"/>
    <w:rsid w:val="00623420"/>
    <w:rsid w:val="00625EFD"/>
    <w:rsid w:val="006277A6"/>
    <w:rsid w:val="006331A8"/>
    <w:rsid w:val="00634768"/>
    <w:rsid w:val="0063596F"/>
    <w:rsid w:val="00641B39"/>
    <w:rsid w:val="00645317"/>
    <w:rsid w:val="00654532"/>
    <w:rsid w:val="0066623E"/>
    <w:rsid w:val="00666921"/>
    <w:rsid w:val="006709EB"/>
    <w:rsid w:val="006724F9"/>
    <w:rsid w:val="00672824"/>
    <w:rsid w:val="0067519E"/>
    <w:rsid w:val="00676BD4"/>
    <w:rsid w:val="00680D68"/>
    <w:rsid w:val="0068184A"/>
    <w:rsid w:val="0068646B"/>
    <w:rsid w:val="006867F6"/>
    <w:rsid w:val="00687721"/>
    <w:rsid w:val="00690D8A"/>
    <w:rsid w:val="00694A90"/>
    <w:rsid w:val="006974A7"/>
    <w:rsid w:val="006A0249"/>
    <w:rsid w:val="006A0D0F"/>
    <w:rsid w:val="006A4A1D"/>
    <w:rsid w:val="006A7779"/>
    <w:rsid w:val="006B24FF"/>
    <w:rsid w:val="006B2931"/>
    <w:rsid w:val="006B5C51"/>
    <w:rsid w:val="006C0788"/>
    <w:rsid w:val="006C4891"/>
    <w:rsid w:val="006C757B"/>
    <w:rsid w:val="006C7F30"/>
    <w:rsid w:val="006D0CB4"/>
    <w:rsid w:val="006D43FF"/>
    <w:rsid w:val="006D45E4"/>
    <w:rsid w:val="006D62A0"/>
    <w:rsid w:val="006E0ACA"/>
    <w:rsid w:val="006E15A0"/>
    <w:rsid w:val="006E1C9E"/>
    <w:rsid w:val="006E28C1"/>
    <w:rsid w:val="006E3D91"/>
    <w:rsid w:val="006E4F69"/>
    <w:rsid w:val="006E6776"/>
    <w:rsid w:val="006E6FDD"/>
    <w:rsid w:val="006E7E5C"/>
    <w:rsid w:val="006F150D"/>
    <w:rsid w:val="006F3FCD"/>
    <w:rsid w:val="006F4616"/>
    <w:rsid w:val="006F4B7F"/>
    <w:rsid w:val="006F4E70"/>
    <w:rsid w:val="006F594C"/>
    <w:rsid w:val="006F760B"/>
    <w:rsid w:val="006F7D64"/>
    <w:rsid w:val="0070139F"/>
    <w:rsid w:val="00701CC3"/>
    <w:rsid w:val="007034E3"/>
    <w:rsid w:val="00703964"/>
    <w:rsid w:val="00704CD4"/>
    <w:rsid w:val="00705D12"/>
    <w:rsid w:val="007102C6"/>
    <w:rsid w:val="00712154"/>
    <w:rsid w:val="00712A97"/>
    <w:rsid w:val="00715D18"/>
    <w:rsid w:val="0071740A"/>
    <w:rsid w:val="00717F0E"/>
    <w:rsid w:val="007206EB"/>
    <w:rsid w:val="0072304A"/>
    <w:rsid w:val="00724801"/>
    <w:rsid w:val="00724850"/>
    <w:rsid w:val="007258A1"/>
    <w:rsid w:val="00725D27"/>
    <w:rsid w:val="0072610E"/>
    <w:rsid w:val="00727548"/>
    <w:rsid w:val="00730EC5"/>
    <w:rsid w:val="0073155C"/>
    <w:rsid w:val="00731833"/>
    <w:rsid w:val="0073359B"/>
    <w:rsid w:val="00733722"/>
    <w:rsid w:val="00733CF2"/>
    <w:rsid w:val="00734949"/>
    <w:rsid w:val="00734BF0"/>
    <w:rsid w:val="00736AEC"/>
    <w:rsid w:val="00736E0F"/>
    <w:rsid w:val="0074261E"/>
    <w:rsid w:val="007434FA"/>
    <w:rsid w:val="00744D26"/>
    <w:rsid w:val="007456A5"/>
    <w:rsid w:val="00745EB3"/>
    <w:rsid w:val="00745F52"/>
    <w:rsid w:val="00746846"/>
    <w:rsid w:val="00752720"/>
    <w:rsid w:val="00752754"/>
    <w:rsid w:val="00754871"/>
    <w:rsid w:val="00755389"/>
    <w:rsid w:val="0075696F"/>
    <w:rsid w:val="007573F0"/>
    <w:rsid w:val="00757938"/>
    <w:rsid w:val="00763830"/>
    <w:rsid w:val="00764C1A"/>
    <w:rsid w:val="00764FF1"/>
    <w:rsid w:val="00765156"/>
    <w:rsid w:val="00765884"/>
    <w:rsid w:val="0076617E"/>
    <w:rsid w:val="0076695E"/>
    <w:rsid w:val="00767669"/>
    <w:rsid w:val="00770785"/>
    <w:rsid w:val="007707B4"/>
    <w:rsid w:val="00772885"/>
    <w:rsid w:val="00773244"/>
    <w:rsid w:val="00773485"/>
    <w:rsid w:val="00774510"/>
    <w:rsid w:val="00775886"/>
    <w:rsid w:val="00775F68"/>
    <w:rsid w:val="007763F2"/>
    <w:rsid w:val="00776E8F"/>
    <w:rsid w:val="00776F6D"/>
    <w:rsid w:val="007821C1"/>
    <w:rsid w:val="007823B7"/>
    <w:rsid w:val="00784495"/>
    <w:rsid w:val="00787429"/>
    <w:rsid w:val="0078751F"/>
    <w:rsid w:val="00790C68"/>
    <w:rsid w:val="00793CA0"/>
    <w:rsid w:val="00795AA5"/>
    <w:rsid w:val="00795D00"/>
    <w:rsid w:val="00795E5F"/>
    <w:rsid w:val="00796656"/>
    <w:rsid w:val="007A1347"/>
    <w:rsid w:val="007A352B"/>
    <w:rsid w:val="007A4840"/>
    <w:rsid w:val="007A7F60"/>
    <w:rsid w:val="007B1F79"/>
    <w:rsid w:val="007B21D3"/>
    <w:rsid w:val="007B34A6"/>
    <w:rsid w:val="007B38F4"/>
    <w:rsid w:val="007B4F77"/>
    <w:rsid w:val="007B7610"/>
    <w:rsid w:val="007B7AEE"/>
    <w:rsid w:val="007C0297"/>
    <w:rsid w:val="007C0436"/>
    <w:rsid w:val="007C09E3"/>
    <w:rsid w:val="007C1887"/>
    <w:rsid w:val="007C4483"/>
    <w:rsid w:val="007C4537"/>
    <w:rsid w:val="007C57A1"/>
    <w:rsid w:val="007C6620"/>
    <w:rsid w:val="007D4067"/>
    <w:rsid w:val="007D4775"/>
    <w:rsid w:val="007D48A7"/>
    <w:rsid w:val="007D5DC6"/>
    <w:rsid w:val="007D66B4"/>
    <w:rsid w:val="007D7E60"/>
    <w:rsid w:val="007E2078"/>
    <w:rsid w:val="007E37A5"/>
    <w:rsid w:val="007E4AF6"/>
    <w:rsid w:val="007F47D8"/>
    <w:rsid w:val="007F49D8"/>
    <w:rsid w:val="007F4AEE"/>
    <w:rsid w:val="00802778"/>
    <w:rsid w:val="008032AB"/>
    <w:rsid w:val="00804BF7"/>
    <w:rsid w:val="008058CB"/>
    <w:rsid w:val="00805940"/>
    <w:rsid w:val="00812964"/>
    <w:rsid w:val="008136A5"/>
    <w:rsid w:val="00814F5A"/>
    <w:rsid w:val="0081599C"/>
    <w:rsid w:val="00815A57"/>
    <w:rsid w:val="00816FCB"/>
    <w:rsid w:val="008175BD"/>
    <w:rsid w:val="00817747"/>
    <w:rsid w:val="00817F9F"/>
    <w:rsid w:val="008203FD"/>
    <w:rsid w:val="008212F8"/>
    <w:rsid w:val="00821B70"/>
    <w:rsid w:val="00832BB5"/>
    <w:rsid w:val="0083443F"/>
    <w:rsid w:val="00834702"/>
    <w:rsid w:val="00834F95"/>
    <w:rsid w:val="00836622"/>
    <w:rsid w:val="00837121"/>
    <w:rsid w:val="008434AF"/>
    <w:rsid w:val="00845AE6"/>
    <w:rsid w:val="008471E5"/>
    <w:rsid w:val="008475FF"/>
    <w:rsid w:val="00850C35"/>
    <w:rsid w:val="008510EC"/>
    <w:rsid w:val="00851466"/>
    <w:rsid w:val="00852B8C"/>
    <w:rsid w:val="00854A53"/>
    <w:rsid w:val="008554EE"/>
    <w:rsid w:val="00856057"/>
    <w:rsid w:val="00857C41"/>
    <w:rsid w:val="008611CE"/>
    <w:rsid w:val="008625D6"/>
    <w:rsid w:val="0086279E"/>
    <w:rsid w:val="00862E7D"/>
    <w:rsid w:val="00863E43"/>
    <w:rsid w:val="008642F5"/>
    <w:rsid w:val="008647C3"/>
    <w:rsid w:val="008659ED"/>
    <w:rsid w:val="00870987"/>
    <w:rsid w:val="00870D3E"/>
    <w:rsid w:val="00873B54"/>
    <w:rsid w:val="0087534C"/>
    <w:rsid w:val="008754A4"/>
    <w:rsid w:val="0087564A"/>
    <w:rsid w:val="00880B32"/>
    <w:rsid w:val="00881160"/>
    <w:rsid w:val="0088371C"/>
    <w:rsid w:val="008856C6"/>
    <w:rsid w:val="00886AFF"/>
    <w:rsid w:val="00890D45"/>
    <w:rsid w:val="00891DFA"/>
    <w:rsid w:val="00892414"/>
    <w:rsid w:val="0089268D"/>
    <w:rsid w:val="00892B07"/>
    <w:rsid w:val="00892F71"/>
    <w:rsid w:val="008939B5"/>
    <w:rsid w:val="00893F10"/>
    <w:rsid w:val="008958EC"/>
    <w:rsid w:val="00896BCB"/>
    <w:rsid w:val="008A00D7"/>
    <w:rsid w:val="008A11ED"/>
    <w:rsid w:val="008A3F42"/>
    <w:rsid w:val="008A4151"/>
    <w:rsid w:val="008A45F3"/>
    <w:rsid w:val="008A7025"/>
    <w:rsid w:val="008B0706"/>
    <w:rsid w:val="008B51D9"/>
    <w:rsid w:val="008B57DB"/>
    <w:rsid w:val="008B652E"/>
    <w:rsid w:val="008B720F"/>
    <w:rsid w:val="008C01CA"/>
    <w:rsid w:val="008C2FB8"/>
    <w:rsid w:val="008C43D4"/>
    <w:rsid w:val="008C7557"/>
    <w:rsid w:val="008D1C65"/>
    <w:rsid w:val="008D4C63"/>
    <w:rsid w:val="008D61B8"/>
    <w:rsid w:val="008E150A"/>
    <w:rsid w:val="008E1574"/>
    <w:rsid w:val="008E238A"/>
    <w:rsid w:val="008E26C0"/>
    <w:rsid w:val="008E4052"/>
    <w:rsid w:val="008E4EB1"/>
    <w:rsid w:val="008F00F3"/>
    <w:rsid w:val="008F0CB9"/>
    <w:rsid w:val="008F1DC6"/>
    <w:rsid w:val="008F3353"/>
    <w:rsid w:val="008F5BD8"/>
    <w:rsid w:val="008F6CCB"/>
    <w:rsid w:val="008F6E02"/>
    <w:rsid w:val="00900F1F"/>
    <w:rsid w:val="009032E5"/>
    <w:rsid w:val="00903C38"/>
    <w:rsid w:val="009050FA"/>
    <w:rsid w:val="00905C5B"/>
    <w:rsid w:val="00906F4F"/>
    <w:rsid w:val="00911D66"/>
    <w:rsid w:val="00915950"/>
    <w:rsid w:val="00923295"/>
    <w:rsid w:val="009232A9"/>
    <w:rsid w:val="00924359"/>
    <w:rsid w:val="00925F11"/>
    <w:rsid w:val="00926199"/>
    <w:rsid w:val="009279EA"/>
    <w:rsid w:val="0093188A"/>
    <w:rsid w:val="009332B6"/>
    <w:rsid w:val="0093410A"/>
    <w:rsid w:val="00935265"/>
    <w:rsid w:val="00940850"/>
    <w:rsid w:val="00941F16"/>
    <w:rsid w:val="0094235F"/>
    <w:rsid w:val="009429BB"/>
    <w:rsid w:val="0094689F"/>
    <w:rsid w:val="00946C2C"/>
    <w:rsid w:val="009477D6"/>
    <w:rsid w:val="00947E67"/>
    <w:rsid w:val="00952C07"/>
    <w:rsid w:val="009533A9"/>
    <w:rsid w:val="00953ED3"/>
    <w:rsid w:val="00954ECA"/>
    <w:rsid w:val="00956C75"/>
    <w:rsid w:val="00957F84"/>
    <w:rsid w:val="00960EF5"/>
    <w:rsid w:val="00962240"/>
    <w:rsid w:val="00963BFC"/>
    <w:rsid w:val="00965F6D"/>
    <w:rsid w:val="00965FF6"/>
    <w:rsid w:val="0096678B"/>
    <w:rsid w:val="0097327D"/>
    <w:rsid w:val="00976B61"/>
    <w:rsid w:val="0098412F"/>
    <w:rsid w:val="009846D6"/>
    <w:rsid w:val="00985E40"/>
    <w:rsid w:val="009863BD"/>
    <w:rsid w:val="0098657F"/>
    <w:rsid w:val="009925C3"/>
    <w:rsid w:val="00996189"/>
    <w:rsid w:val="00997CDF"/>
    <w:rsid w:val="009A0E56"/>
    <w:rsid w:val="009A1C8F"/>
    <w:rsid w:val="009A2817"/>
    <w:rsid w:val="009A31D1"/>
    <w:rsid w:val="009A3236"/>
    <w:rsid w:val="009A3758"/>
    <w:rsid w:val="009A45E9"/>
    <w:rsid w:val="009A5247"/>
    <w:rsid w:val="009A6435"/>
    <w:rsid w:val="009A66C3"/>
    <w:rsid w:val="009B05B9"/>
    <w:rsid w:val="009B08ED"/>
    <w:rsid w:val="009B5A93"/>
    <w:rsid w:val="009B5BEA"/>
    <w:rsid w:val="009B7DC2"/>
    <w:rsid w:val="009C291F"/>
    <w:rsid w:val="009D0B6B"/>
    <w:rsid w:val="009D7276"/>
    <w:rsid w:val="009E37BD"/>
    <w:rsid w:val="009E38C7"/>
    <w:rsid w:val="009E65A9"/>
    <w:rsid w:val="009E6B86"/>
    <w:rsid w:val="009E7496"/>
    <w:rsid w:val="009F4015"/>
    <w:rsid w:val="009F784C"/>
    <w:rsid w:val="00A03301"/>
    <w:rsid w:val="00A04E01"/>
    <w:rsid w:val="00A06FF7"/>
    <w:rsid w:val="00A078F5"/>
    <w:rsid w:val="00A10DEF"/>
    <w:rsid w:val="00A12762"/>
    <w:rsid w:val="00A13867"/>
    <w:rsid w:val="00A1500E"/>
    <w:rsid w:val="00A17220"/>
    <w:rsid w:val="00A20297"/>
    <w:rsid w:val="00A20C31"/>
    <w:rsid w:val="00A220C3"/>
    <w:rsid w:val="00A250AF"/>
    <w:rsid w:val="00A25876"/>
    <w:rsid w:val="00A264B9"/>
    <w:rsid w:val="00A26FED"/>
    <w:rsid w:val="00A30967"/>
    <w:rsid w:val="00A361A7"/>
    <w:rsid w:val="00A37D3A"/>
    <w:rsid w:val="00A37DE3"/>
    <w:rsid w:val="00A421D4"/>
    <w:rsid w:val="00A44446"/>
    <w:rsid w:val="00A44FF0"/>
    <w:rsid w:val="00A4772D"/>
    <w:rsid w:val="00A47FC6"/>
    <w:rsid w:val="00A50371"/>
    <w:rsid w:val="00A50E55"/>
    <w:rsid w:val="00A5439C"/>
    <w:rsid w:val="00A55D78"/>
    <w:rsid w:val="00A56097"/>
    <w:rsid w:val="00A57383"/>
    <w:rsid w:val="00A622CD"/>
    <w:rsid w:val="00A62A8B"/>
    <w:rsid w:val="00A65AE6"/>
    <w:rsid w:val="00A662E4"/>
    <w:rsid w:val="00A67188"/>
    <w:rsid w:val="00A67EB1"/>
    <w:rsid w:val="00A70977"/>
    <w:rsid w:val="00A70AF2"/>
    <w:rsid w:val="00A70E3F"/>
    <w:rsid w:val="00A72A32"/>
    <w:rsid w:val="00A72FA6"/>
    <w:rsid w:val="00A7325E"/>
    <w:rsid w:val="00A736FA"/>
    <w:rsid w:val="00A74B88"/>
    <w:rsid w:val="00A76201"/>
    <w:rsid w:val="00A764B9"/>
    <w:rsid w:val="00A8030D"/>
    <w:rsid w:val="00A86A60"/>
    <w:rsid w:val="00A87524"/>
    <w:rsid w:val="00A87DE7"/>
    <w:rsid w:val="00A9011D"/>
    <w:rsid w:val="00A91A47"/>
    <w:rsid w:val="00A921A9"/>
    <w:rsid w:val="00A928D6"/>
    <w:rsid w:val="00A9367D"/>
    <w:rsid w:val="00A95D2B"/>
    <w:rsid w:val="00AA094E"/>
    <w:rsid w:val="00AA239C"/>
    <w:rsid w:val="00AA37A2"/>
    <w:rsid w:val="00AA5587"/>
    <w:rsid w:val="00AA7025"/>
    <w:rsid w:val="00AB08CD"/>
    <w:rsid w:val="00AB13B6"/>
    <w:rsid w:val="00AB3DED"/>
    <w:rsid w:val="00AB4821"/>
    <w:rsid w:val="00AB4ECE"/>
    <w:rsid w:val="00AB5DD8"/>
    <w:rsid w:val="00AB61CC"/>
    <w:rsid w:val="00AB7141"/>
    <w:rsid w:val="00AC09DB"/>
    <w:rsid w:val="00AC1E53"/>
    <w:rsid w:val="00AC4228"/>
    <w:rsid w:val="00AC4F42"/>
    <w:rsid w:val="00AC588C"/>
    <w:rsid w:val="00AC5E89"/>
    <w:rsid w:val="00AC6299"/>
    <w:rsid w:val="00AC7A55"/>
    <w:rsid w:val="00AD0C04"/>
    <w:rsid w:val="00AD198C"/>
    <w:rsid w:val="00AD3B15"/>
    <w:rsid w:val="00AD62FE"/>
    <w:rsid w:val="00AD6B5D"/>
    <w:rsid w:val="00AD7169"/>
    <w:rsid w:val="00AD79C8"/>
    <w:rsid w:val="00AE5009"/>
    <w:rsid w:val="00AE6CE0"/>
    <w:rsid w:val="00AF2ADC"/>
    <w:rsid w:val="00AF53C8"/>
    <w:rsid w:val="00AF6075"/>
    <w:rsid w:val="00AF6561"/>
    <w:rsid w:val="00AF663A"/>
    <w:rsid w:val="00B01493"/>
    <w:rsid w:val="00B021B6"/>
    <w:rsid w:val="00B028CC"/>
    <w:rsid w:val="00B03D41"/>
    <w:rsid w:val="00B03DDC"/>
    <w:rsid w:val="00B0516C"/>
    <w:rsid w:val="00B058A6"/>
    <w:rsid w:val="00B066BD"/>
    <w:rsid w:val="00B10894"/>
    <w:rsid w:val="00B117D0"/>
    <w:rsid w:val="00B11C7D"/>
    <w:rsid w:val="00B12B64"/>
    <w:rsid w:val="00B13998"/>
    <w:rsid w:val="00B13B3A"/>
    <w:rsid w:val="00B15BAE"/>
    <w:rsid w:val="00B167C8"/>
    <w:rsid w:val="00B20781"/>
    <w:rsid w:val="00B22AC5"/>
    <w:rsid w:val="00B22F4A"/>
    <w:rsid w:val="00B230AA"/>
    <w:rsid w:val="00B25E7A"/>
    <w:rsid w:val="00B2651E"/>
    <w:rsid w:val="00B269BE"/>
    <w:rsid w:val="00B34237"/>
    <w:rsid w:val="00B346C2"/>
    <w:rsid w:val="00B3494A"/>
    <w:rsid w:val="00B35BB7"/>
    <w:rsid w:val="00B379C0"/>
    <w:rsid w:val="00B439DD"/>
    <w:rsid w:val="00B50B87"/>
    <w:rsid w:val="00B52E0F"/>
    <w:rsid w:val="00B53801"/>
    <w:rsid w:val="00B548E6"/>
    <w:rsid w:val="00B54B90"/>
    <w:rsid w:val="00B54D11"/>
    <w:rsid w:val="00B601B2"/>
    <w:rsid w:val="00B61310"/>
    <w:rsid w:val="00B72891"/>
    <w:rsid w:val="00B74629"/>
    <w:rsid w:val="00B8007F"/>
    <w:rsid w:val="00B814AA"/>
    <w:rsid w:val="00B829BD"/>
    <w:rsid w:val="00B834FB"/>
    <w:rsid w:val="00B91850"/>
    <w:rsid w:val="00B91F58"/>
    <w:rsid w:val="00B929F2"/>
    <w:rsid w:val="00B92B3A"/>
    <w:rsid w:val="00B95697"/>
    <w:rsid w:val="00B95CA4"/>
    <w:rsid w:val="00BA0057"/>
    <w:rsid w:val="00BA2804"/>
    <w:rsid w:val="00BA549D"/>
    <w:rsid w:val="00BA579E"/>
    <w:rsid w:val="00BA70D8"/>
    <w:rsid w:val="00BB65F0"/>
    <w:rsid w:val="00BC2528"/>
    <w:rsid w:val="00BC3EAA"/>
    <w:rsid w:val="00BC782A"/>
    <w:rsid w:val="00BC7ADB"/>
    <w:rsid w:val="00BD0396"/>
    <w:rsid w:val="00BD1CEA"/>
    <w:rsid w:val="00BD221F"/>
    <w:rsid w:val="00BD2B31"/>
    <w:rsid w:val="00BD34F5"/>
    <w:rsid w:val="00BD38DA"/>
    <w:rsid w:val="00BD525F"/>
    <w:rsid w:val="00BD5D84"/>
    <w:rsid w:val="00BE1286"/>
    <w:rsid w:val="00BE2295"/>
    <w:rsid w:val="00BE6373"/>
    <w:rsid w:val="00BE76A3"/>
    <w:rsid w:val="00BF0789"/>
    <w:rsid w:val="00BF1BCB"/>
    <w:rsid w:val="00BF343F"/>
    <w:rsid w:val="00BF43F6"/>
    <w:rsid w:val="00BF4B05"/>
    <w:rsid w:val="00BF512E"/>
    <w:rsid w:val="00BF533A"/>
    <w:rsid w:val="00BF58D5"/>
    <w:rsid w:val="00BF63D8"/>
    <w:rsid w:val="00C02D85"/>
    <w:rsid w:val="00C06160"/>
    <w:rsid w:val="00C10427"/>
    <w:rsid w:val="00C139C0"/>
    <w:rsid w:val="00C151BA"/>
    <w:rsid w:val="00C15624"/>
    <w:rsid w:val="00C2021C"/>
    <w:rsid w:val="00C2129C"/>
    <w:rsid w:val="00C24900"/>
    <w:rsid w:val="00C2632E"/>
    <w:rsid w:val="00C27608"/>
    <w:rsid w:val="00C32E8D"/>
    <w:rsid w:val="00C34C67"/>
    <w:rsid w:val="00C37941"/>
    <w:rsid w:val="00C37DC1"/>
    <w:rsid w:val="00C40777"/>
    <w:rsid w:val="00C40F84"/>
    <w:rsid w:val="00C41794"/>
    <w:rsid w:val="00C417C0"/>
    <w:rsid w:val="00C46677"/>
    <w:rsid w:val="00C46AA5"/>
    <w:rsid w:val="00C5180E"/>
    <w:rsid w:val="00C51F51"/>
    <w:rsid w:val="00C539A8"/>
    <w:rsid w:val="00C54E40"/>
    <w:rsid w:val="00C55F56"/>
    <w:rsid w:val="00C56DE4"/>
    <w:rsid w:val="00C57BA4"/>
    <w:rsid w:val="00C613EB"/>
    <w:rsid w:val="00C71C1A"/>
    <w:rsid w:val="00C72476"/>
    <w:rsid w:val="00C75D10"/>
    <w:rsid w:val="00C776B6"/>
    <w:rsid w:val="00C84623"/>
    <w:rsid w:val="00C85948"/>
    <w:rsid w:val="00C876E6"/>
    <w:rsid w:val="00C9204A"/>
    <w:rsid w:val="00C93982"/>
    <w:rsid w:val="00CA2DCE"/>
    <w:rsid w:val="00CA3516"/>
    <w:rsid w:val="00CA3F1E"/>
    <w:rsid w:val="00CB06C9"/>
    <w:rsid w:val="00CB1E41"/>
    <w:rsid w:val="00CB2458"/>
    <w:rsid w:val="00CB271C"/>
    <w:rsid w:val="00CB7B9C"/>
    <w:rsid w:val="00CC0B29"/>
    <w:rsid w:val="00CC36D2"/>
    <w:rsid w:val="00CC79AE"/>
    <w:rsid w:val="00CD2469"/>
    <w:rsid w:val="00CD2EBA"/>
    <w:rsid w:val="00CD3414"/>
    <w:rsid w:val="00CD35C3"/>
    <w:rsid w:val="00CD51D9"/>
    <w:rsid w:val="00CD6CE9"/>
    <w:rsid w:val="00CD7A97"/>
    <w:rsid w:val="00CE0B0C"/>
    <w:rsid w:val="00CE4EDC"/>
    <w:rsid w:val="00CE4F96"/>
    <w:rsid w:val="00CE66DE"/>
    <w:rsid w:val="00CE7AEB"/>
    <w:rsid w:val="00CF02CE"/>
    <w:rsid w:val="00CF0AB1"/>
    <w:rsid w:val="00CF0EFC"/>
    <w:rsid w:val="00CF39C0"/>
    <w:rsid w:val="00CF3CDF"/>
    <w:rsid w:val="00CF4B9B"/>
    <w:rsid w:val="00CF55E6"/>
    <w:rsid w:val="00CF5797"/>
    <w:rsid w:val="00CF772F"/>
    <w:rsid w:val="00CF7DF1"/>
    <w:rsid w:val="00D048DB"/>
    <w:rsid w:val="00D05051"/>
    <w:rsid w:val="00D05FA7"/>
    <w:rsid w:val="00D07B9B"/>
    <w:rsid w:val="00D102C6"/>
    <w:rsid w:val="00D12B3E"/>
    <w:rsid w:val="00D14A28"/>
    <w:rsid w:val="00D14F0B"/>
    <w:rsid w:val="00D178CA"/>
    <w:rsid w:val="00D205CB"/>
    <w:rsid w:val="00D2132B"/>
    <w:rsid w:val="00D223B5"/>
    <w:rsid w:val="00D23546"/>
    <w:rsid w:val="00D24D47"/>
    <w:rsid w:val="00D26EB8"/>
    <w:rsid w:val="00D3311C"/>
    <w:rsid w:val="00D33D90"/>
    <w:rsid w:val="00D34DC9"/>
    <w:rsid w:val="00D363BF"/>
    <w:rsid w:val="00D37077"/>
    <w:rsid w:val="00D37F14"/>
    <w:rsid w:val="00D4531C"/>
    <w:rsid w:val="00D5044A"/>
    <w:rsid w:val="00D50A43"/>
    <w:rsid w:val="00D51AAF"/>
    <w:rsid w:val="00D53405"/>
    <w:rsid w:val="00D5457B"/>
    <w:rsid w:val="00D54D5C"/>
    <w:rsid w:val="00D601DE"/>
    <w:rsid w:val="00D65EA5"/>
    <w:rsid w:val="00D66ECA"/>
    <w:rsid w:val="00D67DCA"/>
    <w:rsid w:val="00D70529"/>
    <w:rsid w:val="00D72995"/>
    <w:rsid w:val="00D73083"/>
    <w:rsid w:val="00D73685"/>
    <w:rsid w:val="00D75FFF"/>
    <w:rsid w:val="00D761D3"/>
    <w:rsid w:val="00D77755"/>
    <w:rsid w:val="00D80A0F"/>
    <w:rsid w:val="00D87CD2"/>
    <w:rsid w:val="00DA05AF"/>
    <w:rsid w:val="00DA06E6"/>
    <w:rsid w:val="00DA30FC"/>
    <w:rsid w:val="00DA3673"/>
    <w:rsid w:val="00DA5821"/>
    <w:rsid w:val="00DA5C78"/>
    <w:rsid w:val="00DA6F52"/>
    <w:rsid w:val="00DA7BD9"/>
    <w:rsid w:val="00DA7FA2"/>
    <w:rsid w:val="00DB1554"/>
    <w:rsid w:val="00DB68D0"/>
    <w:rsid w:val="00DB7805"/>
    <w:rsid w:val="00DC2644"/>
    <w:rsid w:val="00DC2D8D"/>
    <w:rsid w:val="00DC35EB"/>
    <w:rsid w:val="00DD0457"/>
    <w:rsid w:val="00DD26AA"/>
    <w:rsid w:val="00DD406E"/>
    <w:rsid w:val="00DD5FEC"/>
    <w:rsid w:val="00DD5FFE"/>
    <w:rsid w:val="00DE1F5D"/>
    <w:rsid w:val="00DE50D8"/>
    <w:rsid w:val="00DE7028"/>
    <w:rsid w:val="00DE7D97"/>
    <w:rsid w:val="00DE7E68"/>
    <w:rsid w:val="00DF278A"/>
    <w:rsid w:val="00DF2948"/>
    <w:rsid w:val="00DF523E"/>
    <w:rsid w:val="00DF5698"/>
    <w:rsid w:val="00E029E0"/>
    <w:rsid w:val="00E05D0D"/>
    <w:rsid w:val="00E11044"/>
    <w:rsid w:val="00E1240B"/>
    <w:rsid w:val="00E1402A"/>
    <w:rsid w:val="00E14F46"/>
    <w:rsid w:val="00E1664B"/>
    <w:rsid w:val="00E17EDB"/>
    <w:rsid w:val="00E25744"/>
    <w:rsid w:val="00E30D12"/>
    <w:rsid w:val="00E32DE5"/>
    <w:rsid w:val="00E3394E"/>
    <w:rsid w:val="00E35241"/>
    <w:rsid w:val="00E35992"/>
    <w:rsid w:val="00E37859"/>
    <w:rsid w:val="00E40854"/>
    <w:rsid w:val="00E41417"/>
    <w:rsid w:val="00E41932"/>
    <w:rsid w:val="00E42FAA"/>
    <w:rsid w:val="00E44C5E"/>
    <w:rsid w:val="00E45293"/>
    <w:rsid w:val="00E4587D"/>
    <w:rsid w:val="00E46314"/>
    <w:rsid w:val="00E47DCF"/>
    <w:rsid w:val="00E50167"/>
    <w:rsid w:val="00E536D3"/>
    <w:rsid w:val="00E55469"/>
    <w:rsid w:val="00E570DE"/>
    <w:rsid w:val="00E57368"/>
    <w:rsid w:val="00E57BE2"/>
    <w:rsid w:val="00E60031"/>
    <w:rsid w:val="00E61119"/>
    <w:rsid w:val="00E613BB"/>
    <w:rsid w:val="00E61646"/>
    <w:rsid w:val="00E62A95"/>
    <w:rsid w:val="00E6449A"/>
    <w:rsid w:val="00E64810"/>
    <w:rsid w:val="00E670E5"/>
    <w:rsid w:val="00E67EBD"/>
    <w:rsid w:val="00E702A2"/>
    <w:rsid w:val="00E704C2"/>
    <w:rsid w:val="00E7371B"/>
    <w:rsid w:val="00E746A2"/>
    <w:rsid w:val="00E75E31"/>
    <w:rsid w:val="00E75F50"/>
    <w:rsid w:val="00E75F58"/>
    <w:rsid w:val="00E7757E"/>
    <w:rsid w:val="00E82A91"/>
    <w:rsid w:val="00E849D8"/>
    <w:rsid w:val="00E8719D"/>
    <w:rsid w:val="00E90D06"/>
    <w:rsid w:val="00E92162"/>
    <w:rsid w:val="00E93152"/>
    <w:rsid w:val="00E9777A"/>
    <w:rsid w:val="00E97E59"/>
    <w:rsid w:val="00E97FBC"/>
    <w:rsid w:val="00EA5441"/>
    <w:rsid w:val="00EA79C9"/>
    <w:rsid w:val="00EB0C5C"/>
    <w:rsid w:val="00EB66AC"/>
    <w:rsid w:val="00EB7CD6"/>
    <w:rsid w:val="00EC1225"/>
    <w:rsid w:val="00EC1D20"/>
    <w:rsid w:val="00EC2247"/>
    <w:rsid w:val="00EC5ECF"/>
    <w:rsid w:val="00ED0FA5"/>
    <w:rsid w:val="00ED1706"/>
    <w:rsid w:val="00ED19AC"/>
    <w:rsid w:val="00ED2012"/>
    <w:rsid w:val="00ED6A8D"/>
    <w:rsid w:val="00EE0A82"/>
    <w:rsid w:val="00EE0FAB"/>
    <w:rsid w:val="00EE1F87"/>
    <w:rsid w:val="00EE2E0B"/>
    <w:rsid w:val="00EE3931"/>
    <w:rsid w:val="00EE4760"/>
    <w:rsid w:val="00EE5AF6"/>
    <w:rsid w:val="00EE6DBD"/>
    <w:rsid w:val="00EE7E59"/>
    <w:rsid w:val="00EF00D2"/>
    <w:rsid w:val="00EF2709"/>
    <w:rsid w:val="00EF2CEF"/>
    <w:rsid w:val="00EF3C56"/>
    <w:rsid w:val="00EF5665"/>
    <w:rsid w:val="00EF574A"/>
    <w:rsid w:val="00F030A7"/>
    <w:rsid w:val="00F03C85"/>
    <w:rsid w:val="00F0539C"/>
    <w:rsid w:val="00F05CB4"/>
    <w:rsid w:val="00F1092D"/>
    <w:rsid w:val="00F11A2C"/>
    <w:rsid w:val="00F13AF1"/>
    <w:rsid w:val="00F15747"/>
    <w:rsid w:val="00F157C5"/>
    <w:rsid w:val="00F1766C"/>
    <w:rsid w:val="00F228A1"/>
    <w:rsid w:val="00F24536"/>
    <w:rsid w:val="00F260AF"/>
    <w:rsid w:val="00F31FF1"/>
    <w:rsid w:val="00F358A5"/>
    <w:rsid w:val="00F366D7"/>
    <w:rsid w:val="00F419A6"/>
    <w:rsid w:val="00F42C20"/>
    <w:rsid w:val="00F431D8"/>
    <w:rsid w:val="00F46729"/>
    <w:rsid w:val="00F50866"/>
    <w:rsid w:val="00F55CF1"/>
    <w:rsid w:val="00F57F30"/>
    <w:rsid w:val="00F6087A"/>
    <w:rsid w:val="00F633B6"/>
    <w:rsid w:val="00F63E8D"/>
    <w:rsid w:val="00F6455C"/>
    <w:rsid w:val="00F64AEF"/>
    <w:rsid w:val="00F65EAC"/>
    <w:rsid w:val="00F67706"/>
    <w:rsid w:val="00F75E67"/>
    <w:rsid w:val="00F766A0"/>
    <w:rsid w:val="00F766CF"/>
    <w:rsid w:val="00F80A7D"/>
    <w:rsid w:val="00F819FE"/>
    <w:rsid w:val="00F81FE3"/>
    <w:rsid w:val="00F8468E"/>
    <w:rsid w:val="00F90F82"/>
    <w:rsid w:val="00F91048"/>
    <w:rsid w:val="00F92D75"/>
    <w:rsid w:val="00F92EB3"/>
    <w:rsid w:val="00F9604A"/>
    <w:rsid w:val="00F97327"/>
    <w:rsid w:val="00FA1609"/>
    <w:rsid w:val="00FA296F"/>
    <w:rsid w:val="00FA36C6"/>
    <w:rsid w:val="00FA4A37"/>
    <w:rsid w:val="00FA67E4"/>
    <w:rsid w:val="00FA7323"/>
    <w:rsid w:val="00FB2A88"/>
    <w:rsid w:val="00FB2C59"/>
    <w:rsid w:val="00FB533A"/>
    <w:rsid w:val="00FB760B"/>
    <w:rsid w:val="00FB791D"/>
    <w:rsid w:val="00FB7D87"/>
    <w:rsid w:val="00FC1950"/>
    <w:rsid w:val="00FC23A5"/>
    <w:rsid w:val="00FC32D3"/>
    <w:rsid w:val="00FC3CCC"/>
    <w:rsid w:val="00FC405A"/>
    <w:rsid w:val="00FC4E3A"/>
    <w:rsid w:val="00FC5512"/>
    <w:rsid w:val="00FC5E63"/>
    <w:rsid w:val="00FD1DDD"/>
    <w:rsid w:val="00FD2F7B"/>
    <w:rsid w:val="00FD4676"/>
    <w:rsid w:val="00FD4D82"/>
    <w:rsid w:val="00FD518C"/>
    <w:rsid w:val="00FD5335"/>
    <w:rsid w:val="00FD5D46"/>
    <w:rsid w:val="00FD7A2D"/>
    <w:rsid w:val="00FE4D69"/>
    <w:rsid w:val="00FE57AE"/>
    <w:rsid w:val="00FE7A1A"/>
    <w:rsid w:val="00FF1275"/>
    <w:rsid w:val="00FF19DB"/>
    <w:rsid w:val="00FF4147"/>
    <w:rsid w:val="00FF42C1"/>
    <w:rsid w:val="00FF4ADA"/>
    <w:rsid w:val="00FF51FD"/>
    <w:rsid w:val="00FF567A"/>
    <w:rsid w:val="00FF5DA0"/>
    <w:rsid w:val="00FF6849"/>
    <w:rsid w:val="00FF6D1B"/>
    <w:rsid w:val="00FF7014"/>
    <w:rsid w:val="1378AE05"/>
    <w:rsid w:val="218CE484"/>
    <w:rsid w:val="28F35979"/>
    <w:rsid w:val="33ED3DC4"/>
    <w:rsid w:val="45CF7C08"/>
    <w:rsid w:val="46B80AA9"/>
    <w:rsid w:val="6714BD72"/>
    <w:rsid w:val="6EE42039"/>
    <w:rsid w:val="711BF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5E58B"/>
  <w15:docId w15:val="{BF28DAFA-27D5-4C43-96C7-FCD581616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5D27"/>
    <w:pPr>
      <w:ind w:left="0" w:firstLine="0"/>
    </w:pPr>
    <w:rPr>
      <w:rFonts w:ascii="Times New Roman" w:hAnsi="Times New Roman" w:cs="Times New Roman"/>
      <w:sz w:val="24"/>
      <w:szCs w:val="24"/>
    </w:rPr>
  </w:style>
  <w:style w:type="paragraph" w:styleId="Heading2">
    <w:name w:val="heading 2"/>
    <w:basedOn w:val="Normal"/>
    <w:next w:val="Normal"/>
    <w:link w:val="Heading2Char"/>
    <w:uiPriority w:val="9"/>
    <w:semiHidden/>
    <w:unhideWhenUsed/>
    <w:qFormat/>
    <w:rsid w:val="008659ED"/>
    <w:pPr>
      <w:keepNext/>
      <w:keepLines/>
      <w:spacing w:before="200"/>
      <w:ind w:left="360" w:hanging="36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hanging="360"/>
      <w:contextualSpacing/>
    </w:pPr>
    <w:rPr>
      <w:rFonts w:asciiTheme="minorHAnsi" w:eastAsiaTheme="minorEastAsia" w:hAnsiTheme="minorHAnsi" w:cstheme="minorBidi"/>
      <w:sz w:val="22"/>
      <w:szCs w:val="22"/>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ind w:left="360" w:hanging="360"/>
    </w:pPr>
    <w:rPr>
      <w:rFonts w:asciiTheme="minorHAnsi" w:hAnsiTheme="minorHAnsi" w:cstheme="minorBidi"/>
      <w:sz w:val="22"/>
      <w:szCs w:val="22"/>
    </w:r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ind w:left="360" w:hanging="360"/>
    </w:pPr>
    <w:rPr>
      <w:rFonts w:asciiTheme="minorHAnsi" w:hAnsiTheme="minorHAnsi" w:cstheme="minorBidi"/>
      <w:sz w:val="22"/>
      <w:szCs w:val="22"/>
    </w:r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pPr>
      <w:ind w:left="360" w:hanging="3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pPr>
      <w:ind w:left="360" w:hanging="36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rPr>
      <w:rFonts w:eastAsia="Calibri"/>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p1">
    <w:name w:val="p1"/>
    <w:basedOn w:val="Normal"/>
    <w:rsid w:val="00D80A0F"/>
    <w:rPr>
      <w:rFonts w:ascii="Helvetica" w:hAnsi="Helvetica"/>
      <w:sz w:val="18"/>
      <w:szCs w:val="18"/>
    </w:rPr>
  </w:style>
  <w:style w:type="character" w:customStyle="1" w:styleId="name">
    <w:name w:val="name"/>
    <w:basedOn w:val="DefaultParagraphFont"/>
    <w:rsid w:val="00BC7ADB"/>
  </w:style>
  <w:style w:type="character" w:customStyle="1" w:styleId="apple-converted-space">
    <w:name w:val="apple-converted-space"/>
    <w:basedOn w:val="DefaultParagraphFont"/>
    <w:rsid w:val="00BC7ADB"/>
  </w:style>
  <w:style w:type="character" w:customStyle="1" w:styleId="ListParagraphChar">
    <w:name w:val="List Paragraph Char"/>
    <w:basedOn w:val="DefaultParagraphFont"/>
    <w:link w:val="ListParagraph"/>
    <w:uiPriority w:val="34"/>
    <w:locked/>
    <w:rsid w:val="009B08ED"/>
    <w:rPr>
      <w:rFonts w:eastAsiaTheme="minorEastAsia"/>
    </w:rPr>
  </w:style>
  <w:style w:type="character" w:styleId="PageNumber">
    <w:name w:val="page number"/>
    <w:basedOn w:val="DefaultParagraphFont"/>
    <w:uiPriority w:val="99"/>
    <w:semiHidden/>
    <w:unhideWhenUsed/>
    <w:rsid w:val="00E670E5"/>
  </w:style>
  <w:style w:type="character" w:customStyle="1" w:styleId="UnresolvedMention1">
    <w:name w:val="Unresolved Mention1"/>
    <w:basedOn w:val="DefaultParagraphFont"/>
    <w:uiPriority w:val="99"/>
    <w:rsid w:val="001A1FDE"/>
    <w:rPr>
      <w:color w:val="808080"/>
      <w:shd w:val="clear" w:color="auto" w:fill="E6E6E6"/>
    </w:rPr>
  </w:style>
  <w:style w:type="character" w:customStyle="1" w:styleId="normaltextrun">
    <w:name w:val="normaltextrun"/>
    <w:basedOn w:val="DefaultParagraphFont"/>
    <w:rsid w:val="00475C77"/>
  </w:style>
  <w:style w:type="paragraph" w:styleId="NormalWeb">
    <w:name w:val="Normal (Web)"/>
    <w:basedOn w:val="Normal"/>
    <w:uiPriority w:val="99"/>
    <w:semiHidden/>
    <w:unhideWhenUsed/>
    <w:rsid w:val="00893F10"/>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11080">
      <w:bodyDiv w:val="1"/>
      <w:marLeft w:val="0"/>
      <w:marRight w:val="0"/>
      <w:marTop w:val="0"/>
      <w:marBottom w:val="0"/>
      <w:divBdr>
        <w:top w:val="none" w:sz="0" w:space="0" w:color="auto"/>
        <w:left w:val="none" w:sz="0" w:space="0" w:color="auto"/>
        <w:bottom w:val="none" w:sz="0" w:space="0" w:color="auto"/>
        <w:right w:val="none" w:sz="0" w:space="0" w:color="auto"/>
      </w:divBdr>
    </w:div>
    <w:div w:id="42874613">
      <w:bodyDiv w:val="1"/>
      <w:marLeft w:val="0"/>
      <w:marRight w:val="0"/>
      <w:marTop w:val="0"/>
      <w:marBottom w:val="0"/>
      <w:divBdr>
        <w:top w:val="none" w:sz="0" w:space="0" w:color="auto"/>
        <w:left w:val="none" w:sz="0" w:space="0" w:color="auto"/>
        <w:bottom w:val="none" w:sz="0" w:space="0" w:color="auto"/>
        <w:right w:val="none" w:sz="0" w:space="0" w:color="auto"/>
      </w:divBdr>
    </w:div>
    <w:div w:id="65541179">
      <w:bodyDiv w:val="1"/>
      <w:marLeft w:val="0"/>
      <w:marRight w:val="0"/>
      <w:marTop w:val="0"/>
      <w:marBottom w:val="0"/>
      <w:divBdr>
        <w:top w:val="none" w:sz="0" w:space="0" w:color="auto"/>
        <w:left w:val="none" w:sz="0" w:space="0" w:color="auto"/>
        <w:bottom w:val="none" w:sz="0" w:space="0" w:color="auto"/>
        <w:right w:val="none" w:sz="0" w:space="0" w:color="auto"/>
      </w:divBdr>
    </w:div>
    <w:div w:id="74279570">
      <w:bodyDiv w:val="1"/>
      <w:marLeft w:val="0"/>
      <w:marRight w:val="0"/>
      <w:marTop w:val="0"/>
      <w:marBottom w:val="0"/>
      <w:divBdr>
        <w:top w:val="none" w:sz="0" w:space="0" w:color="auto"/>
        <w:left w:val="none" w:sz="0" w:space="0" w:color="auto"/>
        <w:bottom w:val="none" w:sz="0" w:space="0" w:color="auto"/>
        <w:right w:val="none" w:sz="0" w:space="0" w:color="auto"/>
      </w:divBdr>
    </w:div>
    <w:div w:id="76680404">
      <w:bodyDiv w:val="1"/>
      <w:marLeft w:val="0"/>
      <w:marRight w:val="0"/>
      <w:marTop w:val="0"/>
      <w:marBottom w:val="0"/>
      <w:divBdr>
        <w:top w:val="none" w:sz="0" w:space="0" w:color="auto"/>
        <w:left w:val="none" w:sz="0" w:space="0" w:color="auto"/>
        <w:bottom w:val="none" w:sz="0" w:space="0" w:color="auto"/>
        <w:right w:val="none" w:sz="0" w:space="0" w:color="auto"/>
      </w:divBdr>
    </w:div>
    <w:div w:id="96408107">
      <w:bodyDiv w:val="1"/>
      <w:marLeft w:val="0"/>
      <w:marRight w:val="0"/>
      <w:marTop w:val="0"/>
      <w:marBottom w:val="0"/>
      <w:divBdr>
        <w:top w:val="none" w:sz="0" w:space="0" w:color="auto"/>
        <w:left w:val="none" w:sz="0" w:space="0" w:color="auto"/>
        <w:bottom w:val="none" w:sz="0" w:space="0" w:color="auto"/>
        <w:right w:val="none" w:sz="0" w:space="0" w:color="auto"/>
      </w:divBdr>
    </w:div>
    <w:div w:id="98377665">
      <w:bodyDiv w:val="1"/>
      <w:marLeft w:val="0"/>
      <w:marRight w:val="0"/>
      <w:marTop w:val="0"/>
      <w:marBottom w:val="0"/>
      <w:divBdr>
        <w:top w:val="none" w:sz="0" w:space="0" w:color="auto"/>
        <w:left w:val="none" w:sz="0" w:space="0" w:color="auto"/>
        <w:bottom w:val="none" w:sz="0" w:space="0" w:color="auto"/>
        <w:right w:val="none" w:sz="0" w:space="0" w:color="auto"/>
      </w:divBdr>
    </w:div>
    <w:div w:id="100496385">
      <w:bodyDiv w:val="1"/>
      <w:marLeft w:val="0"/>
      <w:marRight w:val="0"/>
      <w:marTop w:val="0"/>
      <w:marBottom w:val="0"/>
      <w:divBdr>
        <w:top w:val="none" w:sz="0" w:space="0" w:color="auto"/>
        <w:left w:val="none" w:sz="0" w:space="0" w:color="auto"/>
        <w:bottom w:val="none" w:sz="0" w:space="0" w:color="auto"/>
        <w:right w:val="none" w:sz="0" w:space="0" w:color="auto"/>
      </w:divBdr>
    </w:div>
    <w:div w:id="123738211">
      <w:bodyDiv w:val="1"/>
      <w:marLeft w:val="0"/>
      <w:marRight w:val="0"/>
      <w:marTop w:val="0"/>
      <w:marBottom w:val="0"/>
      <w:divBdr>
        <w:top w:val="none" w:sz="0" w:space="0" w:color="auto"/>
        <w:left w:val="none" w:sz="0" w:space="0" w:color="auto"/>
        <w:bottom w:val="none" w:sz="0" w:space="0" w:color="auto"/>
        <w:right w:val="none" w:sz="0" w:space="0" w:color="auto"/>
      </w:divBdr>
    </w:div>
    <w:div w:id="125438046">
      <w:bodyDiv w:val="1"/>
      <w:marLeft w:val="0"/>
      <w:marRight w:val="0"/>
      <w:marTop w:val="0"/>
      <w:marBottom w:val="0"/>
      <w:divBdr>
        <w:top w:val="none" w:sz="0" w:space="0" w:color="auto"/>
        <w:left w:val="none" w:sz="0" w:space="0" w:color="auto"/>
        <w:bottom w:val="none" w:sz="0" w:space="0" w:color="auto"/>
        <w:right w:val="none" w:sz="0" w:space="0" w:color="auto"/>
      </w:divBdr>
    </w:div>
    <w:div w:id="148132178">
      <w:bodyDiv w:val="1"/>
      <w:marLeft w:val="0"/>
      <w:marRight w:val="0"/>
      <w:marTop w:val="0"/>
      <w:marBottom w:val="0"/>
      <w:divBdr>
        <w:top w:val="none" w:sz="0" w:space="0" w:color="auto"/>
        <w:left w:val="none" w:sz="0" w:space="0" w:color="auto"/>
        <w:bottom w:val="none" w:sz="0" w:space="0" w:color="auto"/>
        <w:right w:val="none" w:sz="0" w:space="0" w:color="auto"/>
      </w:divBdr>
    </w:div>
    <w:div w:id="157425981">
      <w:bodyDiv w:val="1"/>
      <w:marLeft w:val="0"/>
      <w:marRight w:val="0"/>
      <w:marTop w:val="0"/>
      <w:marBottom w:val="0"/>
      <w:divBdr>
        <w:top w:val="none" w:sz="0" w:space="0" w:color="auto"/>
        <w:left w:val="none" w:sz="0" w:space="0" w:color="auto"/>
        <w:bottom w:val="none" w:sz="0" w:space="0" w:color="auto"/>
        <w:right w:val="none" w:sz="0" w:space="0" w:color="auto"/>
      </w:divBdr>
    </w:div>
    <w:div w:id="169030373">
      <w:bodyDiv w:val="1"/>
      <w:marLeft w:val="0"/>
      <w:marRight w:val="0"/>
      <w:marTop w:val="0"/>
      <w:marBottom w:val="0"/>
      <w:divBdr>
        <w:top w:val="none" w:sz="0" w:space="0" w:color="auto"/>
        <w:left w:val="none" w:sz="0" w:space="0" w:color="auto"/>
        <w:bottom w:val="none" w:sz="0" w:space="0" w:color="auto"/>
        <w:right w:val="none" w:sz="0" w:space="0" w:color="auto"/>
      </w:divBdr>
    </w:div>
    <w:div w:id="171799419">
      <w:bodyDiv w:val="1"/>
      <w:marLeft w:val="0"/>
      <w:marRight w:val="0"/>
      <w:marTop w:val="0"/>
      <w:marBottom w:val="0"/>
      <w:divBdr>
        <w:top w:val="none" w:sz="0" w:space="0" w:color="auto"/>
        <w:left w:val="none" w:sz="0" w:space="0" w:color="auto"/>
        <w:bottom w:val="none" w:sz="0" w:space="0" w:color="auto"/>
        <w:right w:val="none" w:sz="0" w:space="0" w:color="auto"/>
      </w:divBdr>
    </w:div>
    <w:div w:id="173032429">
      <w:bodyDiv w:val="1"/>
      <w:marLeft w:val="0"/>
      <w:marRight w:val="0"/>
      <w:marTop w:val="0"/>
      <w:marBottom w:val="0"/>
      <w:divBdr>
        <w:top w:val="none" w:sz="0" w:space="0" w:color="auto"/>
        <w:left w:val="none" w:sz="0" w:space="0" w:color="auto"/>
        <w:bottom w:val="none" w:sz="0" w:space="0" w:color="auto"/>
        <w:right w:val="none" w:sz="0" w:space="0" w:color="auto"/>
      </w:divBdr>
    </w:div>
    <w:div w:id="213011911">
      <w:bodyDiv w:val="1"/>
      <w:marLeft w:val="0"/>
      <w:marRight w:val="0"/>
      <w:marTop w:val="0"/>
      <w:marBottom w:val="0"/>
      <w:divBdr>
        <w:top w:val="none" w:sz="0" w:space="0" w:color="auto"/>
        <w:left w:val="none" w:sz="0" w:space="0" w:color="auto"/>
        <w:bottom w:val="none" w:sz="0" w:space="0" w:color="auto"/>
        <w:right w:val="none" w:sz="0" w:space="0" w:color="auto"/>
      </w:divBdr>
    </w:div>
    <w:div w:id="273169621">
      <w:bodyDiv w:val="1"/>
      <w:marLeft w:val="0"/>
      <w:marRight w:val="0"/>
      <w:marTop w:val="0"/>
      <w:marBottom w:val="0"/>
      <w:divBdr>
        <w:top w:val="none" w:sz="0" w:space="0" w:color="auto"/>
        <w:left w:val="none" w:sz="0" w:space="0" w:color="auto"/>
        <w:bottom w:val="none" w:sz="0" w:space="0" w:color="auto"/>
        <w:right w:val="none" w:sz="0" w:space="0" w:color="auto"/>
      </w:divBdr>
    </w:div>
    <w:div w:id="347368281">
      <w:bodyDiv w:val="1"/>
      <w:marLeft w:val="0"/>
      <w:marRight w:val="0"/>
      <w:marTop w:val="0"/>
      <w:marBottom w:val="0"/>
      <w:divBdr>
        <w:top w:val="none" w:sz="0" w:space="0" w:color="auto"/>
        <w:left w:val="none" w:sz="0" w:space="0" w:color="auto"/>
        <w:bottom w:val="none" w:sz="0" w:space="0" w:color="auto"/>
        <w:right w:val="none" w:sz="0" w:space="0" w:color="auto"/>
      </w:divBdr>
    </w:div>
    <w:div w:id="350693020">
      <w:bodyDiv w:val="1"/>
      <w:marLeft w:val="0"/>
      <w:marRight w:val="0"/>
      <w:marTop w:val="0"/>
      <w:marBottom w:val="0"/>
      <w:divBdr>
        <w:top w:val="none" w:sz="0" w:space="0" w:color="auto"/>
        <w:left w:val="none" w:sz="0" w:space="0" w:color="auto"/>
        <w:bottom w:val="none" w:sz="0" w:space="0" w:color="auto"/>
        <w:right w:val="none" w:sz="0" w:space="0" w:color="auto"/>
      </w:divBdr>
    </w:div>
    <w:div w:id="351805296">
      <w:bodyDiv w:val="1"/>
      <w:marLeft w:val="0"/>
      <w:marRight w:val="0"/>
      <w:marTop w:val="0"/>
      <w:marBottom w:val="0"/>
      <w:divBdr>
        <w:top w:val="none" w:sz="0" w:space="0" w:color="auto"/>
        <w:left w:val="none" w:sz="0" w:space="0" w:color="auto"/>
        <w:bottom w:val="none" w:sz="0" w:space="0" w:color="auto"/>
        <w:right w:val="none" w:sz="0" w:space="0" w:color="auto"/>
      </w:divBdr>
    </w:div>
    <w:div w:id="366369819">
      <w:bodyDiv w:val="1"/>
      <w:marLeft w:val="0"/>
      <w:marRight w:val="0"/>
      <w:marTop w:val="0"/>
      <w:marBottom w:val="0"/>
      <w:divBdr>
        <w:top w:val="none" w:sz="0" w:space="0" w:color="auto"/>
        <w:left w:val="none" w:sz="0" w:space="0" w:color="auto"/>
        <w:bottom w:val="none" w:sz="0" w:space="0" w:color="auto"/>
        <w:right w:val="none" w:sz="0" w:space="0" w:color="auto"/>
      </w:divBdr>
    </w:div>
    <w:div w:id="379477294">
      <w:bodyDiv w:val="1"/>
      <w:marLeft w:val="0"/>
      <w:marRight w:val="0"/>
      <w:marTop w:val="0"/>
      <w:marBottom w:val="0"/>
      <w:divBdr>
        <w:top w:val="none" w:sz="0" w:space="0" w:color="auto"/>
        <w:left w:val="none" w:sz="0" w:space="0" w:color="auto"/>
        <w:bottom w:val="none" w:sz="0" w:space="0" w:color="auto"/>
        <w:right w:val="none" w:sz="0" w:space="0" w:color="auto"/>
      </w:divBdr>
    </w:div>
    <w:div w:id="395863023">
      <w:bodyDiv w:val="1"/>
      <w:marLeft w:val="0"/>
      <w:marRight w:val="0"/>
      <w:marTop w:val="0"/>
      <w:marBottom w:val="0"/>
      <w:divBdr>
        <w:top w:val="none" w:sz="0" w:space="0" w:color="auto"/>
        <w:left w:val="none" w:sz="0" w:space="0" w:color="auto"/>
        <w:bottom w:val="none" w:sz="0" w:space="0" w:color="auto"/>
        <w:right w:val="none" w:sz="0" w:space="0" w:color="auto"/>
      </w:divBdr>
    </w:div>
    <w:div w:id="401371376">
      <w:bodyDiv w:val="1"/>
      <w:marLeft w:val="0"/>
      <w:marRight w:val="0"/>
      <w:marTop w:val="0"/>
      <w:marBottom w:val="0"/>
      <w:divBdr>
        <w:top w:val="none" w:sz="0" w:space="0" w:color="auto"/>
        <w:left w:val="none" w:sz="0" w:space="0" w:color="auto"/>
        <w:bottom w:val="none" w:sz="0" w:space="0" w:color="auto"/>
        <w:right w:val="none" w:sz="0" w:space="0" w:color="auto"/>
      </w:divBdr>
    </w:div>
    <w:div w:id="406420167">
      <w:bodyDiv w:val="1"/>
      <w:marLeft w:val="0"/>
      <w:marRight w:val="0"/>
      <w:marTop w:val="0"/>
      <w:marBottom w:val="0"/>
      <w:divBdr>
        <w:top w:val="none" w:sz="0" w:space="0" w:color="auto"/>
        <w:left w:val="none" w:sz="0" w:space="0" w:color="auto"/>
        <w:bottom w:val="none" w:sz="0" w:space="0" w:color="auto"/>
        <w:right w:val="none" w:sz="0" w:space="0" w:color="auto"/>
      </w:divBdr>
    </w:div>
    <w:div w:id="444539767">
      <w:bodyDiv w:val="1"/>
      <w:marLeft w:val="0"/>
      <w:marRight w:val="0"/>
      <w:marTop w:val="0"/>
      <w:marBottom w:val="0"/>
      <w:divBdr>
        <w:top w:val="none" w:sz="0" w:space="0" w:color="auto"/>
        <w:left w:val="none" w:sz="0" w:space="0" w:color="auto"/>
        <w:bottom w:val="none" w:sz="0" w:space="0" w:color="auto"/>
        <w:right w:val="none" w:sz="0" w:space="0" w:color="auto"/>
      </w:divBdr>
    </w:div>
    <w:div w:id="491608011">
      <w:bodyDiv w:val="1"/>
      <w:marLeft w:val="0"/>
      <w:marRight w:val="0"/>
      <w:marTop w:val="0"/>
      <w:marBottom w:val="0"/>
      <w:divBdr>
        <w:top w:val="none" w:sz="0" w:space="0" w:color="auto"/>
        <w:left w:val="none" w:sz="0" w:space="0" w:color="auto"/>
        <w:bottom w:val="none" w:sz="0" w:space="0" w:color="auto"/>
        <w:right w:val="none" w:sz="0" w:space="0" w:color="auto"/>
      </w:divBdr>
    </w:div>
    <w:div w:id="504828969">
      <w:bodyDiv w:val="1"/>
      <w:marLeft w:val="0"/>
      <w:marRight w:val="0"/>
      <w:marTop w:val="0"/>
      <w:marBottom w:val="0"/>
      <w:divBdr>
        <w:top w:val="none" w:sz="0" w:space="0" w:color="auto"/>
        <w:left w:val="none" w:sz="0" w:space="0" w:color="auto"/>
        <w:bottom w:val="none" w:sz="0" w:space="0" w:color="auto"/>
        <w:right w:val="none" w:sz="0" w:space="0" w:color="auto"/>
      </w:divBdr>
    </w:div>
    <w:div w:id="504982151">
      <w:bodyDiv w:val="1"/>
      <w:marLeft w:val="0"/>
      <w:marRight w:val="0"/>
      <w:marTop w:val="0"/>
      <w:marBottom w:val="0"/>
      <w:divBdr>
        <w:top w:val="none" w:sz="0" w:space="0" w:color="auto"/>
        <w:left w:val="none" w:sz="0" w:space="0" w:color="auto"/>
        <w:bottom w:val="none" w:sz="0" w:space="0" w:color="auto"/>
        <w:right w:val="none" w:sz="0" w:space="0" w:color="auto"/>
      </w:divBdr>
    </w:div>
    <w:div w:id="517352998">
      <w:bodyDiv w:val="1"/>
      <w:marLeft w:val="0"/>
      <w:marRight w:val="0"/>
      <w:marTop w:val="0"/>
      <w:marBottom w:val="0"/>
      <w:divBdr>
        <w:top w:val="none" w:sz="0" w:space="0" w:color="auto"/>
        <w:left w:val="none" w:sz="0" w:space="0" w:color="auto"/>
        <w:bottom w:val="none" w:sz="0" w:space="0" w:color="auto"/>
        <w:right w:val="none" w:sz="0" w:space="0" w:color="auto"/>
      </w:divBdr>
    </w:div>
    <w:div w:id="521557317">
      <w:bodyDiv w:val="1"/>
      <w:marLeft w:val="0"/>
      <w:marRight w:val="0"/>
      <w:marTop w:val="0"/>
      <w:marBottom w:val="0"/>
      <w:divBdr>
        <w:top w:val="none" w:sz="0" w:space="0" w:color="auto"/>
        <w:left w:val="none" w:sz="0" w:space="0" w:color="auto"/>
        <w:bottom w:val="none" w:sz="0" w:space="0" w:color="auto"/>
        <w:right w:val="none" w:sz="0" w:space="0" w:color="auto"/>
      </w:divBdr>
    </w:div>
    <w:div w:id="524517039">
      <w:bodyDiv w:val="1"/>
      <w:marLeft w:val="0"/>
      <w:marRight w:val="0"/>
      <w:marTop w:val="0"/>
      <w:marBottom w:val="0"/>
      <w:divBdr>
        <w:top w:val="none" w:sz="0" w:space="0" w:color="auto"/>
        <w:left w:val="none" w:sz="0" w:space="0" w:color="auto"/>
        <w:bottom w:val="none" w:sz="0" w:space="0" w:color="auto"/>
        <w:right w:val="none" w:sz="0" w:space="0" w:color="auto"/>
      </w:divBdr>
    </w:div>
    <w:div w:id="571936486">
      <w:bodyDiv w:val="1"/>
      <w:marLeft w:val="0"/>
      <w:marRight w:val="0"/>
      <w:marTop w:val="0"/>
      <w:marBottom w:val="0"/>
      <w:divBdr>
        <w:top w:val="none" w:sz="0" w:space="0" w:color="auto"/>
        <w:left w:val="none" w:sz="0" w:space="0" w:color="auto"/>
        <w:bottom w:val="none" w:sz="0" w:space="0" w:color="auto"/>
        <w:right w:val="none" w:sz="0" w:space="0" w:color="auto"/>
      </w:divBdr>
    </w:div>
    <w:div w:id="574634997">
      <w:bodyDiv w:val="1"/>
      <w:marLeft w:val="0"/>
      <w:marRight w:val="0"/>
      <w:marTop w:val="0"/>
      <w:marBottom w:val="0"/>
      <w:divBdr>
        <w:top w:val="none" w:sz="0" w:space="0" w:color="auto"/>
        <w:left w:val="none" w:sz="0" w:space="0" w:color="auto"/>
        <w:bottom w:val="none" w:sz="0" w:space="0" w:color="auto"/>
        <w:right w:val="none" w:sz="0" w:space="0" w:color="auto"/>
      </w:divBdr>
    </w:div>
    <w:div w:id="590744137">
      <w:bodyDiv w:val="1"/>
      <w:marLeft w:val="0"/>
      <w:marRight w:val="0"/>
      <w:marTop w:val="0"/>
      <w:marBottom w:val="0"/>
      <w:divBdr>
        <w:top w:val="none" w:sz="0" w:space="0" w:color="auto"/>
        <w:left w:val="none" w:sz="0" w:space="0" w:color="auto"/>
        <w:bottom w:val="none" w:sz="0" w:space="0" w:color="auto"/>
        <w:right w:val="none" w:sz="0" w:space="0" w:color="auto"/>
      </w:divBdr>
    </w:div>
    <w:div w:id="597326797">
      <w:bodyDiv w:val="1"/>
      <w:marLeft w:val="0"/>
      <w:marRight w:val="0"/>
      <w:marTop w:val="0"/>
      <w:marBottom w:val="0"/>
      <w:divBdr>
        <w:top w:val="none" w:sz="0" w:space="0" w:color="auto"/>
        <w:left w:val="none" w:sz="0" w:space="0" w:color="auto"/>
        <w:bottom w:val="none" w:sz="0" w:space="0" w:color="auto"/>
        <w:right w:val="none" w:sz="0" w:space="0" w:color="auto"/>
      </w:divBdr>
    </w:div>
    <w:div w:id="623653817">
      <w:bodyDiv w:val="1"/>
      <w:marLeft w:val="0"/>
      <w:marRight w:val="0"/>
      <w:marTop w:val="0"/>
      <w:marBottom w:val="0"/>
      <w:divBdr>
        <w:top w:val="none" w:sz="0" w:space="0" w:color="auto"/>
        <w:left w:val="none" w:sz="0" w:space="0" w:color="auto"/>
        <w:bottom w:val="none" w:sz="0" w:space="0" w:color="auto"/>
        <w:right w:val="none" w:sz="0" w:space="0" w:color="auto"/>
      </w:divBdr>
    </w:div>
    <w:div w:id="639649437">
      <w:bodyDiv w:val="1"/>
      <w:marLeft w:val="0"/>
      <w:marRight w:val="0"/>
      <w:marTop w:val="0"/>
      <w:marBottom w:val="0"/>
      <w:divBdr>
        <w:top w:val="none" w:sz="0" w:space="0" w:color="auto"/>
        <w:left w:val="none" w:sz="0" w:space="0" w:color="auto"/>
        <w:bottom w:val="none" w:sz="0" w:space="0" w:color="auto"/>
        <w:right w:val="none" w:sz="0" w:space="0" w:color="auto"/>
      </w:divBdr>
    </w:div>
    <w:div w:id="645208498">
      <w:bodyDiv w:val="1"/>
      <w:marLeft w:val="0"/>
      <w:marRight w:val="0"/>
      <w:marTop w:val="0"/>
      <w:marBottom w:val="0"/>
      <w:divBdr>
        <w:top w:val="none" w:sz="0" w:space="0" w:color="auto"/>
        <w:left w:val="none" w:sz="0" w:space="0" w:color="auto"/>
        <w:bottom w:val="none" w:sz="0" w:space="0" w:color="auto"/>
        <w:right w:val="none" w:sz="0" w:space="0" w:color="auto"/>
      </w:divBdr>
    </w:div>
    <w:div w:id="672076472">
      <w:bodyDiv w:val="1"/>
      <w:marLeft w:val="0"/>
      <w:marRight w:val="0"/>
      <w:marTop w:val="0"/>
      <w:marBottom w:val="0"/>
      <w:divBdr>
        <w:top w:val="none" w:sz="0" w:space="0" w:color="auto"/>
        <w:left w:val="none" w:sz="0" w:space="0" w:color="auto"/>
        <w:bottom w:val="none" w:sz="0" w:space="0" w:color="auto"/>
        <w:right w:val="none" w:sz="0" w:space="0" w:color="auto"/>
      </w:divBdr>
    </w:div>
    <w:div w:id="680013781">
      <w:bodyDiv w:val="1"/>
      <w:marLeft w:val="0"/>
      <w:marRight w:val="0"/>
      <w:marTop w:val="0"/>
      <w:marBottom w:val="0"/>
      <w:divBdr>
        <w:top w:val="none" w:sz="0" w:space="0" w:color="auto"/>
        <w:left w:val="none" w:sz="0" w:space="0" w:color="auto"/>
        <w:bottom w:val="none" w:sz="0" w:space="0" w:color="auto"/>
        <w:right w:val="none" w:sz="0" w:space="0" w:color="auto"/>
      </w:divBdr>
    </w:div>
    <w:div w:id="718673893">
      <w:bodyDiv w:val="1"/>
      <w:marLeft w:val="0"/>
      <w:marRight w:val="0"/>
      <w:marTop w:val="0"/>
      <w:marBottom w:val="0"/>
      <w:divBdr>
        <w:top w:val="none" w:sz="0" w:space="0" w:color="auto"/>
        <w:left w:val="none" w:sz="0" w:space="0" w:color="auto"/>
        <w:bottom w:val="none" w:sz="0" w:space="0" w:color="auto"/>
        <w:right w:val="none" w:sz="0" w:space="0" w:color="auto"/>
      </w:divBdr>
    </w:div>
    <w:div w:id="815803975">
      <w:bodyDiv w:val="1"/>
      <w:marLeft w:val="0"/>
      <w:marRight w:val="0"/>
      <w:marTop w:val="0"/>
      <w:marBottom w:val="0"/>
      <w:divBdr>
        <w:top w:val="none" w:sz="0" w:space="0" w:color="auto"/>
        <w:left w:val="none" w:sz="0" w:space="0" w:color="auto"/>
        <w:bottom w:val="none" w:sz="0" w:space="0" w:color="auto"/>
        <w:right w:val="none" w:sz="0" w:space="0" w:color="auto"/>
      </w:divBdr>
    </w:div>
    <w:div w:id="842203231">
      <w:bodyDiv w:val="1"/>
      <w:marLeft w:val="0"/>
      <w:marRight w:val="0"/>
      <w:marTop w:val="0"/>
      <w:marBottom w:val="0"/>
      <w:divBdr>
        <w:top w:val="none" w:sz="0" w:space="0" w:color="auto"/>
        <w:left w:val="none" w:sz="0" w:space="0" w:color="auto"/>
        <w:bottom w:val="none" w:sz="0" w:space="0" w:color="auto"/>
        <w:right w:val="none" w:sz="0" w:space="0" w:color="auto"/>
      </w:divBdr>
    </w:div>
    <w:div w:id="853807746">
      <w:bodyDiv w:val="1"/>
      <w:marLeft w:val="0"/>
      <w:marRight w:val="0"/>
      <w:marTop w:val="0"/>
      <w:marBottom w:val="0"/>
      <w:divBdr>
        <w:top w:val="none" w:sz="0" w:space="0" w:color="auto"/>
        <w:left w:val="none" w:sz="0" w:space="0" w:color="auto"/>
        <w:bottom w:val="none" w:sz="0" w:space="0" w:color="auto"/>
        <w:right w:val="none" w:sz="0" w:space="0" w:color="auto"/>
      </w:divBdr>
    </w:div>
    <w:div w:id="885024314">
      <w:bodyDiv w:val="1"/>
      <w:marLeft w:val="0"/>
      <w:marRight w:val="0"/>
      <w:marTop w:val="0"/>
      <w:marBottom w:val="0"/>
      <w:divBdr>
        <w:top w:val="none" w:sz="0" w:space="0" w:color="auto"/>
        <w:left w:val="none" w:sz="0" w:space="0" w:color="auto"/>
        <w:bottom w:val="none" w:sz="0" w:space="0" w:color="auto"/>
        <w:right w:val="none" w:sz="0" w:space="0" w:color="auto"/>
      </w:divBdr>
    </w:div>
    <w:div w:id="919633843">
      <w:bodyDiv w:val="1"/>
      <w:marLeft w:val="0"/>
      <w:marRight w:val="0"/>
      <w:marTop w:val="0"/>
      <w:marBottom w:val="0"/>
      <w:divBdr>
        <w:top w:val="none" w:sz="0" w:space="0" w:color="auto"/>
        <w:left w:val="none" w:sz="0" w:space="0" w:color="auto"/>
        <w:bottom w:val="none" w:sz="0" w:space="0" w:color="auto"/>
        <w:right w:val="none" w:sz="0" w:space="0" w:color="auto"/>
      </w:divBdr>
    </w:div>
    <w:div w:id="996616086">
      <w:bodyDiv w:val="1"/>
      <w:marLeft w:val="0"/>
      <w:marRight w:val="0"/>
      <w:marTop w:val="0"/>
      <w:marBottom w:val="0"/>
      <w:divBdr>
        <w:top w:val="none" w:sz="0" w:space="0" w:color="auto"/>
        <w:left w:val="none" w:sz="0" w:space="0" w:color="auto"/>
        <w:bottom w:val="none" w:sz="0" w:space="0" w:color="auto"/>
        <w:right w:val="none" w:sz="0" w:space="0" w:color="auto"/>
      </w:divBdr>
    </w:div>
    <w:div w:id="1006328191">
      <w:bodyDiv w:val="1"/>
      <w:marLeft w:val="0"/>
      <w:marRight w:val="0"/>
      <w:marTop w:val="0"/>
      <w:marBottom w:val="0"/>
      <w:divBdr>
        <w:top w:val="none" w:sz="0" w:space="0" w:color="auto"/>
        <w:left w:val="none" w:sz="0" w:space="0" w:color="auto"/>
        <w:bottom w:val="none" w:sz="0" w:space="0" w:color="auto"/>
        <w:right w:val="none" w:sz="0" w:space="0" w:color="auto"/>
      </w:divBdr>
    </w:div>
    <w:div w:id="1018116257">
      <w:bodyDiv w:val="1"/>
      <w:marLeft w:val="0"/>
      <w:marRight w:val="0"/>
      <w:marTop w:val="0"/>
      <w:marBottom w:val="0"/>
      <w:divBdr>
        <w:top w:val="none" w:sz="0" w:space="0" w:color="auto"/>
        <w:left w:val="none" w:sz="0" w:space="0" w:color="auto"/>
        <w:bottom w:val="none" w:sz="0" w:space="0" w:color="auto"/>
        <w:right w:val="none" w:sz="0" w:space="0" w:color="auto"/>
      </w:divBdr>
    </w:div>
    <w:div w:id="1036469870">
      <w:bodyDiv w:val="1"/>
      <w:marLeft w:val="0"/>
      <w:marRight w:val="0"/>
      <w:marTop w:val="0"/>
      <w:marBottom w:val="0"/>
      <w:divBdr>
        <w:top w:val="none" w:sz="0" w:space="0" w:color="auto"/>
        <w:left w:val="none" w:sz="0" w:space="0" w:color="auto"/>
        <w:bottom w:val="none" w:sz="0" w:space="0" w:color="auto"/>
        <w:right w:val="none" w:sz="0" w:space="0" w:color="auto"/>
      </w:divBdr>
    </w:div>
    <w:div w:id="1106540902">
      <w:bodyDiv w:val="1"/>
      <w:marLeft w:val="0"/>
      <w:marRight w:val="0"/>
      <w:marTop w:val="0"/>
      <w:marBottom w:val="0"/>
      <w:divBdr>
        <w:top w:val="none" w:sz="0" w:space="0" w:color="auto"/>
        <w:left w:val="none" w:sz="0" w:space="0" w:color="auto"/>
        <w:bottom w:val="none" w:sz="0" w:space="0" w:color="auto"/>
        <w:right w:val="none" w:sz="0" w:space="0" w:color="auto"/>
      </w:divBdr>
    </w:div>
    <w:div w:id="1119184768">
      <w:bodyDiv w:val="1"/>
      <w:marLeft w:val="0"/>
      <w:marRight w:val="0"/>
      <w:marTop w:val="0"/>
      <w:marBottom w:val="0"/>
      <w:divBdr>
        <w:top w:val="none" w:sz="0" w:space="0" w:color="auto"/>
        <w:left w:val="none" w:sz="0" w:space="0" w:color="auto"/>
        <w:bottom w:val="none" w:sz="0" w:space="0" w:color="auto"/>
        <w:right w:val="none" w:sz="0" w:space="0" w:color="auto"/>
      </w:divBdr>
    </w:div>
    <w:div w:id="1129588504">
      <w:bodyDiv w:val="1"/>
      <w:marLeft w:val="0"/>
      <w:marRight w:val="0"/>
      <w:marTop w:val="0"/>
      <w:marBottom w:val="0"/>
      <w:divBdr>
        <w:top w:val="none" w:sz="0" w:space="0" w:color="auto"/>
        <w:left w:val="none" w:sz="0" w:space="0" w:color="auto"/>
        <w:bottom w:val="none" w:sz="0" w:space="0" w:color="auto"/>
        <w:right w:val="none" w:sz="0" w:space="0" w:color="auto"/>
      </w:divBdr>
    </w:div>
    <w:div w:id="1137843531">
      <w:bodyDiv w:val="1"/>
      <w:marLeft w:val="0"/>
      <w:marRight w:val="0"/>
      <w:marTop w:val="0"/>
      <w:marBottom w:val="0"/>
      <w:divBdr>
        <w:top w:val="none" w:sz="0" w:space="0" w:color="auto"/>
        <w:left w:val="none" w:sz="0" w:space="0" w:color="auto"/>
        <w:bottom w:val="none" w:sz="0" w:space="0" w:color="auto"/>
        <w:right w:val="none" w:sz="0" w:space="0" w:color="auto"/>
      </w:divBdr>
    </w:div>
    <w:div w:id="1146359477">
      <w:bodyDiv w:val="1"/>
      <w:marLeft w:val="0"/>
      <w:marRight w:val="0"/>
      <w:marTop w:val="0"/>
      <w:marBottom w:val="0"/>
      <w:divBdr>
        <w:top w:val="none" w:sz="0" w:space="0" w:color="auto"/>
        <w:left w:val="none" w:sz="0" w:space="0" w:color="auto"/>
        <w:bottom w:val="none" w:sz="0" w:space="0" w:color="auto"/>
        <w:right w:val="none" w:sz="0" w:space="0" w:color="auto"/>
      </w:divBdr>
    </w:div>
    <w:div w:id="1152909767">
      <w:bodyDiv w:val="1"/>
      <w:marLeft w:val="0"/>
      <w:marRight w:val="0"/>
      <w:marTop w:val="0"/>
      <w:marBottom w:val="0"/>
      <w:divBdr>
        <w:top w:val="none" w:sz="0" w:space="0" w:color="auto"/>
        <w:left w:val="none" w:sz="0" w:space="0" w:color="auto"/>
        <w:bottom w:val="none" w:sz="0" w:space="0" w:color="auto"/>
        <w:right w:val="none" w:sz="0" w:space="0" w:color="auto"/>
      </w:divBdr>
    </w:div>
    <w:div w:id="1162697667">
      <w:bodyDiv w:val="1"/>
      <w:marLeft w:val="0"/>
      <w:marRight w:val="0"/>
      <w:marTop w:val="0"/>
      <w:marBottom w:val="0"/>
      <w:divBdr>
        <w:top w:val="none" w:sz="0" w:space="0" w:color="auto"/>
        <w:left w:val="none" w:sz="0" w:space="0" w:color="auto"/>
        <w:bottom w:val="none" w:sz="0" w:space="0" w:color="auto"/>
        <w:right w:val="none" w:sz="0" w:space="0" w:color="auto"/>
      </w:divBdr>
    </w:div>
    <w:div w:id="1163398068">
      <w:bodyDiv w:val="1"/>
      <w:marLeft w:val="0"/>
      <w:marRight w:val="0"/>
      <w:marTop w:val="0"/>
      <w:marBottom w:val="0"/>
      <w:divBdr>
        <w:top w:val="none" w:sz="0" w:space="0" w:color="auto"/>
        <w:left w:val="none" w:sz="0" w:space="0" w:color="auto"/>
        <w:bottom w:val="none" w:sz="0" w:space="0" w:color="auto"/>
        <w:right w:val="none" w:sz="0" w:space="0" w:color="auto"/>
      </w:divBdr>
    </w:div>
    <w:div w:id="1174339706">
      <w:bodyDiv w:val="1"/>
      <w:marLeft w:val="0"/>
      <w:marRight w:val="0"/>
      <w:marTop w:val="0"/>
      <w:marBottom w:val="0"/>
      <w:divBdr>
        <w:top w:val="none" w:sz="0" w:space="0" w:color="auto"/>
        <w:left w:val="none" w:sz="0" w:space="0" w:color="auto"/>
        <w:bottom w:val="none" w:sz="0" w:space="0" w:color="auto"/>
        <w:right w:val="none" w:sz="0" w:space="0" w:color="auto"/>
      </w:divBdr>
    </w:div>
    <w:div w:id="1215853344">
      <w:bodyDiv w:val="1"/>
      <w:marLeft w:val="0"/>
      <w:marRight w:val="0"/>
      <w:marTop w:val="0"/>
      <w:marBottom w:val="0"/>
      <w:divBdr>
        <w:top w:val="none" w:sz="0" w:space="0" w:color="auto"/>
        <w:left w:val="none" w:sz="0" w:space="0" w:color="auto"/>
        <w:bottom w:val="none" w:sz="0" w:space="0" w:color="auto"/>
        <w:right w:val="none" w:sz="0" w:space="0" w:color="auto"/>
      </w:divBdr>
    </w:div>
    <w:div w:id="1216042874">
      <w:bodyDiv w:val="1"/>
      <w:marLeft w:val="0"/>
      <w:marRight w:val="0"/>
      <w:marTop w:val="0"/>
      <w:marBottom w:val="0"/>
      <w:divBdr>
        <w:top w:val="none" w:sz="0" w:space="0" w:color="auto"/>
        <w:left w:val="none" w:sz="0" w:space="0" w:color="auto"/>
        <w:bottom w:val="none" w:sz="0" w:space="0" w:color="auto"/>
        <w:right w:val="none" w:sz="0" w:space="0" w:color="auto"/>
      </w:divBdr>
    </w:div>
    <w:div w:id="1233855611">
      <w:bodyDiv w:val="1"/>
      <w:marLeft w:val="0"/>
      <w:marRight w:val="0"/>
      <w:marTop w:val="0"/>
      <w:marBottom w:val="0"/>
      <w:divBdr>
        <w:top w:val="none" w:sz="0" w:space="0" w:color="auto"/>
        <w:left w:val="none" w:sz="0" w:space="0" w:color="auto"/>
        <w:bottom w:val="none" w:sz="0" w:space="0" w:color="auto"/>
        <w:right w:val="none" w:sz="0" w:space="0" w:color="auto"/>
      </w:divBdr>
    </w:div>
    <w:div w:id="1234392738">
      <w:bodyDiv w:val="1"/>
      <w:marLeft w:val="0"/>
      <w:marRight w:val="0"/>
      <w:marTop w:val="0"/>
      <w:marBottom w:val="0"/>
      <w:divBdr>
        <w:top w:val="none" w:sz="0" w:space="0" w:color="auto"/>
        <w:left w:val="none" w:sz="0" w:space="0" w:color="auto"/>
        <w:bottom w:val="none" w:sz="0" w:space="0" w:color="auto"/>
        <w:right w:val="none" w:sz="0" w:space="0" w:color="auto"/>
      </w:divBdr>
    </w:div>
    <w:div w:id="1253933011">
      <w:bodyDiv w:val="1"/>
      <w:marLeft w:val="0"/>
      <w:marRight w:val="0"/>
      <w:marTop w:val="0"/>
      <w:marBottom w:val="0"/>
      <w:divBdr>
        <w:top w:val="none" w:sz="0" w:space="0" w:color="auto"/>
        <w:left w:val="none" w:sz="0" w:space="0" w:color="auto"/>
        <w:bottom w:val="none" w:sz="0" w:space="0" w:color="auto"/>
        <w:right w:val="none" w:sz="0" w:space="0" w:color="auto"/>
      </w:divBdr>
    </w:div>
    <w:div w:id="1262764283">
      <w:bodyDiv w:val="1"/>
      <w:marLeft w:val="0"/>
      <w:marRight w:val="0"/>
      <w:marTop w:val="0"/>
      <w:marBottom w:val="0"/>
      <w:divBdr>
        <w:top w:val="none" w:sz="0" w:space="0" w:color="auto"/>
        <w:left w:val="none" w:sz="0" w:space="0" w:color="auto"/>
        <w:bottom w:val="none" w:sz="0" w:space="0" w:color="auto"/>
        <w:right w:val="none" w:sz="0" w:space="0" w:color="auto"/>
      </w:divBdr>
    </w:div>
    <w:div w:id="1263803624">
      <w:bodyDiv w:val="1"/>
      <w:marLeft w:val="0"/>
      <w:marRight w:val="0"/>
      <w:marTop w:val="0"/>
      <w:marBottom w:val="0"/>
      <w:divBdr>
        <w:top w:val="none" w:sz="0" w:space="0" w:color="auto"/>
        <w:left w:val="none" w:sz="0" w:space="0" w:color="auto"/>
        <w:bottom w:val="none" w:sz="0" w:space="0" w:color="auto"/>
        <w:right w:val="none" w:sz="0" w:space="0" w:color="auto"/>
      </w:divBdr>
    </w:div>
    <w:div w:id="1297445745">
      <w:bodyDiv w:val="1"/>
      <w:marLeft w:val="0"/>
      <w:marRight w:val="0"/>
      <w:marTop w:val="0"/>
      <w:marBottom w:val="0"/>
      <w:divBdr>
        <w:top w:val="none" w:sz="0" w:space="0" w:color="auto"/>
        <w:left w:val="none" w:sz="0" w:space="0" w:color="auto"/>
        <w:bottom w:val="none" w:sz="0" w:space="0" w:color="auto"/>
        <w:right w:val="none" w:sz="0" w:space="0" w:color="auto"/>
      </w:divBdr>
    </w:div>
    <w:div w:id="1309019463">
      <w:bodyDiv w:val="1"/>
      <w:marLeft w:val="0"/>
      <w:marRight w:val="0"/>
      <w:marTop w:val="0"/>
      <w:marBottom w:val="0"/>
      <w:divBdr>
        <w:top w:val="none" w:sz="0" w:space="0" w:color="auto"/>
        <w:left w:val="none" w:sz="0" w:space="0" w:color="auto"/>
        <w:bottom w:val="none" w:sz="0" w:space="0" w:color="auto"/>
        <w:right w:val="none" w:sz="0" w:space="0" w:color="auto"/>
      </w:divBdr>
    </w:div>
    <w:div w:id="1312828424">
      <w:bodyDiv w:val="1"/>
      <w:marLeft w:val="0"/>
      <w:marRight w:val="0"/>
      <w:marTop w:val="0"/>
      <w:marBottom w:val="0"/>
      <w:divBdr>
        <w:top w:val="none" w:sz="0" w:space="0" w:color="auto"/>
        <w:left w:val="none" w:sz="0" w:space="0" w:color="auto"/>
        <w:bottom w:val="none" w:sz="0" w:space="0" w:color="auto"/>
        <w:right w:val="none" w:sz="0" w:space="0" w:color="auto"/>
      </w:divBdr>
    </w:div>
    <w:div w:id="1341658080">
      <w:bodyDiv w:val="1"/>
      <w:marLeft w:val="0"/>
      <w:marRight w:val="0"/>
      <w:marTop w:val="0"/>
      <w:marBottom w:val="0"/>
      <w:divBdr>
        <w:top w:val="none" w:sz="0" w:space="0" w:color="auto"/>
        <w:left w:val="none" w:sz="0" w:space="0" w:color="auto"/>
        <w:bottom w:val="none" w:sz="0" w:space="0" w:color="auto"/>
        <w:right w:val="none" w:sz="0" w:space="0" w:color="auto"/>
      </w:divBdr>
    </w:div>
    <w:div w:id="1347168529">
      <w:bodyDiv w:val="1"/>
      <w:marLeft w:val="0"/>
      <w:marRight w:val="0"/>
      <w:marTop w:val="0"/>
      <w:marBottom w:val="0"/>
      <w:divBdr>
        <w:top w:val="none" w:sz="0" w:space="0" w:color="auto"/>
        <w:left w:val="none" w:sz="0" w:space="0" w:color="auto"/>
        <w:bottom w:val="none" w:sz="0" w:space="0" w:color="auto"/>
        <w:right w:val="none" w:sz="0" w:space="0" w:color="auto"/>
      </w:divBdr>
    </w:div>
    <w:div w:id="1352728719">
      <w:bodyDiv w:val="1"/>
      <w:marLeft w:val="0"/>
      <w:marRight w:val="0"/>
      <w:marTop w:val="0"/>
      <w:marBottom w:val="0"/>
      <w:divBdr>
        <w:top w:val="none" w:sz="0" w:space="0" w:color="auto"/>
        <w:left w:val="none" w:sz="0" w:space="0" w:color="auto"/>
        <w:bottom w:val="none" w:sz="0" w:space="0" w:color="auto"/>
        <w:right w:val="none" w:sz="0" w:space="0" w:color="auto"/>
      </w:divBdr>
    </w:div>
    <w:div w:id="1389915610">
      <w:bodyDiv w:val="1"/>
      <w:marLeft w:val="0"/>
      <w:marRight w:val="0"/>
      <w:marTop w:val="0"/>
      <w:marBottom w:val="0"/>
      <w:divBdr>
        <w:top w:val="none" w:sz="0" w:space="0" w:color="auto"/>
        <w:left w:val="none" w:sz="0" w:space="0" w:color="auto"/>
        <w:bottom w:val="none" w:sz="0" w:space="0" w:color="auto"/>
        <w:right w:val="none" w:sz="0" w:space="0" w:color="auto"/>
      </w:divBdr>
    </w:div>
    <w:div w:id="1461877486">
      <w:bodyDiv w:val="1"/>
      <w:marLeft w:val="0"/>
      <w:marRight w:val="0"/>
      <w:marTop w:val="0"/>
      <w:marBottom w:val="0"/>
      <w:divBdr>
        <w:top w:val="none" w:sz="0" w:space="0" w:color="auto"/>
        <w:left w:val="none" w:sz="0" w:space="0" w:color="auto"/>
        <w:bottom w:val="none" w:sz="0" w:space="0" w:color="auto"/>
        <w:right w:val="none" w:sz="0" w:space="0" w:color="auto"/>
      </w:divBdr>
    </w:div>
    <w:div w:id="1487670690">
      <w:bodyDiv w:val="1"/>
      <w:marLeft w:val="0"/>
      <w:marRight w:val="0"/>
      <w:marTop w:val="0"/>
      <w:marBottom w:val="0"/>
      <w:divBdr>
        <w:top w:val="none" w:sz="0" w:space="0" w:color="auto"/>
        <w:left w:val="none" w:sz="0" w:space="0" w:color="auto"/>
        <w:bottom w:val="none" w:sz="0" w:space="0" w:color="auto"/>
        <w:right w:val="none" w:sz="0" w:space="0" w:color="auto"/>
      </w:divBdr>
    </w:div>
    <w:div w:id="1494687533">
      <w:bodyDiv w:val="1"/>
      <w:marLeft w:val="0"/>
      <w:marRight w:val="0"/>
      <w:marTop w:val="0"/>
      <w:marBottom w:val="0"/>
      <w:divBdr>
        <w:top w:val="none" w:sz="0" w:space="0" w:color="auto"/>
        <w:left w:val="none" w:sz="0" w:space="0" w:color="auto"/>
        <w:bottom w:val="none" w:sz="0" w:space="0" w:color="auto"/>
        <w:right w:val="none" w:sz="0" w:space="0" w:color="auto"/>
      </w:divBdr>
    </w:div>
    <w:div w:id="1548377586">
      <w:bodyDiv w:val="1"/>
      <w:marLeft w:val="0"/>
      <w:marRight w:val="0"/>
      <w:marTop w:val="0"/>
      <w:marBottom w:val="0"/>
      <w:divBdr>
        <w:top w:val="none" w:sz="0" w:space="0" w:color="auto"/>
        <w:left w:val="none" w:sz="0" w:space="0" w:color="auto"/>
        <w:bottom w:val="none" w:sz="0" w:space="0" w:color="auto"/>
        <w:right w:val="none" w:sz="0" w:space="0" w:color="auto"/>
      </w:divBdr>
    </w:div>
    <w:div w:id="1552771364">
      <w:bodyDiv w:val="1"/>
      <w:marLeft w:val="0"/>
      <w:marRight w:val="0"/>
      <w:marTop w:val="0"/>
      <w:marBottom w:val="0"/>
      <w:divBdr>
        <w:top w:val="none" w:sz="0" w:space="0" w:color="auto"/>
        <w:left w:val="none" w:sz="0" w:space="0" w:color="auto"/>
        <w:bottom w:val="none" w:sz="0" w:space="0" w:color="auto"/>
        <w:right w:val="none" w:sz="0" w:space="0" w:color="auto"/>
      </w:divBdr>
    </w:div>
    <w:div w:id="1559899331">
      <w:bodyDiv w:val="1"/>
      <w:marLeft w:val="0"/>
      <w:marRight w:val="0"/>
      <w:marTop w:val="0"/>
      <w:marBottom w:val="0"/>
      <w:divBdr>
        <w:top w:val="none" w:sz="0" w:space="0" w:color="auto"/>
        <w:left w:val="none" w:sz="0" w:space="0" w:color="auto"/>
        <w:bottom w:val="none" w:sz="0" w:space="0" w:color="auto"/>
        <w:right w:val="none" w:sz="0" w:space="0" w:color="auto"/>
      </w:divBdr>
    </w:div>
    <w:div w:id="1625768493">
      <w:bodyDiv w:val="1"/>
      <w:marLeft w:val="0"/>
      <w:marRight w:val="0"/>
      <w:marTop w:val="0"/>
      <w:marBottom w:val="0"/>
      <w:divBdr>
        <w:top w:val="none" w:sz="0" w:space="0" w:color="auto"/>
        <w:left w:val="none" w:sz="0" w:space="0" w:color="auto"/>
        <w:bottom w:val="none" w:sz="0" w:space="0" w:color="auto"/>
        <w:right w:val="none" w:sz="0" w:space="0" w:color="auto"/>
      </w:divBdr>
    </w:div>
    <w:div w:id="1696419970">
      <w:bodyDiv w:val="1"/>
      <w:marLeft w:val="0"/>
      <w:marRight w:val="0"/>
      <w:marTop w:val="0"/>
      <w:marBottom w:val="0"/>
      <w:divBdr>
        <w:top w:val="none" w:sz="0" w:space="0" w:color="auto"/>
        <w:left w:val="none" w:sz="0" w:space="0" w:color="auto"/>
        <w:bottom w:val="none" w:sz="0" w:space="0" w:color="auto"/>
        <w:right w:val="none" w:sz="0" w:space="0" w:color="auto"/>
      </w:divBdr>
    </w:div>
    <w:div w:id="1727146662">
      <w:bodyDiv w:val="1"/>
      <w:marLeft w:val="0"/>
      <w:marRight w:val="0"/>
      <w:marTop w:val="0"/>
      <w:marBottom w:val="0"/>
      <w:divBdr>
        <w:top w:val="none" w:sz="0" w:space="0" w:color="auto"/>
        <w:left w:val="none" w:sz="0" w:space="0" w:color="auto"/>
        <w:bottom w:val="none" w:sz="0" w:space="0" w:color="auto"/>
        <w:right w:val="none" w:sz="0" w:space="0" w:color="auto"/>
      </w:divBdr>
    </w:div>
    <w:div w:id="1730768818">
      <w:bodyDiv w:val="1"/>
      <w:marLeft w:val="0"/>
      <w:marRight w:val="0"/>
      <w:marTop w:val="0"/>
      <w:marBottom w:val="0"/>
      <w:divBdr>
        <w:top w:val="none" w:sz="0" w:space="0" w:color="auto"/>
        <w:left w:val="none" w:sz="0" w:space="0" w:color="auto"/>
        <w:bottom w:val="none" w:sz="0" w:space="0" w:color="auto"/>
        <w:right w:val="none" w:sz="0" w:space="0" w:color="auto"/>
      </w:divBdr>
    </w:div>
    <w:div w:id="1771732297">
      <w:bodyDiv w:val="1"/>
      <w:marLeft w:val="0"/>
      <w:marRight w:val="0"/>
      <w:marTop w:val="0"/>
      <w:marBottom w:val="0"/>
      <w:divBdr>
        <w:top w:val="none" w:sz="0" w:space="0" w:color="auto"/>
        <w:left w:val="none" w:sz="0" w:space="0" w:color="auto"/>
        <w:bottom w:val="none" w:sz="0" w:space="0" w:color="auto"/>
        <w:right w:val="none" w:sz="0" w:space="0" w:color="auto"/>
      </w:divBdr>
    </w:div>
    <w:div w:id="1830245012">
      <w:bodyDiv w:val="1"/>
      <w:marLeft w:val="0"/>
      <w:marRight w:val="0"/>
      <w:marTop w:val="0"/>
      <w:marBottom w:val="0"/>
      <w:divBdr>
        <w:top w:val="none" w:sz="0" w:space="0" w:color="auto"/>
        <w:left w:val="none" w:sz="0" w:space="0" w:color="auto"/>
        <w:bottom w:val="none" w:sz="0" w:space="0" w:color="auto"/>
        <w:right w:val="none" w:sz="0" w:space="0" w:color="auto"/>
      </w:divBdr>
    </w:div>
    <w:div w:id="1836602277">
      <w:bodyDiv w:val="1"/>
      <w:marLeft w:val="0"/>
      <w:marRight w:val="0"/>
      <w:marTop w:val="0"/>
      <w:marBottom w:val="0"/>
      <w:divBdr>
        <w:top w:val="none" w:sz="0" w:space="0" w:color="auto"/>
        <w:left w:val="none" w:sz="0" w:space="0" w:color="auto"/>
        <w:bottom w:val="none" w:sz="0" w:space="0" w:color="auto"/>
        <w:right w:val="none" w:sz="0" w:space="0" w:color="auto"/>
      </w:divBdr>
    </w:div>
    <w:div w:id="1842113513">
      <w:bodyDiv w:val="1"/>
      <w:marLeft w:val="0"/>
      <w:marRight w:val="0"/>
      <w:marTop w:val="0"/>
      <w:marBottom w:val="0"/>
      <w:divBdr>
        <w:top w:val="none" w:sz="0" w:space="0" w:color="auto"/>
        <w:left w:val="none" w:sz="0" w:space="0" w:color="auto"/>
        <w:bottom w:val="none" w:sz="0" w:space="0" w:color="auto"/>
        <w:right w:val="none" w:sz="0" w:space="0" w:color="auto"/>
      </w:divBdr>
    </w:div>
    <w:div w:id="1856653790">
      <w:bodyDiv w:val="1"/>
      <w:marLeft w:val="0"/>
      <w:marRight w:val="0"/>
      <w:marTop w:val="0"/>
      <w:marBottom w:val="0"/>
      <w:divBdr>
        <w:top w:val="none" w:sz="0" w:space="0" w:color="auto"/>
        <w:left w:val="none" w:sz="0" w:space="0" w:color="auto"/>
        <w:bottom w:val="none" w:sz="0" w:space="0" w:color="auto"/>
        <w:right w:val="none" w:sz="0" w:space="0" w:color="auto"/>
      </w:divBdr>
    </w:div>
    <w:div w:id="1867985450">
      <w:bodyDiv w:val="1"/>
      <w:marLeft w:val="0"/>
      <w:marRight w:val="0"/>
      <w:marTop w:val="0"/>
      <w:marBottom w:val="0"/>
      <w:divBdr>
        <w:top w:val="none" w:sz="0" w:space="0" w:color="auto"/>
        <w:left w:val="none" w:sz="0" w:space="0" w:color="auto"/>
        <w:bottom w:val="none" w:sz="0" w:space="0" w:color="auto"/>
        <w:right w:val="none" w:sz="0" w:space="0" w:color="auto"/>
      </w:divBdr>
    </w:div>
    <w:div w:id="1868565860">
      <w:bodyDiv w:val="1"/>
      <w:marLeft w:val="0"/>
      <w:marRight w:val="0"/>
      <w:marTop w:val="0"/>
      <w:marBottom w:val="0"/>
      <w:divBdr>
        <w:top w:val="none" w:sz="0" w:space="0" w:color="auto"/>
        <w:left w:val="none" w:sz="0" w:space="0" w:color="auto"/>
        <w:bottom w:val="none" w:sz="0" w:space="0" w:color="auto"/>
        <w:right w:val="none" w:sz="0" w:space="0" w:color="auto"/>
      </w:divBdr>
    </w:div>
    <w:div w:id="1958560723">
      <w:bodyDiv w:val="1"/>
      <w:marLeft w:val="0"/>
      <w:marRight w:val="0"/>
      <w:marTop w:val="0"/>
      <w:marBottom w:val="0"/>
      <w:divBdr>
        <w:top w:val="none" w:sz="0" w:space="0" w:color="auto"/>
        <w:left w:val="none" w:sz="0" w:space="0" w:color="auto"/>
        <w:bottom w:val="none" w:sz="0" w:space="0" w:color="auto"/>
        <w:right w:val="none" w:sz="0" w:space="0" w:color="auto"/>
      </w:divBdr>
    </w:div>
    <w:div w:id="1997492300">
      <w:bodyDiv w:val="1"/>
      <w:marLeft w:val="0"/>
      <w:marRight w:val="0"/>
      <w:marTop w:val="0"/>
      <w:marBottom w:val="0"/>
      <w:divBdr>
        <w:top w:val="none" w:sz="0" w:space="0" w:color="auto"/>
        <w:left w:val="none" w:sz="0" w:space="0" w:color="auto"/>
        <w:bottom w:val="none" w:sz="0" w:space="0" w:color="auto"/>
        <w:right w:val="none" w:sz="0" w:space="0" w:color="auto"/>
      </w:divBdr>
    </w:div>
    <w:div w:id="2073191800">
      <w:bodyDiv w:val="1"/>
      <w:marLeft w:val="0"/>
      <w:marRight w:val="0"/>
      <w:marTop w:val="0"/>
      <w:marBottom w:val="0"/>
      <w:divBdr>
        <w:top w:val="none" w:sz="0" w:space="0" w:color="auto"/>
        <w:left w:val="none" w:sz="0" w:space="0" w:color="auto"/>
        <w:bottom w:val="none" w:sz="0" w:space="0" w:color="auto"/>
        <w:right w:val="none" w:sz="0" w:space="0" w:color="auto"/>
      </w:divBdr>
    </w:div>
    <w:div w:id="2097095080">
      <w:bodyDiv w:val="1"/>
      <w:marLeft w:val="0"/>
      <w:marRight w:val="0"/>
      <w:marTop w:val="0"/>
      <w:marBottom w:val="0"/>
      <w:divBdr>
        <w:top w:val="none" w:sz="0" w:space="0" w:color="auto"/>
        <w:left w:val="none" w:sz="0" w:space="0" w:color="auto"/>
        <w:bottom w:val="none" w:sz="0" w:space="0" w:color="auto"/>
        <w:right w:val="none" w:sz="0" w:space="0" w:color="auto"/>
      </w:divBdr>
    </w:div>
    <w:div w:id="213531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preventiveservicestaskforce.org/methods.htm" TargetMode="External"/><Relationship Id="rId18" Type="http://schemas.openxmlformats.org/officeDocument/2006/relationships/hyperlink" Target="https://www.ncbi.nlm.nih.gov/pmc/articles/PMC3278055/"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health.gov/hcq/ade-action-plan.asp" TargetMode="External"/><Relationship Id="rId7" Type="http://schemas.openxmlformats.org/officeDocument/2006/relationships/settings" Target="settings.xml"/><Relationship Id="rId12" Type="http://schemas.openxmlformats.org/officeDocument/2006/relationships/hyperlink" Target="http://www.uspreventiveservicestaskforce.org/uspstf/grades.htm" TargetMode="External"/><Relationship Id="rId17" Type="http://schemas.openxmlformats.org/officeDocument/2006/relationships/hyperlink" Target="https://www.ncbi.nlm.nih.gov/pubmed/23558044"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hyperlink" Target="http://www.onlinejacc.org/content/64/21/e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maj.ca/content/179/3/235.lo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adeworkinggroup.org/publications/index.htm"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D404EDD66956B47B76FB04B6F3AEE04"/>
        <w:category>
          <w:name w:val="General"/>
          <w:gallery w:val="placeholder"/>
        </w:category>
        <w:types>
          <w:type w:val="bbPlcHdr"/>
        </w:types>
        <w:behaviors>
          <w:behavior w:val="content"/>
        </w:behaviors>
        <w:guid w:val="{2D99CCFF-2755-564B-AA25-F5F5340190D4}"/>
      </w:docPartPr>
      <w:docPartBody>
        <w:p w:rsidR="0071324F" w:rsidRDefault="0011047E" w:rsidP="0011047E">
          <w:pPr>
            <w:pStyle w:val="8D404EDD66956B47B76FB04B6F3AEE04"/>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1047E"/>
    <w:rsid w:val="00135B80"/>
    <w:rsid w:val="00160241"/>
    <w:rsid w:val="001945C3"/>
    <w:rsid w:val="001F47A0"/>
    <w:rsid w:val="0023713C"/>
    <w:rsid w:val="002B5F47"/>
    <w:rsid w:val="0031631D"/>
    <w:rsid w:val="0038139E"/>
    <w:rsid w:val="003A1E4B"/>
    <w:rsid w:val="00455EB5"/>
    <w:rsid w:val="00461C1C"/>
    <w:rsid w:val="00484721"/>
    <w:rsid w:val="00493E29"/>
    <w:rsid w:val="004E2027"/>
    <w:rsid w:val="00595C79"/>
    <w:rsid w:val="005C28FE"/>
    <w:rsid w:val="005E4E89"/>
    <w:rsid w:val="005F21F3"/>
    <w:rsid w:val="006F52C3"/>
    <w:rsid w:val="0071324F"/>
    <w:rsid w:val="00762477"/>
    <w:rsid w:val="00822D3D"/>
    <w:rsid w:val="008F6A9B"/>
    <w:rsid w:val="00914F60"/>
    <w:rsid w:val="00921855"/>
    <w:rsid w:val="00A234DE"/>
    <w:rsid w:val="00A77B15"/>
    <w:rsid w:val="00A919BA"/>
    <w:rsid w:val="00B87290"/>
    <w:rsid w:val="00BE0F2D"/>
    <w:rsid w:val="00C03643"/>
    <w:rsid w:val="00C2797F"/>
    <w:rsid w:val="00C80225"/>
    <w:rsid w:val="00CA4E09"/>
    <w:rsid w:val="00CB2EA0"/>
    <w:rsid w:val="00D12A6D"/>
    <w:rsid w:val="00D228C9"/>
    <w:rsid w:val="00D2552B"/>
    <w:rsid w:val="00D75B64"/>
    <w:rsid w:val="00DB5324"/>
    <w:rsid w:val="00E50AF2"/>
    <w:rsid w:val="00E97654"/>
    <w:rsid w:val="00EA555A"/>
    <w:rsid w:val="00F226F0"/>
    <w:rsid w:val="00F71959"/>
    <w:rsid w:val="00F87EB9"/>
    <w:rsid w:val="00FC30A1"/>
    <w:rsid w:val="00FF1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047E"/>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133441943A5B654180A1A4CCAC7277AE">
    <w:name w:val="133441943A5B654180A1A4CCAC7277AE"/>
    <w:rsid w:val="0011047E"/>
    <w:pPr>
      <w:spacing w:after="0" w:line="240" w:lineRule="auto"/>
    </w:pPr>
    <w:rPr>
      <w:sz w:val="24"/>
      <w:szCs w:val="24"/>
    </w:rPr>
  </w:style>
  <w:style w:type="paragraph" w:customStyle="1" w:styleId="8D404EDD66956B47B76FB04B6F3AEE04">
    <w:name w:val="8D404EDD66956B47B76FB04B6F3AEE04"/>
    <w:rsid w:val="0011047E"/>
    <w:pPr>
      <w:spacing w:after="0" w:line="240" w:lineRule="auto"/>
    </w:pPr>
    <w:rPr>
      <w:sz w:val="24"/>
      <w:szCs w:val="24"/>
    </w:rPr>
  </w:style>
  <w:style w:type="paragraph" w:customStyle="1" w:styleId="544C02E1E4E04E42A15C77694B9A8F9E">
    <w:name w:val="544C02E1E4E04E42A15C77694B9A8F9E"/>
    <w:rsid w:val="0023713C"/>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9ECBE3ACE59A499C65EB7BC8865D23" ma:contentTypeVersion="8" ma:contentTypeDescription="Create a new document." ma:contentTypeScope="" ma:versionID="2d1f646c7deacdf9fa2d10da4fb74a8f">
  <xsd:schema xmlns:xsd="http://www.w3.org/2001/XMLSchema" xmlns:xs="http://www.w3.org/2001/XMLSchema" xmlns:p="http://schemas.microsoft.com/office/2006/metadata/properties" xmlns:ns2="404045bc-16e9-47f2-800c-8cb1b40b71b1" xmlns:ns3="ec1eade9-00d6-4135-a123-27d9314dc734" targetNamespace="http://schemas.microsoft.com/office/2006/metadata/properties" ma:root="true" ma:fieldsID="7f36ebeed6907f4407f2041e70063352" ns2:_="" ns3:_="">
    <xsd:import namespace="404045bc-16e9-47f2-800c-8cb1b40b71b1"/>
    <xsd:import namespace="ec1eade9-00d6-4135-a123-27d9314dc73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045bc-16e9-47f2-800c-8cb1b40b71b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c1eade9-00d6-4135-a123-27d9314dc73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E2BEB21-3090-467F-93AA-F4C4F6BC3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045bc-16e9-47f2-800c-8cb1b40b71b1"/>
    <ds:schemaRef ds:uri="ec1eade9-00d6-4135-a123-27d9314dc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659796-DB97-A74C-8FF8-9E0B634E6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7517</Words>
  <Characters>42848</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Heather Tinsley</cp:lastModifiedBy>
  <cp:revision>2</cp:revision>
  <dcterms:created xsi:type="dcterms:W3CDTF">2018-10-29T12:32:00Z</dcterms:created>
  <dcterms:modified xsi:type="dcterms:W3CDTF">2018-10-29T12:32:00Z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0x010100279ECBE3ACE59A499C65EB7BC8865D23</vt:lpwstr>
  </property>
</Properties>
</file>