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7E518"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41223FAD" w14:textId="78C231FB"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D1045">
            <w:rPr>
              <w:rStyle w:val="Style1"/>
            </w:rPr>
            <w:t>2371</w:t>
          </w:r>
        </w:sdtContent>
      </w:sdt>
    </w:p>
    <w:p w14:paraId="59F196CE"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DC416F" w:rsidRPr="00DC416F">
            <w:rPr>
              <w:rStyle w:val="Style1"/>
            </w:rPr>
            <w:t>Annual Monitoring for Patients on Persistent Medications</w:t>
          </w:r>
        </w:sdtContent>
      </w:sdt>
    </w:p>
    <w:p w14:paraId="24333734"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416818F1" w14:textId="1862EB7A"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1-17T00:00:00Z">
            <w:dateFormat w:val="M/d/yyyy"/>
            <w:lid w:val="en-US"/>
            <w:storeMappedDataAs w:val="dateTime"/>
            <w:calendar w:val="gregorian"/>
          </w:date>
        </w:sdtPr>
        <w:sdtEndPr>
          <w:rPr>
            <w:rStyle w:val="DefaultParagraphFont"/>
            <w:noProof/>
            <w:color w:val="auto"/>
            <w:u w:val="none"/>
          </w:rPr>
        </w:sdtEndPr>
        <w:sdtContent>
          <w:r w:rsidR="00A31DAA">
            <w:rPr>
              <w:rStyle w:val="Style2"/>
            </w:rPr>
            <w:t>1/17/2014</w:t>
          </w:r>
        </w:sdtContent>
      </w:sdt>
    </w:p>
    <w:tbl>
      <w:tblPr>
        <w:tblStyle w:val="TableGrid"/>
        <w:tblW w:w="5500" w:type="pct"/>
        <w:jc w:val="center"/>
        <w:tblLook w:val="04A0" w:firstRow="1" w:lastRow="0" w:firstColumn="1" w:lastColumn="0" w:noHBand="0" w:noVBand="1"/>
      </w:tblPr>
      <w:tblGrid>
        <w:gridCol w:w="10285"/>
      </w:tblGrid>
      <w:tr w:rsidR="00496AF8" w:rsidRPr="003B1CC5" w14:paraId="124956D4" w14:textId="77777777" w:rsidTr="00A31DAA">
        <w:trPr>
          <w:jc w:val="center"/>
        </w:trPr>
        <w:tc>
          <w:tcPr>
            <w:tcW w:w="10285" w:type="dxa"/>
          </w:tcPr>
          <w:p w14:paraId="5BA97085"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0E4E7383"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72B230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38F0C70F"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081167E3"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1ECB3659"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74F0C7B9"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542B0AC7"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8" w:history="1">
              <w:r w:rsidRPr="003B1CC5">
                <w:rPr>
                  <w:rStyle w:val="Hyperlink"/>
                </w:rPr>
                <w:t>Submitting Standards webpage</w:t>
              </w:r>
            </w:hyperlink>
            <w:r w:rsidRPr="003B1CC5">
              <w:t>.</w:t>
            </w:r>
          </w:p>
        </w:tc>
      </w:tr>
      <w:tr w:rsidR="00176E60" w:rsidRPr="003B1CC5" w14:paraId="5E8604C8" w14:textId="77777777" w:rsidTr="00A31DAA">
        <w:trPr>
          <w:jc w:val="center"/>
        </w:trPr>
        <w:tc>
          <w:tcPr>
            <w:tcW w:w="10285" w:type="dxa"/>
          </w:tcPr>
          <w:p w14:paraId="3D57FAE3"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12BE5D43" w14:textId="77777777" w:rsidR="008659ED" w:rsidRPr="003B1CC5" w:rsidRDefault="008659ED" w:rsidP="008659ED">
            <w:pPr>
              <w:pStyle w:val="Heading3"/>
              <w:rPr>
                <w:rFonts w:asciiTheme="minorHAnsi" w:hAnsiTheme="minorHAnsi"/>
                <w:sz w:val="20"/>
                <w:szCs w:val="20"/>
              </w:rPr>
            </w:pPr>
            <w:bookmarkStart w:id="0" w:name="Note2"/>
            <w:bookmarkEnd w:id="0"/>
            <w:r w:rsidRPr="003B1CC5">
              <w:rPr>
                <w:rFonts w:asciiTheme="minorHAnsi" w:hAnsiTheme="minorHAnsi"/>
                <w:sz w:val="20"/>
                <w:szCs w:val="20"/>
              </w:rPr>
              <w:t xml:space="preserve">1a. Evidence to Support the Measure Focus  </w:t>
            </w:r>
          </w:p>
          <w:p w14:paraId="2C0C93B4"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798B3B5A"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6D70D92A"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1D4808A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6F8009BD"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E027E2A"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2E8711E6"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0EC6655F"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6C2BA58E"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9"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0"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1"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617B33B1"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E7AF7E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67243A6"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789A0CB8"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48E6F1BE" w14:textId="77777777" w:rsidR="00496AF8" w:rsidRPr="003B1CC5" w:rsidRDefault="003D1045"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ED4EC73" w14:textId="77777777" w:rsidR="00236F87" w:rsidRPr="003B1CC5" w:rsidRDefault="003D1045"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297FDD3B" w14:textId="77777777" w:rsidR="00B117D0" w:rsidRPr="003B1CC5" w:rsidRDefault="00B117D0" w:rsidP="005857F8">
      <w:pPr>
        <w:ind w:left="720" w:firstLine="0"/>
        <w:rPr>
          <w:rFonts w:eastAsia="MS Gothic" w:cs="MS Gothic"/>
          <w:bCs/>
          <w:i/>
          <w:color w:val="0000FF"/>
        </w:rPr>
      </w:pPr>
      <w:r w:rsidRPr="003B1CC5">
        <w:rPr>
          <w:bCs/>
          <w:i/>
        </w:rPr>
        <w:lastRenderedPageBreak/>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14:paraId="2956F807" w14:textId="77777777" w:rsidR="00496AF8" w:rsidRPr="003B1CC5" w:rsidRDefault="003D1045"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0875E4FC" w14:textId="7B632B91" w:rsidR="00496AF8" w:rsidRPr="003B1CC5" w:rsidRDefault="003D1045"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A5FCF">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placeholder>
            <w:docPart w:val="4CBFC8EF1476485CBF0E82C994E3DC6E"/>
          </w:placeholder>
        </w:sdtPr>
        <w:sdtEndPr>
          <w:rPr>
            <w:rStyle w:val="DefaultParagraphFont"/>
            <w:rFonts w:cstheme="minorBidi"/>
            <w:bCs/>
            <w:color w:val="auto"/>
            <w:u w:val="none"/>
          </w:rPr>
        </w:sdtEndPr>
        <w:sdtContent>
          <w:r w:rsidR="00FF1C0D">
            <w:rPr>
              <w:rFonts w:ascii="Times New Roman" w:eastAsia="Times New Roman" w:hAnsi="Times New Roman" w:cs="Times New Roman"/>
              <w:color w:val="000000"/>
              <w:szCs w:val="17"/>
            </w:rPr>
            <w:t>Laboratory monitoring for patients on persistent m</w:t>
          </w:r>
          <w:r w:rsidR="00757931" w:rsidRPr="00635997">
            <w:rPr>
              <w:rFonts w:ascii="Times New Roman" w:eastAsia="Times New Roman" w:hAnsi="Times New Roman" w:cs="Times New Roman"/>
              <w:color w:val="000000"/>
              <w:szCs w:val="17"/>
            </w:rPr>
            <w:t>edications</w:t>
          </w:r>
          <w:r w:rsidR="00757931">
            <w:rPr>
              <w:rFonts w:ascii="Times New Roman" w:eastAsia="Times New Roman" w:hAnsi="Times New Roman" w:cs="Times New Roman"/>
              <w:color w:val="000000"/>
              <w:szCs w:val="17"/>
            </w:rPr>
            <w:t xml:space="preserve"> </w:t>
          </w:r>
        </w:sdtContent>
      </w:sdt>
    </w:p>
    <w:p w14:paraId="2DDE531E" w14:textId="77777777" w:rsidR="00496AF8" w:rsidRPr="003B1CC5" w:rsidRDefault="003D1045"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13EF8EC8" w14:textId="1F847972" w:rsidR="00496AF8" w:rsidRPr="003B1CC5" w:rsidRDefault="003D1045" w:rsidP="00757931">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6845389D" w14:textId="77777777" w:rsidR="00850C35" w:rsidRPr="003B1CC5" w:rsidRDefault="00925F11" w:rsidP="002E2177">
      <w:pPr>
        <w:ind w:left="0" w:firstLine="0"/>
        <w:rPr>
          <w:b/>
          <w:bCs/>
        </w:rPr>
      </w:pPr>
      <w:r w:rsidRPr="003B1CC5">
        <w:rPr>
          <w:b/>
          <w:iCs/>
          <w:caps/>
        </w:rPr>
        <w:t>_________________________</w:t>
      </w:r>
    </w:p>
    <w:p w14:paraId="4299D473"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22780B75" w14:textId="77777777"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6C6BF55C" w14:textId="4503BF8B" w:rsidR="00D14F0B" w:rsidRPr="003B1CC5" w:rsidRDefault="00B058A6" w:rsidP="00F05D0A">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04B0C9F4"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0D404F1D" w14:textId="77777777" w:rsidR="002B06BD" w:rsidRPr="003B1CC5" w:rsidRDefault="00925F11" w:rsidP="002E2177">
      <w:pPr>
        <w:ind w:left="0" w:firstLine="0"/>
        <w:rPr>
          <w:b/>
          <w:iCs/>
          <w:caps/>
        </w:rPr>
      </w:pPr>
      <w:r w:rsidRPr="003B1CC5">
        <w:rPr>
          <w:b/>
          <w:iCs/>
          <w:caps/>
        </w:rPr>
        <w:t>_________________________</w:t>
      </w:r>
    </w:p>
    <w:p w14:paraId="7727CB39"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7C670277" w14:textId="0B57DE9C" w:rsidR="00633FCC" w:rsidRPr="00F05D0A" w:rsidRDefault="002B06BD" w:rsidP="00633FCC">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105276C1" w14:textId="77777777" w:rsidR="00633FCC" w:rsidRPr="003D1045" w:rsidRDefault="00633FCC" w:rsidP="00B536B8">
      <w:pPr>
        <w:pStyle w:val="Style4"/>
        <w:rPr>
          <w:color w:val="0000FF"/>
        </w:rPr>
      </w:pPr>
      <w:r w:rsidRPr="003D1045">
        <w:rPr>
          <w:i/>
          <w:color w:val="0000FF"/>
        </w:rPr>
        <w:t>Identify population</w:t>
      </w:r>
      <w:r w:rsidRPr="003D1045">
        <w:rPr>
          <w:color w:val="0000FF"/>
        </w:rPr>
        <w:t>: Individuals with persistent use of select therapeutic agents that pose risk for adverse drug events</w:t>
      </w:r>
    </w:p>
    <w:p w14:paraId="46A288AE" w14:textId="77777777" w:rsidR="00633FCC" w:rsidRPr="003D1045" w:rsidRDefault="00633FCC" w:rsidP="00B536B8">
      <w:pPr>
        <w:pStyle w:val="Style4"/>
        <w:rPr>
          <w:color w:val="0000FF"/>
        </w:rPr>
      </w:pPr>
      <w:r w:rsidRPr="003D1045">
        <w:rPr>
          <w:i/>
          <w:color w:val="0000FF"/>
        </w:rPr>
        <w:t>Monitor</w:t>
      </w:r>
      <w:r w:rsidRPr="003D1045">
        <w:rPr>
          <w:color w:val="0000FF"/>
        </w:rPr>
        <w:t>: Provide at least annual appropriate monitoring tests for those with persistent medication use to identify risk of adverse drug events</w:t>
      </w:r>
    </w:p>
    <w:p w14:paraId="64624863" w14:textId="77777777" w:rsidR="00633FCC" w:rsidRPr="003D1045" w:rsidRDefault="00633FCC" w:rsidP="00B536B8">
      <w:pPr>
        <w:pStyle w:val="Style4"/>
        <w:rPr>
          <w:color w:val="0000FF"/>
        </w:rPr>
      </w:pPr>
      <w:r w:rsidRPr="003D1045">
        <w:rPr>
          <w:i/>
          <w:color w:val="0000FF"/>
        </w:rPr>
        <w:t>Intervene</w:t>
      </w:r>
      <w:r w:rsidRPr="003D1045">
        <w:rPr>
          <w:color w:val="0000FF"/>
        </w:rPr>
        <w:t>: Adjust dosage or stop medication to reduce risk of adverse drug event</w:t>
      </w:r>
    </w:p>
    <w:p w14:paraId="297FDB41" w14:textId="77777777" w:rsidR="00633FCC" w:rsidRPr="003D1045" w:rsidRDefault="00633FCC" w:rsidP="00B536B8">
      <w:pPr>
        <w:pStyle w:val="Style4"/>
        <w:rPr>
          <w:color w:val="0000FF"/>
        </w:rPr>
      </w:pPr>
      <w:r w:rsidRPr="003D1045">
        <w:rPr>
          <w:i/>
          <w:color w:val="0000FF"/>
        </w:rPr>
        <w:t>Outcome</w:t>
      </w:r>
      <w:r w:rsidRPr="003D1045">
        <w:rPr>
          <w:color w:val="0000FF"/>
        </w:rPr>
        <w:t>: Those with appropriate monitoring will have less risk of experiencing an adverse drug event</w:t>
      </w:r>
    </w:p>
    <w:p w14:paraId="1F4D5016"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74062305" w14:textId="1F7DC492" w:rsidR="00FD4D82" w:rsidRPr="003B1CC5" w:rsidRDefault="003D1045"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2259E2">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2A7A7E83" w14:textId="77777777" w:rsidR="00FD4D82" w:rsidRPr="003B1CC5" w:rsidRDefault="003D1045"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38543FA2" w14:textId="59FBEDCF" w:rsidR="007573F0" w:rsidRPr="003B1CC5" w:rsidRDefault="003D1045"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64C234DD" w14:textId="3BD80C2A" w:rsidR="00FD4D82" w:rsidRPr="003B1CC5" w:rsidRDefault="003D1045"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0972EDE3"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191CCAA6"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00970A17"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3D6AC848"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1A2B1660" w14:textId="77777777" w:rsidR="001E22BF" w:rsidRPr="003D1045" w:rsidRDefault="001E22BF" w:rsidP="003D1045">
      <w:pPr>
        <w:pStyle w:val="Style4"/>
        <w:rPr>
          <w:color w:val="0000FF"/>
        </w:rPr>
      </w:pPr>
      <w:r w:rsidRPr="003D1045">
        <w:rPr>
          <w:color w:val="0000FF"/>
        </w:rPr>
        <w:t xml:space="preserve">Burden R and </w:t>
      </w:r>
      <w:proofErr w:type="spellStart"/>
      <w:r w:rsidRPr="003D1045">
        <w:rPr>
          <w:color w:val="0000FF"/>
        </w:rPr>
        <w:t>Tomson</w:t>
      </w:r>
      <w:proofErr w:type="spellEnd"/>
      <w:r w:rsidRPr="003D1045">
        <w:rPr>
          <w:color w:val="0000FF"/>
        </w:rPr>
        <w:t xml:space="preserve"> C. Identification, management and referral of adults with chronic kidney disease: Concise guidelines. </w:t>
      </w:r>
      <w:proofErr w:type="spellStart"/>
      <w:r w:rsidRPr="003D1045">
        <w:rPr>
          <w:color w:val="0000FF"/>
        </w:rPr>
        <w:t>Clin</w:t>
      </w:r>
      <w:proofErr w:type="spellEnd"/>
      <w:r w:rsidRPr="003D1045">
        <w:rPr>
          <w:color w:val="0000FF"/>
        </w:rPr>
        <w:t xml:space="preserve"> Med. 2005; 5(6): 635-42.</w:t>
      </w:r>
    </w:p>
    <w:p w14:paraId="02062C08" w14:textId="77777777" w:rsidR="001E22BF" w:rsidRPr="003D1045" w:rsidRDefault="001E22BF" w:rsidP="00BE6777">
      <w:pPr>
        <w:ind w:left="720" w:hanging="720"/>
        <w:rPr>
          <w:rFonts w:ascii="Times New Roman" w:hAnsi="Times New Roman" w:cs="Times New Roman"/>
          <w:color w:val="0000FF"/>
          <w:szCs w:val="20"/>
        </w:rPr>
      </w:pPr>
      <w:r w:rsidRPr="003D1045">
        <w:rPr>
          <w:rFonts w:ascii="Times New Roman" w:hAnsi="Times New Roman" w:cs="Times New Roman"/>
          <w:color w:val="0000FF"/>
          <w:szCs w:val="20"/>
        </w:rPr>
        <w:t>Federal Drug Administration (</w:t>
      </w:r>
      <w:proofErr w:type="spellStart"/>
      <w:r w:rsidRPr="003D1045">
        <w:rPr>
          <w:rFonts w:ascii="Times New Roman" w:hAnsi="Times New Roman" w:cs="Times New Roman"/>
          <w:color w:val="0000FF"/>
          <w:szCs w:val="20"/>
        </w:rPr>
        <w:t>FDAa</w:t>
      </w:r>
      <w:proofErr w:type="spellEnd"/>
      <w:r w:rsidRPr="003D1045">
        <w:rPr>
          <w:rFonts w:ascii="Times New Roman" w:hAnsi="Times New Roman" w:cs="Times New Roman"/>
          <w:color w:val="0000FF"/>
          <w:szCs w:val="20"/>
        </w:rPr>
        <w:t>)</w:t>
      </w:r>
      <w:r w:rsidRPr="003D1045">
        <w:rPr>
          <w:rFonts w:ascii="Times New Roman" w:hAnsi="Times New Roman" w:cs="Times New Roman"/>
          <w:noProof/>
          <w:color w:val="0000FF"/>
          <w:szCs w:val="20"/>
        </w:rPr>
        <w:t xml:space="preserve">. </w:t>
      </w:r>
      <w:r w:rsidRPr="003D1045">
        <w:rPr>
          <w:rStyle w:val="Strong"/>
          <w:rFonts w:ascii="Times New Roman" w:hAnsi="Times New Roman" w:cs="Times New Roman"/>
          <w:b w:val="0"/>
          <w:color w:val="0000FF"/>
          <w:szCs w:val="20"/>
        </w:rPr>
        <w:t>LANOXIN- digoxin </w:t>
      </w:r>
      <w:proofErr w:type="gramStart"/>
      <w:r w:rsidRPr="003D1045">
        <w:rPr>
          <w:rStyle w:val="Strong"/>
          <w:rFonts w:ascii="Times New Roman" w:hAnsi="Times New Roman" w:cs="Times New Roman"/>
          <w:b w:val="0"/>
          <w:color w:val="0000FF"/>
          <w:szCs w:val="20"/>
        </w:rPr>
        <w:t>tablet .</w:t>
      </w:r>
      <w:proofErr w:type="gramEnd"/>
      <w:r w:rsidRPr="003D1045">
        <w:rPr>
          <w:rStyle w:val="Strong"/>
          <w:rFonts w:ascii="Times New Roman" w:hAnsi="Times New Roman" w:cs="Times New Roman"/>
          <w:b w:val="0"/>
          <w:color w:val="0000FF"/>
          <w:szCs w:val="20"/>
        </w:rPr>
        <w:t xml:space="preserve"> Cardinal Health. 2013</w:t>
      </w:r>
      <w:r w:rsidRPr="003D1045">
        <w:rPr>
          <w:rStyle w:val="Strong"/>
          <w:rFonts w:ascii="Times New Roman" w:hAnsi="Times New Roman" w:cs="Times New Roman"/>
          <w:color w:val="0000FF"/>
          <w:szCs w:val="20"/>
        </w:rPr>
        <w:t xml:space="preserve">. </w:t>
      </w:r>
      <w:r w:rsidRPr="003D1045">
        <w:rPr>
          <w:rFonts w:ascii="Times New Roman" w:hAnsi="Times New Roman" w:cs="Times New Roman"/>
          <w:noProof/>
          <w:color w:val="0000FF"/>
          <w:szCs w:val="20"/>
        </w:rPr>
        <w:t xml:space="preserve"> Accessed December 6, 2013.  Available at: </w:t>
      </w:r>
      <w:hyperlink r:id="rId14" w:history="1">
        <w:r w:rsidRPr="003D1045">
          <w:rPr>
            <w:rStyle w:val="Hyperlink"/>
            <w:rFonts w:ascii="Times New Roman" w:hAnsi="Times New Roman" w:cs="Times New Roman"/>
            <w:color w:val="0000FF"/>
            <w:szCs w:val="20"/>
          </w:rPr>
          <w:t>http://labels.fda.gov/</w:t>
        </w:r>
      </w:hyperlink>
    </w:p>
    <w:p w14:paraId="41D3E980" w14:textId="77777777" w:rsidR="001E22BF" w:rsidRPr="003D1045" w:rsidRDefault="001E22BF" w:rsidP="00BE6777">
      <w:pPr>
        <w:ind w:left="720" w:hanging="720"/>
        <w:rPr>
          <w:rFonts w:ascii="Times New Roman" w:hAnsi="Times New Roman" w:cs="Times New Roman"/>
          <w:color w:val="0000FF"/>
          <w:szCs w:val="20"/>
        </w:rPr>
      </w:pPr>
      <w:r w:rsidRPr="003D1045">
        <w:rPr>
          <w:rFonts w:ascii="Times New Roman" w:hAnsi="Times New Roman" w:cs="Times New Roman"/>
          <w:color w:val="0000FF"/>
          <w:szCs w:val="20"/>
        </w:rPr>
        <w:t>Federal Drug Administration (</w:t>
      </w:r>
      <w:proofErr w:type="spellStart"/>
      <w:r w:rsidRPr="003D1045">
        <w:rPr>
          <w:rFonts w:ascii="Times New Roman" w:hAnsi="Times New Roman" w:cs="Times New Roman"/>
          <w:color w:val="0000FF"/>
          <w:szCs w:val="20"/>
        </w:rPr>
        <w:t>FDAb</w:t>
      </w:r>
      <w:proofErr w:type="spellEnd"/>
      <w:r w:rsidRPr="003D1045">
        <w:rPr>
          <w:rFonts w:ascii="Times New Roman" w:hAnsi="Times New Roman" w:cs="Times New Roman"/>
          <w:color w:val="0000FF"/>
          <w:szCs w:val="20"/>
        </w:rPr>
        <w:t>)</w:t>
      </w:r>
      <w:r w:rsidRPr="003D1045">
        <w:rPr>
          <w:rFonts w:ascii="Times New Roman" w:hAnsi="Times New Roman" w:cs="Times New Roman"/>
          <w:noProof/>
          <w:color w:val="0000FF"/>
          <w:szCs w:val="20"/>
        </w:rPr>
        <w:t>.</w:t>
      </w:r>
      <w:r w:rsidRPr="003D1045">
        <w:rPr>
          <w:rStyle w:val="Strong"/>
          <w:rFonts w:ascii="Times New Roman" w:hAnsi="Times New Roman" w:cs="Times New Roman"/>
          <w:color w:val="0000FF"/>
          <w:szCs w:val="20"/>
        </w:rPr>
        <w:t xml:space="preserve">  </w:t>
      </w:r>
      <w:r w:rsidRPr="003D1045">
        <w:rPr>
          <w:rFonts w:ascii="Times New Roman" w:hAnsi="Times New Roman" w:cs="Times New Roman"/>
          <w:noProof/>
          <w:color w:val="0000FF"/>
          <w:szCs w:val="20"/>
        </w:rPr>
        <w:t xml:space="preserve">Lasix (furosemide) prescribing information. Bridgewater, nj: Sanofi-aventis. 2011.  Accessed December 6, 2013.  Available at: </w:t>
      </w:r>
      <w:hyperlink r:id="rId15" w:history="1">
        <w:r w:rsidRPr="003D1045">
          <w:rPr>
            <w:rStyle w:val="Hyperlink"/>
            <w:rFonts w:ascii="Times New Roman" w:hAnsi="Times New Roman" w:cs="Times New Roman"/>
            <w:color w:val="0000FF"/>
            <w:szCs w:val="20"/>
          </w:rPr>
          <w:t>http://labels.fda.gov/</w:t>
        </w:r>
      </w:hyperlink>
    </w:p>
    <w:p w14:paraId="79B1AEFD" w14:textId="3A513F11" w:rsidR="001E22BF" w:rsidRPr="003D1045" w:rsidRDefault="00320220" w:rsidP="00BE6777">
      <w:pPr>
        <w:ind w:left="720" w:hanging="720"/>
        <w:rPr>
          <w:rFonts w:ascii="Times New Roman" w:hAnsi="Times New Roman" w:cs="Times New Roman"/>
          <w:color w:val="0000FF"/>
          <w:szCs w:val="20"/>
        </w:rPr>
      </w:pPr>
      <w:r w:rsidRPr="003D1045">
        <w:rPr>
          <w:rFonts w:ascii="Times New Roman" w:hAnsi="Times New Roman" w:cs="Times New Roman"/>
          <w:color w:val="0000FF"/>
          <w:szCs w:val="20"/>
        </w:rPr>
        <w:t>Hunt SA AW, Chin MH et al. F</w:t>
      </w:r>
      <w:r w:rsidR="001E22BF" w:rsidRPr="003D1045">
        <w:rPr>
          <w:rFonts w:ascii="Times New Roman" w:hAnsi="Times New Roman" w:cs="Times New Roman"/>
          <w:color w:val="0000FF"/>
          <w:szCs w:val="20"/>
        </w:rPr>
        <w:t xml:space="preserve">ocused update incorporated into the </w:t>
      </w:r>
      <w:proofErr w:type="spellStart"/>
      <w:r w:rsidR="001E22BF" w:rsidRPr="003D1045">
        <w:rPr>
          <w:rFonts w:ascii="Times New Roman" w:hAnsi="Times New Roman" w:cs="Times New Roman"/>
          <w:color w:val="0000FF"/>
          <w:szCs w:val="20"/>
        </w:rPr>
        <w:t>acc</w:t>
      </w:r>
      <w:proofErr w:type="spellEnd"/>
      <w:r w:rsidR="001E22BF" w:rsidRPr="003D1045">
        <w:rPr>
          <w:rFonts w:ascii="Times New Roman" w:hAnsi="Times New Roman" w:cs="Times New Roman"/>
          <w:color w:val="0000FF"/>
          <w:szCs w:val="20"/>
        </w:rPr>
        <w:t xml:space="preserve">/aha 2005 guidelines for the diagnosis and management of heart failure in adults: A report of the </w:t>
      </w:r>
      <w:r w:rsidR="00B536B8" w:rsidRPr="003D1045">
        <w:rPr>
          <w:rFonts w:ascii="Times New Roman" w:hAnsi="Times New Roman" w:cs="Times New Roman"/>
          <w:color w:val="0000FF"/>
          <w:szCs w:val="20"/>
        </w:rPr>
        <w:t>American</w:t>
      </w:r>
      <w:r w:rsidR="001E22BF" w:rsidRPr="003D1045">
        <w:rPr>
          <w:rFonts w:ascii="Times New Roman" w:hAnsi="Times New Roman" w:cs="Times New Roman"/>
          <w:color w:val="0000FF"/>
          <w:szCs w:val="20"/>
        </w:rPr>
        <w:t xml:space="preserve"> college of cardiology foundation/</w:t>
      </w:r>
      <w:r w:rsidR="00B536B8" w:rsidRPr="003D1045">
        <w:rPr>
          <w:rFonts w:ascii="Times New Roman" w:hAnsi="Times New Roman" w:cs="Times New Roman"/>
          <w:color w:val="0000FF"/>
          <w:szCs w:val="20"/>
        </w:rPr>
        <w:t>American</w:t>
      </w:r>
      <w:r w:rsidR="001E22BF" w:rsidRPr="003D1045">
        <w:rPr>
          <w:rFonts w:ascii="Times New Roman" w:hAnsi="Times New Roman" w:cs="Times New Roman"/>
          <w:color w:val="0000FF"/>
          <w:szCs w:val="20"/>
        </w:rPr>
        <w:t xml:space="preserve"> heart association task force on practice guidelines: Developed in collaboration with the international society for heart and lung transplantation. Circulation. 2009; 119(14): e391-479.</w:t>
      </w:r>
    </w:p>
    <w:p w14:paraId="30930870" w14:textId="77777777" w:rsidR="001E22BF" w:rsidRPr="003D1045" w:rsidRDefault="001E22BF" w:rsidP="00BE6777">
      <w:pPr>
        <w:ind w:left="720" w:hanging="720"/>
        <w:rPr>
          <w:rFonts w:ascii="Times New Roman" w:hAnsi="Times New Roman" w:cs="Times New Roman"/>
          <w:color w:val="0000FF"/>
          <w:szCs w:val="20"/>
        </w:rPr>
      </w:pPr>
      <w:proofErr w:type="spellStart"/>
      <w:r w:rsidRPr="003D1045">
        <w:rPr>
          <w:rFonts w:ascii="Times New Roman" w:hAnsi="Times New Roman" w:cs="Times New Roman"/>
          <w:color w:val="0000FF"/>
          <w:szCs w:val="20"/>
        </w:rPr>
        <w:t>Lindenfeld</w:t>
      </w:r>
      <w:proofErr w:type="spellEnd"/>
      <w:r w:rsidRPr="003D1045">
        <w:rPr>
          <w:rFonts w:ascii="Times New Roman" w:hAnsi="Times New Roman" w:cs="Times New Roman"/>
          <w:color w:val="0000FF"/>
          <w:szCs w:val="20"/>
        </w:rPr>
        <w:t xml:space="preserve"> J, Albert NM, </w:t>
      </w:r>
      <w:proofErr w:type="spellStart"/>
      <w:r w:rsidRPr="003D1045">
        <w:rPr>
          <w:rFonts w:ascii="Times New Roman" w:hAnsi="Times New Roman" w:cs="Times New Roman"/>
          <w:color w:val="0000FF"/>
          <w:szCs w:val="20"/>
        </w:rPr>
        <w:t>Boehmer</w:t>
      </w:r>
      <w:proofErr w:type="spellEnd"/>
      <w:r w:rsidRPr="003D1045">
        <w:rPr>
          <w:rFonts w:ascii="Times New Roman" w:hAnsi="Times New Roman" w:cs="Times New Roman"/>
          <w:color w:val="0000FF"/>
          <w:szCs w:val="20"/>
        </w:rPr>
        <w:t xml:space="preserve"> JP et al. </w:t>
      </w:r>
      <w:proofErr w:type="spellStart"/>
      <w:r w:rsidRPr="003D1045">
        <w:rPr>
          <w:rFonts w:ascii="Times New Roman" w:hAnsi="Times New Roman" w:cs="Times New Roman"/>
          <w:color w:val="0000FF"/>
          <w:szCs w:val="20"/>
        </w:rPr>
        <w:t>Hfsa</w:t>
      </w:r>
      <w:proofErr w:type="spellEnd"/>
      <w:r w:rsidRPr="003D1045">
        <w:rPr>
          <w:rFonts w:ascii="Times New Roman" w:hAnsi="Times New Roman" w:cs="Times New Roman"/>
          <w:color w:val="0000FF"/>
          <w:szCs w:val="20"/>
        </w:rPr>
        <w:t xml:space="preserve"> 2010 comprehensive heart failure practice guideline. Journal of cardiac failure. 2010; 16(6): e1-194.</w:t>
      </w:r>
    </w:p>
    <w:p w14:paraId="13B77327" w14:textId="77777777" w:rsidR="001E22BF" w:rsidRPr="003D1045" w:rsidRDefault="001E22BF" w:rsidP="00BE6777">
      <w:pPr>
        <w:ind w:left="720" w:hanging="720"/>
        <w:rPr>
          <w:rFonts w:ascii="Times New Roman" w:hAnsi="Times New Roman" w:cs="Times New Roman"/>
          <w:color w:val="0000FF"/>
          <w:szCs w:val="20"/>
        </w:rPr>
      </w:pPr>
      <w:proofErr w:type="spellStart"/>
      <w:r w:rsidRPr="003D1045">
        <w:rPr>
          <w:rFonts w:ascii="Times New Roman" w:hAnsi="Times New Roman" w:cs="Times New Roman"/>
          <w:color w:val="0000FF"/>
          <w:szCs w:val="20"/>
        </w:rPr>
        <w:t>Pinkerman</w:t>
      </w:r>
      <w:proofErr w:type="spellEnd"/>
      <w:r w:rsidRPr="003D1045">
        <w:rPr>
          <w:rFonts w:ascii="Times New Roman" w:hAnsi="Times New Roman" w:cs="Times New Roman"/>
          <w:color w:val="0000FF"/>
          <w:szCs w:val="20"/>
        </w:rPr>
        <w:t xml:space="preserve"> C, Sander P, Breeding JE et al. Heart failure in adults. Institute for Clinical Systems Improvement (ICSI). 2013.</w:t>
      </w:r>
    </w:p>
    <w:p w14:paraId="7FC95710" w14:textId="77777777" w:rsidR="001E22BF" w:rsidRPr="003D1045" w:rsidRDefault="001E22BF" w:rsidP="00BE6777">
      <w:pPr>
        <w:ind w:left="720" w:hanging="720"/>
        <w:rPr>
          <w:rFonts w:ascii="Times New Roman" w:hAnsi="Times New Roman" w:cs="Times New Roman"/>
          <w:color w:val="0000FF"/>
          <w:szCs w:val="20"/>
        </w:rPr>
      </w:pPr>
      <w:proofErr w:type="spellStart"/>
      <w:r w:rsidRPr="003D1045">
        <w:rPr>
          <w:rFonts w:ascii="Times New Roman" w:hAnsi="Times New Roman" w:cs="Times New Roman"/>
          <w:color w:val="0000FF"/>
          <w:szCs w:val="20"/>
        </w:rPr>
        <w:t>Smellie</w:t>
      </w:r>
      <w:proofErr w:type="spellEnd"/>
      <w:r w:rsidRPr="003D1045">
        <w:rPr>
          <w:rFonts w:ascii="Times New Roman" w:hAnsi="Times New Roman" w:cs="Times New Roman"/>
          <w:color w:val="0000FF"/>
          <w:szCs w:val="20"/>
        </w:rPr>
        <w:t xml:space="preserve"> WS, Forth J, Coleman JJ et al. Best practice in primary care pathology: Review 6. Journal of clinical pathology. 2007; 60(3): 225-34.</w:t>
      </w:r>
    </w:p>
    <w:p w14:paraId="6A1DEDFB" w14:textId="2374BD45" w:rsidR="001E22BF" w:rsidRPr="003D1045" w:rsidRDefault="001E22BF" w:rsidP="00BE6777">
      <w:pPr>
        <w:ind w:left="720" w:hanging="720"/>
        <w:rPr>
          <w:rFonts w:ascii="Times New Roman" w:hAnsi="Times New Roman" w:cs="Times New Roman"/>
          <w:color w:val="0000FF"/>
          <w:szCs w:val="20"/>
        </w:rPr>
      </w:pPr>
      <w:proofErr w:type="spellStart"/>
      <w:r w:rsidRPr="003D1045">
        <w:rPr>
          <w:rFonts w:ascii="Times New Roman" w:hAnsi="Times New Roman" w:cs="Times New Roman"/>
          <w:color w:val="0000FF"/>
          <w:szCs w:val="20"/>
        </w:rPr>
        <w:t>Swedberg</w:t>
      </w:r>
      <w:proofErr w:type="spellEnd"/>
      <w:r w:rsidRPr="003D1045">
        <w:rPr>
          <w:rFonts w:ascii="Times New Roman" w:hAnsi="Times New Roman" w:cs="Times New Roman"/>
          <w:color w:val="0000FF"/>
          <w:szCs w:val="20"/>
        </w:rPr>
        <w:t xml:space="preserve"> K, Cleland J, </w:t>
      </w:r>
      <w:proofErr w:type="spellStart"/>
      <w:r w:rsidRPr="003D1045">
        <w:rPr>
          <w:rFonts w:ascii="Times New Roman" w:hAnsi="Times New Roman" w:cs="Times New Roman"/>
          <w:color w:val="0000FF"/>
          <w:szCs w:val="20"/>
        </w:rPr>
        <w:t>Dargie</w:t>
      </w:r>
      <w:proofErr w:type="spellEnd"/>
      <w:r w:rsidRPr="003D1045">
        <w:rPr>
          <w:rFonts w:ascii="Times New Roman" w:hAnsi="Times New Roman" w:cs="Times New Roman"/>
          <w:color w:val="0000FF"/>
          <w:szCs w:val="20"/>
        </w:rPr>
        <w:t xml:space="preserve"> H et al. Guidelines for the diagnosis and treatment of chronic heart failure: Executive summary (update 2005): The task force for the diagnosis and treatment of chronic heart failure of the </w:t>
      </w:r>
      <w:r w:rsidR="00B536B8" w:rsidRPr="003D1045">
        <w:rPr>
          <w:rFonts w:ascii="Times New Roman" w:hAnsi="Times New Roman" w:cs="Times New Roman"/>
          <w:color w:val="0000FF"/>
          <w:szCs w:val="20"/>
        </w:rPr>
        <w:t>European</w:t>
      </w:r>
      <w:r w:rsidRPr="003D1045">
        <w:rPr>
          <w:rFonts w:ascii="Times New Roman" w:hAnsi="Times New Roman" w:cs="Times New Roman"/>
          <w:color w:val="0000FF"/>
          <w:szCs w:val="20"/>
        </w:rPr>
        <w:t xml:space="preserve"> society of cardiology. </w:t>
      </w:r>
      <w:proofErr w:type="spellStart"/>
      <w:r w:rsidRPr="003D1045">
        <w:rPr>
          <w:rFonts w:ascii="Times New Roman" w:hAnsi="Times New Roman" w:cs="Times New Roman"/>
          <w:color w:val="0000FF"/>
          <w:szCs w:val="20"/>
        </w:rPr>
        <w:t>Eur</w:t>
      </w:r>
      <w:proofErr w:type="spellEnd"/>
      <w:r w:rsidRPr="003D1045">
        <w:rPr>
          <w:rFonts w:ascii="Times New Roman" w:hAnsi="Times New Roman" w:cs="Times New Roman"/>
          <w:color w:val="0000FF"/>
          <w:szCs w:val="20"/>
        </w:rPr>
        <w:t xml:space="preserve"> Heart J. 2005; 26(11): 1115-40.</w:t>
      </w:r>
    </w:p>
    <w:p w14:paraId="3B723831" w14:textId="523198E3"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18E29951" w14:textId="31660C8A" w:rsidR="00B1371D" w:rsidRPr="003D1045" w:rsidRDefault="00D4011A" w:rsidP="002E2177">
      <w:pPr>
        <w:ind w:left="0" w:firstLine="0"/>
        <w:rPr>
          <w:rFonts w:ascii="Times New Roman" w:hAnsi="Times New Roman" w:cs="Times New Roman"/>
          <w:color w:val="0000FF"/>
        </w:rPr>
      </w:pPr>
      <w:r w:rsidRPr="003D1045">
        <w:rPr>
          <w:rFonts w:ascii="Times New Roman" w:hAnsi="Times New Roman" w:cs="Times New Roman"/>
          <w:color w:val="0000FF"/>
        </w:rPr>
        <w:t>C</w:t>
      </w:r>
      <w:r w:rsidR="00B1371D" w:rsidRPr="003D1045">
        <w:rPr>
          <w:rFonts w:ascii="Times New Roman" w:hAnsi="Times New Roman" w:cs="Times New Roman"/>
          <w:color w:val="0000FF"/>
        </w:rPr>
        <w:t>linical practice guideline</w:t>
      </w:r>
      <w:r w:rsidR="00633FCC" w:rsidRPr="003D1045">
        <w:rPr>
          <w:rFonts w:ascii="Times New Roman" w:hAnsi="Times New Roman" w:cs="Times New Roman"/>
          <w:color w:val="0000FF"/>
        </w:rPr>
        <w:t xml:space="preserve">s </w:t>
      </w:r>
      <w:r w:rsidRPr="003D1045">
        <w:rPr>
          <w:rFonts w:ascii="Times New Roman" w:hAnsi="Times New Roman" w:cs="Times New Roman"/>
          <w:color w:val="0000FF"/>
        </w:rPr>
        <w:t xml:space="preserve">do not </w:t>
      </w:r>
      <w:r w:rsidR="00633FCC" w:rsidRPr="003D1045">
        <w:rPr>
          <w:rFonts w:ascii="Times New Roman" w:hAnsi="Times New Roman" w:cs="Times New Roman"/>
          <w:color w:val="0000FF"/>
        </w:rPr>
        <w:t xml:space="preserve">provide graded </w:t>
      </w:r>
      <w:r w:rsidR="00B1371D" w:rsidRPr="003D1045">
        <w:rPr>
          <w:rFonts w:ascii="Times New Roman" w:hAnsi="Times New Roman" w:cs="Times New Roman"/>
          <w:color w:val="0000FF"/>
        </w:rPr>
        <w:t xml:space="preserve">recommendations for annual monitoring </w:t>
      </w:r>
      <w:r w:rsidR="00633FCC" w:rsidRPr="003D1045">
        <w:rPr>
          <w:rFonts w:ascii="Times New Roman" w:hAnsi="Times New Roman" w:cs="Times New Roman"/>
          <w:color w:val="0000FF"/>
        </w:rPr>
        <w:t>of</w:t>
      </w:r>
      <w:r w:rsidR="00B1371D" w:rsidRPr="003D1045">
        <w:rPr>
          <w:rFonts w:ascii="Times New Roman" w:hAnsi="Times New Roman" w:cs="Times New Roman"/>
          <w:color w:val="0000FF"/>
        </w:rPr>
        <w:t xml:space="preserve"> patients with persistent use of ACE</w:t>
      </w:r>
      <w:r w:rsidR="00633FCC" w:rsidRPr="003D1045">
        <w:rPr>
          <w:rFonts w:ascii="Times New Roman" w:hAnsi="Times New Roman" w:cs="Times New Roman"/>
          <w:color w:val="0000FF"/>
        </w:rPr>
        <w:t xml:space="preserve"> inhibitors/ARBS, digoxin, and d</w:t>
      </w:r>
      <w:r w:rsidR="00B1371D" w:rsidRPr="003D1045">
        <w:rPr>
          <w:rFonts w:ascii="Times New Roman" w:hAnsi="Times New Roman" w:cs="Times New Roman"/>
          <w:color w:val="0000FF"/>
        </w:rPr>
        <w:t>iuretics</w:t>
      </w:r>
      <w:r w:rsidR="004533E4" w:rsidRPr="003D1045">
        <w:rPr>
          <w:rFonts w:ascii="Times New Roman" w:hAnsi="Times New Roman" w:cs="Times New Roman"/>
          <w:color w:val="0000FF"/>
        </w:rPr>
        <w:t>; h</w:t>
      </w:r>
      <w:r w:rsidR="00633FCC" w:rsidRPr="003D1045">
        <w:rPr>
          <w:rFonts w:ascii="Times New Roman" w:hAnsi="Times New Roman" w:cs="Times New Roman"/>
          <w:color w:val="0000FF"/>
        </w:rPr>
        <w:t xml:space="preserve">owever, several guidelines describe the risks of adverse drug events related to use of these medications and the importance of </w:t>
      </w:r>
      <w:r w:rsidRPr="003D1045">
        <w:rPr>
          <w:rFonts w:ascii="Times New Roman" w:hAnsi="Times New Roman" w:cs="Times New Roman"/>
          <w:color w:val="0000FF"/>
        </w:rPr>
        <w:t xml:space="preserve">regular monitoring to avoid adverse drug events.  </w:t>
      </w:r>
      <w:r w:rsidR="004533E4" w:rsidRPr="003D1045">
        <w:rPr>
          <w:rFonts w:ascii="Times New Roman" w:hAnsi="Times New Roman" w:cs="Times New Roman"/>
          <w:color w:val="0000FF"/>
        </w:rPr>
        <w:t xml:space="preserve">We worked with researchers from </w:t>
      </w:r>
      <w:r w:rsidR="00B1371D" w:rsidRPr="003D1045">
        <w:rPr>
          <w:rFonts w:ascii="Times New Roman" w:hAnsi="Times New Roman" w:cs="Times New Roman"/>
          <w:color w:val="0000FF"/>
        </w:rPr>
        <w:t xml:space="preserve">Johns Hopkins Hospital Center for Medication Quality and Outcomes to review the current evidence and </w:t>
      </w:r>
      <w:r w:rsidR="0040248E" w:rsidRPr="003D1045">
        <w:rPr>
          <w:rFonts w:ascii="Times New Roman" w:hAnsi="Times New Roman" w:cs="Times New Roman"/>
          <w:color w:val="0000FF"/>
        </w:rPr>
        <w:t xml:space="preserve">all </w:t>
      </w:r>
      <w:r w:rsidR="00B1371D" w:rsidRPr="003D1045">
        <w:rPr>
          <w:rFonts w:ascii="Times New Roman" w:hAnsi="Times New Roman" w:cs="Times New Roman"/>
          <w:color w:val="0000FF"/>
        </w:rPr>
        <w:t xml:space="preserve">relevant clinical practice guidelines </w:t>
      </w:r>
      <w:r w:rsidR="0040248E" w:rsidRPr="003D1045">
        <w:rPr>
          <w:rFonts w:ascii="Times New Roman" w:hAnsi="Times New Roman" w:cs="Times New Roman"/>
          <w:color w:val="0000FF"/>
        </w:rPr>
        <w:t>to determine appropriate monitoring for patients with persistent use of ACE inhibitors/ARBs, digoxin, and diuretics</w:t>
      </w:r>
      <w:r w:rsidR="00B1371D" w:rsidRPr="003D1045">
        <w:rPr>
          <w:rFonts w:ascii="Times New Roman" w:hAnsi="Times New Roman" w:cs="Times New Roman"/>
          <w:color w:val="0000FF"/>
        </w:rPr>
        <w:t xml:space="preserve">.  The initial search strategy included evidence-based and consensus-based guidelines, meta-analyses, and systematic reviews.  </w:t>
      </w:r>
      <w:r w:rsidR="001E22BF" w:rsidRPr="003D1045">
        <w:rPr>
          <w:rFonts w:ascii="Times New Roman" w:hAnsi="Times New Roman" w:cs="Times New Roman"/>
          <w:color w:val="0000FF"/>
        </w:rPr>
        <w:t>A more detailed description of the search strategy can be found in section 1a.6.</w:t>
      </w:r>
    </w:p>
    <w:p w14:paraId="51F69D1F" w14:textId="7CF68506" w:rsidR="00A331B2" w:rsidRPr="003D1045" w:rsidRDefault="00A331B2" w:rsidP="002E2177">
      <w:pPr>
        <w:ind w:left="0" w:firstLine="0"/>
        <w:rPr>
          <w:rFonts w:ascii="Times New Roman" w:hAnsi="Times New Roman" w:cs="Times New Roman"/>
          <w:color w:val="0000FF"/>
        </w:rPr>
      </w:pPr>
      <w:r w:rsidRPr="003D1045">
        <w:rPr>
          <w:rFonts w:ascii="Times New Roman" w:hAnsi="Times New Roman" w:cs="Times New Roman"/>
          <w:b/>
          <w:color w:val="0000FF"/>
        </w:rPr>
        <w:t>Monitoring for Patients on ACE Inhibitors or ARBs</w:t>
      </w:r>
    </w:p>
    <w:tbl>
      <w:tblPr>
        <w:tblStyle w:val="TableGrid"/>
        <w:tblW w:w="0" w:type="auto"/>
        <w:jc w:val="center"/>
        <w:tblLook w:val="00A0" w:firstRow="1" w:lastRow="0" w:firstColumn="1" w:lastColumn="0" w:noHBand="0" w:noVBand="0"/>
      </w:tblPr>
      <w:tblGrid>
        <w:gridCol w:w="1435"/>
        <w:gridCol w:w="1280"/>
        <w:gridCol w:w="2410"/>
        <w:gridCol w:w="1980"/>
        <w:gridCol w:w="2245"/>
      </w:tblGrid>
      <w:tr w:rsidR="003D1045" w:rsidRPr="003D1045" w14:paraId="13A23FF0" w14:textId="77777777" w:rsidTr="00BE6777">
        <w:trPr>
          <w:trHeight w:val="263"/>
          <w:jc w:val="center"/>
        </w:trPr>
        <w:tc>
          <w:tcPr>
            <w:tcW w:w="1435" w:type="dxa"/>
          </w:tcPr>
          <w:p w14:paraId="2814B667" w14:textId="77777777" w:rsidR="000F5E53" w:rsidRPr="003D1045" w:rsidRDefault="000F5E53" w:rsidP="004533E4">
            <w:pPr>
              <w:rPr>
                <w:rFonts w:ascii="Times New Roman" w:hAnsi="Times New Roman" w:cs="Times New Roman"/>
                <w:b/>
                <w:color w:val="0000FF"/>
              </w:rPr>
            </w:pPr>
            <w:r w:rsidRPr="003D1045">
              <w:rPr>
                <w:rFonts w:ascii="Times New Roman" w:hAnsi="Times New Roman" w:cs="Times New Roman"/>
                <w:b/>
                <w:color w:val="0000FF"/>
              </w:rPr>
              <w:t xml:space="preserve">Reference </w:t>
            </w:r>
          </w:p>
        </w:tc>
        <w:tc>
          <w:tcPr>
            <w:tcW w:w="1280" w:type="dxa"/>
          </w:tcPr>
          <w:p w14:paraId="3116C035" w14:textId="77777777" w:rsidR="000F5E53" w:rsidRPr="003D1045" w:rsidRDefault="000F5E53" w:rsidP="006841F1">
            <w:pPr>
              <w:ind w:left="-28" w:firstLine="16"/>
              <w:rPr>
                <w:rFonts w:ascii="Times New Roman" w:hAnsi="Times New Roman" w:cs="Times New Roman"/>
                <w:b/>
                <w:color w:val="0000FF"/>
              </w:rPr>
            </w:pPr>
            <w:r w:rsidRPr="003D1045">
              <w:rPr>
                <w:rFonts w:ascii="Times New Roman" w:hAnsi="Times New Roman" w:cs="Times New Roman"/>
                <w:b/>
                <w:color w:val="0000FF"/>
              </w:rPr>
              <w:t>Monitoring Parameter</w:t>
            </w:r>
          </w:p>
        </w:tc>
        <w:tc>
          <w:tcPr>
            <w:tcW w:w="2410" w:type="dxa"/>
          </w:tcPr>
          <w:p w14:paraId="50D86C5F" w14:textId="77777777" w:rsidR="000F5E53" w:rsidRPr="003D1045" w:rsidRDefault="000F5E53" w:rsidP="004533E4">
            <w:pPr>
              <w:rPr>
                <w:rFonts w:ascii="Times New Roman" w:hAnsi="Times New Roman" w:cs="Times New Roman"/>
                <w:b/>
                <w:color w:val="0000FF"/>
              </w:rPr>
            </w:pPr>
            <w:r w:rsidRPr="003D1045">
              <w:rPr>
                <w:rFonts w:ascii="Times New Roman" w:hAnsi="Times New Roman" w:cs="Times New Roman"/>
                <w:b/>
                <w:color w:val="0000FF"/>
              </w:rPr>
              <w:t>Population</w:t>
            </w:r>
          </w:p>
        </w:tc>
        <w:tc>
          <w:tcPr>
            <w:tcW w:w="1980" w:type="dxa"/>
          </w:tcPr>
          <w:p w14:paraId="19C25E6B" w14:textId="77777777" w:rsidR="000F5E53" w:rsidRPr="003D1045" w:rsidRDefault="000F5E53" w:rsidP="004533E4">
            <w:pPr>
              <w:ind w:left="-1" w:firstLine="0"/>
              <w:rPr>
                <w:rFonts w:ascii="Times New Roman" w:hAnsi="Times New Roman" w:cs="Times New Roman"/>
                <w:b/>
                <w:color w:val="0000FF"/>
              </w:rPr>
            </w:pPr>
            <w:r w:rsidRPr="003D1045">
              <w:rPr>
                <w:rFonts w:ascii="Times New Roman" w:hAnsi="Times New Roman" w:cs="Times New Roman"/>
                <w:b/>
                <w:color w:val="0000FF"/>
              </w:rPr>
              <w:t>Monitoring Frequency</w:t>
            </w:r>
          </w:p>
        </w:tc>
        <w:tc>
          <w:tcPr>
            <w:tcW w:w="2245" w:type="dxa"/>
          </w:tcPr>
          <w:p w14:paraId="50ACE38C" w14:textId="77777777" w:rsidR="000F5E53" w:rsidRPr="003D1045" w:rsidRDefault="000F5E53" w:rsidP="004533E4">
            <w:pPr>
              <w:rPr>
                <w:rFonts w:ascii="Times New Roman" w:hAnsi="Times New Roman" w:cs="Times New Roman"/>
                <w:b/>
                <w:color w:val="0000FF"/>
              </w:rPr>
            </w:pPr>
            <w:r w:rsidRPr="003D1045">
              <w:rPr>
                <w:rFonts w:ascii="Times New Roman" w:hAnsi="Times New Roman" w:cs="Times New Roman"/>
                <w:b/>
                <w:color w:val="0000FF"/>
              </w:rPr>
              <w:t>Rationale</w:t>
            </w:r>
          </w:p>
        </w:tc>
      </w:tr>
      <w:tr w:rsidR="003D1045" w:rsidRPr="003D1045" w14:paraId="6FB75F8D" w14:textId="77777777" w:rsidTr="00BE6777">
        <w:trPr>
          <w:trHeight w:val="843"/>
          <w:jc w:val="center"/>
        </w:trPr>
        <w:tc>
          <w:tcPr>
            <w:tcW w:w="1435" w:type="dxa"/>
            <w:vMerge w:val="restart"/>
          </w:tcPr>
          <w:p w14:paraId="3506362C" w14:textId="77777777" w:rsidR="000F5E53" w:rsidRPr="003D1045" w:rsidRDefault="000F5E53" w:rsidP="00B37CF8">
            <w:pPr>
              <w:ind w:left="0" w:firstLine="0"/>
              <w:rPr>
                <w:rFonts w:ascii="Times New Roman" w:hAnsi="Times New Roman" w:cs="Times New Roman"/>
                <w:color w:val="0000FF"/>
              </w:rPr>
            </w:pPr>
            <w:r w:rsidRPr="003D1045">
              <w:rPr>
                <w:rFonts w:ascii="Times New Roman" w:hAnsi="Times New Roman" w:cs="Times New Roman"/>
                <w:color w:val="0000FF"/>
                <w:shd w:val="clear" w:color="auto" w:fill="FFFFFF"/>
              </w:rPr>
              <w:t>American College of Cardiology and the</w:t>
            </w:r>
            <w:r w:rsidRPr="003D1045">
              <w:rPr>
                <w:rStyle w:val="apple-converted-space"/>
                <w:rFonts w:ascii="Times New Roman" w:hAnsi="Times New Roman" w:cs="Times New Roman"/>
                <w:color w:val="0000FF"/>
                <w:shd w:val="clear" w:color="auto" w:fill="FFFFFF"/>
              </w:rPr>
              <w:t> </w:t>
            </w:r>
            <w:r w:rsidRPr="003D1045">
              <w:rPr>
                <w:rStyle w:val="Emphasis"/>
                <w:rFonts w:ascii="Times New Roman" w:hAnsi="Times New Roman" w:cs="Times New Roman"/>
                <w:bCs/>
                <w:i w:val="0"/>
                <w:iCs w:val="0"/>
                <w:color w:val="0000FF"/>
                <w:shd w:val="clear" w:color="auto" w:fill="FFFFFF"/>
              </w:rPr>
              <w:t>American Heart Association  (Hunt 2009)</w:t>
            </w:r>
          </w:p>
          <w:p w14:paraId="4A5918F7" w14:textId="77777777" w:rsidR="000F5E53" w:rsidRPr="003D1045" w:rsidRDefault="000F5E53" w:rsidP="00B536B8">
            <w:pPr>
              <w:rPr>
                <w:rFonts w:ascii="Times New Roman" w:hAnsi="Times New Roman" w:cs="Times New Roman"/>
                <w:color w:val="0000FF"/>
              </w:rPr>
            </w:pPr>
          </w:p>
        </w:tc>
        <w:tc>
          <w:tcPr>
            <w:tcW w:w="1280" w:type="dxa"/>
          </w:tcPr>
          <w:p w14:paraId="5F8E9B75"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Serum potassium</w:t>
            </w:r>
          </w:p>
        </w:tc>
        <w:tc>
          <w:tcPr>
            <w:tcW w:w="2410" w:type="dxa"/>
          </w:tcPr>
          <w:p w14:paraId="7CEEC220" w14:textId="77777777" w:rsidR="000F5E53" w:rsidRPr="003D1045" w:rsidRDefault="000F5E53" w:rsidP="00B37CF8">
            <w:pPr>
              <w:ind w:left="0" w:firstLine="0"/>
              <w:rPr>
                <w:rFonts w:ascii="Times New Roman" w:hAnsi="Times New Roman" w:cs="Times New Roman"/>
                <w:color w:val="0000FF"/>
              </w:rPr>
            </w:pPr>
            <w:r w:rsidRPr="003D1045">
              <w:rPr>
                <w:rFonts w:ascii="Times New Roman" w:hAnsi="Times New Roman" w:cs="Times New Roman"/>
                <w:color w:val="0000FF"/>
              </w:rPr>
              <w:t>Patients with heart failure</w:t>
            </w:r>
          </w:p>
        </w:tc>
        <w:tc>
          <w:tcPr>
            <w:tcW w:w="1980" w:type="dxa"/>
          </w:tcPr>
          <w:p w14:paraId="6E9A31AB" w14:textId="77777777" w:rsidR="000F5E53" w:rsidRPr="003D1045" w:rsidRDefault="000F5E53" w:rsidP="00B37CF8">
            <w:pPr>
              <w:ind w:left="0" w:firstLine="9"/>
              <w:rPr>
                <w:rFonts w:ascii="Times New Roman" w:hAnsi="Times New Roman" w:cs="Times New Roman"/>
                <w:color w:val="0000FF"/>
              </w:rPr>
            </w:pPr>
            <w:r w:rsidRPr="003D1045">
              <w:rPr>
                <w:rFonts w:ascii="Times New Roman" w:hAnsi="Times New Roman" w:cs="Times New Roman"/>
                <w:color w:val="0000FF"/>
              </w:rPr>
              <w:t>Serial monitoring</w:t>
            </w:r>
          </w:p>
        </w:tc>
        <w:tc>
          <w:tcPr>
            <w:tcW w:w="2245" w:type="dxa"/>
          </w:tcPr>
          <w:p w14:paraId="2C706AA1" w14:textId="437B4765" w:rsidR="000F5E53" w:rsidRPr="003D1045" w:rsidRDefault="000F5E53" w:rsidP="004533E4">
            <w:pPr>
              <w:ind w:left="0" w:firstLine="9"/>
              <w:rPr>
                <w:rFonts w:ascii="Times New Roman" w:hAnsi="Times New Roman" w:cs="Times New Roman"/>
                <w:color w:val="0000FF"/>
              </w:rPr>
            </w:pPr>
            <w:r w:rsidRPr="003D1045">
              <w:rPr>
                <w:rFonts w:ascii="Times New Roman" w:hAnsi="Times New Roman" w:cs="Times New Roman"/>
                <w:color w:val="0000FF"/>
              </w:rPr>
              <w:t>Use of ACE/ARB may lead to hyperkalemia which may complicate therapy and cause cardiac conduction  disturbances</w:t>
            </w:r>
          </w:p>
        </w:tc>
      </w:tr>
      <w:tr w:rsidR="003D1045" w:rsidRPr="003D1045" w14:paraId="39B14470" w14:textId="77777777" w:rsidTr="00BE6777">
        <w:trPr>
          <w:trHeight w:val="843"/>
          <w:jc w:val="center"/>
        </w:trPr>
        <w:tc>
          <w:tcPr>
            <w:tcW w:w="1435" w:type="dxa"/>
            <w:vMerge/>
          </w:tcPr>
          <w:p w14:paraId="68D9A5D9" w14:textId="77777777" w:rsidR="000F5E53" w:rsidRPr="003D1045" w:rsidRDefault="000F5E53" w:rsidP="00B536B8">
            <w:pPr>
              <w:rPr>
                <w:rFonts w:ascii="Times New Roman" w:hAnsi="Times New Roman" w:cs="Times New Roman"/>
                <w:color w:val="0000FF"/>
              </w:rPr>
            </w:pPr>
          </w:p>
        </w:tc>
        <w:tc>
          <w:tcPr>
            <w:tcW w:w="1280" w:type="dxa"/>
          </w:tcPr>
          <w:p w14:paraId="54ADBB1E"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Renal function</w:t>
            </w:r>
          </w:p>
          <w:p w14:paraId="27F0615E"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Serum potassium</w:t>
            </w:r>
          </w:p>
        </w:tc>
        <w:tc>
          <w:tcPr>
            <w:tcW w:w="2410" w:type="dxa"/>
          </w:tcPr>
          <w:p w14:paraId="4BD40E91" w14:textId="77777777" w:rsidR="000F5E53" w:rsidRPr="003D1045" w:rsidRDefault="000F5E53" w:rsidP="00B37CF8">
            <w:pPr>
              <w:ind w:left="0" w:firstLine="0"/>
              <w:rPr>
                <w:rFonts w:ascii="Times New Roman" w:hAnsi="Times New Roman" w:cs="Times New Roman"/>
                <w:color w:val="0000FF"/>
              </w:rPr>
            </w:pPr>
            <w:r w:rsidRPr="003D1045">
              <w:rPr>
                <w:rFonts w:ascii="Times New Roman" w:hAnsi="Times New Roman" w:cs="Times New Roman"/>
                <w:color w:val="0000FF"/>
              </w:rPr>
              <w:t>Patients using an ACE Inhibitor and potassium-sparing diuretic (aldosterone antagonist)</w:t>
            </w:r>
          </w:p>
        </w:tc>
        <w:tc>
          <w:tcPr>
            <w:tcW w:w="1980" w:type="dxa"/>
          </w:tcPr>
          <w:p w14:paraId="213FAC17" w14:textId="77777777" w:rsidR="000F5E53" w:rsidRPr="003D1045" w:rsidRDefault="000F5E53" w:rsidP="00B37CF8">
            <w:pPr>
              <w:ind w:left="0" w:firstLine="9"/>
              <w:rPr>
                <w:rFonts w:ascii="Times New Roman" w:hAnsi="Times New Roman" w:cs="Times New Roman"/>
                <w:color w:val="0000FF"/>
              </w:rPr>
            </w:pPr>
            <w:r w:rsidRPr="003D1045">
              <w:rPr>
                <w:rFonts w:ascii="Times New Roman" w:hAnsi="Times New Roman" w:cs="Times New Roman"/>
                <w:color w:val="0000FF"/>
              </w:rPr>
              <w:t>Renal Function: monthly for first 3 months and then every 3 months</w:t>
            </w:r>
          </w:p>
          <w:p w14:paraId="22B9B8E9" w14:textId="77777777" w:rsidR="000F5E53" w:rsidRPr="003D1045" w:rsidRDefault="000F5E53" w:rsidP="00B37CF8">
            <w:pPr>
              <w:ind w:left="0" w:firstLine="9"/>
              <w:rPr>
                <w:rFonts w:ascii="Times New Roman" w:hAnsi="Times New Roman" w:cs="Times New Roman"/>
                <w:color w:val="0000FF"/>
              </w:rPr>
            </w:pPr>
            <w:r w:rsidRPr="003D1045">
              <w:rPr>
                <w:rFonts w:ascii="Times New Roman" w:hAnsi="Times New Roman" w:cs="Times New Roman"/>
                <w:color w:val="0000FF"/>
              </w:rPr>
              <w:t>Potassium: within 3 days and again at 1 week</w:t>
            </w:r>
          </w:p>
        </w:tc>
        <w:tc>
          <w:tcPr>
            <w:tcW w:w="2245" w:type="dxa"/>
          </w:tcPr>
          <w:p w14:paraId="49F79238" w14:textId="6B6EB339" w:rsidR="000F5E53" w:rsidRPr="003D1045" w:rsidRDefault="000F5E53" w:rsidP="00A331B2">
            <w:pPr>
              <w:ind w:left="0" w:firstLine="9"/>
              <w:rPr>
                <w:rFonts w:ascii="Times New Roman" w:hAnsi="Times New Roman" w:cs="Times New Roman"/>
                <w:color w:val="0000FF"/>
              </w:rPr>
            </w:pPr>
            <w:r w:rsidRPr="003D1045">
              <w:rPr>
                <w:rFonts w:ascii="Times New Roman" w:hAnsi="Times New Roman" w:cs="Times New Roman"/>
                <w:color w:val="0000FF"/>
              </w:rPr>
              <w:t>Use of ACE/ARB Increases risk for hyperkalemia</w:t>
            </w:r>
          </w:p>
        </w:tc>
      </w:tr>
      <w:tr w:rsidR="003D1045" w:rsidRPr="003D1045" w14:paraId="1ABF20CF" w14:textId="77777777" w:rsidTr="00BE6777">
        <w:trPr>
          <w:trHeight w:val="358"/>
          <w:jc w:val="center"/>
        </w:trPr>
        <w:tc>
          <w:tcPr>
            <w:tcW w:w="1435" w:type="dxa"/>
            <w:vMerge/>
          </w:tcPr>
          <w:p w14:paraId="609B4B36" w14:textId="77777777" w:rsidR="000F5E53" w:rsidRPr="003D1045" w:rsidRDefault="000F5E53" w:rsidP="00B536B8">
            <w:pPr>
              <w:rPr>
                <w:rFonts w:ascii="Times New Roman" w:hAnsi="Times New Roman" w:cs="Times New Roman"/>
                <w:color w:val="0000FF"/>
              </w:rPr>
            </w:pPr>
          </w:p>
        </w:tc>
        <w:tc>
          <w:tcPr>
            <w:tcW w:w="1280" w:type="dxa"/>
          </w:tcPr>
          <w:p w14:paraId="4811159E"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Renal function</w:t>
            </w:r>
          </w:p>
          <w:p w14:paraId="52773B32"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Serum creatinine</w:t>
            </w:r>
          </w:p>
        </w:tc>
        <w:tc>
          <w:tcPr>
            <w:tcW w:w="2410" w:type="dxa"/>
          </w:tcPr>
          <w:p w14:paraId="4326BD1D" w14:textId="77777777" w:rsidR="000F5E53" w:rsidRPr="003D1045" w:rsidRDefault="000F5E53" w:rsidP="00B37CF8">
            <w:pPr>
              <w:ind w:left="0" w:firstLine="0"/>
              <w:rPr>
                <w:rFonts w:ascii="Times New Roman" w:hAnsi="Times New Roman" w:cs="Times New Roman"/>
                <w:color w:val="0000FF"/>
              </w:rPr>
            </w:pPr>
            <w:r w:rsidRPr="003D1045">
              <w:rPr>
                <w:rFonts w:ascii="Times New Roman" w:hAnsi="Times New Roman" w:cs="Times New Roman"/>
                <w:color w:val="0000FF"/>
              </w:rPr>
              <w:t xml:space="preserve">Patients with bilateral renal artery stenosis or using an </w:t>
            </w:r>
            <w:proofErr w:type="spellStart"/>
            <w:r w:rsidRPr="003D1045">
              <w:rPr>
                <w:rFonts w:ascii="Times New Roman" w:hAnsi="Times New Roman" w:cs="Times New Roman"/>
                <w:color w:val="0000FF"/>
              </w:rPr>
              <w:t>nonsteroid</w:t>
            </w:r>
            <w:proofErr w:type="spellEnd"/>
            <w:r w:rsidRPr="003D1045">
              <w:rPr>
                <w:rFonts w:ascii="Times New Roman" w:hAnsi="Times New Roman" w:cs="Times New Roman"/>
                <w:color w:val="0000FF"/>
              </w:rPr>
              <w:t xml:space="preserve"> anti-inflammatory drug</w:t>
            </w:r>
          </w:p>
        </w:tc>
        <w:tc>
          <w:tcPr>
            <w:tcW w:w="1980" w:type="dxa"/>
          </w:tcPr>
          <w:p w14:paraId="4031D41B" w14:textId="77777777" w:rsidR="000F5E53" w:rsidRPr="003D1045" w:rsidRDefault="000F5E53" w:rsidP="00B37CF8">
            <w:pPr>
              <w:ind w:left="0" w:firstLine="9"/>
              <w:rPr>
                <w:rFonts w:ascii="Times New Roman" w:hAnsi="Times New Roman" w:cs="Times New Roman"/>
                <w:color w:val="0000FF"/>
              </w:rPr>
            </w:pPr>
            <w:r w:rsidRPr="003D1045">
              <w:rPr>
                <w:rFonts w:ascii="Times New Roman" w:hAnsi="Times New Roman" w:cs="Times New Roman"/>
                <w:color w:val="0000FF"/>
              </w:rPr>
              <w:t>Renal Function: monthly for first 3 months and then every 3 months</w:t>
            </w:r>
          </w:p>
          <w:p w14:paraId="52A2F017" w14:textId="77777777" w:rsidR="000F5E53" w:rsidRPr="003D1045" w:rsidRDefault="000F5E53" w:rsidP="00B37CF8">
            <w:pPr>
              <w:ind w:left="0" w:firstLine="9"/>
              <w:rPr>
                <w:rFonts w:ascii="Times New Roman" w:hAnsi="Times New Roman" w:cs="Times New Roman"/>
                <w:color w:val="0000FF"/>
              </w:rPr>
            </w:pPr>
          </w:p>
        </w:tc>
        <w:tc>
          <w:tcPr>
            <w:tcW w:w="2245" w:type="dxa"/>
          </w:tcPr>
          <w:p w14:paraId="4FE18BDB" w14:textId="28D8E771" w:rsidR="000F5E53" w:rsidRPr="003D1045" w:rsidRDefault="000F5E53" w:rsidP="004533E4">
            <w:pPr>
              <w:ind w:left="0" w:firstLine="9"/>
              <w:rPr>
                <w:rFonts w:ascii="Times New Roman" w:hAnsi="Times New Roman" w:cs="Times New Roman"/>
                <w:color w:val="0000FF"/>
              </w:rPr>
            </w:pPr>
            <w:r w:rsidRPr="003D1045">
              <w:rPr>
                <w:rFonts w:ascii="Times New Roman" w:hAnsi="Times New Roman" w:cs="Times New Roman"/>
                <w:color w:val="0000FF"/>
              </w:rPr>
              <w:t>Use of ACE inhibitor may increases serum creatinine level</w:t>
            </w:r>
          </w:p>
        </w:tc>
      </w:tr>
      <w:tr w:rsidR="003D1045" w:rsidRPr="003D1045" w14:paraId="656D9962" w14:textId="77777777" w:rsidTr="00BE6777">
        <w:trPr>
          <w:trHeight w:val="76"/>
          <w:jc w:val="center"/>
        </w:trPr>
        <w:tc>
          <w:tcPr>
            <w:tcW w:w="1435" w:type="dxa"/>
          </w:tcPr>
          <w:p w14:paraId="315A6D48" w14:textId="77777777" w:rsidR="000F5E53" w:rsidRPr="003D1045" w:rsidRDefault="000F5E53" w:rsidP="00B37CF8">
            <w:pPr>
              <w:ind w:left="0" w:firstLine="0"/>
              <w:rPr>
                <w:rFonts w:ascii="Times New Roman" w:hAnsi="Times New Roman" w:cs="Times New Roman"/>
                <w:color w:val="0000FF"/>
              </w:rPr>
            </w:pPr>
            <w:r w:rsidRPr="003D1045">
              <w:rPr>
                <w:rFonts w:ascii="Times New Roman" w:hAnsi="Times New Roman" w:cs="Times New Roman"/>
                <w:color w:val="0000FF"/>
              </w:rPr>
              <w:t>Institute for Clinical Systems Improvement (</w:t>
            </w:r>
            <w:proofErr w:type="spellStart"/>
            <w:r w:rsidRPr="003D1045">
              <w:rPr>
                <w:rFonts w:ascii="Times New Roman" w:hAnsi="Times New Roman" w:cs="Times New Roman"/>
                <w:color w:val="0000FF"/>
              </w:rPr>
              <w:t>Pinkerman</w:t>
            </w:r>
            <w:proofErr w:type="spellEnd"/>
            <w:r w:rsidRPr="003D1045">
              <w:rPr>
                <w:rFonts w:ascii="Times New Roman" w:hAnsi="Times New Roman" w:cs="Times New Roman"/>
                <w:color w:val="0000FF"/>
              </w:rPr>
              <w:t xml:space="preserve"> 2013)</w:t>
            </w:r>
          </w:p>
        </w:tc>
        <w:tc>
          <w:tcPr>
            <w:tcW w:w="1280" w:type="dxa"/>
          </w:tcPr>
          <w:p w14:paraId="1FC946BE"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Serum creatinine</w:t>
            </w:r>
          </w:p>
          <w:p w14:paraId="07ABA96A"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Blood urea nitrogen</w:t>
            </w:r>
          </w:p>
          <w:p w14:paraId="5F8EF86F"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Serum potassium</w:t>
            </w:r>
          </w:p>
          <w:p w14:paraId="0ADDAB9F" w14:textId="77777777" w:rsidR="000F5E53" w:rsidRPr="003D1045" w:rsidRDefault="000F5E53" w:rsidP="006841F1">
            <w:pPr>
              <w:ind w:left="-28" w:firstLine="16"/>
              <w:rPr>
                <w:rFonts w:ascii="Times New Roman" w:hAnsi="Times New Roman" w:cs="Times New Roman"/>
                <w:color w:val="0000FF"/>
              </w:rPr>
            </w:pPr>
          </w:p>
        </w:tc>
        <w:tc>
          <w:tcPr>
            <w:tcW w:w="2410" w:type="dxa"/>
          </w:tcPr>
          <w:p w14:paraId="750D9873" w14:textId="77777777" w:rsidR="000F5E53" w:rsidRPr="003D1045" w:rsidRDefault="000F5E53" w:rsidP="00B37CF8">
            <w:pPr>
              <w:ind w:left="0" w:firstLine="0"/>
              <w:rPr>
                <w:rFonts w:ascii="Times New Roman" w:hAnsi="Times New Roman" w:cs="Times New Roman"/>
                <w:color w:val="0000FF"/>
              </w:rPr>
            </w:pPr>
            <w:r w:rsidRPr="003D1045">
              <w:rPr>
                <w:rFonts w:ascii="Times New Roman" w:hAnsi="Times New Roman" w:cs="Times New Roman"/>
                <w:color w:val="0000FF"/>
              </w:rPr>
              <w:t>Patients age 18 years or older with heart failure</w:t>
            </w:r>
          </w:p>
        </w:tc>
        <w:tc>
          <w:tcPr>
            <w:tcW w:w="1980" w:type="dxa"/>
          </w:tcPr>
          <w:p w14:paraId="259E5BA1" w14:textId="77777777" w:rsidR="000F5E53" w:rsidRPr="003D1045" w:rsidRDefault="000F5E53" w:rsidP="00B37CF8">
            <w:pPr>
              <w:ind w:left="0" w:firstLine="9"/>
              <w:rPr>
                <w:rFonts w:ascii="Times New Roman" w:hAnsi="Times New Roman" w:cs="Times New Roman"/>
                <w:color w:val="0000FF"/>
              </w:rPr>
            </w:pPr>
            <w:r w:rsidRPr="003D1045">
              <w:rPr>
                <w:rFonts w:ascii="Times New Roman" w:hAnsi="Times New Roman" w:cs="Times New Roman"/>
                <w:color w:val="0000FF"/>
              </w:rPr>
              <w:t>1- to 4-weeks after initiation/dose increase then 1- to 2-times per year</w:t>
            </w:r>
          </w:p>
          <w:p w14:paraId="472E0009" w14:textId="77777777" w:rsidR="000F5E53" w:rsidRPr="003D1045" w:rsidRDefault="000F5E53" w:rsidP="00B37CF8">
            <w:pPr>
              <w:ind w:left="0" w:firstLine="9"/>
              <w:rPr>
                <w:rFonts w:ascii="Times New Roman" w:hAnsi="Times New Roman" w:cs="Times New Roman"/>
                <w:color w:val="0000FF"/>
              </w:rPr>
            </w:pPr>
            <w:r w:rsidRPr="003D1045">
              <w:rPr>
                <w:rFonts w:ascii="Times New Roman" w:hAnsi="Times New Roman" w:cs="Times New Roman"/>
                <w:color w:val="0000FF"/>
              </w:rPr>
              <w:t>IF elderly: 1- to 2-weeks after initiation/dose increase then 1- to 2-times per year</w:t>
            </w:r>
          </w:p>
        </w:tc>
        <w:tc>
          <w:tcPr>
            <w:tcW w:w="2245" w:type="dxa"/>
          </w:tcPr>
          <w:p w14:paraId="4AC43D39" w14:textId="77777777" w:rsidR="000F5E53" w:rsidRPr="003D1045" w:rsidRDefault="000F5E53" w:rsidP="00A331B2">
            <w:pPr>
              <w:ind w:left="0" w:firstLine="9"/>
              <w:rPr>
                <w:rFonts w:ascii="Times New Roman" w:hAnsi="Times New Roman" w:cs="Times New Roman"/>
                <w:color w:val="0000FF"/>
              </w:rPr>
            </w:pPr>
          </w:p>
        </w:tc>
      </w:tr>
      <w:tr w:rsidR="003D1045" w:rsidRPr="003D1045" w14:paraId="44BF3A9D" w14:textId="77777777" w:rsidTr="00BE6777">
        <w:trPr>
          <w:trHeight w:val="656"/>
          <w:jc w:val="center"/>
        </w:trPr>
        <w:tc>
          <w:tcPr>
            <w:tcW w:w="1435" w:type="dxa"/>
            <w:vMerge w:val="restart"/>
          </w:tcPr>
          <w:p w14:paraId="38A23119" w14:textId="77777777" w:rsidR="000F5E53" w:rsidRPr="003D1045" w:rsidRDefault="000F5E53" w:rsidP="00B37CF8">
            <w:pPr>
              <w:ind w:left="0" w:firstLine="0"/>
              <w:rPr>
                <w:rFonts w:ascii="Times New Roman" w:hAnsi="Times New Roman" w:cs="Times New Roman"/>
                <w:color w:val="0000FF"/>
              </w:rPr>
            </w:pPr>
            <w:r w:rsidRPr="003D1045">
              <w:rPr>
                <w:rFonts w:ascii="Times New Roman" w:hAnsi="Times New Roman" w:cs="Times New Roman"/>
                <w:noProof/>
                <w:color w:val="0000FF"/>
              </w:rPr>
              <w:t>Best practice in primary care pathology/ European Task Force Guidelines (Smellie 2007; Burden 2005; Swedberg 2005)</w:t>
            </w:r>
          </w:p>
        </w:tc>
        <w:tc>
          <w:tcPr>
            <w:tcW w:w="1280" w:type="dxa"/>
            <w:vMerge w:val="restart"/>
          </w:tcPr>
          <w:p w14:paraId="317D1E4C"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Serum creatinine</w:t>
            </w:r>
          </w:p>
          <w:p w14:paraId="28001AD5" w14:textId="77777777"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Serum electrolytes</w:t>
            </w:r>
          </w:p>
        </w:tc>
        <w:tc>
          <w:tcPr>
            <w:tcW w:w="2410" w:type="dxa"/>
          </w:tcPr>
          <w:p w14:paraId="27123353" w14:textId="77777777" w:rsidR="000F5E53" w:rsidRPr="003D1045" w:rsidRDefault="000F5E53" w:rsidP="00B37CF8">
            <w:pPr>
              <w:ind w:left="0" w:firstLine="0"/>
              <w:rPr>
                <w:rFonts w:ascii="Times New Roman" w:hAnsi="Times New Roman" w:cs="Times New Roman"/>
                <w:color w:val="0000FF"/>
                <w:lang w:eastAsia="zh-TW"/>
              </w:rPr>
            </w:pPr>
            <w:r w:rsidRPr="003D1045">
              <w:rPr>
                <w:rFonts w:ascii="Times New Roman" w:hAnsi="Times New Roman" w:cs="Times New Roman"/>
                <w:color w:val="0000FF"/>
              </w:rPr>
              <w:t>Low-risk patients with heart failure using ACE Inhibitors, ARBs, and diuretics</w:t>
            </w:r>
          </w:p>
        </w:tc>
        <w:tc>
          <w:tcPr>
            <w:tcW w:w="1980" w:type="dxa"/>
          </w:tcPr>
          <w:p w14:paraId="0047B7BF" w14:textId="77777777" w:rsidR="000F5E53" w:rsidRPr="003D1045" w:rsidRDefault="000F5E53" w:rsidP="00B37CF8">
            <w:pPr>
              <w:ind w:left="0" w:firstLine="9"/>
              <w:rPr>
                <w:rFonts w:ascii="Times New Roman" w:hAnsi="Times New Roman" w:cs="Times New Roman"/>
                <w:color w:val="0000FF"/>
                <w:lang w:eastAsia="zh-TW"/>
              </w:rPr>
            </w:pPr>
            <w:r w:rsidRPr="003D1045">
              <w:rPr>
                <w:rFonts w:ascii="Times New Roman" w:hAnsi="Times New Roman" w:cs="Times New Roman"/>
                <w:color w:val="0000FF"/>
              </w:rPr>
              <w:t>1 – 2 weeks after each dose increase/relevant drug addition</w:t>
            </w:r>
          </w:p>
        </w:tc>
        <w:tc>
          <w:tcPr>
            <w:tcW w:w="2245" w:type="dxa"/>
          </w:tcPr>
          <w:p w14:paraId="4C53C527" w14:textId="221EBEE5" w:rsidR="000F5E53" w:rsidRPr="003D1045" w:rsidRDefault="000F5E53" w:rsidP="004533E4">
            <w:pPr>
              <w:ind w:left="0" w:firstLine="9"/>
              <w:rPr>
                <w:rFonts w:ascii="Times New Roman" w:hAnsi="Times New Roman" w:cs="Times New Roman"/>
                <w:color w:val="0000FF"/>
                <w:lang w:eastAsia="zh-TW"/>
              </w:rPr>
            </w:pPr>
            <w:r w:rsidRPr="003D1045">
              <w:rPr>
                <w:rFonts w:ascii="Times New Roman" w:hAnsi="Times New Roman" w:cs="Times New Roman"/>
                <w:color w:val="0000FF"/>
                <w:lang w:eastAsia="zh-TW"/>
              </w:rPr>
              <w:t xml:space="preserve">To assess deterioration in kidney function associated with use of ACEIs or ARBs  (patients with kidney disease and/or heart failure) </w:t>
            </w:r>
          </w:p>
        </w:tc>
      </w:tr>
      <w:tr w:rsidR="003D1045" w:rsidRPr="003D1045" w14:paraId="3451523C" w14:textId="77777777" w:rsidTr="00BE6777">
        <w:trPr>
          <w:trHeight w:val="942"/>
          <w:jc w:val="center"/>
        </w:trPr>
        <w:tc>
          <w:tcPr>
            <w:tcW w:w="1435" w:type="dxa"/>
            <w:vMerge/>
          </w:tcPr>
          <w:p w14:paraId="773883E1" w14:textId="77777777" w:rsidR="000F5E53" w:rsidRPr="003D1045" w:rsidRDefault="000F5E53" w:rsidP="00B536B8">
            <w:pPr>
              <w:rPr>
                <w:rFonts w:ascii="Times New Roman" w:hAnsi="Times New Roman" w:cs="Times New Roman"/>
                <w:color w:val="0000FF"/>
              </w:rPr>
            </w:pPr>
          </w:p>
        </w:tc>
        <w:tc>
          <w:tcPr>
            <w:tcW w:w="1280" w:type="dxa"/>
            <w:vMerge/>
          </w:tcPr>
          <w:p w14:paraId="7B860400" w14:textId="77777777" w:rsidR="000F5E53" w:rsidRPr="003D1045" w:rsidRDefault="000F5E53" w:rsidP="006841F1">
            <w:pPr>
              <w:ind w:left="-28" w:firstLine="16"/>
              <w:rPr>
                <w:rFonts w:ascii="Times New Roman" w:hAnsi="Times New Roman" w:cs="Times New Roman"/>
                <w:color w:val="0000FF"/>
              </w:rPr>
            </w:pPr>
          </w:p>
        </w:tc>
        <w:tc>
          <w:tcPr>
            <w:tcW w:w="2410" w:type="dxa"/>
          </w:tcPr>
          <w:p w14:paraId="5F5477DF" w14:textId="77777777" w:rsidR="000F5E53" w:rsidRPr="003D1045" w:rsidRDefault="000F5E53" w:rsidP="00B37CF8">
            <w:pPr>
              <w:ind w:left="0" w:firstLine="0"/>
              <w:rPr>
                <w:rFonts w:ascii="Times New Roman" w:hAnsi="Times New Roman" w:cs="Times New Roman"/>
                <w:color w:val="0000FF"/>
              </w:rPr>
            </w:pPr>
            <w:r w:rsidRPr="003D1045">
              <w:rPr>
                <w:rFonts w:ascii="Times New Roman" w:hAnsi="Times New Roman" w:cs="Times New Roman"/>
                <w:color w:val="0000FF"/>
              </w:rPr>
              <w:t>High-risk patients with heart failure using potassium-sparing diuretics or combination therapy or with existing renal dysfunction</w:t>
            </w:r>
          </w:p>
        </w:tc>
        <w:tc>
          <w:tcPr>
            <w:tcW w:w="1980" w:type="dxa"/>
          </w:tcPr>
          <w:p w14:paraId="46879A3A" w14:textId="77777777" w:rsidR="000F5E53" w:rsidRPr="003D1045" w:rsidRDefault="000F5E53" w:rsidP="00B37CF8">
            <w:pPr>
              <w:ind w:left="0" w:firstLine="9"/>
              <w:rPr>
                <w:rFonts w:ascii="Times New Roman" w:hAnsi="Times New Roman" w:cs="Times New Roman"/>
                <w:color w:val="0000FF"/>
              </w:rPr>
            </w:pPr>
            <w:r w:rsidRPr="003D1045">
              <w:rPr>
                <w:rFonts w:ascii="Times New Roman" w:hAnsi="Times New Roman" w:cs="Times New Roman"/>
                <w:color w:val="0000FF"/>
              </w:rPr>
              <w:t>5 – 7 days after each dose increase/relevant drug addition</w:t>
            </w:r>
          </w:p>
        </w:tc>
        <w:tc>
          <w:tcPr>
            <w:tcW w:w="2245" w:type="dxa"/>
          </w:tcPr>
          <w:p w14:paraId="06137A8E" w14:textId="10DE8121" w:rsidR="000F5E53" w:rsidRPr="003D1045" w:rsidRDefault="000F5E53" w:rsidP="00A331B2">
            <w:pPr>
              <w:ind w:left="0" w:firstLine="9"/>
              <w:rPr>
                <w:rFonts w:ascii="Times New Roman" w:hAnsi="Times New Roman" w:cs="Times New Roman"/>
                <w:color w:val="0000FF"/>
                <w:lang w:eastAsia="zh-TW"/>
              </w:rPr>
            </w:pPr>
          </w:p>
        </w:tc>
      </w:tr>
      <w:tr w:rsidR="003D1045" w:rsidRPr="003D1045" w14:paraId="23AF7547" w14:textId="77777777" w:rsidTr="00BE6777">
        <w:trPr>
          <w:trHeight w:val="942"/>
          <w:jc w:val="center"/>
        </w:trPr>
        <w:tc>
          <w:tcPr>
            <w:tcW w:w="1435" w:type="dxa"/>
            <w:vMerge/>
          </w:tcPr>
          <w:p w14:paraId="0125F768" w14:textId="77777777" w:rsidR="000F5E53" w:rsidRPr="003D1045" w:rsidRDefault="000F5E53" w:rsidP="00365686">
            <w:pPr>
              <w:rPr>
                <w:rFonts w:ascii="Times New Roman" w:hAnsi="Times New Roman" w:cs="Times New Roman"/>
                <w:color w:val="0000FF"/>
              </w:rPr>
            </w:pPr>
          </w:p>
        </w:tc>
        <w:tc>
          <w:tcPr>
            <w:tcW w:w="1280" w:type="dxa"/>
          </w:tcPr>
          <w:p w14:paraId="60A1CF86" w14:textId="26F20F4E" w:rsidR="000F5E53" w:rsidRPr="003D1045" w:rsidRDefault="000F5E53" w:rsidP="006841F1">
            <w:pPr>
              <w:ind w:left="-28" w:firstLine="16"/>
              <w:rPr>
                <w:rFonts w:ascii="Times New Roman" w:hAnsi="Times New Roman" w:cs="Times New Roman"/>
                <w:color w:val="0000FF"/>
              </w:rPr>
            </w:pPr>
            <w:r w:rsidRPr="003D1045">
              <w:rPr>
                <w:rFonts w:ascii="Times New Roman" w:hAnsi="Times New Roman" w:cs="Times New Roman"/>
                <w:color w:val="0000FF"/>
              </w:rPr>
              <w:t>Serum potassium</w:t>
            </w:r>
          </w:p>
        </w:tc>
        <w:tc>
          <w:tcPr>
            <w:tcW w:w="2410" w:type="dxa"/>
          </w:tcPr>
          <w:p w14:paraId="3AA3381C" w14:textId="2F41FDB3" w:rsidR="000F5E53" w:rsidRPr="003D1045" w:rsidRDefault="000F5E53" w:rsidP="00B37CF8">
            <w:pPr>
              <w:ind w:left="0" w:firstLine="0"/>
              <w:rPr>
                <w:rFonts w:ascii="Times New Roman" w:hAnsi="Times New Roman" w:cs="Times New Roman"/>
                <w:color w:val="0000FF"/>
              </w:rPr>
            </w:pPr>
            <w:r w:rsidRPr="003D1045">
              <w:rPr>
                <w:rFonts w:ascii="Times New Roman" w:hAnsi="Times New Roman" w:cs="Times New Roman"/>
                <w:color w:val="0000FF"/>
              </w:rPr>
              <w:t>Patients using an ACE Inhibitor and potassium supplements or potassium-sparing diuretics</w:t>
            </w:r>
          </w:p>
        </w:tc>
        <w:tc>
          <w:tcPr>
            <w:tcW w:w="1980" w:type="dxa"/>
          </w:tcPr>
          <w:p w14:paraId="22AC6609" w14:textId="11AE981E" w:rsidR="000F5E53" w:rsidRPr="003D1045" w:rsidRDefault="000F5E53" w:rsidP="00B37CF8">
            <w:pPr>
              <w:ind w:left="0" w:firstLine="9"/>
              <w:rPr>
                <w:rFonts w:ascii="Times New Roman" w:hAnsi="Times New Roman" w:cs="Times New Roman"/>
                <w:color w:val="0000FF"/>
              </w:rPr>
            </w:pPr>
            <w:r w:rsidRPr="003D1045">
              <w:rPr>
                <w:rFonts w:ascii="Times New Roman" w:hAnsi="Times New Roman" w:cs="Times New Roman"/>
                <w:color w:val="0000FF"/>
              </w:rPr>
              <w:t>Monitor frequently</w:t>
            </w:r>
          </w:p>
        </w:tc>
        <w:tc>
          <w:tcPr>
            <w:tcW w:w="2245" w:type="dxa"/>
          </w:tcPr>
          <w:p w14:paraId="4AD33545" w14:textId="720E7370" w:rsidR="000F5E53" w:rsidRPr="003D1045" w:rsidRDefault="000F5E53" w:rsidP="00A331B2">
            <w:pPr>
              <w:ind w:left="0" w:firstLine="9"/>
              <w:rPr>
                <w:rFonts w:ascii="Times New Roman" w:hAnsi="Times New Roman" w:cs="Times New Roman"/>
                <w:color w:val="0000FF"/>
                <w:lang w:eastAsia="zh-TW"/>
              </w:rPr>
            </w:pPr>
            <w:r w:rsidRPr="003D1045">
              <w:rPr>
                <w:rFonts w:ascii="Times New Roman" w:hAnsi="Times New Roman" w:cs="Times New Roman"/>
                <w:color w:val="0000FF"/>
              </w:rPr>
              <w:t>Hyperkalemia occurred in approximately 1% of hypertensive patients</w:t>
            </w:r>
          </w:p>
        </w:tc>
      </w:tr>
    </w:tbl>
    <w:p w14:paraId="4D4FDD4E" w14:textId="77777777" w:rsidR="00496AF8" w:rsidRPr="003D1045" w:rsidRDefault="00496AF8" w:rsidP="002E2177">
      <w:pPr>
        <w:ind w:left="0" w:firstLine="0"/>
        <w:rPr>
          <w:rFonts w:ascii="Times New Roman" w:hAnsi="Times New Roman" w:cs="Times New Roman"/>
          <w:color w:val="0000FF"/>
        </w:rPr>
      </w:pPr>
    </w:p>
    <w:p w14:paraId="1B50A146" w14:textId="7EDE4CCF" w:rsidR="00A331B2" w:rsidRPr="003D1045" w:rsidRDefault="00A331B2" w:rsidP="002E2177">
      <w:pPr>
        <w:ind w:left="0" w:firstLine="0"/>
        <w:rPr>
          <w:rFonts w:ascii="Times New Roman" w:hAnsi="Times New Roman" w:cs="Times New Roman"/>
          <w:color w:val="0000FF"/>
        </w:rPr>
      </w:pPr>
      <w:r w:rsidRPr="003D1045">
        <w:rPr>
          <w:rFonts w:ascii="Times New Roman" w:hAnsi="Times New Roman" w:cs="Times New Roman"/>
          <w:b/>
          <w:color w:val="0000FF"/>
        </w:rPr>
        <w:t>Monitoring for Patients on Digoxin</w:t>
      </w:r>
    </w:p>
    <w:tbl>
      <w:tblPr>
        <w:tblStyle w:val="TableGrid"/>
        <w:tblW w:w="0" w:type="auto"/>
        <w:jc w:val="center"/>
        <w:tblLook w:val="00A0" w:firstRow="1" w:lastRow="0" w:firstColumn="1" w:lastColumn="0" w:noHBand="0" w:noVBand="0"/>
      </w:tblPr>
      <w:tblGrid>
        <w:gridCol w:w="1756"/>
        <w:gridCol w:w="1352"/>
        <w:gridCol w:w="1830"/>
        <w:gridCol w:w="1641"/>
        <w:gridCol w:w="2771"/>
      </w:tblGrid>
      <w:tr w:rsidR="003D1045" w:rsidRPr="003D1045" w14:paraId="0404A982" w14:textId="77777777" w:rsidTr="003D1045">
        <w:trPr>
          <w:trHeight w:val="82"/>
          <w:jc w:val="center"/>
        </w:trPr>
        <w:tc>
          <w:tcPr>
            <w:tcW w:w="0" w:type="auto"/>
          </w:tcPr>
          <w:p w14:paraId="4AE2A206" w14:textId="77777777" w:rsidR="000F5E53" w:rsidRPr="003D1045" w:rsidRDefault="000F5E53" w:rsidP="006841F1">
            <w:pPr>
              <w:ind w:left="0" w:firstLine="0"/>
              <w:rPr>
                <w:rFonts w:ascii="Times New Roman" w:hAnsi="Times New Roman" w:cs="Times New Roman"/>
                <w:b/>
                <w:color w:val="0000FF"/>
              </w:rPr>
            </w:pPr>
            <w:r w:rsidRPr="003D1045">
              <w:rPr>
                <w:rFonts w:ascii="Times New Roman" w:hAnsi="Times New Roman" w:cs="Times New Roman"/>
                <w:b/>
                <w:color w:val="0000FF"/>
              </w:rPr>
              <w:t xml:space="preserve">Reference </w:t>
            </w:r>
          </w:p>
        </w:tc>
        <w:tc>
          <w:tcPr>
            <w:tcW w:w="0" w:type="auto"/>
          </w:tcPr>
          <w:p w14:paraId="77B82539" w14:textId="77777777" w:rsidR="000F5E53" w:rsidRPr="003D1045" w:rsidRDefault="000F5E53" w:rsidP="006841F1">
            <w:pPr>
              <w:ind w:left="0" w:firstLine="0"/>
              <w:rPr>
                <w:rFonts w:ascii="Times New Roman" w:hAnsi="Times New Roman" w:cs="Times New Roman"/>
                <w:b/>
                <w:color w:val="0000FF"/>
              </w:rPr>
            </w:pPr>
            <w:r w:rsidRPr="003D1045">
              <w:rPr>
                <w:rFonts w:ascii="Times New Roman" w:hAnsi="Times New Roman" w:cs="Times New Roman"/>
                <w:b/>
                <w:color w:val="0000FF"/>
              </w:rPr>
              <w:t>Monitoring Parameter</w:t>
            </w:r>
          </w:p>
        </w:tc>
        <w:tc>
          <w:tcPr>
            <w:tcW w:w="0" w:type="auto"/>
          </w:tcPr>
          <w:p w14:paraId="6E78F636" w14:textId="77777777" w:rsidR="000F5E53" w:rsidRPr="003D1045" w:rsidRDefault="000F5E53" w:rsidP="006841F1">
            <w:pPr>
              <w:ind w:left="0" w:firstLine="0"/>
              <w:rPr>
                <w:rFonts w:ascii="Times New Roman" w:hAnsi="Times New Roman" w:cs="Times New Roman"/>
                <w:b/>
                <w:color w:val="0000FF"/>
              </w:rPr>
            </w:pPr>
            <w:r w:rsidRPr="003D1045">
              <w:rPr>
                <w:rFonts w:ascii="Times New Roman" w:hAnsi="Times New Roman" w:cs="Times New Roman"/>
                <w:b/>
                <w:color w:val="0000FF"/>
              </w:rPr>
              <w:t>Population</w:t>
            </w:r>
          </w:p>
        </w:tc>
        <w:tc>
          <w:tcPr>
            <w:tcW w:w="0" w:type="auto"/>
          </w:tcPr>
          <w:p w14:paraId="318A7539" w14:textId="77777777" w:rsidR="000F5E53" w:rsidRPr="003D1045" w:rsidRDefault="000F5E53" w:rsidP="006841F1">
            <w:pPr>
              <w:ind w:left="0" w:firstLine="0"/>
              <w:rPr>
                <w:rFonts w:ascii="Times New Roman" w:hAnsi="Times New Roman" w:cs="Times New Roman"/>
                <w:b/>
                <w:color w:val="0000FF"/>
              </w:rPr>
            </w:pPr>
            <w:r w:rsidRPr="003D1045">
              <w:rPr>
                <w:rFonts w:ascii="Times New Roman" w:hAnsi="Times New Roman" w:cs="Times New Roman"/>
                <w:b/>
                <w:color w:val="0000FF"/>
              </w:rPr>
              <w:t>Frequency</w:t>
            </w:r>
          </w:p>
        </w:tc>
        <w:tc>
          <w:tcPr>
            <w:tcW w:w="0" w:type="auto"/>
          </w:tcPr>
          <w:p w14:paraId="27BFCC12" w14:textId="77777777" w:rsidR="000F5E53" w:rsidRPr="003D1045" w:rsidRDefault="000F5E53" w:rsidP="006841F1">
            <w:pPr>
              <w:ind w:left="0" w:right="162" w:firstLine="0"/>
              <w:rPr>
                <w:rFonts w:ascii="Times New Roman" w:hAnsi="Times New Roman" w:cs="Times New Roman"/>
                <w:b/>
                <w:color w:val="0000FF"/>
              </w:rPr>
            </w:pPr>
            <w:r w:rsidRPr="003D1045">
              <w:rPr>
                <w:rFonts w:ascii="Times New Roman" w:hAnsi="Times New Roman" w:cs="Times New Roman"/>
                <w:b/>
                <w:color w:val="0000FF"/>
              </w:rPr>
              <w:t>Rationale</w:t>
            </w:r>
          </w:p>
        </w:tc>
      </w:tr>
      <w:tr w:rsidR="003D1045" w:rsidRPr="003D1045" w14:paraId="5E38ED0C" w14:textId="77777777" w:rsidTr="003D1045">
        <w:trPr>
          <w:trHeight w:val="82"/>
          <w:jc w:val="center"/>
        </w:trPr>
        <w:tc>
          <w:tcPr>
            <w:tcW w:w="0" w:type="auto"/>
          </w:tcPr>
          <w:p w14:paraId="41E780F8"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Heart Failure Society of America (</w:t>
            </w:r>
            <w:proofErr w:type="spellStart"/>
            <w:r w:rsidRPr="003D1045">
              <w:rPr>
                <w:rFonts w:ascii="Times New Roman" w:hAnsi="Times New Roman" w:cs="Times New Roman"/>
                <w:color w:val="0000FF"/>
              </w:rPr>
              <w:t>Lindenfeld</w:t>
            </w:r>
            <w:proofErr w:type="spellEnd"/>
            <w:r w:rsidRPr="003D1045">
              <w:rPr>
                <w:rFonts w:ascii="Times New Roman" w:hAnsi="Times New Roman" w:cs="Times New Roman"/>
                <w:color w:val="0000FF"/>
              </w:rPr>
              <w:t xml:space="preserve"> 2010) </w:t>
            </w:r>
          </w:p>
          <w:p w14:paraId="694B9264" w14:textId="77777777" w:rsidR="000F5E53" w:rsidRPr="003D1045" w:rsidRDefault="000F5E53" w:rsidP="006841F1">
            <w:pPr>
              <w:ind w:left="0" w:firstLine="0"/>
              <w:rPr>
                <w:rFonts w:ascii="Times New Roman" w:hAnsi="Times New Roman" w:cs="Times New Roman"/>
                <w:color w:val="0000FF"/>
              </w:rPr>
            </w:pPr>
          </w:p>
        </w:tc>
        <w:tc>
          <w:tcPr>
            <w:tcW w:w="0" w:type="auto"/>
          </w:tcPr>
          <w:p w14:paraId="7FED6B6C"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 xml:space="preserve">Serum digoxin </w:t>
            </w:r>
          </w:p>
          <w:p w14:paraId="523EFE67"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 xml:space="preserve">(0.7 – 0.9 </w:t>
            </w:r>
            <w:proofErr w:type="spellStart"/>
            <w:r w:rsidRPr="003D1045">
              <w:rPr>
                <w:rFonts w:ascii="Times New Roman" w:hAnsi="Times New Roman" w:cs="Times New Roman"/>
                <w:color w:val="0000FF"/>
              </w:rPr>
              <w:t>ng</w:t>
            </w:r>
            <w:proofErr w:type="spellEnd"/>
            <w:r w:rsidRPr="003D1045">
              <w:rPr>
                <w:rFonts w:ascii="Times New Roman" w:hAnsi="Times New Roman" w:cs="Times New Roman"/>
                <w:color w:val="0000FF"/>
              </w:rPr>
              <w:t>/mL)</w:t>
            </w:r>
          </w:p>
        </w:tc>
        <w:tc>
          <w:tcPr>
            <w:tcW w:w="0" w:type="auto"/>
          </w:tcPr>
          <w:p w14:paraId="55B28C1C"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Majority of patients except the elderly or those with impaired renal function</w:t>
            </w:r>
          </w:p>
        </w:tc>
        <w:tc>
          <w:tcPr>
            <w:tcW w:w="0" w:type="auto"/>
          </w:tcPr>
          <w:p w14:paraId="3DB5EE15"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Monitoring in specific situations (see rationale)</w:t>
            </w:r>
          </w:p>
        </w:tc>
        <w:tc>
          <w:tcPr>
            <w:tcW w:w="0" w:type="auto"/>
          </w:tcPr>
          <w:p w14:paraId="077B624A" w14:textId="77777777"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 xml:space="preserve">Serum digoxin concentration &lt; 1.0 </w:t>
            </w:r>
            <w:proofErr w:type="spellStart"/>
            <w:r w:rsidRPr="003D1045">
              <w:rPr>
                <w:rFonts w:ascii="Times New Roman" w:hAnsi="Times New Roman" w:cs="Times New Roman"/>
                <w:color w:val="0000FF"/>
              </w:rPr>
              <w:t>ng</w:t>
            </w:r>
            <w:proofErr w:type="spellEnd"/>
            <w:r w:rsidRPr="003D1045">
              <w:rPr>
                <w:rFonts w:ascii="Times New Roman" w:hAnsi="Times New Roman" w:cs="Times New Roman"/>
                <w:color w:val="0000FF"/>
              </w:rPr>
              <w:t xml:space="preserve">/mL were associated with favorable outcomes whereas those &gt; 1.2 </w:t>
            </w:r>
            <w:proofErr w:type="spellStart"/>
            <w:r w:rsidRPr="003D1045">
              <w:rPr>
                <w:rFonts w:ascii="Times New Roman" w:hAnsi="Times New Roman" w:cs="Times New Roman"/>
                <w:color w:val="0000FF"/>
              </w:rPr>
              <w:t>ng</w:t>
            </w:r>
            <w:proofErr w:type="spellEnd"/>
            <w:r w:rsidRPr="003D1045">
              <w:rPr>
                <w:rFonts w:ascii="Times New Roman" w:hAnsi="Times New Roman" w:cs="Times New Roman"/>
                <w:color w:val="0000FF"/>
              </w:rPr>
              <w:t>/mL were associated with harm (B)</w:t>
            </w:r>
          </w:p>
          <w:p w14:paraId="23766F60" w14:textId="430C865C"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Monitoring should be considered when:</w:t>
            </w:r>
          </w:p>
          <w:p w14:paraId="119B7C16" w14:textId="77777777"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 a significant change in renal function occurs</w:t>
            </w:r>
          </w:p>
          <w:p w14:paraId="14F4130A" w14:textId="77777777"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 a potentially interacting drug is added or discontinued</w:t>
            </w:r>
          </w:p>
          <w:p w14:paraId="728B1F33" w14:textId="77777777"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 confirmation of suspected digoxin toxicity</w:t>
            </w:r>
          </w:p>
        </w:tc>
      </w:tr>
      <w:tr w:rsidR="003D1045" w:rsidRPr="003D1045" w14:paraId="27DC7CAA" w14:textId="77777777" w:rsidTr="003D1045">
        <w:trPr>
          <w:trHeight w:val="571"/>
          <w:jc w:val="center"/>
        </w:trPr>
        <w:tc>
          <w:tcPr>
            <w:tcW w:w="0" w:type="auto"/>
            <w:vMerge w:val="restart"/>
          </w:tcPr>
          <w:p w14:paraId="6F4F3047"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rPr>
              <w:t>Institute for Clinical Systems Improvement (</w:t>
            </w:r>
            <w:proofErr w:type="spellStart"/>
            <w:r w:rsidRPr="003D1045">
              <w:rPr>
                <w:rFonts w:ascii="Times New Roman" w:hAnsi="Times New Roman" w:cs="Times New Roman"/>
                <w:color w:val="0000FF"/>
              </w:rPr>
              <w:t>Pinkerman</w:t>
            </w:r>
            <w:proofErr w:type="spellEnd"/>
            <w:r w:rsidRPr="003D1045">
              <w:rPr>
                <w:rFonts w:ascii="Times New Roman" w:hAnsi="Times New Roman" w:cs="Times New Roman"/>
                <w:color w:val="0000FF"/>
              </w:rPr>
              <w:t xml:space="preserve"> 2013)</w:t>
            </w:r>
          </w:p>
        </w:tc>
        <w:tc>
          <w:tcPr>
            <w:tcW w:w="0" w:type="auto"/>
          </w:tcPr>
          <w:p w14:paraId="1E87072F"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Serum digoxin</w:t>
            </w:r>
          </w:p>
        </w:tc>
        <w:tc>
          <w:tcPr>
            <w:tcW w:w="0" w:type="auto"/>
          </w:tcPr>
          <w:p w14:paraId="3D2B4714"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Elderly or renal-impaired patient with heart failure</w:t>
            </w:r>
          </w:p>
        </w:tc>
        <w:tc>
          <w:tcPr>
            <w:tcW w:w="0" w:type="auto"/>
          </w:tcPr>
          <w:p w14:paraId="40529C2A"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Monitor at 1 – 2 weeks after initiation</w:t>
            </w:r>
          </w:p>
        </w:tc>
        <w:tc>
          <w:tcPr>
            <w:tcW w:w="0" w:type="auto"/>
          </w:tcPr>
          <w:p w14:paraId="3C3DBF31" w14:textId="77777777"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Monitor to avoid digoxin toxicity: serum digoxin levels do not always correlate to symptoms of toxicity</w:t>
            </w:r>
          </w:p>
        </w:tc>
      </w:tr>
      <w:tr w:rsidR="003D1045" w:rsidRPr="003D1045" w14:paraId="734ED38A" w14:textId="77777777" w:rsidTr="003D1045">
        <w:trPr>
          <w:trHeight w:val="867"/>
          <w:jc w:val="center"/>
        </w:trPr>
        <w:tc>
          <w:tcPr>
            <w:tcW w:w="0" w:type="auto"/>
            <w:vMerge/>
          </w:tcPr>
          <w:p w14:paraId="50A752A2" w14:textId="77777777" w:rsidR="000F5E53" w:rsidRPr="003D1045" w:rsidRDefault="000F5E53" w:rsidP="006841F1">
            <w:pPr>
              <w:ind w:left="0" w:firstLine="0"/>
              <w:rPr>
                <w:rFonts w:ascii="Times New Roman" w:hAnsi="Times New Roman" w:cs="Times New Roman"/>
                <w:color w:val="0000FF"/>
                <w:lang w:eastAsia="zh-TW"/>
              </w:rPr>
            </w:pPr>
          </w:p>
        </w:tc>
        <w:tc>
          <w:tcPr>
            <w:tcW w:w="0" w:type="auto"/>
          </w:tcPr>
          <w:p w14:paraId="056401EC"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Serum digoxin</w:t>
            </w:r>
          </w:p>
        </w:tc>
        <w:tc>
          <w:tcPr>
            <w:tcW w:w="0" w:type="auto"/>
          </w:tcPr>
          <w:p w14:paraId="68AA6E82"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Patients age 18 years or older with heart failure</w:t>
            </w:r>
          </w:p>
        </w:tc>
        <w:tc>
          <w:tcPr>
            <w:tcW w:w="0" w:type="auto"/>
          </w:tcPr>
          <w:p w14:paraId="6D5E5EC5"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5- to 7-days after initiation/dose change</w:t>
            </w:r>
          </w:p>
        </w:tc>
        <w:tc>
          <w:tcPr>
            <w:tcW w:w="0" w:type="auto"/>
          </w:tcPr>
          <w:p w14:paraId="58669AD5" w14:textId="77777777"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Monitoring also recommended for: suspected toxicity, suspected non-adherence, new or existing renal dysfunction, determination of therapeutic range</w:t>
            </w:r>
          </w:p>
        </w:tc>
      </w:tr>
      <w:tr w:rsidR="003D1045" w:rsidRPr="003D1045" w14:paraId="50C68E5F" w14:textId="77777777" w:rsidTr="003D1045">
        <w:trPr>
          <w:trHeight w:val="867"/>
          <w:jc w:val="center"/>
        </w:trPr>
        <w:tc>
          <w:tcPr>
            <w:tcW w:w="0" w:type="auto"/>
            <w:vMerge/>
          </w:tcPr>
          <w:p w14:paraId="32164022" w14:textId="77777777" w:rsidR="000F5E53" w:rsidRPr="003D1045" w:rsidRDefault="000F5E53" w:rsidP="006841F1">
            <w:pPr>
              <w:ind w:left="0" w:firstLine="0"/>
              <w:rPr>
                <w:rFonts w:ascii="Times New Roman" w:hAnsi="Times New Roman" w:cs="Times New Roman"/>
                <w:color w:val="0000FF"/>
                <w:lang w:eastAsia="zh-TW"/>
              </w:rPr>
            </w:pPr>
          </w:p>
        </w:tc>
        <w:tc>
          <w:tcPr>
            <w:tcW w:w="0" w:type="auto"/>
          </w:tcPr>
          <w:p w14:paraId="17B0FC58"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Serum creatinine</w:t>
            </w:r>
          </w:p>
          <w:p w14:paraId="7BCD6CE5"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Electrolytes</w:t>
            </w:r>
          </w:p>
        </w:tc>
        <w:tc>
          <w:tcPr>
            <w:tcW w:w="0" w:type="auto"/>
          </w:tcPr>
          <w:p w14:paraId="12D77E7C"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Patients age 18 years or older with heart failure</w:t>
            </w:r>
          </w:p>
        </w:tc>
        <w:tc>
          <w:tcPr>
            <w:tcW w:w="0" w:type="auto"/>
          </w:tcPr>
          <w:p w14:paraId="701C2719"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Baseline and periodically thereafter</w:t>
            </w:r>
          </w:p>
        </w:tc>
        <w:tc>
          <w:tcPr>
            <w:tcW w:w="0" w:type="auto"/>
          </w:tcPr>
          <w:p w14:paraId="0314D1F0" w14:textId="77777777" w:rsidR="000F5E53" w:rsidRPr="003D1045" w:rsidRDefault="000F5E53" w:rsidP="006841F1">
            <w:pPr>
              <w:ind w:left="0" w:right="162" w:firstLine="0"/>
              <w:rPr>
                <w:rFonts w:ascii="Times New Roman" w:hAnsi="Times New Roman" w:cs="Times New Roman"/>
                <w:color w:val="0000FF"/>
              </w:rPr>
            </w:pPr>
          </w:p>
        </w:tc>
      </w:tr>
      <w:tr w:rsidR="003D1045" w:rsidRPr="003D1045" w14:paraId="71D1DE78" w14:textId="77777777" w:rsidTr="003D1045">
        <w:trPr>
          <w:trHeight w:val="1296"/>
          <w:jc w:val="center"/>
        </w:trPr>
        <w:tc>
          <w:tcPr>
            <w:tcW w:w="0" w:type="auto"/>
          </w:tcPr>
          <w:p w14:paraId="6F74EFE9" w14:textId="6A578AD6"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shd w:val="clear" w:color="auto" w:fill="FFFFFF"/>
              </w:rPr>
              <w:t>American College of Cardiology and the</w:t>
            </w:r>
            <w:r w:rsidRPr="003D1045">
              <w:rPr>
                <w:rStyle w:val="apple-converted-space"/>
                <w:rFonts w:ascii="Times New Roman" w:hAnsi="Times New Roman" w:cs="Times New Roman"/>
                <w:color w:val="0000FF"/>
                <w:shd w:val="clear" w:color="auto" w:fill="FFFFFF"/>
              </w:rPr>
              <w:t> </w:t>
            </w:r>
            <w:r w:rsidRPr="003D1045">
              <w:rPr>
                <w:rStyle w:val="Emphasis"/>
                <w:rFonts w:ascii="Times New Roman" w:hAnsi="Times New Roman" w:cs="Times New Roman"/>
                <w:bCs/>
                <w:i w:val="0"/>
                <w:iCs w:val="0"/>
                <w:color w:val="0000FF"/>
                <w:shd w:val="clear" w:color="auto" w:fill="FFFFFF"/>
              </w:rPr>
              <w:t>American Heart Association (Hunt 2009)</w:t>
            </w:r>
          </w:p>
        </w:tc>
        <w:tc>
          <w:tcPr>
            <w:tcW w:w="0" w:type="auto"/>
          </w:tcPr>
          <w:p w14:paraId="3C44313E"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Serum potassium</w:t>
            </w:r>
          </w:p>
        </w:tc>
        <w:tc>
          <w:tcPr>
            <w:tcW w:w="0" w:type="auto"/>
          </w:tcPr>
          <w:p w14:paraId="1F21DB30"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Patients with heart failure and using a diuretic</w:t>
            </w:r>
          </w:p>
        </w:tc>
        <w:tc>
          <w:tcPr>
            <w:tcW w:w="0" w:type="auto"/>
          </w:tcPr>
          <w:p w14:paraId="70E274BC"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Serial monitoring</w:t>
            </w:r>
          </w:p>
        </w:tc>
        <w:tc>
          <w:tcPr>
            <w:tcW w:w="0" w:type="auto"/>
          </w:tcPr>
          <w:p w14:paraId="3AA54842" w14:textId="77777777"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Hypokalemia may cause fatal arrhythmias and increase the risk of digoxin toxicity</w:t>
            </w:r>
          </w:p>
        </w:tc>
      </w:tr>
      <w:tr w:rsidR="003D1045" w:rsidRPr="003D1045" w14:paraId="1E56831C" w14:textId="77777777" w:rsidTr="003D1045">
        <w:trPr>
          <w:trHeight w:val="1296"/>
          <w:jc w:val="center"/>
        </w:trPr>
        <w:tc>
          <w:tcPr>
            <w:tcW w:w="0" w:type="auto"/>
          </w:tcPr>
          <w:p w14:paraId="111A28DF" w14:textId="05EE851C" w:rsidR="000F5E53" w:rsidRPr="003D1045" w:rsidRDefault="000F5E53" w:rsidP="001E22BF">
            <w:pPr>
              <w:ind w:left="0" w:firstLine="0"/>
              <w:rPr>
                <w:rFonts w:ascii="Times New Roman" w:hAnsi="Times New Roman" w:cs="Times New Roman"/>
                <w:color w:val="0000FF"/>
                <w:shd w:val="clear" w:color="auto" w:fill="FFFFFF"/>
              </w:rPr>
            </w:pPr>
            <w:r w:rsidRPr="003D1045">
              <w:rPr>
                <w:rFonts w:ascii="Times New Roman" w:hAnsi="Times New Roman" w:cs="Times New Roman"/>
                <w:color w:val="0000FF"/>
                <w:lang w:eastAsia="zh-TW"/>
              </w:rPr>
              <w:t>FDA</w:t>
            </w:r>
            <w:r w:rsidRPr="003D1045">
              <w:rPr>
                <w:rFonts w:ascii="Times New Roman" w:hAnsi="Times New Roman" w:cs="Times New Roman"/>
                <w:color w:val="0000FF"/>
              </w:rPr>
              <w:t xml:space="preserve"> Label (</w:t>
            </w:r>
            <w:proofErr w:type="spellStart"/>
            <w:r w:rsidRPr="003D1045">
              <w:rPr>
                <w:rFonts w:ascii="Times New Roman" w:hAnsi="Times New Roman" w:cs="Times New Roman"/>
                <w:color w:val="0000FF"/>
              </w:rPr>
              <w:t>FDAa</w:t>
            </w:r>
            <w:proofErr w:type="spellEnd"/>
            <w:r w:rsidRPr="003D1045">
              <w:rPr>
                <w:rFonts w:ascii="Times New Roman" w:hAnsi="Times New Roman" w:cs="Times New Roman"/>
                <w:color w:val="0000FF"/>
              </w:rPr>
              <w:t xml:space="preserve">, 2013) </w:t>
            </w:r>
          </w:p>
        </w:tc>
        <w:tc>
          <w:tcPr>
            <w:tcW w:w="0" w:type="auto"/>
          </w:tcPr>
          <w:p w14:paraId="66CACD93" w14:textId="4BD67702"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Serum digoxin</w:t>
            </w:r>
          </w:p>
        </w:tc>
        <w:tc>
          <w:tcPr>
            <w:tcW w:w="0" w:type="auto"/>
          </w:tcPr>
          <w:p w14:paraId="0D3D67A8" w14:textId="7DA06E26"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Adults with mild to moderate heart failure and for the control of resting ventricular rate in patients with chronic atrial fibrillation</w:t>
            </w:r>
          </w:p>
        </w:tc>
        <w:tc>
          <w:tcPr>
            <w:tcW w:w="0" w:type="auto"/>
          </w:tcPr>
          <w:p w14:paraId="07BE570D" w14:textId="0EAEB3A0"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Sample just before next scheduled dose of drug</w:t>
            </w:r>
          </w:p>
        </w:tc>
        <w:tc>
          <w:tcPr>
            <w:tcW w:w="0" w:type="auto"/>
          </w:tcPr>
          <w:p w14:paraId="5F2DB280" w14:textId="77777777"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Blood tests will be necessary to ensure digoxin dose is appropriate (therapeutic and toxic effect)</w:t>
            </w:r>
          </w:p>
          <w:p w14:paraId="2C1E37FC" w14:textId="7725CD3C" w:rsidR="000F5E53" w:rsidRPr="003D1045" w:rsidRDefault="000F5E53" w:rsidP="006841F1">
            <w:pPr>
              <w:ind w:left="0" w:right="162" w:firstLine="0"/>
              <w:rPr>
                <w:rFonts w:ascii="Times New Roman" w:hAnsi="Times New Roman" w:cs="Times New Roman"/>
                <w:color w:val="0000FF"/>
              </w:rPr>
            </w:pPr>
            <w:r w:rsidRPr="003D1045">
              <w:rPr>
                <w:rFonts w:ascii="Times New Roman" w:hAnsi="Times New Roman" w:cs="Times New Roman"/>
                <w:color w:val="0000FF"/>
              </w:rPr>
              <w:t>Dose of digoxin should be based on clinical grounds but serum digoxin concentration can be helpful</w:t>
            </w:r>
            <w:r w:rsidRPr="003D1045">
              <w:rPr>
                <w:rFonts w:ascii="Times New Roman" w:hAnsi="Times New Roman" w:cs="Times New Roman"/>
                <w:color w:val="0000FF"/>
                <w:lang w:eastAsia="zh-TW"/>
              </w:rPr>
              <w:t xml:space="preserve"> to the clinician in determining the adequacy of digoxin therapy and in assigning certain probabilities to the likelihood of digoxin intoxication.</w:t>
            </w:r>
          </w:p>
        </w:tc>
      </w:tr>
    </w:tbl>
    <w:p w14:paraId="709116D5" w14:textId="77777777" w:rsidR="004533E4" w:rsidRPr="003D1045" w:rsidRDefault="004533E4" w:rsidP="002E2177">
      <w:pPr>
        <w:ind w:left="0" w:firstLine="0"/>
        <w:rPr>
          <w:rFonts w:ascii="Times New Roman" w:hAnsi="Times New Roman" w:cs="Times New Roman"/>
          <w:b/>
          <w:color w:val="0000FF"/>
        </w:rPr>
      </w:pPr>
    </w:p>
    <w:p w14:paraId="43944CF5" w14:textId="2B591CBC" w:rsidR="007F7091" w:rsidRPr="003D1045" w:rsidRDefault="007F7091" w:rsidP="002E2177">
      <w:pPr>
        <w:ind w:left="0" w:firstLine="0"/>
        <w:rPr>
          <w:rFonts w:ascii="Times New Roman" w:hAnsi="Times New Roman" w:cs="Times New Roman"/>
          <w:color w:val="0000FF"/>
        </w:rPr>
      </w:pPr>
      <w:r w:rsidRPr="003D1045">
        <w:rPr>
          <w:rFonts w:ascii="Times New Roman" w:hAnsi="Times New Roman" w:cs="Times New Roman"/>
          <w:b/>
          <w:color w:val="0000FF"/>
        </w:rPr>
        <w:t>Monitoring for Patients on Diuretics</w:t>
      </w:r>
    </w:p>
    <w:tbl>
      <w:tblPr>
        <w:tblStyle w:val="TableGrid"/>
        <w:tblW w:w="0" w:type="auto"/>
        <w:jc w:val="center"/>
        <w:tblLook w:val="00A0" w:firstRow="1" w:lastRow="0" w:firstColumn="1" w:lastColumn="0" w:noHBand="0" w:noVBand="0"/>
      </w:tblPr>
      <w:tblGrid>
        <w:gridCol w:w="1707"/>
        <w:gridCol w:w="1455"/>
        <w:gridCol w:w="1799"/>
        <w:gridCol w:w="1730"/>
        <w:gridCol w:w="2659"/>
      </w:tblGrid>
      <w:tr w:rsidR="003D1045" w:rsidRPr="003D1045" w14:paraId="1F6BCF4F" w14:textId="77777777" w:rsidTr="003D1045">
        <w:trPr>
          <w:trHeight w:val="512"/>
          <w:jc w:val="center"/>
        </w:trPr>
        <w:tc>
          <w:tcPr>
            <w:tcW w:w="0" w:type="auto"/>
          </w:tcPr>
          <w:p w14:paraId="1C2DDE4A" w14:textId="77777777" w:rsidR="000F5E53" w:rsidRPr="003D1045" w:rsidRDefault="000F5E53" w:rsidP="006841F1">
            <w:pPr>
              <w:ind w:left="0" w:firstLine="0"/>
              <w:rPr>
                <w:rFonts w:ascii="Times New Roman" w:hAnsi="Times New Roman" w:cs="Times New Roman"/>
                <w:b/>
                <w:color w:val="0000FF"/>
              </w:rPr>
            </w:pPr>
            <w:r w:rsidRPr="003D1045">
              <w:rPr>
                <w:rFonts w:ascii="Times New Roman" w:hAnsi="Times New Roman" w:cs="Times New Roman"/>
                <w:b/>
                <w:color w:val="0000FF"/>
              </w:rPr>
              <w:t xml:space="preserve">Reference </w:t>
            </w:r>
          </w:p>
        </w:tc>
        <w:tc>
          <w:tcPr>
            <w:tcW w:w="0" w:type="auto"/>
          </w:tcPr>
          <w:p w14:paraId="1CE025DA" w14:textId="77777777" w:rsidR="000F5E53" w:rsidRPr="003D1045" w:rsidRDefault="000F5E53" w:rsidP="006841F1">
            <w:pPr>
              <w:ind w:left="0" w:firstLine="0"/>
              <w:rPr>
                <w:rFonts w:ascii="Times New Roman" w:hAnsi="Times New Roman" w:cs="Times New Roman"/>
                <w:b/>
                <w:color w:val="0000FF"/>
                <w:lang w:eastAsia="zh-TW"/>
              </w:rPr>
            </w:pPr>
            <w:r w:rsidRPr="003D1045">
              <w:rPr>
                <w:rFonts w:ascii="Times New Roman" w:hAnsi="Times New Roman" w:cs="Times New Roman"/>
                <w:b/>
                <w:color w:val="0000FF"/>
                <w:lang w:eastAsia="zh-TW"/>
              </w:rPr>
              <w:t>Monitoring Parameter</w:t>
            </w:r>
          </w:p>
        </w:tc>
        <w:tc>
          <w:tcPr>
            <w:tcW w:w="0" w:type="auto"/>
          </w:tcPr>
          <w:p w14:paraId="5E18D19E" w14:textId="77777777" w:rsidR="000F5E53" w:rsidRPr="003D1045" w:rsidRDefault="000F5E53" w:rsidP="006841F1">
            <w:pPr>
              <w:ind w:left="0" w:firstLine="0"/>
              <w:rPr>
                <w:rFonts w:ascii="Times New Roman" w:hAnsi="Times New Roman" w:cs="Times New Roman"/>
                <w:b/>
                <w:color w:val="0000FF"/>
              </w:rPr>
            </w:pPr>
            <w:r w:rsidRPr="003D1045">
              <w:rPr>
                <w:rFonts w:ascii="Times New Roman" w:hAnsi="Times New Roman" w:cs="Times New Roman"/>
                <w:b/>
                <w:color w:val="0000FF"/>
              </w:rPr>
              <w:t>Population</w:t>
            </w:r>
          </w:p>
        </w:tc>
        <w:tc>
          <w:tcPr>
            <w:tcW w:w="0" w:type="auto"/>
          </w:tcPr>
          <w:p w14:paraId="792E87CA" w14:textId="77777777" w:rsidR="000F5E53" w:rsidRPr="003D1045" w:rsidRDefault="000F5E53" w:rsidP="006841F1">
            <w:pPr>
              <w:ind w:left="0" w:firstLine="0"/>
              <w:rPr>
                <w:rFonts w:ascii="Times New Roman" w:hAnsi="Times New Roman" w:cs="Times New Roman"/>
                <w:b/>
                <w:color w:val="0000FF"/>
              </w:rPr>
            </w:pPr>
            <w:r w:rsidRPr="003D1045">
              <w:rPr>
                <w:rFonts w:ascii="Times New Roman" w:hAnsi="Times New Roman" w:cs="Times New Roman"/>
                <w:b/>
                <w:color w:val="0000FF"/>
              </w:rPr>
              <w:t>Frequency</w:t>
            </w:r>
          </w:p>
        </w:tc>
        <w:tc>
          <w:tcPr>
            <w:tcW w:w="0" w:type="auto"/>
          </w:tcPr>
          <w:p w14:paraId="091C5815" w14:textId="77777777" w:rsidR="000F5E53" w:rsidRPr="003D1045" w:rsidRDefault="000F5E53" w:rsidP="006841F1">
            <w:pPr>
              <w:ind w:left="0" w:firstLine="0"/>
              <w:rPr>
                <w:rFonts w:ascii="Times New Roman" w:hAnsi="Times New Roman" w:cs="Times New Roman"/>
                <w:b/>
                <w:color w:val="0000FF"/>
              </w:rPr>
            </w:pPr>
            <w:r w:rsidRPr="003D1045">
              <w:rPr>
                <w:rFonts w:ascii="Times New Roman" w:hAnsi="Times New Roman" w:cs="Times New Roman"/>
                <w:b/>
                <w:color w:val="0000FF"/>
              </w:rPr>
              <w:t>Rationale</w:t>
            </w:r>
          </w:p>
        </w:tc>
      </w:tr>
      <w:tr w:rsidR="003D1045" w:rsidRPr="003D1045" w14:paraId="1509DD8B" w14:textId="77777777" w:rsidTr="003D1045">
        <w:trPr>
          <w:trHeight w:val="64"/>
          <w:jc w:val="center"/>
        </w:trPr>
        <w:tc>
          <w:tcPr>
            <w:tcW w:w="0" w:type="auto"/>
            <w:vMerge w:val="restart"/>
          </w:tcPr>
          <w:p w14:paraId="1FC814DA"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shd w:val="clear" w:color="auto" w:fill="FFFFFF"/>
              </w:rPr>
              <w:t>American College of Cardiology and the</w:t>
            </w:r>
            <w:r w:rsidRPr="003D1045">
              <w:rPr>
                <w:rStyle w:val="apple-converted-space"/>
                <w:rFonts w:ascii="Times New Roman" w:hAnsi="Times New Roman" w:cs="Times New Roman"/>
                <w:color w:val="0000FF"/>
                <w:shd w:val="clear" w:color="auto" w:fill="FFFFFF"/>
              </w:rPr>
              <w:t> </w:t>
            </w:r>
            <w:r w:rsidRPr="003D1045">
              <w:rPr>
                <w:rStyle w:val="Emphasis"/>
                <w:rFonts w:ascii="Times New Roman" w:hAnsi="Times New Roman" w:cs="Times New Roman"/>
                <w:bCs/>
                <w:i w:val="0"/>
                <w:iCs w:val="0"/>
                <w:color w:val="0000FF"/>
                <w:shd w:val="clear" w:color="auto" w:fill="FFFFFF"/>
              </w:rPr>
              <w:t>American Heart Association (Hunt 2009)</w:t>
            </w:r>
          </w:p>
        </w:tc>
        <w:tc>
          <w:tcPr>
            <w:tcW w:w="0" w:type="auto"/>
          </w:tcPr>
          <w:p w14:paraId="50685003"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lang w:eastAsia="zh-TW"/>
              </w:rPr>
              <w:t>S</w:t>
            </w:r>
            <w:r w:rsidRPr="003D1045">
              <w:rPr>
                <w:rFonts w:ascii="Times New Roman" w:hAnsi="Times New Roman" w:cs="Times New Roman"/>
                <w:color w:val="0000FF"/>
              </w:rPr>
              <w:t>erum potassium</w:t>
            </w:r>
          </w:p>
        </w:tc>
        <w:tc>
          <w:tcPr>
            <w:tcW w:w="0" w:type="auto"/>
          </w:tcPr>
          <w:p w14:paraId="4CD2750E"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Patients with heart failure</w:t>
            </w:r>
          </w:p>
        </w:tc>
        <w:tc>
          <w:tcPr>
            <w:tcW w:w="0" w:type="auto"/>
          </w:tcPr>
          <w:p w14:paraId="40E17E7D"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Not specified</w:t>
            </w:r>
          </w:p>
        </w:tc>
        <w:tc>
          <w:tcPr>
            <w:tcW w:w="0" w:type="auto"/>
          </w:tcPr>
          <w:p w14:paraId="25BE6A89"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Hypokalemia is a common adverse effect of treatment with Diuretics and may cause fatal arrhythmias and increase the risk of digitalis (digoxin) toxicity, whereas hyperkalemia may complicate therapy with ACE Inhibitors, ARBs, and Potassium-Sparing Diuretics (Aldosterone Antagonists)</w:t>
            </w:r>
          </w:p>
        </w:tc>
      </w:tr>
      <w:tr w:rsidR="003D1045" w:rsidRPr="003D1045" w14:paraId="36B1DDA3" w14:textId="77777777" w:rsidTr="003D1045">
        <w:trPr>
          <w:trHeight w:val="819"/>
          <w:jc w:val="center"/>
        </w:trPr>
        <w:tc>
          <w:tcPr>
            <w:tcW w:w="0" w:type="auto"/>
            <w:vMerge/>
          </w:tcPr>
          <w:p w14:paraId="3684D3D2" w14:textId="77777777" w:rsidR="000F5E53" w:rsidRPr="003D1045" w:rsidRDefault="000F5E53" w:rsidP="006841F1">
            <w:pPr>
              <w:ind w:left="0" w:firstLine="0"/>
              <w:rPr>
                <w:rFonts w:ascii="Times New Roman" w:hAnsi="Times New Roman" w:cs="Times New Roman"/>
                <w:color w:val="0000FF"/>
              </w:rPr>
            </w:pPr>
          </w:p>
        </w:tc>
        <w:tc>
          <w:tcPr>
            <w:tcW w:w="0" w:type="auto"/>
          </w:tcPr>
          <w:p w14:paraId="579F2D39"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rPr>
              <w:t xml:space="preserve">Serum potassium </w:t>
            </w:r>
          </w:p>
          <w:p w14:paraId="1096C02C"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lang w:eastAsia="zh-TW"/>
              </w:rPr>
              <w:t>R</w:t>
            </w:r>
            <w:r w:rsidRPr="003D1045">
              <w:rPr>
                <w:rFonts w:ascii="Times New Roman" w:hAnsi="Times New Roman" w:cs="Times New Roman"/>
                <w:color w:val="0000FF"/>
              </w:rPr>
              <w:t>enal function</w:t>
            </w:r>
          </w:p>
        </w:tc>
        <w:tc>
          <w:tcPr>
            <w:tcW w:w="0" w:type="auto"/>
          </w:tcPr>
          <w:p w14:paraId="02571102"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lang w:eastAsia="zh-TW"/>
              </w:rPr>
              <w:t>Patients</w:t>
            </w:r>
            <w:r w:rsidRPr="003D1045">
              <w:rPr>
                <w:rFonts w:ascii="Times New Roman" w:hAnsi="Times New Roman" w:cs="Times New Roman"/>
                <w:color w:val="0000FF"/>
              </w:rPr>
              <w:t xml:space="preserve"> with heart failure</w:t>
            </w:r>
          </w:p>
        </w:tc>
        <w:tc>
          <w:tcPr>
            <w:tcW w:w="0" w:type="auto"/>
          </w:tcPr>
          <w:p w14:paraId="613435F8"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3 days, 1 week, 3 months, and then 3 month intervals</w:t>
            </w:r>
            <w:r w:rsidRPr="003D1045">
              <w:rPr>
                <w:rFonts w:ascii="Times New Roman" w:hAnsi="Times New Roman" w:cs="Times New Roman"/>
                <w:color w:val="0000FF"/>
                <w:lang w:eastAsia="zh-TW"/>
              </w:rPr>
              <w:t xml:space="preserve"> </w:t>
            </w:r>
          </w:p>
        </w:tc>
        <w:tc>
          <w:tcPr>
            <w:tcW w:w="0" w:type="auto"/>
          </w:tcPr>
          <w:p w14:paraId="2B07466F"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 xml:space="preserve">Subsequent monitoring should be dictated by the general clinical stability of renal function and fluid status </w:t>
            </w:r>
          </w:p>
          <w:p w14:paraId="5125EAE9"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rPr>
              <w:t>The addition or an increase in dosage of ACE Inhibitors or ARBs should trigger a new cycle of monitoring</w:t>
            </w:r>
          </w:p>
        </w:tc>
      </w:tr>
      <w:tr w:rsidR="003D1045" w:rsidRPr="003D1045" w14:paraId="66B452AF" w14:textId="77777777" w:rsidTr="003D1045">
        <w:trPr>
          <w:trHeight w:val="819"/>
          <w:jc w:val="center"/>
        </w:trPr>
        <w:tc>
          <w:tcPr>
            <w:tcW w:w="0" w:type="auto"/>
            <w:vMerge/>
          </w:tcPr>
          <w:p w14:paraId="60908CC1" w14:textId="77777777" w:rsidR="000F5E53" w:rsidRPr="003D1045" w:rsidRDefault="000F5E53" w:rsidP="006841F1">
            <w:pPr>
              <w:ind w:left="0" w:firstLine="0"/>
              <w:rPr>
                <w:rFonts w:ascii="Times New Roman" w:hAnsi="Times New Roman" w:cs="Times New Roman"/>
                <w:color w:val="0000FF"/>
              </w:rPr>
            </w:pPr>
          </w:p>
        </w:tc>
        <w:tc>
          <w:tcPr>
            <w:tcW w:w="0" w:type="auto"/>
          </w:tcPr>
          <w:p w14:paraId="2E07CAAE"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Serum potassium Renal function</w:t>
            </w:r>
          </w:p>
        </w:tc>
        <w:tc>
          <w:tcPr>
            <w:tcW w:w="0" w:type="auto"/>
          </w:tcPr>
          <w:p w14:paraId="7BF732F3"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Patients with heart failure</w:t>
            </w:r>
          </w:p>
        </w:tc>
        <w:tc>
          <w:tcPr>
            <w:tcW w:w="0" w:type="auto"/>
          </w:tcPr>
          <w:p w14:paraId="556A87E4"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Not recommended</w:t>
            </w:r>
          </w:p>
        </w:tc>
        <w:tc>
          <w:tcPr>
            <w:tcW w:w="0" w:type="auto"/>
          </w:tcPr>
          <w:p w14:paraId="72EC1A28"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Under circumstances where monitoring for hyperkalemia or renal dysfunction is not anticipated to be feasible, the risks may outweigh the benefits of the therapy in patients with current or prior symptoms of heart failure</w:t>
            </w:r>
          </w:p>
        </w:tc>
      </w:tr>
      <w:tr w:rsidR="003D1045" w:rsidRPr="003D1045" w14:paraId="38F6FB79" w14:textId="77777777" w:rsidTr="003D1045">
        <w:trPr>
          <w:trHeight w:val="819"/>
          <w:jc w:val="center"/>
        </w:trPr>
        <w:tc>
          <w:tcPr>
            <w:tcW w:w="0" w:type="auto"/>
          </w:tcPr>
          <w:p w14:paraId="2ED501FB" w14:textId="10A5B324"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 xml:space="preserve">Institute for Clinical Systems Improvement (ICSI) </w:t>
            </w:r>
          </w:p>
        </w:tc>
        <w:tc>
          <w:tcPr>
            <w:tcW w:w="0" w:type="auto"/>
          </w:tcPr>
          <w:p w14:paraId="5223131F"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rPr>
              <w:t>Serum potassium</w:t>
            </w:r>
          </w:p>
          <w:p w14:paraId="26A16F65"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Electrolytes</w:t>
            </w:r>
          </w:p>
          <w:p w14:paraId="1A3B3515"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Renal function</w:t>
            </w:r>
          </w:p>
        </w:tc>
        <w:tc>
          <w:tcPr>
            <w:tcW w:w="0" w:type="auto"/>
          </w:tcPr>
          <w:p w14:paraId="6C7033BA"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P</w:t>
            </w:r>
            <w:r w:rsidRPr="003D1045">
              <w:rPr>
                <w:rFonts w:ascii="Times New Roman" w:hAnsi="Times New Roman" w:cs="Times New Roman"/>
                <w:color w:val="0000FF"/>
              </w:rPr>
              <w:t>atients with heart failure and hypotension</w:t>
            </w:r>
          </w:p>
        </w:tc>
        <w:tc>
          <w:tcPr>
            <w:tcW w:w="0" w:type="auto"/>
          </w:tcPr>
          <w:p w14:paraId="277D6341"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Not specified</w:t>
            </w:r>
          </w:p>
        </w:tc>
        <w:tc>
          <w:tcPr>
            <w:tcW w:w="0" w:type="auto"/>
          </w:tcPr>
          <w:p w14:paraId="105571AF"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NA</w:t>
            </w:r>
          </w:p>
        </w:tc>
      </w:tr>
      <w:tr w:rsidR="003D1045" w:rsidRPr="003D1045" w14:paraId="40BD4F4C" w14:textId="77777777" w:rsidTr="003D1045">
        <w:trPr>
          <w:trHeight w:val="819"/>
          <w:jc w:val="center"/>
        </w:trPr>
        <w:tc>
          <w:tcPr>
            <w:tcW w:w="0" w:type="auto"/>
            <w:vMerge w:val="restart"/>
          </w:tcPr>
          <w:p w14:paraId="2C8C1CE3"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Heart Failure Society of America (</w:t>
            </w:r>
            <w:proofErr w:type="spellStart"/>
            <w:r w:rsidRPr="003D1045">
              <w:rPr>
                <w:rFonts w:ascii="Times New Roman" w:hAnsi="Times New Roman" w:cs="Times New Roman"/>
                <w:color w:val="0000FF"/>
              </w:rPr>
              <w:t>Lindenfeld</w:t>
            </w:r>
            <w:proofErr w:type="spellEnd"/>
            <w:r w:rsidRPr="003D1045">
              <w:rPr>
                <w:rFonts w:ascii="Times New Roman" w:hAnsi="Times New Roman" w:cs="Times New Roman"/>
                <w:color w:val="0000FF"/>
              </w:rPr>
              <w:t xml:space="preserve"> 2010) </w:t>
            </w:r>
          </w:p>
          <w:p w14:paraId="163CFD6B" w14:textId="77777777" w:rsidR="000F5E53" w:rsidRPr="003D1045" w:rsidRDefault="000F5E53" w:rsidP="006841F1">
            <w:pPr>
              <w:ind w:left="0" w:firstLine="0"/>
              <w:rPr>
                <w:rFonts w:ascii="Times New Roman" w:hAnsi="Times New Roman" w:cs="Times New Roman"/>
                <w:color w:val="0000FF"/>
              </w:rPr>
            </w:pPr>
          </w:p>
        </w:tc>
        <w:tc>
          <w:tcPr>
            <w:tcW w:w="0" w:type="auto"/>
          </w:tcPr>
          <w:p w14:paraId="7B4014EB"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 xml:space="preserve">Serum potassium </w:t>
            </w:r>
          </w:p>
        </w:tc>
        <w:tc>
          <w:tcPr>
            <w:tcW w:w="0" w:type="auto"/>
          </w:tcPr>
          <w:p w14:paraId="646F7C3F"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Patients with heart failure</w:t>
            </w:r>
          </w:p>
        </w:tc>
        <w:tc>
          <w:tcPr>
            <w:tcW w:w="0" w:type="auto"/>
          </w:tcPr>
          <w:p w14:paraId="23FE66EA"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lang w:eastAsia="zh-TW"/>
              </w:rPr>
              <w:t>Varied with study</w:t>
            </w:r>
            <w:r w:rsidRPr="003D1045">
              <w:rPr>
                <w:rFonts w:ascii="Times New Roman" w:hAnsi="Times New Roman" w:cs="Times New Roman"/>
                <w:color w:val="0000FF"/>
              </w:rPr>
              <w:t xml:space="preserve"> </w:t>
            </w:r>
          </w:p>
        </w:tc>
        <w:tc>
          <w:tcPr>
            <w:tcW w:w="0" w:type="auto"/>
          </w:tcPr>
          <w:p w14:paraId="71BED34E"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 xml:space="preserve">In randomized controlled trials serum potassium was monitored more frequently after initial therapy and every 6 months after the first year of Potassium-Sparing Diuretic therapy in patients with diabetes or renal insufficiency or in those taking ACE Inhibitors or ARBs </w:t>
            </w:r>
          </w:p>
        </w:tc>
      </w:tr>
      <w:tr w:rsidR="003D1045" w:rsidRPr="003D1045" w14:paraId="30D74436" w14:textId="77777777" w:rsidTr="003D1045">
        <w:trPr>
          <w:trHeight w:val="819"/>
          <w:jc w:val="center"/>
        </w:trPr>
        <w:tc>
          <w:tcPr>
            <w:tcW w:w="0" w:type="auto"/>
            <w:vMerge/>
          </w:tcPr>
          <w:p w14:paraId="3997E91B" w14:textId="77777777" w:rsidR="000F5E53" w:rsidRPr="003D1045" w:rsidRDefault="000F5E53" w:rsidP="006841F1">
            <w:pPr>
              <w:ind w:left="0" w:firstLine="0"/>
              <w:rPr>
                <w:rFonts w:ascii="Times New Roman" w:hAnsi="Times New Roman" w:cs="Times New Roman"/>
                <w:color w:val="0000FF"/>
                <w:highlight w:val="yellow"/>
              </w:rPr>
            </w:pPr>
          </w:p>
        </w:tc>
        <w:tc>
          <w:tcPr>
            <w:tcW w:w="0" w:type="auto"/>
          </w:tcPr>
          <w:p w14:paraId="287DB4E2"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rPr>
              <w:t xml:space="preserve">Serum potassium </w:t>
            </w:r>
            <w:r w:rsidRPr="003D1045">
              <w:rPr>
                <w:rFonts w:ascii="Times New Roman" w:hAnsi="Times New Roman" w:cs="Times New Roman"/>
                <w:color w:val="0000FF"/>
                <w:lang w:eastAsia="zh-TW"/>
              </w:rPr>
              <w:t>S</w:t>
            </w:r>
            <w:r w:rsidRPr="003D1045">
              <w:rPr>
                <w:rFonts w:ascii="Times New Roman" w:hAnsi="Times New Roman" w:cs="Times New Roman"/>
                <w:color w:val="0000FF"/>
              </w:rPr>
              <w:t>erum creatinine</w:t>
            </w:r>
          </w:p>
        </w:tc>
        <w:tc>
          <w:tcPr>
            <w:tcW w:w="0" w:type="auto"/>
          </w:tcPr>
          <w:p w14:paraId="799111F9"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Patients with heart failure</w:t>
            </w:r>
          </w:p>
        </w:tc>
        <w:tc>
          <w:tcPr>
            <w:tcW w:w="0" w:type="auto"/>
          </w:tcPr>
          <w:p w14:paraId="4D6B6F6C"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Within</w:t>
            </w:r>
            <w:r w:rsidRPr="003D1045">
              <w:rPr>
                <w:rFonts w:ascii="Times New Roman" w:hAnsi="Times New Roman" w:cs="Times New Roman"/>
                <w:color w:val="0000FF"/>
              </w:rPr>
              <w:t xml:space="preserve"> first few weeks of </w:t>
            </w:r>
            <w:r w:rsidRPr="003D1045">
              <w:rPr>
                <w:rFonts w:ascii="Times New Roman" w:hAnsi="Times New Roman" w:cs="Times New Roman"/>
                <w:color w:val="0000FF"/>
                <w:lang w:eastAsia="zh-TW"/>
              </w:rPr>
              <w:t>the treatment</w:t>
            </w:r>
          </w:p>
        </w:tc>
        <w:tc>
          <w:tcPr>
            <w:tcW w:w="0" w:type="auto"/>
          </w:tcPr>
          <w:p w14:paraId="2D9E66B7"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See above rationale.</w:t>
            </w:r>
          </w:p>
        </w:tc>
      </w:tr>
      <w:tr w:rsidR="003D1045" w:rsidRPr="003D1045" w14:paraId="0B5F675B" w14:textId="77777777" w:rsidTr="003D1045">
        <w:trPr>
          <w:trHeight w:val="819"/>
          <w:jc w:val="center"/>
        </w:trPr>
        <w:tc>
          <w:tcPr>
            <w:tcW w:w="0" w:type="auto"/>
            <w:vMerge/>
          </w:tcPr>
          <w:p w14:paraId="4D609B44" w14:textId="77777777" w:rsidR="000F5E53" w:rsidRPr="003D1045" w:rsidRDefault="000F5E53" w:rsidP="006841F1">
            <w:pPr>
              <w:ind w:left="0" w:firstLine="0"/>
              <w:rPr>
                <w:rFonts w:ascii="Times New Roman" w:hAnsi="Times New Roman" w:cs="Times New Roman"/>
                <w:color w:val="0000FF"/>
                <w:highlight w:val="yellow"/>
                <w:lang w:eastAsia="zh-TW"/>
              </w:rPr>
            </w:pPr>
          </w:p>
        </w:tc>
        <w:tc>
          <w:tcPr>
            <w:tcW w:w="0" w:type="auto"/>
          </w:tcPr>
          <w:p w14:paraId="16C0959C"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Electrolytes, especially serum potassium</w:t>
            </w:r>
          </w:p>
        </w:tc>
        <w:tc>
          <w:tcPr>
            <w:tcW w:w="0" w:type="auto"/>
          </w:tcPr>
          <w:p w14:paraId="7538434E"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lang w:eastAsia="zh-TW"/>
              </w:rPr>
              <w:t xml:space="preserve">Patients with heart failure and with </w:t>
            </w:r>
            <w:proofErr w:type="spellStart"/>
            <w:r w:rsidRPr="003D1045">
              <w:rPr>
                <w:rFonts w:ascii="Times New Roman" w:hAnsi="Times New Roman" w:cs="Times New Roman"/>
                <w:color w:val="0000FF"/>
              </w:rPr>
              <w:t>eGFR</w:t>
            </w:r>
            <w:proofErr w:type="spellEnd"/>
            <w:r w:rsidRPr="003D1045">
              <w:rPr>
                <w:rFonts w:ascii="Times New Roman" w:hAnsi="Times New Roman" w:cs="Times New Roman"/>
                <w:color w:val="0000FF"/>
                <w:lang w:eastAsia="zh-TW"/>
              </w:rPr>
              <w:t xml:space="preserve"> &lt;</w:t>
            </w:r>
            <w:r w:rsidRPr="003D1045">
              <w:rPr>
                <w:rFonts w:ascii="Times New Roman" w:hAnsi="Times New Roman" w:cs="Times New Roman"/>
                <w:color w:val="0000FF"/>
              </w:rPr>
              <w:t>60 ml/min, baseline serum potassium</w:t>
            </w:r>
          </w:p>
          <w:p w14:paraId="0A7B0C0A"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lang w:eastAsia="zh-TW"/>
              </w:rPr>
              <w:t>&gt;</w:t>
            </w:r>
            <w:r w:rsidRPr="003D1045">
              <w:rPr>
                <w:rFonts w:ascii="Times New Roman" w:hAnsi="Times New Roman" w:cs="Times New Roman"/>
                <w:color w:val="0000FF"/>
              </w:rPr>
              <w:t xml:space="preserve">4.3 </w:t>
            </w:r>
            <w:proofErr w:type="spellStart"/>
            <w:r w:rsidRPr="003D1045">
              <w:rPr>
                <w:rFonts w:ascii="Times New Roman" w:hAnsi="Times New Roman" w:cs="Times New Roman"/>
                <w:color w:val="0000FF"/>
              </w:rPr>
              <w:t>mEq</w:t>
            </w:r>
            <w:proofErr w:type="spellEnd"/>
            <w:r w:rsidRPr="003D1045">
              <w:rPr>
                <w:rFonts w:ascii="Times New Roman" w:hAnsi="Times New Roman" w:cs="Times New Roman"/>
                <w:color w:val="0000FF"/>
              </w:rPr>
              <w:t>/L,</w:t>
            </w:r>
            <w:r w:rsidRPr="003D1045">
              <w:rPr>
                <w:rFonts w:ascii="Times New Roman" w:hAnsi="Times New Roman" w:cs="Times New Roman"/>
                <w:color w:val="0000FF"/>
                <w:lang w:eastAsia="zh-TW"/>
              </w:rPr>
              <w:t xml:space="preserve"> </w:t>
            </w:r>
            <w:r w:rsidRPr="003D1045">
              <w:rPr>
                <w:rFonts w:ascii="Times New Roman" w:hAnsi="Times New Roman" w:cs="Times New Roman"/>
                <w:color w:val="0000FF"/>
              </w:rPr>
              <w:t>diabetes mellitus, and prior use of antiarrhythmic drugs.</w:t>
            </w:r>
          </w:p>
        </w:tc>
        <w:tc>
          <w:tcPr>
            <w:tcW w:w="0" w:type="auto"/>
          </w:tcPr>
          <w:p w14:paraId="2D89831F"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Not specified</w:t>
            </w:r>
          </w:p>
        </w:tc>
        <w:tc>
          <w:tcPr>
            <w:tcW w:w="0" w:type="auto"/>
          </w:tcPr>
          <w:p w14:paraId="0F780B8A"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See above rationale</w:t>
            </w:r>
          </w:p>
        </w:tc>
      </w:tr>
      <w:tr w:rsidR="003D1045" w:rsidRPr="003D1045" w14:paraId="5B758386" w14:textId="77777777" w:rsidTr="003D1045">
        <w:trPr>
          <w:trHeight w:val="530"/>
          <w:jc w:val="center"/>
        </w:trPr>
        <w:tc>
          <w:tcPr>
            <w:tcW w:w="0" w:type="auto"/>
          </w:tcPr>
          <w:p w14:paraId="761A33EF" w14:textId="0720F607" w:rsidR="000F5E53" w:rsidRPr="003D1045" w:rsidRDefault="000F5E53" w:rsidP="001E22BF">
            <w:pPr>
              <w:ind w:left="0" w:firstLine="0"/>
              <w:rPr>
                <w:rFonts w:ascii="Times New Roman" w:hAnsi="Times New Roman" w:cs="Times New Roman"/>
                <w:color w:val="0000FF"/>
                <w:lang w:eastAsia="zh-TW"/>
              </w:rPr>
            </w:pPr>
            <w:r w:rsidRPr="003D1045">
              <w:rPr>
                <w:rFonts w:ascii="Times New Roman" w:hAnsi="Times New Roman" w:cs="Times New Roman"/>
                <w:color w:val="0000FF"/>
              </w:rPr>
              <w:t>FDA Label (</w:t>
            </w:r>
            <w:proofErr w:type="spellStart"/>
            <w:r w:rsidRPr="003D1045">
              <w:rPr>
                <w:rFonts w:ascii="Times New Roman" w:hAnsi="Times New Roman" w:cs="Times New Roman"/>
                <w:color w:val="0000FF"/>
              </w:rPr>
              <w:t>FDAb</w:t>
            </w:r>
            <w:proofErr w:type="spellEnd"/>
            <w:r w:rsidRPr="003D1045">
              <w:rPr>
                <w:rFonts w:ascii="Times New Roman" w:hAnsi="Times New Roman" w:cs="Times New Roman"/>
                <w:color w:val="0000FF"/>
              </w:rPr>
              <w:t>, 2011)</w:t>
            </w:r>
            <w:r w:rsidRPr="003D1045">
              <w:rPr>
                <w:rFonts w:ascii="Times New Roman" w:hAnsi="Times New Roman" w:cs="Times New Roman"/>
                <w:color w:val="0000FF"/>
                <w:lang w:eastAsia="zh-TW"/>
              </w:rPr>
              <w:t xml:space="preserve"> </w:t>
            </w:r>
          </w:p>
        </w:tc>
        <w:tc>
          <w:tcPr>
            <w:tcW w:w="0" w:type="auto"/>
          </w:tcPr>
          <w:p w14:paraId="7EA1AA52"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rPr>
              <w:t>Serum electrolytes (particularly potassium)</w:t>
            </w:r>
          </w:p>
          <w:p w14:paraId="1B0FF644"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 xml:space="preserve">Serum </w:t>
            </w:r>
            <w:r w:rsidRPr="003D1045">
              <w:rPr>
                <w:rFonts w:ascii="Times New Roman" w:hAnsi="Times New Roman" w:cs="Times New Roman"/>
                <w:color w:val="0000FF"/>
              </w:rPr>
              <w:t xml:space="preserve">creatinine </w:t>
            </w:r>
          </w:p>
          <w:p w14:paraId="4E674686"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lang w:eastAsia="zh-TW"/>
              </w:rPr>
              <w:t>B</w:t>
            </w:r>
            <w:r w:rsidRPr="003D1045">
              <w:rPr>
                <w:rFonts w:ascii="Times New Roman" w:hAnsi="Times New Roman" w:cs="Times New Roman"/>
                <w:color w:val="0000FF"/>
              </w:rPr>
              <w:t>lood urea nitrogen</w:t>
            </w:r>
          </w:p>
        </w:tc>
        <w:tc>
          <w:tcPr>
            <w:tcW w:w="0" w:type="auto"/>
          </w:tcPr>
          <w:p w14:paraId="6B0968E1"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 xml:space="preserve">Patients taking </w:t>
            </w:r>
            <w:proofErr w:type="spellStart"/>
            <w:r w:rsidRPr="003D1045">
              <w:rPr>
                <w:rFonts w:ascii="Times New Roman" w:hAnsi="Times New Roman" w:cs="Times New Roman"/>
                <w:color w:val="0000FF"/>
                <w:lang w:eastAsia="zh-TW"/>
              </w:rPr>
              <w:t>Laxis</w:t>
            </w:r>
            <w:proofErr w:type="spellEnd"/>
          </w:p>
        </w:tc>
        <w:tc>
          <w:tcPr>
            <w:tcW w:w="0" w:type="auto"/>
          </w:tcPr>
          <w:p w14:paraId="630976A6" w14:textId="77777777" w:rsidR="000F5E53" w:rsidRPr="003D1045" w:rsidRDefault="000F5E53" w:rsidP="006841F1">
            <w:pPr>
              <w:ind w:left="0" w:firstLine="0"/>
              <w:rPr>
                <w:rFonts w:ascii="Times New Roman" w:hAnsi="Times New Roman" w:cs="Times New Roman"/>
                <w:color w:val="0000FF"/>
              </w:rPr>
            </w:pPr>
            <w:r w:rsidRPr="003D1045">
              <w:rPr>
                <w:rFonts w:ascii="Times New Roman" w:hAnsi="Times New Roman" w:cs="Times New Roman"/>
                <w:color w:val="0000FF"/>
              </w:rPr>
              <w:t>frequently during the first few months of therapy and periodically thereafter</w:t>
            </w:r>
          </w:p>
        </w:tc>
        <w:tc>
          <w:tcPr>
            <w:tcW w:w="0" w:type="auto"/>
          </w:tcPr>
          <w:p w14:paraId="7D19A255" w14:textId="77777777" w:rsidR="000F5E53" w:rsidRPr="003D1045" w:rsidRDefault="000F5E53" w:rsidP="006841F1">
            <w:pPr>
              <w:ind w:left="0" w:firstLine="0"/>
              <w:rPr>
                <w:rFonts w:ascii="Times New Roman" w:hAnsi="Times New Roman" w:cs="Times New Roman"/>
                <w:color w:val="0000FF"/>
                <w:lang w:eastAsia="zh-TW"/>
              </w:rPr>
            </w:pPr>
            <w:r w:rsidRPr="003D1045">
              <w:rPr>
                <w:rFonts w:ascii="Times New Roman" w:hAnsi="Times New Roman" w:cs="Times New Roman"/>
                <w:color w:val="0000FF"/>
                <w:lang w:eastAsia="zh-TW"/>
              </w:rPr>
              <w:t>NA</w:t>
            </w:r>
          </w:p>
        </w:tc>
      </w:tr>
    </w:tbl>
    <w:p w14:paraId="0BE9D0C8"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4D8BFCFB" w14:textId="0E750C8B" w:rsidR="00730E50" w:rsidRPr="003D1045" w:rsidRDefault="00730E50" w:rsidP="001E22BF">
      <w:pPr>
        <w:pStyle w:val="Style4"/>
        <w:rPr>
          <w:color w:val="0000FF"/>
        </w:rPr>
      </w:pPr>
      <w:r w:rsidRPr="003D1045">
        <w:rPr>
          <w:color w:val="0000FF"/>
        </w:rPr>
        <w:t>The recommendations in from the clinical practice guidelines in the above tables are not graded.</w:t>
      </w:r>
    </w:p>
    <w:p w14:paraId="7F467CFD"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4E35E5A1" w14:textId="3B6EDE6E" w:rsidR="00A12762" w:rsidRPr="003D1045" w:rsidRDefault="00730E50" w:rsidP="001E22BF">
      <w:pPr>
        <w:pStyle w:val="Style4"/>
        <w:rPr>
          <w:color w:val="0000FF"/>
        </w:rPr>
      </w:pPr>
      <w:r w:rsidRPr="003D1045">
        <w:rPr>
          <w:color w:val="0000FF"/>
        </w:rPr>
        <w:t>N/A</w:t>
      </w:r>
    </w:p>
    <w:p w14:paraId="01091293"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541A2F73" w14:textId="2757E2B3" w:rsidR="00736AEC" w:rsidRDefault="00730E50" w:rsidP="002E2177">
      <w:pPr>
        <w:ind w:left="432" w:hanging="432"/>
        <w:rPr>
          <w:rFonts w:ascii="Times New Roman" w:hAnsi="Times New Roman" w:cs="Times New Roman"/>
        </w:rPr>
      </w:pPr>
      <w:r w:rsidRPr="00320220">
        <w:rPr>
          <w:rFonts w:ascii="Times New Roman" w:hAnsi="Times New Roman" w:cs="Times New Roman"/>
        </w:rPr>
        <w:t>N/A</w:t>
      </w:r>
    </w:p>
    <w:p w14:paraId="0B9B2267"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59837D44" w14:textId="488501FA" w:rsidR="00FC32D3" w:rsidRPr="003B1CC5" w:rsidRDefault="003D1045"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1E22BF">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4698E38" w14:textId="01B4D5EE" w:rsidR="00736AEC" w:rsidRPr="003B1CC5" w:rsidRDefault="003D1045"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1E22BF">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0C8E2517" w14:textId="77777777" w:rsidR="00EE5AF6" w:rsidRPr="003B1CC5" w:rsidRDefault="00925F11" w:rsidP="00307FA5">
      <w:pPr>
        <w:ind w:left="0" w:firstLine="0"/>
        <w:rPr>
          <w:color w:val="0000FF"/>
        </w:rPr>
      </w:pPr>
      <w:r w:rsidRPr="003B1CC5">
        <w:rPr>
          <w:b/>
          <w:iCs/>
          <w:caps/>
        </w:rPr>
        <w:t>_________________________</w:t>
      </w:r>
    </w:p>
    <w:p w14:paraId="44319D80" w14:textId="77777777"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E741B0B"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3CF05181"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50A4BF32"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C73094A" w14:textId="77777777"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4D0FB955"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61ED574D"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693B0F25" w14:textId="3B6B7BA5" w:rsidR="00EE5AF6" w:rsidRPr="003B1CC5" w:rsidRDefault="00925F11" w:rsidP="002E2177">
      <w:pPr>
        <w:ind w:left="432" w:hanging="432"/>
        <w:rPr>
          <w:b/>
          <w:color w:val="0000FF"/>
        </w:rPr>
      </w:pPr>
      <w:r w:rsidRPr="003B1CC5">
        <w:rPr>
          <w:b/>
          <w:iCs/>
          <w:caps/>
        </w:rPr>
        <w:t>________________________</w:t>
      </w:r>
    </w:p>
    <w:p w14:paraId="19C0E70B" w14:textId="77777777"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186C5A5B"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0FD301DE" w14:textId="1CEA14DF" w:rsidR="00EE5AF6" w:rsidRPr="003D1045" w:rsidRDefault="00BF2C4A" w:rsidP="00EE5AF6">
      <w:pPr>
        <w:ind w:left="0" w:firstLine="0"/>
        <w:rPr>
          <w:rFonts w:ascii="Times New Roman" w:hAnsi="Times New Roman" w:cs="Times New Roman"/>
          <w:color w:val="0000FF"/>
        </w:rPr>
      </w:pPr>
      <w:r w:rsidRPr="003D1045">
        <w:rPr>
          <w:rFonts w:ascii="Times New Roman" w:hAnsi="Times New Roman" w:cs="Times New Roman"/>
          <w:color w:val="0000FF"/>
        </w:rPr>
        <w:t>A systematic review of the evidence specific to this measure was conducted by the Johns Hopkins Hospital Center for Medication Quality and Outcomes</w:t>
      </w:r>
      <w:r w:rsidR="00FF1C0D" w:rsidRPr="003D1045">
        <w:rPr>
          <w:rFonts w:ascii="Times New Roman" w:hAnsi="Times New Roman" w:cs="Times New Roman"/>
          <w:color w:val="0000FF"/>
        </w:rPr>
        <w:t xml:space="preserve">. </w:t>
      </w:r>
      <w:r w:rsidRPr="003D1045">
        <w:rPr>
          <w:rFonts w:ascii="Times New Roman" w:hAnsi="Times New Roman" w:cs="Times New Roman"/>
          <w:color w:val="0000FF"/>
        </w:rPr>
        <w:t xml:space="preserve">This review is not </w:t>
      </w:r>
      <w:r w:rsidR="00615363" w:rsidRPr="003D1045">
        <w:rPr>
          <w:rFonts w:ascii="Times New Roman" w:hAnsi="Times New Roman" w:cs="Times New Roman"/>
          <w:color w:val="0000FF"/>
        </w:rPr>
        <w:t>yet</w:t>
      </w:r>
      <w:r w:rsidRPr="003D1045">
        <w:rPr>
          <w:rFonts w:ascii="Times New Roman" w:hAnsi="Times New Roman" w:cs="Times New Roman"/>
          <w:color w:val="0000FF"/>
        </w:rPr>
        <w:t xml:space="preserve"> published. </w:t>
      </w:r>
      <w:bookmarkStart w:id="9" w:name="_GoBack"/>
      <w:bookmarkEnd w:id="9"/>
      <w:r w:rsidRPr="003D1045">
        <w:rPr>
          <w:rFonts w:ascii="Times New Roman" w:hAnsi="Times New Roman" w:cs="Times New Roman"/>
          <w:color w:val="0000FF"/>
        </w:rPr>
        <w:t>A complete summary of the systematic review including all citations and the summary of each study can be found in the Supplemental Material (Question A.1).</w:t>
      </w:r>
    </w:p>
    <w:p w14:paraId="448F952C" w14:textId="77777777" w:rsidR="00EE5AF6" w:rsidRDefault="00EE5AF6" w:rsidP="00EE5AF6">
      <w:pPr>
        <w:ind w:left="0" w:firstLine="0"/>
        <w:rPr>
          <w:b/>
        </w:rPr>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73DE39F5" w14:textId="0CCEBB8B" w:rsidR="001E22BF" w:rsidRPr="003D1045" w:rsidRDefault="001E22BF" w:rsidP="001E22BF">
      <w:pPr>
        <w:ind w:left="0" w:firstLine="0"/>
        <w:rPr>
          <w:rFonts w:ascii="Times New Roman" w:hAnsi="Times New Roman" w:cs="Times New Roman"/>
          <w:color w:val="0000FF"/>
        </w:rPr>
      </w:pPr>
      <w:r w:rsidRPr="003D1045">
        <w:rPr>
          <w:rFonts w:ascii="Times New Roman" w:hAnsi="Times New Roman" w:cs="Times New Roman"/>
          <w:color w:val="0000FF"/>
        </w:rPr>
        <w:t>The initial search strategy included evidence-based and consensus-based guidelines, meta-analyses, and systematic reviews</w:t>
      </w:r>
      <w:r w:rsidR="00BF2C4A" w:rsidRPr="003D1045">
        <w:rPr>
          <w:rFonts w:ascii="Times New Roman" w:hAnsi="Times New Roman" w:cs="Times New Roman"/>
          <w:color w:val="0000FF"/>
        </w:rPr>
        <w:t xml:space="preserve"> related to appropriate monitoring for patients with persistent use of ACE inhibitors/ARBs, digoxin, and diuretics</w:t>
      </w:r>
      <w:r w:rsidRPr="003D1045">
        <w:rPr>
          <w:rFonts w:ascii="Times New Roman" w:hAnsi="Times New Roman" w:cs="Times New Roman"/>
          <w:color w:val="0000FF"/>
        </w:rPr>
        <w:t xml:space="preserve">.  Upon review, the search strategy was broadened to include randomized, controlled trials and cohort studies.  It also included relevant studies listed in the selected articles.  Two independent reviewers evaluated all selected articles to ensure quality.  Where evidence included at least one large high quality randomized controlled trial, the researchers rated the evidence “sufficient.”  </w:t>
      </w:r>
    </w:p>
    <w:p w14:paraId="10B5B469" w14:textId="59F09394" w:rsidR="00F95566" w:rsidRPr="003D1045" w:rsidRDefault="00F95566" w:rsidP="00F95566">
      <w:pPr>
        <w:rPr>
          <w:rFonts w:ascii="Times New Roman" w:hAnsi="Times New Roman" w:cs="Times New Roman"/>
          <w:color w:val="0000FF"/>
        </w:rPr>
      </w:pPr>
      <w:r w:rsidRPr="003D1045">
        <w:rPr>
          <w:rFonts w:ascii="Times New Roman" w:hAnsi="Times New Roman" w:cs="Times New Roman"/>
          <w:color w:val="0000FF"/>
        </w:rPr>
        <w:t>The following sources were used in the review:</w:t>
      </w:r>
    </w:p>
    <w:p w14:paraId="3FF1105F" w14:textId="77777777" w:rsidR="00F95566" w:rsidRPr="003D1045" w:rsidRDefault="00F95566" w:rsidP="00F95566">
      <w:pPr>
        <w:pStyle w:val="ListParagraph"/>
        <w:numPr>
          <w:ilvl w:val="0"/>
          <w:numId w:val="10"/>
        </w:numPr>
        <w:spacing w:after="0" w:line="240" w:lineRule="auto"/>
        <w:rPr>
          <w:rFonts w:ascii="Times New Roman" w:hAnsi="Times New Roman" w:cs="Times New Roman"/>
          <w:color w:val="0000FF"/>
        </w:rPr>
      </w:pPr>
      <w:r w:rsidRPr="003D1045">
        <w:rPr>
          <w:rFonts w:ascii="Times New Roman" w:hAnsi="Times New Roman" w:cs="Times New Roman"/>
          <w:color w:val="0000FF"/>
        </w:rPr>
        <w:t>Drug Databases</w:t>
      </w:r>
    </w:p>
    <w:p w14:paraId="1000F078" w14:textId="5E8AC8B5" w:rsidR="00F95566" w:rsidRPr="003D1045" w:rsidRDefault="00F95566" w:rsidP="003D1045">
      <w:pPr>
        <w:pStyle w:val="ListParagraph"/>
        <w:numPr>
          <w:ilvl w:val="0"/>
          <w:numId w:val="10"/>
        </w:numPr>
        <w:spacing w:after="0" w:line="240" w:lineRule="auto"/>
        <w:rPr>
          <w:rFonts w:ascii="Times New Roman" w:hAnsi="Times New Roman" w:cs="Times New Roman"/>
          <w:color w:val="0000FF"/>
        </w:rPr>
      </w:pPr>
      <w:r w:rsidRPr="003D1045">
        <w:rPr>
          <w:rFonts w:ascii="Times New Roman" w:hAnsi="Times New Roman" w:cs="Times New Roman"/>
          <w:color w:val="0000FF"/>
        </w:rPr>
        <w:t>Literature Databases</w:t>
      </w:r>
      <w:r w:rsidR="00F05D0A" w:rsidRPr="003D1045">
        <w:rPr>
          <w:rFonts w:ascii="Times New Roman" w:hAnsi="Times New Roman" w:cs="Times New Roman"/>
          <w:color w:val="0000FF"/>
        </w:rPr>
        <w:t xml:space="preserve">: </w:t>
      </w:r>
      <w:r w:rsidR="003D1045">
        <w:rPr>
          <w:rFonts w:ascii="Times New Roman" w:hAnsi="Times New Roman" w:cs="Times New Roman"/>
          <w:color w:val="0000FF"/>
        </w:rPr>
        <w:t xml:space="preserve">Search terms were the </w:t>
      </w:r>
      <w:r w:rsidRPr="003D1045">
        <w:rPr>
          <w:rFonts w:ascii="Times New Roman" w:hAnsi="Times New Roman" w:cs="Times New Roman"/>
          <w:color w:val="0000FF"/>
        </w:rPr>
        <w:t>drug class/name and the terms persistent medications, monitoring parameters, and therapeutic monitoring.  No language restrictions were used in the literature review.  The reference lists of selected articles were reviewed for relevant studies.</w:t>
      </w:r>
    </w:p>
    <w:p w14:paraId="53C285B4"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68903529" w14:textId="77777777" w:rsidR="00C84623" w:rsidRPr="003B1CC5" w:rsidRDefault="00925F11" w:rsidP="00EE5AF6">
      <w:pPr>
        <w:ind w:left="0" w:firstLine="0"/>
        <w:rPr>
          <w:b/>
          <w:color w:val="0000FF"/>
        </w:rPr>
      </w:pPr>
      <w:r w:rsidRPr="003B1CC5">
        <w:rPr>
          <w:b/>
          <w:iCs/>
          <w:caps/>
        </w:rPr>
        <w:t>_________________________</w:t>
      </w:r>
    </w:p>
    <w:p w14:paraId="7F545FE0"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62EF097C"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0376A122"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14:paraId="6A7D1889" w14:textId="61477CBA" w:rsidR="00320220" w:rsidRPr="003D1045" w:rsidRDefault="00320220" w:rsidP="00B536B8">
      <w:pPr>
        <w:pStyle w:val="Style4"/>
        <w:rPr>
          <w:color w:val="0000FF"/>
        </w:rPr>
      </w:pPr>
      <w:r w:rsidRPr="003D1045">
        <w:rPr>
          <w:color w:val="0000FF"/>
        </w:rPr>
        <w:t>The evidence review sought to determine appropriate monitoring for patients with persistent use of ACE inhibitors/ARBs, digoxin, and diuretics. The evidence review looked for information regarding the impact of laboratory monitoring on outcomes considered to be adverse drug events, such as kidney damage, for those with persistent use of these drugs. Evidence was reviewed on the type and frequency of monitoring</w:t>
      </w:r>
      <w:r w:rsidR="00F1629B" w:rsidRPr="003D1045">
        <w:rPr>
          <w:color w:val="0000FF"/>
        </w:rPr>
        <w:t xml:space="preserve"> deemed appropriate for each medication.</w:t>
      </w:r>
    </w:p>
    <w:p w14:paraId="019B751F"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43E8DB3C" w14:textId="5128D5F3" w:rsidR="00095EC9" w:rsidRPr="003D1045" w:rsidRDefault="00730E50" w:rsidP="000F5E53">
      <w:pPr>
        <w:pStyle w:val="Style4"/>
        <w:rPr>
          <w:color w:val="0000FF"/>
        </w:rPr>
      </w:pPr>
      <w:r w:rsidRPr="003D1045">
        <w:rPr>
          <w:color w:val="0000FF"/>
        </w:rPr>
        <w:t>Not graded.</w:t>
      </w:r>
    </w:p>
    <w:p w14:paraId="572F76BF" w14:textId="77777777"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52EB5C8B" w14:textId="6BEFC9BB" w:rsidR="00A12762" w:rsidRPr="003D1045" w:rsidRDefault="00A06D3A" w:rsidP="000F5E53">
      <w:pPr>
        <w:pStyle w:val="Style4"/>
        <w:rPr>
          <w:noProof/>
          <w:color w:val="0000FF"/>
        </w:rPr>
      </w:pPr>
      <w:r w:rsidRPr="003D1045">
        <w:rPr>
          <w:noProof/>
          <w:color w:val="0000FF"/>
        </w:rPr>
        <w:t>N/A</w:t>
      </w:r>
    </w:p>
    <w:p w14:paraId="2A4A3490" w14:textId="79CD77C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0F5E53">
            <w:rPr>
              <w:rStyle w:val="Style2"/>
            </w:rPr>
            <w:t>1989</w:t>
          </w:r>
          <w:r w:rsidR="00A06D3A">
            <w:rPr>
              <w:rStyle w:val="Style2"/>
            </w:rPr>
            <w:t xml:space="preserve"> – 2013</w:t>
          </w:r>
        </w:sdtContent>
      </w:sdt>
    </w:p>
    <w:p w14:paraId="4D6A9653" w14:textId="77777777" w:rsidR="00496AF8" w:rsidRPr="003B1CC5" w:rsidRDefault="00C5180E" w:rsidP="002E2177">
      <w:pPr>
        <w:ind w:left="0" w:firstLine="0"/>
        <w:rPr>
          <w:b/>
        </w:rPr>
      </w:pPr>
      <w:r w:rsidRPr="003B1CC5">
        <w:rPr>
          <w:b/>
          <w:noProof/>
        </w:rPr>
        <w:t>QUANTITY AND QUALITY OF BODY OF EVIDENCE</w:t>
      </w:r>
    </w:p>
    <w:p w14:paraId="0D15BBEE"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tbl>
      <w:tblPr>
        <w:tblStyle w:val="TableGrid"/>
        <w:tblW w:w="0" w:type="auto"/>
        <w:tblLook w:val="04A0" w:firstRow="1" w:lastRow="0" w:firstColumn="1" w:lastColumn="0" w:noHBand="0" w:noVBand="1"/>
      </w:tblPr>
      <w:tblGrid>
        <w:gridCol w:w="1525"/>
        <w:gridCol w:w="2099"/>
        <w:gridCol w:w="5726"/>
      </w:tblGrid>
      <w:tr w:rsidR="000F5E53" w14:paraId="7CC4A90C" w14:textId="77777777" w:rsidTr="00A31DAA">
        <w:tc>
          <w:tcPr>
            <w:tcW w:w="1525" w:type="dxa"/>
          </w:tcPr>
          <w:p w14:paraId="1E709682" w14:textId="77777777" w:rsidR="000F5E53" w:rsidRDefault="000F5E53" w:rsidP="00B536B8">
            <w:pPr>
              <w:pStyle w:val="Style4"/>
            </w:pPr>
            <w:r w:rsidRPr="003D1045">
              <w:rPr>
                <w:color w:val="0000FF"/>
              </w:rPr>
              <w:t>ACE Inhibitor/ARB</w:t>
            </w:r>
          </w:p>
        </w:tc>
        <w:tc>
          <w:tcPr>
            <w:tcW w:w="2099" w:type="dxa"/>
          </w:tcPr>
          <w:p w14:paraId="604AB4D5" w14:textId="77777777" w:rsidR="000F5E53" w:rsidRDefault="000F5E53" w:rsidP="00B536B8">
            <w:pPr>
              <w:pStyle w:val="Style4"/>
            </w:pPr>
            <w:r w:rsidRPr="003D1045">
              <w:rPr>
                <w:color w:val="0000FF"/>
              </w:rPr>
              <w:t>Potassium/Creatinine</w:t>
            </w:r>
          </w:p>
        </w:tc>
        <w:tc>
          <w:tcPr>
            <w:tcW w:w="5726" w:type="dxa"/>
          </w:tcPr>
          <w:p w14:paraId="2D082908" w14:textId="77777777" w:rsidR="000F5E53" w:rsidRPr="003D1045" w:rsidRDefault="000F5E53" w:rsidP="00B536B8">
            <w:pPr>
              <w:pStyle w:val="Style4"/>
              <w:rPr>
                <w:color w:val="0000FF"/>
              </w:rPr>
            </w:pPr>
            <w:r w:rsidRPr="003D1045">
              <w:rPr>
                <w:color w:val="0000FF"/>
              </w:rPr>
              <w:t xml:space="preserve">4 Retrospective Cohorts </w:t>
            </w:r>
            <w:r w:rsidRPr="003D1045">
              <w:rPr>
                <w:rFonts w:cs="Arial"/>
                <w:color w:val="0000FF"/>
              </w:rPr>
              <w:t xml:space="preserve">(Miao 2011; Hurley 2005; Coleman 2010; </w:t>
            </w:r>
            <w:proofErr w:type="spellStart"/>
            <w:r w:rsidRPr="003D1045">
              <w:rPr>
                <w:rFonts w:cs="Arial"/>
                <w:color w:val="0000FF"/>
              </w:rPr>
              <w:t>Raebel</w:t>
            </w:r>
            <w:proofErr w:type="spellEnd"/>
            <w:r w:rsidRPr="003D1045">
              <w:rPr>
                <w:rFonts w:cs="Arial"/>
                <w:color w:val="0000FF"/>
              </w:rPr>
              <w:t xml:space="preserve"> 2007)</w:t>
            </w:r>
          </w:p>
          <w:p w14:paraId="2D1AEB61" w14:textId="77777777" w:rsidR="000F5E53" w:rsidRDefault="000F5E53" w:rsidP="00B536B8">
            <w:pPr>
              <w:pStyle w:val="Style4"/>
            </w:pPr>
            <w:r w:rsidRPr="003D1045">
              <w:rPr>
                <w:color w:val="0000FF"/>
              </w:rPr>
              <w:t xml:space="preserve">1 RCT </w:t>
            </w:r>
            <w:r w:rsidRPr="003D1045">
              <w:rPr>
                <w:rFonts w:cs="Arial"/>
                <w:color w:val="0000FF"/>
              </w:rPr>
              <w:t>(Brenner 2000)</w:t>
            </w:r>
          </w:p>
        </w:tc>
      </w:tr>
      <w:tr w:rsidR="000F5E53" w14:paraId="2DB3CFC8" w14:textId="77777777" w:rsidTr="00A31DAA">
        <w:tc>
          <w:tcPr>
            <w:tcW w:w="1525" w:type="dxa"/>
          </w:tcPr>
          <w:p w14:paraId="1F963622" w14:textId="77777777" w:rsidR="000F5E53" w:rsidRDefault="000F5E53" w:rsidP="00B536B8">
            <w:pPr>
              <w:pStyle w:val="Style4"/>
            </w:pPr>
            <w:r w:rsidRPr="003D1045">
              <w:rPr>
                <w:color w:val="0000FF"/>
              </w:rPr>
              <w:t>Digoxin</w:t>
            </w:r>
          </w:p>
        </w:tc>
        <w:tc>
          <w:tcPr>
            <w:tcW w:w="2099" w:type="dxa"/>
          </w:tcPr>
          <w:p w14:paraId="60A78B18" w14:textId="77777777" w:rsidR="000F5E53" w:rsidRDefault="000F5E53" w:rsidP="00B536B8">
            <w:pPr>
              <w:pStyle w:val="Style4"/>
            </w:pPr>
            <w:r w:rsidRPr="003D1045">
              <w:rPr>
                <w:color w:val="0000FF"/>
              </w:rPr>
              <w:t>Serum Digoxin</w:t>
            </w:r>
          </w:p>
        </w:tc>
        <w:tc>
          <w:tcPr>
            <w:tcW w:w="5726" w:type="dxa"/>
          </w:tcPr>
          <w:p w14:paraId="16900245" w14:textId="77777777" w:rsidR="000F5E53" w:rsidRDefault="000F5E53" w:rsidP="00B536B8">
            <w:pPr>
              <w:pStyle w:val="Style4"/>
            </w:pPr>
            <w:r w:rsidRPr="003D1045">
              <w:rPr>
                <w:color w:val="0000FF"/>
              </w:rPr>
              <w:t>6 RCT (</w:t>
            </w:r>
            <w:proofErr w:type="spellStart"/>
            <w:r w:rsidRPr="003D1045">
              <w:rPr>
                <w:rFonts w:cs="Arial"/>
                <w:color w:val="0000FF"/>
              </w:rPr>
              <w:t>Uretsky</w:t>
            </w:r>
            <w:proofErr w:type="spellEnd"/>
            <w:r w:rsidRPr="003D1045">
              <w:rPr>
                <w:rFonts w:cs="Arial"/>
                <w:color w:val="0000FF"/>
              </w:rPr>
              <w:t xml:space="preserve"> 1993; Packer 1993; </w:t>
            </w:r>
            <w:proofErr w:type="spellStart"/>
            <w:r w:rsidRPr="003D1045">
              <w:rPr>
                <w:rFonts w:cs="Arial"/>
                <w:color w:val="0000FF"/>
              </w:rPr>
              <w:t>Garg</w:t>
            </w:r>
            <w:proofErr w:type="spellEnd"/>
            <w:r w:rsidRPr="003D1045">
              <w:rPr>
                <w:rFonts w:cs="Arial"/>
                <w:color w:val="0000FF"/>
              </w:rPr>
              <w:t xml:space="preserve"> 1997; Young 1998; Krum 1995; Hurley 2005)</w:t>
            </w:r>
          </w:p>
        </w:tc>
      </w:tr>
      <w:tr w:rsidR="000F5E53" w14:paraId="0549E288" w14:textId="77777777" w:rsidTr="00A31DAA">
        <w:tc>
          <w:tcPr>
            <w:tcW w:w="1525" w:type="dxa"/>
          </w:tcPr>
          <w:p w14:paraId="663706C4" w14:textId="77777777" w:rsidR="000F5E53" w:rsidRDefault="000F5E53" w:rsidP="00B536B8">
            <w:pPr>
              <w:pStyle w:val="Style4"/>
            </w:pPr>
          </w:p>
        </w:tc>
        <w:tc>
          <w:tcPr>
            <w:tcW w:w="2099" w:type="dxa"/>
          </w:tcPr>
          <w:p w14:paraId="680B889C" w14:textId="77777777" w:rsidR="000F5E53" w:rsidRDefault="000F5E53" w:rsidP="00B536B8">
            <w:pPr>
              <w:pStyle w:val="Style4"/>
            </w:pPr>
            <w:r w:rsidRPr="003D1045">
              <w:rPr>
                <w:color w:val="0000FF"/>
              </w:rPr>
              <w:t>Potassium/Creatinine</w:t>
            </w:r>
          </w:p>
        </w:tc>
        <w:tc>
          <w:tcPr>
            <w:tcW w:w="5726" w:type="dxa"/>
          </w:tcPr>
          <w:p w14:paraId="1D84A8BB" w14:textId="77777777" w:rsidR="000F5E53" w:rsidRDefault="000F5E53" w:rsidP="00B536B8">
            <w:pPr>
              <w:pStyle w:val="Style4"/>
            </w:pPr>
            <w:r w:rsidRPr="003D1045">
              <w:rPr>
                <w:color w:val="0000FF"/>
              </w:rPr>
              <w:t>Expert consensus (</w:t>
            </w:r>
            <w:r w:rsidRPr="003D1045">
              <w:rPr>
                <w:rFonts w:cs="Arial"/>
                <w:color w:val="0000FF"/>
              </w:rPr>
              <w:t xml:space="preserve">Hurley 2005; </w:t>
            </w:r>
            <w:proofErr w:type="spellStart"/>
            <w:r w:rsidRPr="003D1045">
              <w:rPr>
                <w:rFonts w:cs="Arial"/>
                <w:color w:val="0000FF"/>
              </w:rPr>
              <w:t>Pinkerman</w:t>
            </w:r>
            <w:proofErr w:type="spellEnd"/>
            <w:r w:rsidRPr="003D1045">
              <w:rPr>
                <w:rFonts w:cs="Arial"/>
                <w:color w:val="0000FF"/>
              </w:rPr>
              <w:t xml:space="preserve"> 2013; Hunt 2009)</w:t>
            </w:r>
          </w:p>
        </w:tc>
      </w:tr>
      <w:tr w:rsidR="000F5E53" w14:paraId="49B32D63" w14:textId="77777777" w:rsidTr="00A31DAA">
        <w:tc>
          <w:tcPr>
            <w:tcW w:w="1525" w:type="dxa"/>
          </w:tcPr>
          <w:p w14:paraId="7E8431A7" w14:textId="77777777" w:rsidR="000F5E53" w:rsidRDefault="000F5E53" w:rsidP="00B536B8">
            <w:pPr>
              <w:pStyle w:val="Style4"/>
            </w:pPr>
            <w:r w:rsidRPr="003D1045">
              <w:rPr>
                <w:color w:val="0000FF"/>
              </w:rPr>
              <w:t>Diuretics</w:t>
            </w:r>
          </w:p>
        </w:tc>
        <w:tc>
          <w:tcPr>
            <w:tcW w:w="2099" w:type="dxa"/>
          </w:tcPr>
          <w:p w14:paraId="3071C0FD" w14:textId="504F0308" w:rsidR="000F5E53" w:rsidRDefault="000F5E53" w:rsidP="00B536B8">
            <w:pPr>
              <w:pStyle w:val="Style4"/>
            </w:pPr>
            <w:r w:rsidRPr="003D1045">
              <w:rPr>
                <w:color w:val="0000FF"/>
              </w:rPr>
              <w:t>Potassium/</w:t>
            </w:r>
            <w:r w:rsidR="00B536B8" w:rsidRPr="003D1045">
              <w:rPr>
                <w:color w:val="0000FF"/>
              </w:rPr>
              <w:t>Creatinine</w:t>
            </w:r>
          </w:p>
        </w:tc>
        <w:tc>
          <w:tcPr>
            <w:tcW w:w="5726" w:type="dxa"/>
          </w:tcPr>
          <w:p w14:paraId="1705845A" w14:textId="77777777" w:rsidR="000F5E53" w:rsidRDefault="000F5E53" w:rsidP="00B536B8">
            <w:pPr>
              <w:pStyle w:val="Style4"/>
            </w:pPr>
            <w:r w:rsidRPr="003D1045">
              <w:rPr>
                <w:color w:val="0000FF"/>
              </w:rPr>
              <w:t>2 RCT (Pitt 1999); (Pitt 2003)</w:t>
            </w:r>
          </w:p>
        </w:tc>
      </w:tr>
    </w:tbl>
    <w:p w14:paraId="13A8878C" w14:textId="4341A4C0" w:rsidR="007519D3" w:rsidRPr="003D1045" w:rsidRDefault="007519D3" w:rsidP="00F05D0A">
      <w:pPr>
        <w:pStyle w:val="Style4"/>
        <w:ind w:left="360" w:hanging="360"/>
        <w:rPr>
          <w:color w:val="0000FF"/>
        </w:rPr>
      </w:pPr>
      <w:r w:rsidRPr="003D1045">
        <w:rPr>
          <w:color w:val="0000FF"/>
        </w:rPr>
        <w:t xml:space="preserve">Brenner BM, Cooper ME, de </w:t>
      </w:r>
      <w:proofErr w:type="spellStart"/>
      <w:r w:rsidRPr="003D1045">
        <w:rPr>
          <w:color w:val="0000FF"/>
        </w:rPr>
        <w:t>Zeeuw</w:t>
      </w:r>
      <w:proofErr w:type="spellEnd"/>
      <w:r w:rsidRPr="003D1045">
        <w:rPr>
          <w:color w:val="0000FF"/>
        </w:rPr>
        <w:t xml:space="preserve"> D et al. The losartan renal protection study--rationale, study design and </w:t>
      </w:r>
      <w:r w:rsidR="00D515DC" w:rsidRPr="003D1045">
        <w:rPr>
          <w:color w:val="0000FF"/>
        </w:rPr>
        <w:t xml:space="preserve">baseline characteristics of </w:t>
      </w:r>
      <w:proofErr w:type="spellStart"/>
      <w:r w:rsidR="00D515DC" w:rsidRPr="003D1045">
        <w:rPr>
          <w:color w:val="0000FF"/>
        </w:rPr>
        <w:t>ren</w:t>
      </w:r>
      <w:r w:rsidR="00FF1C0D" w:rsidRPr="003D1045">
        <w:rPr>
          <w:color w:val="0000FF"/>
        </w:rPr>
        <w:t>a</w:t>
      </w:r>
      <w:r w:rsidRPr="003D1045">
        <w:rPr>
          <w:color w:val="0000FF"/>
        </w:rPr>
        <w:t>al</w:t>
      </w:r>
      <w:proofErr w:type="spellEnd"/>
      <w:r w:rsidRPr="003D1045">
        <w:rPr>
          <w:color w:val="0000FF"/>
        </w:rPr>
        <w:t xml:space="preserve"> (reduction of endpoints in </w:t>
      </w:r>
      <w:proofErr w:type="spellStart"/>
      <w:r w:rsidRPr="003D1045">
        <w:rPr>
          <w:color w:val="0000FF"/>
        </w:rPr>
        <w:t>niddm</w:t>
      </w:r>
      <w:proofErr w:type="spellEnd"/>
      <w:r w:rsidRPr="003D1045">
        <w:rPr>
          <w:color w:val="0000FF"/>
        </w:rPr>
        <w:t xml:space="preserve"> with the angiotensin ii antagonist losartan). Journal of the renin</w:t>
      </w:r>
      <w:r w:rsidR="00D515DC" w:rsidRPr="003D1045">
        <w:rPr>
          <w:color w:val="0000FF"/>
        </w:rPr>
        <w:t>-angiotensin-aldosterone system</w:t>
      </w:r>
      <w:r w:rsidRPr="003D1045">
        <w:rPr>
          <w:color w:val="0000FF"/>
        </w:rPr>
        <w:t>: JRAAS. 2000; 1(4): 328-35.</w:t>
      </w:r>
    </w:p>
    <w:p w14:paraId="4364B85C" w14:textId="77777777" w:rsidR="007519D3" w:rsidRPr="003D1045" w:rsidRDefault="007519D3" w:rsidP="00F05D0A">
      <w:pPr>
        <w:pStyle w:val="Style4"/>
        <w:ind w:left="360" w:hanging="360"/>
        <w:rPr>
          <w:color w:val="0000FF"/>
        </w:rPr>
      </w:pPr>
      <w:r w:rsidRPr="003D1045">
        <w:rPr>
          <w:color w:val="0000FF"/>
        </w:rPr>
        <w:t>Coleman JJ, McDowell SE, Evans SJ et al. Oversight: A retrospective study of biochemical monitoring in patients beginning antihypertensive drug treatment in primary care. British journal of clinical pharmacology. 2010; 70(1): 109-17.</w:t>
      </w:r>
    </w:p>
    <w:p w14:paraId="0A018B99" w14:textId="5EE84DC6" w:rsidR="007519D3" w:rsidRPr="003D1045" w:rsidRDefault="007519D3" w:rsidP="00F05D0A">
      <w:pPr>
        <w:pStyle w:val="Style4"/>
        <w:ind w:left="360" w:hanging="360"/>
        <w:rPr>
          <w:color w:val="0000FF"/>
        </w:rPr>
      </w:pPr>
      <w:proofErr w:type="spellStart"/>
      <w:r w:rsidRPr="003D1045">
        <w:rPr>
          <w:color w:val="0000FF"/>
        </w:rPr>
        <w:t>Garg</w:t>
      </w:r>
      <w:proofErr w:type="spellEnd"/>
      <w:r w:rsidRPr="003D1045">
        <w:rPr>
          <w:color w:val="0000FF"/>
        </w:rPr>
        <w:t xml:space="preserve"> R and </w:t>
      </w:r>
      <w:proofErr w:type="spellStart"/>
      <w:r w:rsidRPr="003D1045">
        <w:rPr>
          <w:color w:val="0000FF"/>
        </w:rPr>
        <w:t>Gorlin</w:t>
      </w:r>
      <w:proofErr w:type="spellEnd"/>
      <w:r w:rsidRPr="003D1045">
        <w:rPr>
          <w:color w:val="0000FF"/>
        </w:rPr>
        <w:t xml:space="preserve"> R. The effect of digoxin on mortality and morbidity i</w:t>
      </w:r>
      <w:r w:rsidR="00D515DC" w:rsidRPr="003D1045">
        <w:rPr>
          <w:color w:val="0000FF"/>
        </w:rPr>
        <w:t>n</w:t>
      </w:r>
      <w:r w:rsidRPr="003D1045">
        <w:rPr>
          <w:color w:val="0000FF"/>
        </w:rPr>
        <w:t xml:space="preserve"> patients with heart failure. The New England Journal of Medicine. 1997; 336(8): 525-33.</w:t>
      </w:r>
    </w:p>
    <w:p w14:paraId="78552ED1" w14:textId="77777777" w:rsidR="007519D3" w:rsidRPr="003D1045" w:rsidRDefault="007519D3" w:rsidP="00F05D0A">
      <w:pPr>
        <w:pStyle w:val="Style4"/>
        <w:ind w:left="360" w:hanging="360"/>
        <w:rPr>
          <w:color w:val="0000FF"/>
        </w:rPr>
      </w:pPr>
      <w:r w:rsidRPr="003D1045">
        <w:rPr>
          <w:color w:val="0000FF"/>
        </w:rPr>
        <w:t>Hurley JS, Roberts M, Solberg LI et al. Laboratory safety monitoring of chronic medications in ambulatory care settings. Journal of general internal medicine. 2005; 20(4): 331-3.</w:t>
      </w:r>
    </w:p>
    <w:p w14:paraId="76F1F7A4" w14:textId="77777777" w:rsidR="007519D3" w:rsidRPr="003D1045" w:rsidRDefault="007519D3" w:rsidP="00F05D0A">
      <w:pPr>
        <w:pStyle w:val="Style4"/>
        <w:ind w:left="360" w:hanging="360"/>
        <w:rPr>
          <w:color w:val="0000FF"/>
        </w:rPr>
      </w:pPr>
      <w:r w:rsidRPr="003D1045">
        <w:rPr>
          <w:color w:val="0000FF"/>
        </w:rPr>
        <w:t>Hurley JS, Roberts M, Solberg LI et al. Laboratory safety monitoring of chronic medications in ambulatory care settings. Journal of general internal medicine. 2005; 20(4): 331-3.</w:t>
      </w:r>
    </w:p>
    <w:p w14:paraId="3BB64830" w14:textId="77777777" w:rsidR="007519D3" w:rsidRPr="003D1045" w:rsidRDefault="007519D3" w:rsidP="00F05D0A">
      <w:pPr>
        <w:pStyle w:val="Style4"/>
        <w:ind w:left="360" w:hanging="360"/>
        <w:rPr>
          <w:color w:val="0000FF"/>
        </w:rPr>
      </w:pPr>
      <w:r w:rsidRPr="003D1045">
        <w:rPr>
          <w:color w:val="0000FF"/>
        </w:rPr>
        <w:t>Krum H, Bigger J, Goldsmith R et al. Effect of long-term digoxin therapy on autonomic function in patients with chronic heart failure. Journal of American College of Cardiology. 1995; 25(2): 289-94</w:t>
      </w:r>
    </w:p>
    <w:p w14:paraId="5AFC2BC8" w14:textId="5219CFB1" w:rsidR="007519D3" w:rsidRPr="003D1045" w:rsidRDefault="007519D3" w:rsidP="00F05D0A">
      <w:pPr>
        <w:pStyle w:val="Style4"/>
        <w:ind w:left="360" w:hanging="360"/>
        <w:rPr>
          <w:color w:val="0000FF"/>
        </w:rPr>
      </w:pPr>
      <w:r w:rsidRPr="003D1045">
        <w:rPr>
          <w:color w:val="0000FF"/>
        </w:rPr>
        <w:t xml:space="preserve">Miao Y, </w:t>
      </w:r>
      <w:proofErr w:type="spellStart"/>
      <w:r w:rsidRPr="003D1045">
        <w:rPr>
          <w:color w:val="0000FF"/>
        </w:rPr>
        <w:t>Dobre</w:t>
      </w:r>
      <w:proofErr w:type="spellEnd"/>
      <w:r w:rsidRPr="003D1045">
        <w:rPr>
          <w:color w:val="0000FF"/>
        </w:rPr>
        <w:t xml:space="preserve"> D, </w:t>
      </w:r>
      <w:proofErr w:type="spellStart"/>
      <w:r w:rsidRPr="003D1045">
        <w:rPr>
          <w:color w:val="0000FF"/>
        </w:rPr>
        <w:t>Heerspink</w:t>
      </w:r>
      <w:proofErr w:type="spellEnd"/>
      <w:r w:rsidRPr="003D1045">
        <w:rPr>
          <w:color w:val="0000FF"/>
        </w:rPr>
        <w:t xml:space="preserve"> HJ et al. </w:t>
      </w:r>
      <w:proofErr w:type="gramStart"/>
      <w:r w:rsidRPr="003D1045">
        <w:rPr>
          <w:color w:val="0000FF"/>
        </w:rPr>
        <w:t>Increased</w:t>
      </w:r>
      <w:proofErr w:type="gramEnd"/>
      <w:r w:rsidRPr="003D1045">
        <w:rPr>
          <w:color w:val="0000FF"/>
        </w:rPr>
        <w:t xml:space="preserve"> serum potassium affects renal outcomes: A post hoc analysis of the reduction of endpoints in </w:t>
      </w:r>
      <w:proofErr w:type="spellStart"/>
      <w:r w:rsidRPr="003D1045">
        <w:rPr>
          <w:color w:val="0000FF"/>
        </w:rPr>
        <w:t>niddm</w:t>
      </w:r>
      <w:proofErr w:type="spellEnd"/>
      <w:r w:rsidRPr="003D1045">
        <w:rPr>
          <w:color w:val="0000FF"/>
        </w:rPr>
        <w:t xml:space="preserve"> with the angiotensin ii </w:t>
      </w:r>
      <w:r w:rsidR="00D515DC" w:rsidRPr="003D1045">
        <w:rPr>
          <w:color w:val="0000FF"/>
        </w:rPr>
        <w:t>antagonist losartan (</w:t>
      </w:r>
      <w:proofErr w:type="spellStart"/>
      <w:r w:rsidR="00D515DC" w:rsidRPr="003D1045">
        <w:rPr>
          <w:color w:val="0000FF"/>
        </w:rPr>
        <w:t>ren</w:t>
      </w:r>
      <w:r w:rsidR="00FF1C0D" w:rsidRPr="003D1045">
        <w:rPr>
          <w:color w:val="0000FF"/>
        </w:rPr>
        <w:t>a</w:t>
      </w:r>
      <w:r w:rsidRPr="003D1045">
        <w:rPr>
          <w:color w:val="0000FF"/>
        </w:rPr>
        <w:t>al</w:t>
      </w:r>
      <w:proofErr w:type="spellEnd"/>
      <w:r w:rsidRPr="003D1045">
        <w:rPr>
          <w:color w:val="0000FF"/>
        </w:rPr>
        <w:t xml:space="preserve">) trial. </w:t>
      </w:r>
      <w:proofErr w:type="spellStart"/>
      <w:r w:rsidRPr="003D1045">
        <w:rPr>
          <w:color w:val="0000FF"/>
        </w:rPr>
        <w:t>Diabetologia</w:t>
      </w:r>
      <w:proofErr w:type="spellEnd"/>
      <w:r w:rsidRPr="003D1045">
        <w:rPr>
          <w:color w:val="0000FF"/>
        </w:rPr>
        <w:t>. 2011; 54(1): 44-50.</w:t>
      </w:r>
    </w:p>
    <w:p w14:paraId="17288966" w14:textId="77777777" w:rsidR="007519D3" w:rsidRPr="003D1045" w:rsidRDefault="007519D3" w:rsidP="00F05D0A">
      <w:pPr>
        <w:pStyle w:val="Style4"/>
        <w:ind w:left="360" w:hanging="360"/>
        <w:rPr>
          <w:color w:val="0000FF"/>
        </w:rPr>
      </w:pPr>
      <w:r w:rsidRPr="003D1045">
        <w:rPr>
          <w:color w:val="0000FF"/>
        </w:rPr>
        <w:t xml:space="preserve">Packer M, </w:t>
      </w:r>
      <w:proofErr w:type="spellStart"/>
      <w:r w:rsidRPr="003D1045">
        <w:rPr>
          <w:color w:val="0000FF"/>
        </w:rPr>
        <w:t>Gheorghiade</w:t>
      </w:r>
      <w:proofErr w:type="spellEnd"/>
      <w:r w:rsidRPr="003D1045">
        <w:rPr>
          <w:color w:val="0000FF"/>
        </w:rPr>
        <w:t xml:space="preserve"> M, Young J et al. Withdrawal of digoxin from patients with chronic heart failure treated with angiotensin-converting-enzyme inhibitors. The New England Journal of Medicine. 1993; 329(1): 1-7.</w:t>
      </w:r>
    </w:p>
    <w:p w14:paraId="092BDD8F" w14:textId="77777777" w:rsidR="007519D3" w:rsidRPr="003D1045" w:rsidRDefault="007519D3" w:rsidP="00F05D0A">
      <w:pPr>
        <w:pStyle w:val="Style4"/>
        <w:ind w:left="360" w:hanging="360"/>
        <w:rPr>
          <w:color w:val="0000FF"/>
        </w:rPr>
      </w:pPr>
      <w:r w:rsidRPr="003D1045">
        <w:rPr>
          <w:color w:val="0000FF"/>
        </w:rPr>
        <w:t xml:space="preserve">Pitt B, </w:t>
      </w:r>
      <w:proofErr w:type="spellStart"/>
      <w:r w:rsidRPr="003D1045">
        <w:rPr>
          <w:color w:val="0000FF"/>
        </w:rPr>
        <w:t>Remme</w:t>
      </w:r>
      <w:proofErr w:type="spellEnd"/>
      <w:r w:rsidRPr="003D1045">
        <w:rPr>
          <w:color w:val="0000FF"/>
        </w:rPr>
        <w:t xml:space="preserve"> W, </w:t>
      </w:r>
      <w:proofErr w:type="spellStart"/>
      <w:r w:rsidRPr="003D1045">
        <w:rPr>
          <w:color w:val="0000FF"/>
        </w:rPr>
        <w:t>Zannad</w:t>
      </w:r>
      <w:proofErr w:type="spellEnd"/>
      <w:r w:rsidRPr="003D1045">
        <w:rPr>
          <w:color w:val="0000FF"/>
        </w:rPr>
        <w:t xml:space="preserve"> F et al. </w:t>
      </w:r>
      <w:proofErr w:type="spellStart"/>
      <w:r w:rsidRPr="003D1045">
        <w:rPr>
          <w:color w:val="0000FF"/>
        </w:rPr>
        <w:t>Eplerenone</w:t>
      </w:r>
      <w:proofErr w:type="spellEnd"/>
      <w:r w:rsidRPr="003D1045">
        <w:rPr>
          <w:color w:val="0000FF"/>
        </w:rPr>
        <w:t xml:space="preserve">, a selective aldosterone blocker, in patients with left ventricular dysfunction after myocardial infarction. N </w:t>
      </w:r>
      <w:proofErr w:type="spellStart"/>
      <w:r w:rsidRPr="003D1045">
        <w:rPr>
          <w:color w:val="0000FF"/>
        </w:rPr>
        <w:t>Engl</w:t>
      </w:r>
      <w:proofErr w:type="spellEnd"/>
      <w:r w:rsidRPr="003D1045">
        <w:rPr>
          <w:color w:val="0000FF"/>
        </w:rPr>
        <w:t xml:space="preserve"> J Med. 2003; 348(14): 1309-21.</w:t>
      </w:r>
    </w:p>
    <w:p w14:paraId="72DF5FB5" w14:textId="77777777" w:rsidR="007519D3" w:rsidRPr="003D1045" w:rsidRDefault="007519D3" w:rsidP="00F05D0A">
      <w:pPr>
        <w:pStyle w:val="Style4"/>
        <w:ind w:left="360" w:hanging="360"/>
        <w:rPr>
          <w:color w:val="0000FF"/>
        </w:rPr>
      </w:pPr>
      <w:r w:rsidRPr="003D1045">
        <w:rPr>
          <w:color w:val="0000FF"/>
        </w:rPr>
        <w:t xml:space="preserve">Pitt B, </w:t>
      </w:r>
      <w:proofErr w:type="spellStart"/>
      <w:r w:rsidRPr="003D1045">
        <w:rPr>
          <w:color w:val="0000FF"/>
        </w:rPr>
        <w:t>Zannad</w:t>
      </w:r>
      <w:proofErr w:type="spellEnd"/>
      <w:r w:rsidRPr="003D1045">
        <w:rPr>
          <w:color w:val="0000FF"/>
        </w:rPr>
        <w:t xml:space="preserve"> F, </w:t>
      </w:r>
      <w:proofErr w:type="spellStart"/>
      <w:r w:rsidRPr="003D1045">
        <w:rPr>
          <w:color w:val="0000FF"/>
        </w:rPr>
        <w:t>Remme</w:t>
      </w:r>
      <w:proofErr w:type="spellEnd"/>
      <w:r w:rsidRPr="003D1045">
        <w:rPr>
          <w:color w:val="0000FF"/>
        </w:rPr>
        <w:t xml:space="preserve"> WJ et al. The effect of spironolactone on morbidity and mortality in patients with severe heart failure. Randomized </w:t>
      </w:r>
      <w:proofErr w:type="spellStart"/>
      <w:r w:rsidRPr="003D1045">
        <w:rPr>
          <w:color w:val="0000FF"/>
        </w:rPr>
        <w:t>aldactone</w:t>
      </w:r>
      <w:proofErr w:type="spellEnd"/>
      <w:r w:rsidRPr="003D1045">
        <w:rPr>
          <w:color w:val="0000FF"/>
        </w:rPr>
        <w:t xml:space="preserve"> evaluation study investigators. N </w:t>
      </w:r>
      <w:proofErr w:type="spellStart"/>
      <w:r w:rsidRPr="003D1045">
        <w:rPr>
          <w:color w:val="0000FF"/>
        </w:rPr>
        <w:t>Engl</w:t>
      </w:r>
      <w:proofErr w:type="spellEnd"/>
      <w:r w:rsidRPr="003D1045">
        <w:rPr>
          <w:color w:val="0000FF"/>
        </w:rPr>
        <w:t xml:space="preserve"> J Med. 1999; 341(10): 709-17.</w:t>
      </w:r>
    </w:p>
    <w:p w14:paraId="7E679BC2" w14:textId="77777777" w:rsidR="007519D3" w:rsidRPr="003D1045" w:rsidRDefault="007519D3" w:rsidP="00F05D0A">
      <w:pPr>
        <w:pStyle w:val="Style4"/>
        <w:ind w:left="360" w:hanging="360"/>
        <w:rPr>
          <w:color w:val="0000FF"/>
        </w:rPr>
      </w:pPr>
      <w:proofErr w:type="spellStart"/>
      <w:r w:rsidRPr="003D1045">
        <w:rPr>
          <w:color w:val="0000FF"/>
        </w:rPr>
        <w:t>Raebel</w:t>
      </w:r>
      <w:proofErr w:type="spellEnd"/>
      <w:r w:rsidRPr="003D1045">
        <w:rPr>
          <w:color w:val="0000FF"/>
        </w:rPr>
        <w:t xml:space="preserve"> MA, McClure DL, Simon SR et al. Laboratory monitoring of potassium and creatinine in ambulatory patients receiving angiotensin converting enzyme inhibitors and angiotensin receptor blockers. </w:t>
      </w:r>
      <w:proofErr w:type="spellStart"/>
      <w:r w:rsidRPr="003D1045">
        <w:rPr>
          <w:color w:val="0000FF"/>
        </w:rPr>
        <w:t>Pharmacoepidemiol</w:t>
      </w:r>
      <w:proofErr w:type="spellEnd"/>
      <w:r w:rsidRPr="003D1045">
        <w:rPr>
          <w:color w:val="0000FF"/>
        </w:rPr>
        <w:t xml:space="preserve"> Drug </w:t>
      </w:r>
      <w:proofErr w:type="spellStart"/>
      <w:r w:rsidRPr="003D1045">
        <w:rPr>
          <w:color w:val="0000FF"/>
        </w:rPr>
        <w:t>Saf</w:t>
      </w:r>
      <w:proofErr w:type="spellEnd"/>
      <w:r w:rsidRPr="003D1045">
        <w:rPr>
          <w:color w:val="0000FF"/>
        </w:rPr>
        <w:t>. 2007; 16(1): 55-64.</w:t>
      </w:r>
    </w:p>
    <w:p w14:paraId="67CF6F2A" w14:textId="77777777" w:rsidR="007519D3" w:rsidRPr="003D1045" w:rsidRDefault="007519D3" w:rsidP="00F05D0A">
      <w:pPr>
        <w:pStyle w:val="Style4"/>
        <w:ind w:left="360" w:hanging="360"/>
        <w:rPr>
          <w:color w:val="0000FF"/>
        </w:rPr>
      </w:pPr>
      <w:proofErr w:type="spellStart"/>
      <w:r w:rsidRPr="003D1045">
        <w:rPr>
          <w:color w:val="0000FF"/>
        </w:rPr>
        <w:t>Uretsky</w:t>
      </w:r>
      <w:proofErr w:type="spellEnd"/>
      <w:r w:rsidRPr="003D1045">
        <w:rPr>
          <w:color w:val="0000FF"/>
        </w:rPr>
        <w:t xml:space="preserve"> B, Young J, </w:t>
      </w:r>
      <w:proofErr w:type="spellStart"/>
      <w:r w:rsidRPr="003D1045">
        <w:rPr>
          <w:color w:val="0000FF"/>
        </w:rPr>
        <w:t>Shahidi</w:t>
      </w:r>
      <w:proofErr w:type="spellEnd"/>
      <w:r w:rsidRPr="003D1045">
        <w:rPr>
          <w:color w:val="0000FF"/>
        </w:rPr>
        <w:t xml:space="preserve"> F et al. Randomized study assessing the effect of digoxin withdrawal in patients with mild to moderate chronic congestive heart failure: Results of the proved trial. Journal of American College of Cardiology. 1993; 22(4): 955-62.</w:t>
      </w:r>
    </w:p>
    <w:p w14:paraId="1BE88AAE" w14:textId="77777777" w:rsidR="007519D3" w:rsidRPr="003D1045" w:rsidRDefault="007519D3" w:rsidP="00F05D0A">
      <w:pPr>
        <w:pStyle w:val="Style4"/>
        <w:ind w:left="360" w:hanging="360"/>
        <w:rPr>
          <w:color w:val="0000FF"/>
        </w:rPr>
      </w:pPr>
      <w:r w:rsidRPr="003D1045">
        <w:rPr>
          <w:color w:val="0000FF"/>
        </w:rPr>
        <w:t xml:space="preserve">Young J, </w:t>
      </w:r>
      <w:proofErr w:type="spellStart"/>
      <w:r w:rsidRPr="003D1045">
        <w:rPr>
          <w:color w:val="0000FF"/>
        </w:rPr>
        <w:t>Gheorghiade</w:t>
      </w:r>
      <w:proofErr w:type="spellEnd"/>
      <w:r w:rsidRPr="003D1045">
        <w:rPr>
          <w:color w:val="0000FF"/>
        </w:rPr>
        <w:t xml:space="preserve"> M, </w:t>
      </w:r>
      <w:proofErr w:type="spellStart"/>
      <w:r w:rsidRPr="003D1045">
        <w:rPr>
          <w:color w:val="0000FF"/>
        </w:rPr>
        <w:t>Uretsky</w:t>
      </w:r>
      <w:proofErr w:type="spellEnd"/>
      <w:r w:rsidRPr="003D1045">
        <w:rPr>
          <w:color w:val="0000FF"/>
        </w:rPr>
        <w:t xml:space="preserve"> B et al. Superiority of "triple" drug therapy in heart failure: Insights from the proved and radiance trials. Journal of American College of Cardiology. 1998; 32: 686-92.</w:t>
      </w:r>
    </w:p>
    <w:p w14:paraId="02CE80E9"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3D905CA3" w14:textId="02E3ACF9" w:rsidR="000F5E53" w:rsidRPr="003D1045" w:rsidRDefault="000F5E53" w:rsidP="00B536B8">
      <w:pPr>
        <w:pStyle w:val="Style4"/>
        <w:ind w:left="450" w:hanging="450"/>
        <w:rPr>
          <w:color w:val="0000FF"/>
        </w:rPr>
      </w:pPr>
      <w:r w:rsidRPr="003D1045">
        <w:rPr>
          <w:i/>
          <w:color w:val="0000FF"/>
        </w:rPr>
        <w:t>ACE Inhibitors or ARBs</w:t>
      </w:r>
      <w:r w:rsidRPr="003D1045">
        <w:rPr>
          <w:color w:val="0000FF"/>
        </w:rPr>
        <w:t xml:space="preserve">: There is sufficient quality evidence from several retrospective cohort studies, and the </w:t>
      </w:r>
      <w:r w:rsidRPr="003D1045">
        <w:rPr>
          <w:color w:val="0000FF"/>
          <w:shd w:val="clear" w:color="auto" w:fill="FFFFFF"/>
        </w:rPr>
        <w:t>Reduction in Endpoints with the Angiotensin Antagonist Losartan</w:t>
      </w:r>
      <w:r w:rsidRPr="003D1045">
        <w:rPr>
          <w:rStyle w:val="apple-converted-space"/>
          <w:rFonts w:cs="Arial"/>
          <w:color w:val="0000FF"/>
          <w:shd w:val="clear" w:color="auto" w:fill="FFFFFF"/>
        </w:rPr>
        <w:t xml:space="preserve"> (RENAAL) trial that </w:t>
      </w:r>
      <w:r w:rsidRPr="003D1045">
        <w:rPr>
          <w:color w:val="0000FF"/>
        </w:rPr>
        <w:t xml:space="preserve">that ACE inhibitors or ARBs can increase serum potassium concentrations. </w:t>
      </w:r>
    </w:p>
    <w:p w14:paraId="0CD863BD" w14:textId="0509FFC1" w:rsidR="000F5E53" w:rsidRPr="003D1045" w:rsidRDefault="000F5E53" w:rsidP="00B536B8">
      <w:pPr>
        <w:pStyle w:val="Style4"/>
        <w:ind w:left="450" w:hanging="450"/>
        <w:rPr>
          <w:color w:val="0000FF"/>
        </w:rPr>
      </w:pPr>
      <w:r w:rsidRPr="003D1045">
        <w:rPr>
          <w:i/>
          <w:color w:val="0000FF"/>
        </w:rPr>
        <w:t>Digoxin</w:t>
      </w:r>
      <w:r w:rsidRPr="003D1045">
        <w:rPr>
          <w:color w:val="0000FF"/>
        </w:rPr>
        <w:t xml:space="preserve">: There is sufficient quality evidence from multiple RCTs to support using annual serum digoxin concentration measurement as a monitoring parameter.  There is less high quality evidence (expert consensus and FDA </w:t>
      </w:r>
      <w:r w:rsidR="00BF2C4A" w:rsidRPr="003D1045">
        <w:rPr>
          <w:color w:val="0000FF"/>
        </w:rPr>
        <w:t>labels</w:t>
      </w:r>
      <w:r w:rsidRPr="003D1045">
        <w:rPr>
          <w:color w:val="0000FF"/>
        </w:rPr>
        <w:t xml:space="preserve">) to support monitoring of serum potassium and serum creatinine during digoxin therapy, however the clinical expert consensus is that the benefits of these tests outweigh the harms.  </w:t>
      </w:r>
    </w:p>
    <w:p w14:paraId="43641EB0" w14:textId="51AEA00C" w:rsidR="000F5E53" w:rsidRPr="003D1045" w:rsidRDefault="000F5E53" w:rsidP="00B536B8">
      <w:pPr>
        <w:pStyle w:val="Style4"/>
        <w:ind w:left="450" w:hanging="450"/>
        <w:rPr>
          <w:color w:val="0000FF"/>
        </w:rPr>
      </w:pPr>
      <w:r w:rsidRPr="003D1045">
        <w:rPr>
          <w:i/>
          <w:color w:val="0000FF"/>
        </w:rPr>
        <w:t>Diuretics</w:t>
      </w:r>
      <w:r w:rsidRPr="003D1045">
        <w:rPr>
          <w:color w:val="0000FF"/>
        </w:rPr>
        <w:t xml:space="preserve">: There is sufficient quality evidence from the Randomized </w:t>
      </w:r>
      <w:proofErr w:type="spellStart"/>
      <w:r w:rsidRPr="003D1045">
        <w:rPr>
          <w:color w:val="0000FF"/>
        </w:rPr>
        <w:t>Aldactone</w:t>
      </w:r>
      <w:proofErr w:type="spellEnd"/>
      <w:r w:rsidRPr="003D1045">
        <w:rPr>
          <w:color w:val="0000FF"/>
        </w:rPr>
        <w:t xml:space="preserve"> Evaluation Study (RALES) trial (Pitt 1999), the </w:t>
      </w:r>
      <w:proofErr w:type="spellStart"/>
      <w:r w:rsidRPr="003D1045">
        <w:rPr>
          <w:color w:val="0000FF"/>
        </w:rPr>
        <w:t>Eplerenome</w:t>
      </w:r>
      <w:proofErr w:type="spellEnd"/>
      <w:r w:rsidRPr="003D1045">
        <w:rPr>
          <w:color w:val="0000FF"/>
        </w:rPr>
        <w:t xml:space="preserve"> Post-AHI Heart Failure Efficacy and Survival Study (EPHESUS) trial (Pitt 2003) and other evidence and consensus based guidelines (</w:t>
      </w:r>
      <w:proofErr w:type="spellStart"/>
      <w:r w:rsidRPr="003D1045">
        <w:rPr>
          <w:color w:val="0000FF"/>
        </w:rPr>
        <w:t>Lindenfeld</w:t>
      </w:r>
      <w:proofErr w:type="spellEnd"/>
      <w:r w:rsidRPr="003D1045">
        <w:rPr>
          <w:color w:val="0000FF"/>
        </w:rPr>
        <w:t xml:space="preserve"> 2010; Hunt 2009; McDowell 2013) to support using serum creatinine and serum potassium as annual monitoring parameters for patients taking diuretics.  </w:t>
      </w:r>
    </w:p>
    <w:p w14:paraId="5DB8A638" w14:textId="77777777" w:rsidR="00496AF8" w:rsidRPr="003B1CC5" w:rsidRDefault="00C5180E" w:rsidP="002E2177">
      <w:pPr>
        <w:ind w:left="0" w:firstLine="0"/>
        <w:rPr>
          <w:b/>
        </w:rPr>
      </w:pPr>
      <w:r w:rsidRPr="003B1CC5">
        <w:rPr>
          <w:b/>
        </w:rPr>
        <w:t>ESTIMATES OF BENEFIT AND CONSISTENCY ACROSS STUDIES IN BODY OF EVIDENCE</w:t>
      </w:r>
    </w:p>
    <w:p w14:paraId="0FCD8F7C"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2B0A41FE" w14:textId="79A3AB2E" w:rsidR="00B536B8" w:rsidRPr="003D1045" w:rsidRDefault="00B536B8" w:rsidP="00B536B8">
      <w:pPr>
        <w:pStyle w:val="Style4"/>
        <w:ind w:left="450" w:hanging="450"/>
        <w:rPr>
          <w:color w:val="0000FF"/>
        </w:rPr>
      </w:pPr>
      <w:r w:rsidRPr="003D1045">
        <w:rPr>
          <w:i/>
          <w:color w:val="0000FF"/>
        </w:rPr>
        <w:t>ACE Inhibitors or ARBs</w:t>
      </w:r>
      <w:r w:rsidRPr="003D1045">
        <w:rPr>
          <w:color w:val="0000FF"/>
        </w:rPr>
        <w:t xml:space="preserve">: Angiotensin converting enzyme (ACE) inhibitors and angiotensin receptor blockers (ARB) are commonly used medications to treat hypertension. There is sufficient evidence from several retrospective cohort studies (Miao 2011; Hurley 2005; Coleman 2010; </w:t>
      </w:r>
      <w:proofErr w:type="spellStart"/>
      <w:r w:rsidRPr="003D1045">
        <w:rPr>
          <w:color w:val="0000FF"/>
        </w:rPr>
        <w:t>Raebel</w:t>
      </w:r>
      <w:proofErr w:type="spellEnd"/>
      <w:r w:rsidRPr="003D1045">
        <w:rPr>
          <w:color w:val="0000FF"/>
        </w:rPr>
        <w:t xml:space="preserve"> 2007), and the </w:t>
      </w:r>
      <w:r w:rsidRPr="003D1045">
        <w:rPr>
          <w:color w:val="0000FF"/>
          <w:shd w:val="clear" w:color="auto" w:fill="FFFFFF"/>
        </w:rPr>
        <w:t>Reduction in Endpoints with the Angiotensin Antagonist Losartan</w:t>
      </w:r>
      <w:r w:rsidRPr="003D1045">
        <w:rPr>
          <w:rStyle w:val="apple-converted-space"/>
          <w:rFonts w:cs="Arial"/>
          <w:color w:val="0000FF"/>
          <w:shd w:val="clear" w:color="auto" w:fill="FFFFFF"/>
        </w:rPr>
        <w:t xml:space="preserve"> (RENAAL) trial that </w:t>
      </w:r>
      <w:r w:rsidRPr="003D1045">
        <w:rPr>
          <w:color w:val="0000FF"/>
        </w:rPr>
        <w:t xml:space="preserve">that ACE inhibitors or ARBs can increase serum potassium concentrations (Brenner 2000). High serum potassium, known as hyperkalemia is a potentially fatal condition that can alter heart function and cause arrhythmias.  Additionally, ACE inhibitors and ARBs can decrease renal function, for which serum creatinine is a commonly used clinical marker (Gottlieb 1992; Packer 1987; </w:t>
      </w:r>
      <w:proofErr w:type="spellStart"/>
      <w:r w:rsidRPr="003D1045">
        <w:rPr>
          <w:color w:val="0000FF"/>
        </w:rPr>
        <w:t>Burnier</w:t>
      </w:r>
      <w:proofErr w:type="spellEnd"/>
      <w:r w:rsidRPr="003D1045">
        <w:rPr>
          <w:color w:val="0000FF"/>
        </w:rPr>
        <w:t xml:space="preserve"> 1989; Hurley 2005; Coleman 2010; </w:t>
      </w:r>
      <w:proofErr w:type="spellStart"/>
      <w:r w:rsidRPr="003D1045">
        <w:rPr>
          <w:color w:val="0000FF"/>
        </w:rPr>
        <w:t>Raebel</w:t>
      </w:r>
      <w:proofErr w:type="spellEnd"/>
      <w:r w:rsidRPr="003D1045">
        <w:rPr>
          <w:color w:val="0000FF"/>
        </w:rPr>
        <w:t xml:space="preserve"> 2007).  Therefore, serum potassium and serum creatinine are clinically useful monitoring parameters for these potentially serious safety concerns associated with the use of these drugs.  Typically, if hyperkalemia or decreased renal function are observed, more frequent monitoring may be conducted or ACE inhibitor or ARB therapy may be withdrawn.   The frequency of monitoring is dependent on the amount of time an individual has been taking the medication, but annual monitoring is the minimum appropriate frequency (McDowell 2013). </w:t>
      </w:r>
    </w:p>
    <w:p w14:paraId="676D342C" w14:textId="1D712737" w:rsidR="00B536B8" w:rsidRPr="003D1045" w:rsidRDefault="00B536B8" w:rsidP="00B536B8">
      <w:pPr>
        <w:pStyle w:val="Style4"/>
        <w:ind w:left="450" w:hanging="450"/>
        <w:rPr>
          <w:color w:val="0000FF"/>
        </w:rPr>
      </w:pPr>
      <w:r w:rsidRPr="003D1045">
        <w:rPr>
          <w:i/>
          <w:color w:val="0000FF"/>
        </w:rPr>
        <w:t>Digoxin</w:t>
      </w:r>
      <w:r w:rsidRPr="003D1045">
        <w:rPr>
          <w:color w:val="0000FF"/>
        </w:rPr>
        <w:t>: Digoxin is used to treat heart failure and abnormal heart rhythms.  The evidence from multiple RCTs supports using an annual serum digoxin concentration measurement as a monitoring parameter (</w:t>
      </w:r>
      <w:proofErr w:type="spellStart"/>
      <w:r w:rsidRPr="003D1045">
        <w:rPr>
          <w:color w:val="0000FF"/>
        </w:rPr>
        <w:t>Uretsky</w:t>
      </w:r>
      <w:proofErr w:type="spellEnd"/>
      <w:r w:rsidRPr="003D1045">
        <w:rPr>
          <w:color w:val="0000FF"/>
        </w:rPr>
        <w:t xml:space="preserve"> 1993; Packer 1993; </w:t>
      </w:r>
      <w:proofErr w:type="spellStart"/>
      <w:r w:rsidRPr="003D1045">
        <w:rPr>
          <w:color w:val="0000FF"/>
        </w:rPr>
        <w:t>Garg</w:t>
      </w:r>
      <w:proofErr w:type="spellEnd"/>
      <w:r w:rsidRPr="003D1045">
        <w:rPr>
          <w:color w:val="0000FF"/>
        </w:rPr>
        <w:t xml:space="preserve"> 1997; Young 1998; Krum 1995; Hurley 2005).  Digoxin toxicity is known to be a serious (potentially fatal) safety concern and there are a number of factors (e.g., decreased renal function or changes in serum electrolyte concentrations) that may precipitate toxicity, even in the setting of a stable dose over time. Although we recommend monitoring of serum potassium and serum creatinine during digoxin therapy, the clinical evidence to support this recommendation is less strong.  However, it is generally accepted and agreed upon that hypokalemia poses a serious and potentially fatal risk to patients taking digoxin and diuretics (Hurley 2005; </w:t>
      </w:r>
      <w:proofErr w:type="spellStart"/>
      <w:r w:rsidRPr="003D1045">
        <w:rPr>
          <w:color w:val="0000FF"/>
        </w:rPr>
        <w:t>Pinkerman</w:t>
      </w:r>
      <w:proofErr w:type="spellEnd"/>
      <w:r w:rsidRPr="003D1045">
        <w:rPr>
          <w:color w:val="0000FF"/>
        </w:rPr>
        <w:t xml:space="preserve"> 2013; Hunt 2009).  Additionally, digoxin is </w:t>
      </w:r>
      <w:proofErr w:type="spellStart"/>
      <w:r w:rsidRPr="003D1045">
        <w:rPr>
          <w:color w:val="0000FF"/>
        </w:rPr>
        <w:t>renally</w:t>
      </w:r>
      <w:proofErr w:type="spellEnd"/>
      <w:r w:rsidRPr="003D1045">
        <w:rPr>
          <w:color w:val="0000FF"/>
        </w:rPr>
        <w:t xml:space="preserve"> excreted therefore monitoring serum creatinine is critical for determining </w:t>
      </w:r>
      <w:r w:rsidR="00F21820" w:rsidRPr="003D1045">
        <w:rPr>
          <w:color w:val="0000FF"/>
        </w:rPr>
        <w:t>how quickly digoxin is being excreted. This is important for determining whether digoxin levels need to be adjusted based on renal function</w:t>
      </w:r>
      <w:r w:rsidRPr="003D1045">
        <w:rPr>
          <w:color w:val="0000FF"/>
        </w:rPr>
        <w:t xml:space="preserve">. </w:t>
      </w:r>
    </w:p>
    <w:p w14:paraId="74E208C9" w14:textId="44000A84" w:rsidR="00B536B8" w:rsidRPr="003D1045" w:rsidRDefault="00B536B8" w:rsidP="00B536B8">
      <w:pPr>
        <w:pStyle w:val="Style4"/>
        <w:ind w:left="450" w:hanging="450"/>
        <w:rPr>
          <w:color w:val="0000FF"/>
          <w:szCs w:val="24"/>
        </w:rPr>
      </w:pPr>
      <w:r w:rsidRPr="003D1045">
        <w:rPr>
          <w:i/>
          <w:color w:val="0000FF"/>
        </w:rPr>
        <w:t>Diuretics</w:t>
      </w:r>
      <w:r w:rsidRPr="003D1045">
        <w:rPr>
          <w:color w:val="0000FF"/>
        </w:rPr>
        <w:t xml:space="preserve">: </w:t>
      </w:r>
      <w:r w:rsidR="00F21820" w:rsidRPr="003D1045">
        <w:rPr>
          <w:color w:val="0000FF"/>
          <w:szCs w:val="20"/>
        </w:rPr>
        <w:t>Diuretics are used to modify fluid volume in the body and correct fluid imbalances, which are commonly seen in patients with heart- and kidney-related conditions. Diuretics are used to improve liver, kidney and cardiac function.</w:t>
      </w:r>
      <w:r w:rsidR="00F21820" w:rsidRPr="003D1045">
        <w:rPr>
          <w:rFonts w:ascii="Arial" w:hAnsi="Arial" w:cs="Arial"/>
          <w:color w:val="0000FF"/>
          <w:sz w:val="20"/>
          <w:szCs w:val="20"/>
        </w:rPr>
        <w:t xml:space="preserve"> </w:t>
      </w:r>
      <w:r w:rsidRPr="003D1045">
        <w:rPr>
          <w:color w:val="0000FF"/>
        </w:rPr>
        <w:t xml:space="preserve">The evidence from the Randomized </w:t>
      </w:r>
      <w:proofErr w:type="spellStart"/>
      <w:r w:rsidRPr="003D1045">
        <w:rPr>
          <w:color w:val="0000FF"/>
        </w:rPr>
        <w:t>Aldactone</w:t>
      </w:r>
      <w:proofErr w:type="spellEnd"/>
      <w:r w:rsidRPr="003D1045">
        <w:rPr>
          <w:color w:val="0000FF"/>
        </w:rPr>
        <w:t xml:space="preserve"> Evaluation Study (RALES) trial (Pitt 1999), the </w:t>
      </w:r>
      <w:proofErr w:type="spellStart"/>
      <w:r w:rsidRPr="003D1045">
        <w:rPr>
          <w:color w:val="0000FF"/>
        </w:rPr>
        <w:t>Eplerenome</w:t>
      </w:r>
      <w:proofErr w:type="spellEnd"/>
      <w:r w:rsidRPr="003D1045">
        <w:rPr>
          <w:color w:val="0000FF"/>
        </w:rPr>
        <w:t xml:space="preserve"> Post-AHI Heart Failure Efficacy and Survival Study (EPHESUS) trial (Pitt 2003) and other evidence and consensus based guidelines (</w:t>
      </w:r>
      <w:proofErr w:type="spellStart"/>
      <w:r w:rsidRPr="003D1045">
        <w:rPr>
          <w:color w:val="0000FF"/>
        </w:rPr>
        <w:t>Lindenfeld</w:t>
      </w:r>
      <w:proofErr w:type="spellEnd"/>
      <w:r w:rsidRPr="003D1045">
        <w:rPr>
          <w:color w:val="0000FF"/>
        </w:rPr>
        <w:t xml:space="preserve"> 2010; Hunt 2009; McDowell 2013) supports using serum creatinine and serum potassium as annual monitoring parameters for patients taking diuretics.  Hypokalemia (decreased potassium level) is a common adverse effect of treatment with diuretics and may cause fatal arrhythmias and increase the risk of digitalis (digoxin) toxicity. Hyperkalemia (increased potassium levels) may complicate therapy with ACE inhibitors, ARBs, and potassium-sparing diuretics (aldosterone antagonists) (Hunt 2009; </w:t>
      </w:r>
      <w:proofErr w:type="spellStart"/>
      <w:r w:rsidRPr="003D1045">
        <w:rPr>
          <w:color w:val="0000FF"/>
        </w:rPr>
        <w:t>Juurlink</w:t>
      </w:r>
      <w:proofErr w:type="spellEnd"/>
      <w:r w:rsidRPr="003D1045">
        <w:rPr>
          <w:color w:val="0000FF"/>
        </w:rPr>
        <w:t xml:space="preserve"> 2003; </w:t>
      </w:r>
      <w:proofErr w:type="spellStart"/>
      <w:r w:rsidRPr="003D1045">
        <w:rPr>
          <w:color w:val="0000FF"/>
        </w:rPr>
        <w:t>Juurlink</w:t>
      </w:r>
      <w:proofErr w:type="spellEnd"/>
      <w:r w:rsidRPr="003D1045">
        <w:rPr>
          <w:color w:val="0000FF"/>
        </w:rPr>
        <w:t xml:space="preserve"> 2004; </w:t>
      </w:r>
      <w:proofErr w:type="spellStart"/>
      <w:r w:rsidRPr="003D1045">
        <w:rPr>
          <w:color w:val="0000FF"/>
        </w:rPr>
        <w:t>Scensson</w:t>
      </w:r>
      <w:proofErr w:type="spellEnd"/>
      <w:r w:rsidRPr="003D1045">
        <w:rPr>
          <w:color w:val="0000FF"/>
        </w:rPr>
        <w:t xml:space="preserve"> 2004). </w:t>
      </w:r>
    </w:p>
    <w:p w14:paraId="0A907972"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638FAE4E" w14:textId="3EE59B61" w:rsidR="00496AF8" w:rsidRPr="003D1045" w:rsidRDefault="000F5E53" w:rsidP="00B536B8">
      <w:pPr>
        <w:pStyle w:val="Style4"/>
        <w:rPr>
          <w:color w:val="0000FF"/>
        </w:rPr>
      </w:pPr>
      <w:r w:rsidRPr="003D1045">
        <w:rPr>
          <w:color w:val="0000FF"/>
        </w:rPr>
        <w:t xml:space="preserve">There were no harms associated with regular monitoring of serum potassium, serum creatinine and serum digoxin.  </w:t>
      </w:r>
    </w:p>
    <w:p w14:paraId="28C7EFA2" w14:textId="77777777" w:rsidR="00496AF8" w:rsidRPr="003B1CC5" w:rsidRDefault="00C5180E" w:rsidP="002E2177">
      <w:pPr>
        <w:ind w:left="0" w:firstLine="0"/>
        <w:rPr>
          <w:b/>
          <w:noProof/>
        </w:rPr>
      </w:pPr>
      <w:r w:rsidRPr="003B1CC5">
        <w:rPr>
          <w:b/>
          <w:noProof/>
        </w:rPr>
        <w:t>UPDATE TO THE SYSTEMATIC REVIEW(S) OF THE BODY OF EVIDENCE</w:t>
      </w:r>
    </w:p>
    <w:p w14:paraId="1940E6E1"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69E61516" w14:textId="72D79D50" w:rsidR="00837121" w:rsidRPr="003D1045" w:rsidRDefault="000F5E53" w:rsidP="000F5E53">
      <w:pPr>
        <w:pStyle w:val="Style4"/>
        <w:rPr>
          <w:color w:val="0000FF"/>
        </w:rPr>
      </w:pPr>
      <w:r w:rsidRPr="003D1045">
        <w:rPr>
          <w:color w:val="0000FF"/>
        </w:rPr>
        <w:t xml:space="preserve">The systematic review was conducted in </w:t>
      </w:r>
      <w:proofErr w:type="gramStart"/>
      <w:r w:rsidRPr="003D1045">
        <w:rPr>
          <w:color w:val="0000FF"/>
        </w:rPr>
        <w:t>Fall</w:t>
      </w:r>
      <w:proofErr w:type="gramEnd"/>
      <w:r w:rsidRPr="003D1045">
        <w:rPr>
          <w:color w:val="0000FF"/>
        </w:rPr>
        <w:t xml:space="preserve"> 2013, no additional studies have been published </w:t>
      </w:r>
      <w:r w:rsidR="00B536B8" w:rsidRPr="003D1045">
        <w:rPr>
          <w:color w:val="0000FF"/>
        </w:rPr>
        <w:t>between</w:t>
      </w:r>
      <w:r w:rsidRPr="003D1045">
        <w:rPr>
          <w:color w:val="0000FF"/>
        </w:rPr>
        <w:t xml:space="preserve"> time of systematic review </w:t>
      </w:r>
      <w:r w:rsidR="00B536B8" w:rsidRPr="003D1045">
        <w:rPr>
          <w:color w:val="0000FF"/>
        </w:rPr>
        <w:t>and submission of this form in January 2014.</w:t>
      </w:r>
    </w:p>
    <w:p w14:paraId="3AC3D48B" w14:textId="77777777" w:rsidR="0094689F" w:rsidRPr="003B1CC5" w:rsidRDefault="00925F11" w:rsidP="002E2177">
      <w:pPr>
        <w:ind w:left="0" w:firstLine="0"/>
        <w:rPr>
          <w:b/>
          <w:color w:val="0070C0"/>
        </w:rPr>
      </w:pPr>
      <w:r w:rsidRPr="003B1CC5">
        <w:rPr>
          <w:b/>
          <w:iCs/>
          <w:caps/>
        </w:rPr>
        <w:t>_________________________</w:t>
      </w:r>
    </w:p>
    <w:p w14:paraId="05BDB363"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59979D1A"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9434A1E" w14:textId="77777777" w:rsidR="00837121" w:rsidRPr="003B1CC5" w:rsidRDefault="00837121" w:rsidP="002E2177">
      <w:pPr>
        <w:ind w:left="0" w:firstLine="0"/>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14:paraId="72996BD6" w14:textId="06CD6019" w:rsidR="00B536B8" w:rsidRPr="00BE6777"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B536B8" w:rsidRPr="00BE6777" w:rsidSect="000F5E53">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274ED" w14:textId="77777777" w:rsidR="00B536B8" w:rsidRDefault="00B536B8" w:rsidP="007E37A5">
      <w:r>
        <w:separator/>
      </w:r>
    </w:p>
  </w:endnote>
  <w:endnote w:type="continuationSeparator" w:id="0">
    <w:p w14:paraId="2695EC37" w14:textId="77777777" w:rsidR="00B536B8" w:rsidRDefault="00B536B8"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A421C" w14:textId="77777777" w:rsidR="00B536B8" w:rsidRDefault="00B536B8">
    <w:pPr>
      <w:pStyle w:val="Footer"/>
    </w:pPr>
    <w:r w:rsidRPr="00395263">
      <w:t xml:space="preserve">Version </w:t>
    </w:r>
    <w:proofErr w:type="gramStart"/>
    <w:r w:rsidRPr="00395263">
      <w:t xml:space="preserve">6.5 </w:t>
    </w:r>
    <w:r>
      <w:t xml:space="preserve"> 08</w:t>
    </w:r>
    <w:proofErr w:type="gramEnd"/>
    <w:r>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D1045">
      <w:rPr>
        <w:noProof/>
      </w:rPr>
      <w:t>10</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5D7AC" w14:textId="77777777" w:rsidR="00B536B8" w:rsidRDefault="00B536B8" w:rsidP="007E37A5">
      <w:r>
        <w:separator/>
      </w:r>
    </w:p>
  </w:footnote>
  <w:footnote w:type="continuationSeparator" w:id="0">
    <w:p w14:paraId="1F3AB57B" w14:textId="77777777" w:rsidR="00B536B8" w:rsidRDefault="00B536B8"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CA333" w14:textId="77777777" w:rsidR="00B536B8" w:rsidRDefault="00B536B8"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63F44"/>
    <w:multiLevelType w:val="hybridMultilevel"/>
    <w:tmpl w:val="4DC4D1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99F6385"/>
    <w:multiLevelType w:val="hybridMultilevel"/>
    <w:tmpl w:val="583EAD88"/>
    <w:lvl w:ilvl="0" w:tplc="91C6C72C">
      <w:numFmt w:val="bullet"/>
      <w:lvlText w:val="-"/>
      <w:lvlJc w:val="left"/>
      <w:pPr>
        <w:ind w:left="720" w:hanging="360"/>
      </w:pPr>
      <w:rPr>
        <w:rFonts w:ascii="Calibri" w:eastAsiaTheme="minorHAnsi" w:hAnsi="Calibri" w:cstheme="minorBid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1"/>
  </w:num>
  <w:num w:numId="4">
    <w:abstractNumId w:val="3"/>
  </w:num>
  <w:num w:numId="5">
    <w:abstractNumId w:val="5"/>
  </w:num>
  <w:num w:numId="6">
    <w:abstractNumId w:val="4"/>
  </w:num>
  <w:num w:numId="7">
    <w:abstractNumId w:val="9"/>
  </w:num>
  <w:num w:numId="8">
    <w:abstractNumId w:val="8"/>
  </w:num>
  <w:num w:numId="9">
    <w:abstractNumId w:val="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73A4"/>
    <w:rsid w:val="000F5E53"/>
    <w:rsid w:val="00114848"/>
    <w:rsid w:val="00120934"/>
    <w:rsid w:val="00132070"/>
    <w:rsid w:val="00141875"/>
    <w:rsid w:val="0014347E"/>
    <w:rsid w:val="00154438"/>
    <w:rsid w:val="001551F6"/>
    <w:rsid w:val="0015535B"/>
    <w:rsid w:val="00162036"/>
    <w:rsid w:val="001632DD"/>
    <w:rsid w:val="00166C2C"/>
    <w:rsid w:val="00176E60"/>
    <w:rsid w:val="00194D9A"/>
    <w:rsid w:val="001A196B"/>
    <w:rsid w:val="001A6D05"/>
    <w:rsid w:val="001B38BF"/>
    <w:rsid w:val="001B772D"/>
    <w:rsid w:val="001D2B19"/>
    <w:rsid w:val="001D5B5D"/>
    <w:rsid w:val="001E22BF"/>
    <w:rsid w:val="001E6153"/>
    <w:rsid w:val="00201FF9"/>
    <w:rsid w:val="00205857"/>
    <w:rsid w:val="002259E2"/>
    <w:rsid w:val="00235ADC"/>
    <w:rsid w:val="00236F87"/>
    <w:rsid w:val="0024577E"/>
    <w:rsid w:val="00265702"/>
    <w:rsid w:val="002662B2"/>
    <w:rsid w:val="002717C7"/>
    <w:rsid w:val="002875E9"/>
    <w:rsid w:val="00287EB3"/>
    <w:rsid w:val="002A47BA"/>
    <w:rsid w:val="002A5FCF"/>
    <w:rsid w:val="002A6777"/>
    <w:rsid w:val="002B06BD"/>
    <w:rsid w:val="002C0E48"/>
    <w:rsid w:val="002C6F04"/>
    <w:rsid w:val="002E2177"/>
    <w:rsid w:val="002E2E41"/>
    <w:rsid w:val="002E78CD"/>
    <w:rsid w:val="002F20A7"/>
    <w:rsid w:val="003008F4"/>
    <w:rsid w:val="00302B1D"/>
    <w:rsid w:val="00307FA5"/>
    <w:rsid w:val="00320220"/>
    <w:rsid w:val="00324D64"/>
    <w:rsid w:val="00352B52"/>
    <w:rsid w:val="0035760D"/>
    <w:rsid w:val="00363ECC"/>
    <w:rsid w:val="00365686"/>
    <w:rsid w:val="0039020B"/>
    <w:rsid w:val="00395263"/>
    <w:rsid w:val="003956E0"/>
    <w:rsid w:val="0039609A"/>
    <w:rsid w:val="00397500"/>
    <w:rsid w:val="003A063C"/>
    <w:rsid w:val="003B1CC5"/>
    <w:rsid w:val="003B65CE"/>
    <w:rsid w:val="003D1045"/>
    <w:rsid w:val="003E039E"/>
    <w:rsid w:val="0040248E"/>
    <w:rsid w:val="004121AD"/>
    <w:rsid w:val="00422917"/>
    <w:rsid w:val="00440687"/>
    <w:rsid w:val="0044131D"/>
    <w:rsid w:val="00441ADA"/>
    <w:rsid w:val="004533E4"/>
    <w:rsid w:val="00457E46"/>
    <w:rsid w:val="00496AF8"/>
    <w:rsid w:val="004A575D"/>
    <w:rsid w:val="004B65C6"/>
    <w:rsid w:val="004D1DC7"/>
    <w:rsid w:val="004F7D7E"/>
    <w:rsid w:val="00500B0C"/>
    <w:rsid w:val="005146AC"/>
    <w:rsid w:val="00537150"/>
    <w:rsid w:val="00540984"/>
    <w:rsid w:val="00543851"/>
    <w:rsid w:val="0055559D"/>
    <w:rsid w:val="005569AE"/>
    <w:rsid w:val="005857F8"/>
    <w:rsid w:val="005A4AA7"/>
    <w:rsid w:val="005B0D18"/>
    <w:rsid w:val="005B12C3"/>
    <w:rsid w:val="005B409D"/>
    <w:rsid w:val="005D0FDB"/>
    <w:rsid w:val="005D25E9"/>
    <w:rsid w:val="005D6D59"/>
    <w:rsid w:val="0060604E"/>
    <w:rsid w:val="00614C2D"/>
    <w:rsid w:val="00615363"/>
    <w:rsid w:val="00617390"/>
    <w:rsid w:val="00623420"/>
    <w:rsid w:val="00633FCC"/>
    <w:rsid w:val="00634768"/>
    <w:rsid w:val="0063596F"/>
    <w:rsid w:val="00655CF9"/>
    <w:rsid w:val="006709EB"/>
    <w:rsid w:val="00672824"/>
    <w:rsid w:val="0068184A"/>
    <w:rsid w:val="006841F1"/>
    <w:rsid w:val="006B5C51"/>
    <w:rsid w:val="006C7F30"/>
    <w:rsid w:val="006E6FDD"/>
    <w:rsid w:val="006F4B7F"/>
    <w:rsid w:val="006F760B"/>
    <w:rsid w:val="00701CC3"/>
    <w:rsid w:val="00724801"/>
    <w:rsid w:val="00730E50"/>
    <w:rsid w:val="00734949"/>
    <w:rsid w:val="00736AEC"/>
    <w:rsid w:val="00736E0F"/>
    <w:rsid w:val="007434FA"/>
    <w:rsid w:val="007519D3"/>
    <w:rsid w:val="007573F0"/>
    <w:rsid w:val="00757931"/>
    <w:rsid w:val="00765156"/>
    <w:rsid w:val="00767669"/>
    <w:rsid w:val="00772032"/>
    <w:rsid w:val="00773485"/>
    <w:rsid w:val="00776E8F"/>
    <w:rsid w:val="00776F6D"/>
    <w:rsid w:val="007C0297"/>
    <w:rsid w:val="007C1887"/>
    <w:rsid w:val="007D4775"/>
    <w:rsid w:val="007D5DC6"/>
    <w:rsid w:val="007E37A5"/>
    <w:rsid w:val="007F49D8"/>
    <w:rsid w:val="007F7091"/>
    <w:rsid w:val="00805940"/>
    <w:rsid w:val="00834794"/>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E6B07"/>
    <w:rsid w:val="008F1DC6"/>
    <w:rsid w:val="00905C5B"/>
    <w:rsid w:val="0091422F"/>
    <w:rsid w:val="00923295"/>
    <w:rsid w:val="00925F11"/>
    <w:rsid w:val="00931F16"/>
    <w:rsid w:val="00935265"/>
    <w:rsid w:val="009374A4"/>
    <w:rsid w:val="0094689F"/>
    <w:rsid w:val="009477D6"/>
    <w:rsid w:val="00953ED3"/>
    <w:rsid w:val="00965FF6"/>
    <w:rsid w:val="00973BDE"/>
    <w:rsid w:val="009846D6"/>
    <w:rsid w:val="0098657F"/>
    <w:rsid w:val="009A3236"/>
    <w:rsid w:val="009B5A93"/>
    <w:rsid w:val="009B5BEA"/>
    <w:rsid w:val="009C291F"/>
    <w:rsid w:val="009E37BD"/>
    <w:rsid w:val="009E6B86"/>
    <w:rsid w:val="00A03301"/>
    <w:rsid w:val="00A06625"/>
    <w:rsid w:val="00A06D3A"/>
    <w:rsid w:val="00A12762"/>
    <w:rsid w:val="00A13867"/>
    <w:rsid w:val="00A26FED"/>
    <w:rsid w:val="00A31DAA"/>
    <w:rsid w:val="00A331B2"/>
    <w:rsid w:val="00A421D4"/>
    <w:rsid w:val="00A44FF0"/>
    <w:rsid w:val="00A50E55"/>
    <w:rsid w:val="00A67EB1"/>
    <w:rsid w:val="00A91A47"/>
    <w:rsid w:val="00A95D2B"/>
    <w:rsid w:val="00AA5587"/>
    <w:rsid w:val="00AC1E53"/>
    <w:rsid w:val="00AD79C8"/>
    <w:rsid w:val="00AE6CE0"/>
    <w:rsid w:val="00B058A6"/>
    <w:rsid w:val="00B117D0"/>
    <w:rsid w:val="00B1371D"/>
    <w:rsid w:val="00B13998"/>
    <w:rsid w:val="00B37CF8"/>
    <w:rsid w:val="00B439DD"/>
    <w:rsid w:val="00B52E0F"/>
    <w:rsid w:val="00B536B8"/>
    <w:rsid w:val="00B74629"/>
    <w:rsid w:val="00B91F58"/>
    <w:rsid w:val="00BA579E"/>
    <w:rsid w:val="00BD7C13"/>
    <w:rsid w:val="00BE2295"/>
    <w:rsid w:val="00BE6373"/>
    <w:rsid w:val="00BE6777"/>
    <w:rsid w:val="00BF2C4A"/>
    <w:rsid w:val="00BF533A"/>
    <w:rsid w:val="00C46677"/>
    <w:rsid w:val="00C5180E"/>
    <w:rsid w:val="00C54E40"/>
    <w:rsid w:val="00C55F56"/>
    <w:rsid w:val="00C57BA4"/>
    <w:rsid w:val="00C613EB"/>
    <w:rsid w:val="00C84623"/>
    <w:rsid w:val="00CB06C9"/>
    <w:rsid w:val="00CB1E41"/>
    <w:rsid w:val="00CB271C"/>
    <w:rsid w:val="00CB629B"/>
    <w:rsid w:val="00CE4F96"/>
    <w:rsid w:val="00CF0AB1"/>
    <w:rsid w:val="00CF4B9B"/>
    <w:rsid w:val="00CF55E6"/>
    <w:rsid w:val="00CF772F"/>
    <w:rsid w:val="00D048DB"/>
    <w:rsid w:val="00D14F0B"/>
    <w:rsid w:val="00D178CA"/>
    <w:rsid w:val="00D3311C"/>
    <w:rsid w:val="00D4011A"/>
    <w:rsid w:val="00D515DC"/>
    <w:rsid w:val="00D53405"/>
    <w:rsid w:val="00D5457B"/>
    <w:rsid w:val="00D72995"/>
    <w:rsid w:val="00D75855"/>
    <w:rsid w:val="00DA7FA2"/>
    <w:rsid w:val="00DB0847"/>
    <w:rsid w:val="00DC2D8D"/>
    <w:rsid w:val="00DC416F"/>
    <w:rsid w:val="00DE1F5D"/>
    <w:rsid w:val="00DE50D8"/>
    <w:rsid w:val="00DF278A"/>
    <w:rsid w:val="00E1664B"/>
    <w:rsid w:val="00E27C29"/>
    <w:rsid w:val="00E30D12"/>
    <w:rsid w:val="00E3394E"/>
    <w:rsid w:val="00E35241"/>
    <w:rsid w:val="00E355E7"/>
    <w:rsid w:val="00E41417"/>
    <w:rsid w:val="00E536D3"/>
    <w:rsid w:val="00E57BE2"/>
    <w:rsid w:val="00E62A95"/>
    <w:rsid w:val="00E746A2"/>
    <w:rsid w:val="00E90D06"/>
    <w:rsid w:val="00E97E59"/>
    <w:rsid w:val="00EA79C9"/>
    <w:rsid w:val="00EB66AC"/>
    <w:rsid w:val="00EC2247"/>
    <w:rsid w:val="00ED1FE7"/>
    <w:rsid w:val="00EE1F87"/>
    <w:rsid w:val="00EE3931"/>
    <w:rsid w:val="00EE5AF6"/>
    <w:rsid w:val="00EF2CEF"/>
    <w:rsid w:val="00F05D0A"/>
    <w:rsid w:val="00F1092D"/>
    <w:rsid w:val="00F1629B"/>
    <w:rsid w:val="00F21820"/>
    <w:rsid w:val="00F42C20"/>
    <w:rsid w:val="00F431D8"/>
    <w:rsid w:val="00F67706"/>
    <w:rsid w:val="00F92D75"/>
    <w:rsid w:val="00F95566"/>
    <w:rsid w:val="00F97327"/>
    <w:rsid w:val="00FA296F"/>
    <w:rsid w:val="00FA7323"/>
    <w:rsid w:val="00FC32D3"/>
    <w:rsid w:val="00FD4D82"/>
    <w:rsid w:val="00FE322B"/>
    <w:rsid w:val="00FE57AE"/>
    <w:rsid w:val="00FF1C0D"/>
    <w:rsid w:val="00FF3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7CC1D7A"/>
  <w15:docId w15:val="{51CCF2A3-814D-4D3E-9D81-A83B021E3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5A4AA7"/>
  </w:style>
  <w:style w:type="character" w:styleId="Emphasis">
    <w:name w:val="Emphasis"/>
    <w:basedOn w:val="DefaultParagraphFont"/>
    <w:uiPriority w:val="20"/>
    <w:qFormat/>
    <w:rsid w:val="005A4AA7"/>
    <w:rPr>
      <w:i/>
      <w:iCs/>
    </w:rPr>
  </w:style>
  <w:style w:type="character" w:styleId="Strong">
    <w:name w:val="Strong"/>
    <w:basedOn w:val="DefaultParagraphFont"/>
    <w:uiPriority w:val="22"/>
    <w:qFormat/>
    <w:rsid w:val="001E22BF"/>
    <w:rPr>
      <w:b/>
      <w:bCs/>
    </w:rPr>
  </w:style>
  <w:style w:type="paragraph" w:customStyle="1" w:styleId="Style4">
    <w:name w:val="Style4"/>
    <w:basedOn w:val="Normal"/>
    <w:link w:val="Style4Char"/>
    <w:qFormat/>
    <w:rsid w:val="001E22BF"/>
    <w:pPr>
      <w:ind w:left="0" w:firstLine="0"/>
    </w:pPr>
    <w:rPr>
      <w:rFonts w:ascii="Times New Roman" w:hAnsi="Times New Roman" w:cs="Times New Roman"/>
    </w:rPr>
  </w:style>
  <w:style w:type="character" w:customStyle="1" w:styleId="Style4Char">
    <w:name w:val="Style4 Char"/>
    <w:basedOn w:val="DefaultParagraphFont"/>
    <w:link w:val="Style4"/>
    <w:rsid w:val="001E22B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05879">
      <w:bodyDiv w:val="1"/>
      <w:marLeft w:val="0"/>
      <w:marRight w:val="0"/>
      <w:marTop w:val="0"/>
      <w:marBottom w:val="0"/>
      <w:divBdr>
        <w:top w:val="none" w:sz="0" w:space="0" w:color="auto"/>
        <w:left w:val="none" w:sz="0" w:space="0" w:color="auto"/>
        <w:bottom w:val="none" w:sz="0" w:space="0" w:color="auto"/>
        <w:right w:val="none" w:sz="0" w:space="0" w:color="auto"/>
      </w:divBdr>
    </w:div>
    <w:div w:id="318654316">
      <w:bodyDiv w:val="1"/>
      <w:marLeft w:val="0"/>
      <w:marRight w:val="0"/>
      <w:marTop w:val="0"/>
      <w:marBottom w:val="0"/>
      <w:divBdr>
        <w:top w:val="none" w:sz="0" w:space="0" w:color="auto"/>
        <w:left w:val="none" w:sz="0" w:space="0" w:color="auto"/>
        <w:bottom w:val="none" w:sz="0" w:space="0" w:color="auto"/>
        <w:right w:val="none" w:sz="0" w:space="0" w:color="auto"/>
      </w:divBdr>
    </w:div>
    <w:div w:id="330835206">
      <w:bodyDiv w:val="1"/>
      <w:marLeft w:val="0"/>
      <w:marRight w:val="0"/>
      <w:marTop w:val="0"/>
      <w:marBottom w:val="0"/>
      <w:divBdr>
        <w:top w:val="none" w:sz="0" w:space="0" w:color="auto"/>
        <w:left w:val="none" w:sz="0" w:space="0" w:color="auto"/>
        <w:bottom w:val="none" w:sz="0" w:space="0" w:color="auto"/>
        <w:right w:val="none" w:sz="0" w:space="0" w:color="auto"/>
      </w:divBdr>
    </w:div>
    <w:div w:id="435028496">
      <w:bodyDiv w:val="1"/>
      <w:marLeft w:val="0"/>
      <w:marRight w:val="0"/>
      <w:marTop w:val="0"/>
      <w:marBottom w:val="0"/>
      <w:divBdr>
        <w:top w:val="none" w:sz="0" w:space="0" w:color="auto"/>
        <w:left w:val="none" w:sz="0" w:space="0" w:color="auto"/>
        <w:bottom w:val="none" w:sz="0" w:space="0" w:color="auto"/>
        <w:right w:val="none" w:sz="0" w:space="0" w:color="auto"/>
      </w:divBdr>
    </w:div>
    <w:div w:id="484055028">
      <w:bodyDiv w:val="1"/>
      <w:marLeft w:val="0"/>
      <w:marRight w:val="0"/>
      <w:marTop w:val="0"/>
      <w:marBottom w:val="0"/>
      <w:divBdr>
        <w:top w:val="none" w:sz="0" w:space="0" w:color="auto"/>
        <w:left w:val="none" w:sz="0" w:space="0" w:color="auto"/>
        <w:bottom w:val="none" w:sz="0" w:space="0" w:color="auto"/>
        <w:right w:val="none" w:sz="0" w:space="0" w:color="auto"/>
      </w:divBdr>
    </w:div>
    <w:div w:id="568228774">
      <w:bodyDiv w:val="1"/>
      <w:marLeft w:val="0"/>
      <w:marRight w:val="0"/>
      <w:marTop w:val="0"/>
      <w:marBottom w:val="0"/>
      <w:divBdr>
        <w:top w:val="none" w:sz="0" w:space="0" w:color="auto"/>
        <w:left w:val="none" w:sz="0" w:space="0" w:color="auto"/>
        <w:bottom w:val="none" w:sz="0" w:space="0" w:color="auto"/>
        <w:right w:val="none" w:sz="0" w:space="0" w:color="auto"/>
      </w:divBdr>
    </w:div>
    <w:div w:id="699936897">
      <w:bodyDiv w:val="1"/>
      <w:marLeft w:val="0"/>
      <w:marRight w:val="0"/>
      <w:marTop w:val="0"/>
      <w:marBottom w:val="0"/>
      <w:divBdr>
        <w:top w:val="none" w:sz="0" w:space="0" w:color="auto"/>
        <w:left w:val="none" w:sz="0" w:space="0" w:color="auto"/>
        <w:bottom w:val="none" w:sz="0" w:space="0" w:color="auto"/>
        <w:right w:val="none" w:sz="0" w:space="0" w:color="auto"/>
      </w:divBdr>
    </w:div>
    <w:div w:id="771970451">
      <w:bodyDiv w:val="1"/>
      <w:marLeft w:val="0"/>
      <w:marRight w:val="0"/>
      <w:marTop w:val="0"/>
      <w:marBottom w:val="0"/>
      <w:divBdr>
        <w:top w:val="none" w:sz="0" w:space="0" w:color="auto"/>
        <w:left w:val="none" w:sz="0" w:space="0" w:color="auto"/>
        <w:bottom w:val="none" w:sz="0" w:space="0" w:color="auto"/>
        <w:right w:val="none" w:sz="0" w:space="0" w:color="auto"/>
      </w:divBdr>
    </w:div>
    <w:div w:id="791898424">
      <w:bodyDiv w:val="1"/>
      <w:marLeft w:val="0"/>
      <w:marRight w:val="0"/>
      <w:marTop w:val="0"/>
      <w:marBottom w:val="0"/>
      <w:divBdr>
        <w:top w:val="none" w:sz="0" w:space="0" w:color="auto"/>
        <w:left w:val="none" w:sz="0" w:space="0" w:color="auto"/>
        <w:bottom w:val="none" w:sz="0" w:space="0" w:color="auto"/>
        <w:right w:val="none" w:sz="0" w:space="0" w:color="auto"/>
      </w:divBdr>
    </w:div>
    <w:div w:id="797915726">
      <w:bodyDiv w:val="1"/>
      <w:marLeft w:val="0"/>
      <w:marRight w:val="0"/>
      <w:marTop w:val="0"/>
      <w:marBottom w:val="0"/>
      <w:divBdr>
        <w:top w:val="none" w:sz="0" w:space="0" w:color="auto"/>
        <w:left w:val="none" w:sz="0" w:space="0" w:color="auto"/>
        <w:bottom w:val="none" w:sz="0" w:space="0" w:color="auto"/>
        <w:right w:val="none" w:sz="0" w:space="0" w:color="auto"/>
      </w:divBdr>
    </w:div>
    <w:div w:id="1090930149">
      <w:bodyDiv w:val="1"/>
      <w:marLeft w:val="0"/>
      <w:marRight w:val="0"/>
      <w:marTop w:val="0"/>
      <w:marBottom w:val="0"/>
      <w:divBdr>
        <w:top w:val="none" w:sz="0" w:space="0" w:color="auto"/>
        <w:left w:val="none" w:sz="0" w:space="0" w:color="auto"/>
        <w:bottom w:val="none" w:sz="0" w:space="0" w:color="auto"/>
        <w:right w:val="none" w:sz="0" w:space="0" w:color="auto"/>
      </w:divBdr>
    </w:div>
    <w:div w:id="1126971852">
      <w:bodyDiv w:val="1"/>
      <w:marLeft w:val="0"/>
      <w:marRight w:val="0"/>
      <w:marTop w:val="0"/>
      <w:marBottom w:val="0"/>
      <w:divBdr>
        <w:top w:val="none" w:sz="0" w:space="0" w:color="auto"/>
        <w:left w:val="none" w:sz="0" w:space="0" w:color="auto"/>
        <w:bottom w:val="none" w:sz="0" w:space="0" w:color="auto"/>
        <w:right w:val="none" w:sz="0" w:space="0" w:color="auto"/>
      </w:divBdr>
    </w:div>
    <w:div w:id="1129083805">
      <w:bodyDiv w:val="1"/>
      <w:marLeft w:val="0"/>
      <w:marRight w:val="0"/>
      <w:marTop w:val="0"/>
      <w:marBottom w:val="0"/>
      <w:divBdr>
        <w:top w:val="none" w:sz="0" w:space="0" w:color="auto"/>
        <w:left w:val="none" w:sz="0" w:space="0" w:color="auto"/>
        <w:bottom w:val="none" w:sz="0" w:space="0" w:color="auto"/>
        <w:right w:val="none" w:sz="0" w:space="0" w:color="auto"/>
      </w:divBdr>
    </w:div>
    <w:div w:id="1213149543">
      <w:bodyDiv w:val="1"/>
      <w:marLeft w:val="0"/>
      <w:marRight w:val="0"/>
      <w:marTop w:val="0"/>
      <w:marBottom w:val="0"/>
      <w:divBdr>
        <w:top w:val="none" w:sz="0" w:space="0" w:color="auto"/>
        <w:left w:val="none" w:sz="0" w:space="0" w:color="auto"/>
        <w:bottom w:val="none" w:sz="0" w:space="0" w:color="auto"/>
        <w:right w:val="none" w:sz="0" w:space="0" w:color="auto"/>
      </w:divBdr>
    </w:div>
    <w:div w:id="1302687183">
      <w:bodyDiv w:val="1"/>
      <w:marLeft w:val="0"/>
      <w:marRight w:val="0"/>
      <w:marTop w:val="0"/>
      <w:marBottom w:val="0"/>
      <w:divBdr>
        <w:top w:val="none" w:sz="0" w:space="0" w:color="auto"/>
        <w:left w:val="none" w:sz="0" w:space="0" w:color="auto"/>
        <w:bottom w:val="none" w:sz="0" w:space="0" w:color="auto"/>
        <w:right w:val="none" w:sz="0" w:space="0" w:color="auto"/>
      </w:divBdr>
    </w:div>
    <w:div w:id="1381980750">
      <w:bodyDiv w:val="1"/>
      <w:marLeft w:val="0"/>
      <w:marRight w:val="0"/>
      <w:marTop w:val="0"/>
      <w:marBottom w:val="0"/>
      <w:divBdr>
        <w:top w:val="none" w:sz="0" w:space="0" w:color="auto"/>
        <w:left w:val="none" w:sz="0" w:space="0" w:color="auto"/>
        <w:bottom w:val="none" w:sz="0" w:space="0" w:color="auto"/>
        <w:right w:val="none" w:sz="0" w:space="0" w:color="auto"/>
      </w:divBdr>
    </w:div>
    <w:div w:id="1594171562">
      <w:bodyDiv w:val="1"/>
      <w:marLeft w:val="0"/>
      <w:marRight w:val="0"/>
      <w:marTop w:val="0"/>
      <w:marBottom w:val="0"/>
      <w:divBdr>
        <w:top w:val="none" w:sz="0" w:space="0" w:color="auto"/>
        <w:left w:val="none" w:sz="0" w:space="0" w:color="auto"/>
        <w:bottom w:val="none" w:sz="0" w:space="0" w:color="auto"/>
        <w:right w:val="none" w:sz="0" w:space="0" w:color="auto"/>
      </w:divBdr>
    </w:div>
    <w:div w:id="1719359495">
      <w:bodyDiv w:val="1"/>
      <w:marLeft w:val="0"/>
      <w:marRight w:val="0"/>
      <w:marTop w:val="0"/>
      <w:marBottom w:val="0"/>
      <w:divBdr>
        <w:top w:val="none" w:sz="0" w:space="0" w:color="auto"/>
        <w:left w:val="none" w:sz="0" w:space="0" w:color="auto"/>
        <w:bottom w:val="none" w:sz="0" w:space="0" w:color="auto"/>
        <w:right w:val="none" w:sz="0" w:space="0" w:color="auto"/>
      </w:divBdr>
    </w:div>
    <w:div w:id="1740210028">
      <w:bodyDiv w:val="1"/>
      <w:marLeft w:val="0"/>
      <w:marRight w:val="0"/>
      <w:marTop w:val="0"/>
      <w:marBottom w:val="0"/>
      <w:divBdr>
        <w:top w:val="none" w:sz="0" w:space="0" w:color="auto"/>
        <w:left w:val="none" w:sz="0" w:space="0" w:color="auto"/>
        <w:bottom w:val="none" w:sz="0" w:space="0" w:color="auto"/>
        <w:right w:val="none" w:sz="0" w:space="0" w:color="auto"/>
      </w:divBdr>
    </w:div>
    <w:div w:id="1743601876">
      <w:bodyDiv w:val="1"/>
      <w:marLeft w:val="0"/>
      <w:marRight w:val="0"/>
      <w:marTop w:val="0"/>
      <w:marBottom w:val="0"/>
      <w:divBdr>
        <w:top w:val="none" w:sz="0" w:space="0" w:color="auto"/>
        <w:left w:val="none" w:sz="0" w:space="0" w:color="auto"/>
        <w:bottom w:val="none" w:sz="0" w:space="0" w:color="auto"/>
        <w:right w:val="none" w:sz="0" w:space="0" w:color="auto"/>
      </w:divBdr>
    </w:div>
    <w:div w:id="1924800204">
      <w:bodyDiv w:val="1"/>
      <w:marLeft w:val="0"/>
      <w:marRight w:val="0"/>
      <w:marTop w:val="0"/>
      <w:marBottom w:val="0"/>
      <w:divBdr>
        <w:top w:val="none" w:sz="0" w:space="0" w:color="auto"/>
        <w:left w:val="none" w:sz="0" w:space="0" w:color="auto"/>
        <w:bottom w:val="none" w:sz="0" w:space="0" w:color="auto"/>
        <w:right w:val="none" w:sz="0" w:space="0" w:color="auto"/>
      </w:divBdr>
    </w:div>
    <w:div w:id="2053385321">
      <w:bodyDiv w:val="1"/>
      <w:marLeft w:val="0"/>
      <w:marRight w:val="0"/>
      <w:marTop w:val="0"/>
      <w:marBottom w:val="0"/>
      <w:divBdr>
        <w:top w:val="none" w:sz="0" w:space="0" w:color="auto"/>
        <w:left w:val="none" w:sz="0" w:space="0" w:color="auto"/>
        <w:bottom w:val="none" w:sz="0" w:space="0" w:color="auto"/>
        <w:right w:val="none" w:sz="0" w:space="0" w:color="auto"/>
      </w:divBdr>
    </w:div>
    <w:div w:id="2054379647">
      <w:bodyDiv w:val="1"/>
      <w:marLeft w:val="0"/>
      <w:marRight w:val="0"/>
      <w:marTop w:val="0"/>
      <w:marBottom w:val="0"/>
      <w:divBdr>
        <w:top w:val="none" w:sz="0" w:space="0" w:color="auto"/>
        <w:left w:val="none" w:sz="0" w:space="0" w:color="auto"/>
        <w:bottom w:val="none" w:sz="0" w:space="0" w:color="auto"/>
        <w:right w:val="none" w:sz="0" w:space="0" w:color="auto"/>
      </w:divBdr>
    </w:div>
    <w:div w:id="2073850214">
      <w:bodyDiv w:val="1"/>
      <w:marLeft w:val="0"/>
      <w:marRight w:val="0"/>
      <w:marTop w:val="0"/>
      <w:marBottom w:val="0"/>
      <w:divBdr>
        <w:top w:val="none" w:sz="0" w:space="0" w:color="auto"/>
        <w:left w:val="none" w:sz="0" w:space="0" w:color="auto"/>
        <w:bottom w:val="none" w:sz="0" w:space="0" w:color="auto"/>
        <w:right w:val="none" w:sz="0" w:space="0" w:color="auto"/>
      </w:divBdr>
    </w:div>
    <w:div w:id="213837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yperlink" Target="http://labels.fda.gov/" TargetMode="External"/><Relationship Id="rId10" Type="http://schemas.openxmlformats.org/officeDocument/2006/relationships/hyperlink" Target="http://www.uspreventiveservicestaskforce.org/methods.htm"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labels.fda.go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007530"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007530"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15AC292313CE45DC8AC3FC91D340CC66"/>
        <w:category>
          <w:name w:val="General"/>
          <w:gallery w:val="placeholder"/>
        </w:category>
        <w:types>
          <w:type w:val="bbPlcHdr"/>
        </w:types>
        <w:behaviors>
          <w:behavior w:val="content"/>
        </w:behaviors>
        <w:guid w:val="{0AAE2D74-271B-45D5-88F5-2B2908AFB4EA}"/>
      </w:docPartPr>
      <w:docPartBody>
        <w:p w:rsidR="00007530" w:rsidRDefault="005F21F3" w:rsidP="005F21F3">
          <w:pPr>
            <w:pStyle w:val="15AC292313CE45DC8AC3FC91D340CC66"/>
          </w:pPr>
          <w:r w:rsidRPr="003B1CC5">
            <w:rPr>
              <w:rStyle w:val="PlaceholderText"/>
              <w:rFonts w:cstheme="minorHAnsi"/>
              <w:color w:val="A6A6A6" w:themeColor="background1" w:themeShade="A6"/>
            </w:rPr>
            <w:t>Click here to name the intermediate outcome</w:t>
          </w:r>
        </w:p>
      </w:docPartBody>
    </w:docPart>
    <w:docPart>
      <w:docPartPr>
        <w:name w:val="4CBFC8EF1476485CBF0E82C994E3DC6E"/>
        <w:category>
          <w:name w:val="General"/>
          <w:gallery w:val="placeholder"/>
        </w:category>
        <w:types>
          <w:type w:val="bbPlcHdr"/>
        </w:types>
        <w:behaviors>
          <w:behavior w:val="content"/>
        </w:behaviors>
        <w:guid w:val="{5282F588-19E7-46C8-86DE-8297F9A17BC5}"/>
      </w:docPartPr>
      <w:docPartBody>
        <w:p w:rsidR="00007530" w:rsidRDefault="005F21F3" w:rsidP="005F21F3">
          <w:pPr>
            <w:pStyle w:val="4CBFC8EF1476485CBF0E82C994E3DC6E"/>
          </w:pPr>
          <w:r w:rsidRPr="003B1CC5">
            <w:rPr>
              <w:rStyle w:val="PlaceholderText"/>
              <w:rFonts w:cstheme="minorHAnsi"/>
              <w:color w:val="A6A6A6" w:themeColor="background1" w:themeShade="A6"/>
            </w:rPr>
            <w:t>Click here to name the process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07530"/>
    <w:rsid w:val="00160241"/>
    <w:rsid w:val="002B5F47"/>
    <w:rsid w:val="00377A58"/>
    <w:rsid w:val="003A1E4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0C692-9D2A-432B-8F1E-58F2E4D9E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4618</Words>
  <Characters>26326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Erin Giovannetti</cp:lastModifiedBy>
  <cp:revision>16</cp:revision>
  <dcterms:created xsi:type="dcterms:W3CDTF">2014-01-14T17:33:00Z</dcterms:created>
  <dcterms:modified xsi:type="dcterms:W3CDTF">2014-01-17T19:16:00Z</dcterms:modified>
</cp:coreProperties>
</file>