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251CC6" w:rsidRPr="003B1CC5" w:rsidRDefault="00251CC6" w:rsidP="00251CC6">
      <w:pPr>
        <w:spacing w:after="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82C7BBDB0C8C47849795E517C99AAB94"/>
          </w:placeholder>
        </w:sdtPr>
        <w:sdtEndPr>
          <w:rPr>
            <w:rStyle w:val="DefaultParagraphFont"/>
            <w:rFonts w:cstheme="minorHAnsi"/>
            <w:b/>
            <w:noProof/>
            <w:color w:val="auto"/>
          </w:rPr>
        </w:sdtEndPr>
        <w:sdtContent>
          <w:r>
            <w:rPr>
              <w:rStyle w:val="Style1"/>
            </w:rPr>
            <w:t>2371</w:t>
          </w:r>
        </w:sdtContent>
      </w:sdt>
    </w:p>
    <w:p w:rsidR="00251CC6" w:rsidRPr="003B1CC5" w:rsidRDefault="00251CC6" w:rsidP="00251CC6">
      <w:pPr>
        <w:spacing w:after="0"/>
        <w:rPr>
          <w:noProof/>
        </w:rPr>
      </w:pPr>
      <w:r w:rsidRPr="003B1CC5">
        <w:rPr>
          <w:b/>
          <w:noProof/>
        </w:rPr>
        <w:t>Measure Title</w:t>
      </w:r>
      <w:r w:rsidRPr="003B1CC5">
        <w:rPr>
          <w:noProof/>
        </w:rPr>
        <w:t xml:space="preserve">:  </w:t>
      </w:r>
      <w:sdt>
        <w:sdtPr>
          <w:rPr>
            <w:rStyle w:val="Style1"/>
          </w:rPr>
          <w:id w:val="-882640736"/>
          <w:placeholder>
            <w:docPart w:val="9A8315BCCF34453FA983BBA867940717"/>
          </w:placeholder>
        </w:sdtPr>
        <w:sdtEndPr>
          <w:rPr>
            <w:rStyle w:val="DefaultParagraphFont"/>
            <w:noProof/>
            <w:color w:val="auto"/>
          </w:rPr>
        </w:sdtEndPr>
        <w:sdtContent>
          <w:r w:rsidRPr="00DC416F">
            <w:rPr>
              <w:rStyle w:val="Style1"/>
            </w:rPr>
            <w:t>Annual Monitoring for Patients on Persistent Medications</w:t>
          </w:r>
        </w:sdtContent>
      </w:sdt>
    </w:p>
    <w:p w:rsidR="00251CC6" w:rsidRPr="003B1CC5" w:rsidRDefault="00251CC6" w:rsidP="00251CC6">
      <w:pPr>
        <w:spacing w:after="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474719354"/>
          <w:placeholder>
            <w:docPart w:val="EE13C583C45B4486A93BD45CCB65FC3A"/>
          </w:placeholder>
          <w:showingPlcHdr/>
        </w:sdtPr>
        <w:sdtEndPr>
          <w:rPr>
            <w:rStyle w:val="DefaultParagraphFont"/>
            <w:noProof/>
            <w:color w:val="auto"/>
          </w:rPr>
        </w:sdtEndPr>
        <w:sdtContent>
          <w:r w:rsidRPr="003B1CC5">
            <w:rPr>
              <w:rStyle w:val="PlaceholderText"/>
              <w:rFonts w:cstheme="minorHAnsi"/>
              <w:color w:val="A6A6A6" w:themeColor="background1" w:themeShade="A6"/>
            </w:rPr>
            <w:t>Click here to enter composite measure #/ title</w:t>
          </w:r>
        </w:sdtContent>
      </w:sdt>
    </w:p>
    <w:p w:rsidR="00251CC6" w:rsidRPr="003B1CC5" w:rsidRDefault="00251CC6" w:rsidP="00251CC6">
      <w:pPr>
        <w:spacing w:after="0"/>
        <w:rPr>
          <w:b/>
          <w:noProof/>
        </w:rPr>
      </w:pPr>
    </w:p>
    <w:p w:rsidR="00251CC6" w:rsidRPr="003B1CC5" w:rsidRDefault="00251CC6" w:rsidP="00251CC6">
      <w:pPr>
        <w:spacing w:after="0"/>
        <w:rPr>
          <w:rStyle w:val="Style2"/>
        </w:rPr>
      </w:pPr>
      <w:r w:rsidRPr="003B1CC5">
        <w:rPr>
          <w:b/>
          <w:noProof/>
        </w:rPr>
        <w:t>Date of Submission</w:t>
      </w:r>
      <w:r w:rsidRPr="003B1CC5">
        <w:rPr>
          <w:noProof/>
        </w:rPr>
        <w:t xml:space="preserve">:  </w:t>
      </w:r>
      <w:sdt>
        <w:sdtPr>
          <w:rPr>
            <w:rStyle w:val="Style2"/>
          </w:rPr>
          <w:id w:val="-1689821638"/>
          <w:placeholder>
            <w:docPart w:val="A88F4207EC434DCC9643FDAAC30F9A84"/>
          </w:placeholder>
          <w:date w:fullDate="2014-01-17T00:00:00Z">
            <w:dateFormat w:val="M/d/yyyy"/>
            <w:lid w:val="en-US"/>
            <w:storeMappedDataAs w:val="dateTime"/>
            <w:calendar w:val="gregorian"/>
          </w:date>
        </w:sdtPr>
        <w:sdtEndPr>
          <w:rPr>
            <w:rStyle w:val="DefaultParagraphFont"/>
            <w:noProof/>
            <w:color w:val="auto"/>
            <w:u w:val="none"/>
          </w:rPr>
        </w:sdtEndPr>
        <w:sdtContent>
          <w:r w:rsidR="002E4E37">
            <w:rPr>
              <w:rStyle w:val="Style2"/>
            </w:rPr>
            <w:t>1/17/2014</w:t>
          </w:r>
        </w:sdtContent>
      </w:sdt>
    </w:p>
    <w:p w:rsidR="00251CC6" w:rsidRPr="003B1CC5" w:rsidRDefault="00251CC6" w:rsidP="00251CC6">
      <w:pPr>
        <w:spacing w:after="0"/>
        <w:rPr>
          <w:rStyle w:val="Style2"/>
        </w:rPr>
      </w:pP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rsidTr="000B3880">
        <w:trPr>
          <w:jc w:val="center"/>
        </w:trPr>
        <w:tc>
          <w:tcPr>
            <w:tcW w:w="2547" w:type="pct"/>
          </w:tcPr>
          <w:p w:rsidR="00CD364B" w:rsidRPr="00B82A57" w:rsidRDefault="00231480" w:rsidP="00CD364B">
            <w:pPr>
              <w:autoSpaceDE w:val="0"/>
              <w:autoSpaceDN w:val="0"/>
              <w:adjustRightInd w:val="0"/>
              <w:rPr>
                <w:rFonts w:cstheme="minorHAnsi"/>
                <w:bCs/>
              </w:rPr>
            </w:pPr>
            <w:sdt>
              <w:sdtPr>
                <w:rPr>
                  <w:rFonts w:cstheme="minorHAnsi"/>
                  <w:bCs/>
                  <w:color w:val="0000FF"/>
                  <w:u w:val="single"/>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bookmarkStart w:id="0" w:name="_GoBack"/>
            <w:bookmarkEnd w:id="0"/>
          </w:p>
        </w:tc>
        <w:tc>
          <w:tcPr>
            <w:tcW w:w="2453" w:type="pct"/>
          </w:tcPr>
          <w:p w:rsidR="00CD364B" w:rsidRPr="00B82A57" w:rsidRDefault="0023148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31480"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3148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Content>
                <w:r w:rsidR="00251CC6">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31480"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3148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1"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lastRenderedPageBreak/>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2"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2"/>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w:t>
            </w:r>
            <w:r w:rsidRPr="00A831B4">
              <w:rPr>
                <w:rFonts w:cstheme="minorHAnsi"/>
                <w:sz w:val="20"/>
                <w:szCs w:val="20"/>
              </w:rPr>
              <w:lastRenderedPageBreak/>
              <w:t>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Content>
                <w:r w:rsidR="00AE549D">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Content>
                <w:r w:rsidR="002157B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Content>
                <w:r w:rsidR="002157B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3148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3148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Pr="00C34F3A" w:rsidRDefault="002157BC"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N</w:t>
      </w:r>
      <w:r w:rsidR="00BA0DD8" w:rsidRPr="00C34F3A">
        <w:rPr>
          <w:rFonts w:ascii="Times New Roman" w:hAnsi="Times New Roman" w:cs="Times New Roman"/>
          <w:bCs/>
          <w:sz w:val="24"/>
          <w:szCs w:val="24"/>
        </w:rPr>
        <w:t>ot applicable</w:t>
      </w:r>
    </w:p>
    <w:p w:rsidR="009E1846" w:rsidRDefault="009E1846" w:rsidP="00DB3627">
      <w:pPr>
        <w:autoSpaceDE w:val="0"/>
        <w:autoSpaceDN w:val="0"/>
        <w:adjustRightInd w:val="0"/>
        <w:spacing w:after="0" w:line="240" w:lineRule="auto"/>
        <w:rPr>
          <w:rFonts w:cstheme="minorHAnsi"/>
          <w:b/>
        </w:rPr>
      </w:pPr>
    </w:p>
    <w:p w:rsidR="0004593A" w:rsidRDefault="002B5016" w:rsidP="00DB3627">
      <w:pPr>
        <w:autoSpaceDE w:val="0"/>
        <w:autoSpaceDN w:val="0"/>
        <w:adjustRightInd w:val="0"/>
        <w:spacing w:after="0" w:line="240" w:lineRule="auto"/>
        <w:rPr>
          <w:rStyle w:val="Style1"/>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rsidR="00BA0DD8" w:rsidRPr="00C34F3A" w:rsidRDefault="006D4B21" w:rsidP="00DB3627">
      <w:pPr>
        <w:autoSpaceDE w:val="0"/>
        <w:autoSpaceDN w:val="0"/>
        <w:adjustRightInd w:val="0"/>
        <w:spacing w:after="0" w:line="240" w:lineRule="auto"/>
        <w:rPr>
          <w:rFonts w:ascii="Times New Roman" w:hAnsi="Times New Roman" w:cs="Times New Roman"/>
          <w:sz w:val="24"/>
          <w:szCs w:val="24"/>
        </w:rPr>
      </w:pPr>
      <w:r>
        <w:rPr>
          <w:rStyle w:val="Style1"/>
          <w:rFonts w:ascii="Times New Roman" w:hAnsi="Times New Roman" w:cs="Times New Roman"/>
          <w:b/>
          <w:color w:val="auto"/>
        </w:rPr>
        <w:t>Sample 1</w:t>
      </w:r>
      <w:r w:rsidR="00BA0DD8" w:rsidRPr="00BA0DD8">
        <w:rPr>
          <w:rStyle w:val="Style1"/>
          <w:rFonts w:ascii="Times New Roman" w:hAnsi="Times New Roman" w:cs="Times New Roman"/>
          <w:b/>
          <w:color w:val="auto"/>
        </w:rPr>
        <w:t>:</w:t>
      </w:r>
      <w:r w:rsidR="00BA0DD8" w:rsidRPr="00BA0DD8">
        <w:rPr>
          <w:rStyle w:val="Style1"/>
          <w:rFonts w:ascii="Times New Roman" w:hAnsi="Times New Roman" w:cs="Times New Roman"/>
          <w:color w:val="auto"/>
        </w:rPr>
        <w:t xml:space="preserve"> </w:t>
      </w:r>
      <w:r w:rsidR="00BA0DD8">
        <w:rPr>
          <w:rStyle w:val="Style1"/>
          <w:rFonts w:ascii="Times New Roman" w:hAnsi="Times New Roman" w:cs="Times New Roman"/>
          <w:color w:val="auto"/>
        </w:rPr>
        <w:t>1999-2001</w:t>
      </w:r>
    </w:p>
    <w:p w:rsidR="006D4B21" w:rsidRPr="00BA0DD8" w:rsidRDefault="006D4B21" w:rsidP="006D4B21">
      <w:pPr>
        <w:autoSpaceDE w:val="0"/>
        <w:autoSpaceDN w:val="0"/>
        <w:adjustRightInd w:val="0"/>
        <w:spacing w:after="0" w:line="240" w:lineRule="auto"/>
        <w:rPr>
          <w:rStyle w:val="Style1"/>
          <w:rFonts w:ascii="Times New Roman" w:hAnsi="Times New Roman" w:cs="Times New Roman"/>
          <w:color w:val="auto"/>
        </w:rPr>
      </w:pPr>
      <w:r>
        <w:rPr>
          <w:rStyle w:val="Style1"/>
          <w:rFonts w:ascii="Times New Roman" w:hAnsi="Times New Roman" w:cs="Times New Roman"/>
          <w:b/>
          <w:color w:val="auto"/>
        </w:rPr>
        <w:t>Sample 2</w:t>
      </w:r>
      <w:r w:rsidRPr="00BA0DD8">
        <w:rPr>
          <w:rStyle w:val="Style1"/>
          <w:rFonts w:ascii="Times New Roman" w:hAnsi="Times New Roman" w:cs="Times New Roman"/>
          <w:b/>
          <w:color w:val="auto"/>
        </w:rPr>
        <w:t>:</w:t>
      </w:r>
      <w:r w:rsidRPr="00BA0DD8">
        <w:rPr>
          <w:rStyle w:val="Style1"/>
          <w:rFonts w:ascii="Times New Roman" w:hAnsi="Times New Roman" w:cs="Times New Roman"/>
          <w:color w:val="auto"/>
        </w:rPr>
        <w:t xml:space="preserve"> 2012</w:t>
      </w:r>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Content>
                <w:r w:rsidR="002157BC">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Content>
                <w:r w:rsidR="002157BC">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3148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157BC"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6D4B21" w:rsidRPr="00C34F3A" w:rsidRDefault="004348CC" w:rsidP="006D4B21">
      <w:pPr>
        <w:autoSpaceDE w:val="0"/>
        <w:autoSpaceDN w:val="0"/>
        <w:adjustRightInd w:val="0"/>
        <w:spacing w:after="0" w:line="240" w:lineRule="auto"/>
        <w:rPr>
          <w:rFonts w:ascii="Times New Roman" w:hAnsi="Times New Roman" w:cs="Times New Roman"/>
          <w:bCs/>
          <w:sz w:val="24"/>
          <w:szCs w:val="24"/>
        </w:rPr>
      </w:pPr>
      <w:r w:rsidRPr="00A25024">
        <w:rPr>
          <w:rFonts w:cstheme="minorHAnsi"/>
          <w:bCs/>
        </w:rPr>
        <w:br/>
      </w:r>
      <w:r w:rsidR="006D4B21" w:rsidRPr="00C34F3A">
        <w:rPr>
          <w:rFonts w:ascii="Times New Roman" w:hAnsi="Times New Roman" w:cs="Times New Roman"/>
          <w:b/>
          <w:bCs/>
          <w:sz w:val="24"/>
        </w:rPr>
        <w:t xml:space="preserve">Sample 1: </w:t>
      </w:r>
      <w:r w:rsidR="006D4B21" w:rsidRPr="00C34F3A">
        <w:rPr>
          <w:rFonts w:ascii="Times New Roman" w:hAnsi="Times New Roman" w:cs="Times New Roman"/>
          <w:bCs/>
          <w:sz w:val="24"/>
          <w:szCs w:val="24"/>
        </w:rPr>
        <w:t xml:space="preserve">This measure was tested for item-level </w:t>
      </w:r>
      <w:r w:rsidR="00AE549D" w:rsidRPr="00C34F3A">
        <w:rPr>
          <w:rFonts w:ascii="Times New Roman" w:hAnsi="Times New Roman" w:cs="Times New Roman"/>
          <w:bCs/>
          <w:sz w:val="24"/>
          <w:szCs w:val="24"/>
        </w:rPr>
        <w:t xml:space="preserve">reliability in five health plans in </w:t>
      </w:r>
      <w:r w:rsidR="006D4B21" w:rsidRPr="00C34F3A">
        <w:rPr>
          <w:rFonts w:ascii="Times New Roman" w:hAnsi="Times New Roman" w:cs="Times New Roman"/>
          <w:bCs/>
          <w:sz w:val="24"/>
          <w:szCs w:val="24"/>
        </w:rPr>
        <w:t xml:space="preserve">the HMO Research Network.  Plans included group, staff, network and mixed model managed care structure.  Enrollment varied from 250,000 to more than 800,000 members.  Geographically, the plans include the </w:t>
      </w:r>
      <w:r w:rsidR="00AE549D" w:rsidRPr="00C34F3A">
        <w:rPr>
          <w:rFonts w:ascii="Times New Roman" w:hAnsi="Times New Roman" w:cs="Times New Roman"/>
          <w:bCs/>
          <w:sz w:val="24"/>
          <w:szCs w:val="24"/>
        </w:rPr>
        <w:t xml:space="preserve">Northwest, Mountain, </w:t>
      </w:r>
      <w:r w:rsidR="006D4B21" w:rsidRPr="00C34F3A">
        <w:rPr>
          <w:rFonts w:ascii="Times New Roman" w:hAnsi="Times New Roman" w:cs="Times New Roman"/>
          <w:bCs/>
          <w:sz w:val="24"/>
          <w:szCs w:val="24"/>
        </w:rPr>
        <w:t>Midwest</w:t>
      </w:r>
      <w:r w:rsidR="00AE549D" w:rsidRPr="00C34F3A">
        <w:rPr>
          <w:rFonts w:ascii="Times New Roman" w:hAnsi="Times New Roman" w:cs="Times New Roman"/>
          <w:bCs/>
          <w:sz w:val="24"/>
          <w:szCs w:val="24"/>
        </w:rPr>
        <w:t>, East and Southwest</w:t>
      </w:r>
      <w:r w:rsidR="006D4B21" w:rsidRPr="00C34F3A">
        <w:rPr>
          <w:rFonts w:ascii="Times New Roman" w:hAnsi="Times New Roman" w:cs="Times New Roman"/>
          <w:bCs/>
          <w:sz w:val="24"/>
          <w:szCs w:val="24"/>
        </w:rPr>
        <w:t>.</w:t>
      </w:r>
    </w:p>
    <w:p w:rsidR="006D4B21" w:rsidRPr="00C34F3A" w:rsidRDefault="006D4B21" w:rsidP="006D4B21">
      <w:pPr>
        <w:autoSpaceDE w:val="0"/>
        <w:autoSpaceDN w:val="0"/>
        <w:adjustRightInd w:val="0"/>
        <w:spacing w:after="0" w:line="240" w:lineRule="auto"/>
        <w:rPr>
          <w:rFonts w:ascii="Times New Roman" w:hAnsi="Times New Roman" w:cs="Times New Roman"/>
          <w:bCs/>
          <w:sz w:val="24"/>
          <w:szCs w:val="24"/>
        </w:rPr>
      </w:pPr>
    </w:p>
    <w:p w:rsidR="002157BC" w:rsidRPr="00C34F3A" w:rsidRDefault="006D4B21"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
          <w:bCs/>
          <w:sz w:val="24"/>
        </w:rPr>
        <w:t xml:space="preserve">Sample 2: </w:t>
      </w:r>
      <w:r w:rsidR="002157BC" w:rsidRPr="00C34F3A">
        <w:rPr>
          <w:rFonts w:ascii="Times New Roman" w:hAnsi="Times New Roman" w:cs="Times New Roman"/>
          <w:bCs/>
          <w:sz w:val="24"/>
          <w:szCs w:val="24"/>
        </w:rPr>
        <w:t>This measure was tested for reliability</w:t>
      </w:r>
      <w:r w:rsidR="000D190F" w:rsidRPr="00C34F3A">
        <w:rPr>
          <w:rFonts w:ascii="Times New Roman" w:hAnsi="Times New Roman" w:cs="Times New Roman"/>
          <w:bCs/>
          <w:sz w:val="24"/>
          <w:szCs w:val="24"/>
        </w:rPr>
        <w:t>, empirical validity</w:t>
      </w:r>
      <w:r w:rsidR="002157BC" w:rsidRPr="00C34F3A">
        <w:rPr>
          <w:rFonts w:ascii="Times New Roman" w:hAnsi="Times New Roman" w:cs="Times New Roman"/>
          <w:bCs/>
          <w:sz w:val="24"/>
          <w:szCs w:val="24"/>
        </w:rPr>
        <w:t xml:space="preserve"> and meaningful difference in performance using da</w:t>
      </w:r>
      <w:r w:rsidR="00AE549D" w:rsidRPr="00C34F3A">
        <w:rPr>
          <w:rFonts w:ascii="Times New Roman" w:hAnsi="Times New Roman" w:cs="Times New Roman"/>
          <w:bCs/>
          <w:sz w:val="24"/>
          <w:szCs w:val="24"/>
        </w:rPr>
        <w:t>ta from Medicare, Medicaid and c</w:t>
      </w:r>
      <w:r w:rsidR="002157BC" w:rsidRPr="00C34F3A">
        <w:rPr>
          <w:rFonts w:ascii="Times New Roman" w:hAnsi="Times New Roman" w:cs="Times New Roman"/>
          <w:bCs/>
          <w:sz w:val="24"/>
          <w:szCs w:val="24"/>
        </w:rPr>
        <w:t xml:space="preserve">ommercial health plans submitting </w:t>
      </w:r>
      <w:r w:rsidR="00FD5C57">
        <w:rPr>
          <w:rFonts w:ascii="Times New Roman" w:hAnsi="Times New Roman" w:cs="Times New Roman"/>
          <w:bCs/>
          <w:sz w:val="24"/>
          <w:szCs w:val="24"/>
        </w:rPr>
        <w:t>HEDIS data for measurement year</w:t>
      </w:r>
      <w:r w:rsidR="002157BC" w:rsidRPr="00C34F3A">
        <w:rPr>
          <w:rFonts w:ascii="Times New Roman" w:hAnsi="Times New Roman" w:cs="Times New Roman"/>
          <w:bCs/>
          <w:sz w:val="24"/>
          <w:szCs w:val="24"/>
        </w:rPr>
        <w:t xml:space="preserve"> 2012.  The plans were nationally representative and included both HMOs and PPOs.  The plans varied in size from </w:t>
      </w:r>
      <w:r w:rsidR="001B7F8C" w:rsidRPr="00C34F3A">
        <w:rPr>
          <w:rFonts w:ascii="Times New Roman" w:hAnsi="Times New Roman" w:cs="Times New Roman"/>
          <w:bCs/>
          <w:sz w:val="24"/>
          <w:szCs w:val="24"/>
        </w:rPr>
        <w:t xml:space="preserve">a minimum of 30 patients eligible for one of the indicators to over 300,000 patients eligible for one of the indicators within a single plan. </w:t>
      </w:r>
      <w:r w:rsidR="002157BC" w:rsidRPr="00C34F3A">
        <w:rPr>
          <w:rFonts w:ascii="Times New Roman" w:hAnsi="Times New Roman" w:cs="Times New Roman"/>
          <w:bCs/>
          <w:sz w:val="24"/>
          <w:szCs w:val="24"/>
        </w:rPr>
        <w:t xml:space="preserve">The number of plans </w:t>
      </w:r>
      <w:r w:rsidR="00526485" w:rsidRPr="00C34F3A">
        <w:rPr>
          <w:rFonts w:ascii="Times New Roman" w:hAnsi="Times New Roman" w:cs="Times New Roman"/>
          <w:bCs/>
          <w:sz w:val="24"/>
          <w:szCs w:val="24"/>
        </w:rPr>
        <w:t xml:space="preserve">included for analysis </w:t>
      </w:r>
      <w:r w:rsidR="002157BC" w:rsidRPr="00C34F3A">
        <w:rPr>
          <w:rFonts w:ascii="Times New Roman" w:hAnsi="Times New Roman" w:cs="Times New Roman"/>
          <w:bCs/>
          <w:sz w:val="24"/>
          <w:szCs w:val="24"/>
        </w:rPr>
        <w:t>are described in the table below.</w:t>
      </w:r>
    </w:p>
    <w:p w:rsidR="006D4B21" w:rsidRPr="00C34F3A" w:rsidRDefault="006D4B21" w:rsidP="00DB3627">
      <w:pPr>
        <w:autoSpaceDE w:val="0"/>
        <w:autoSpaceDN w:val="0"/>
        <w:adjustRightInd w:val="0"/>
        <w:spacing w:after="0" w:line="240" w:lineRule="auto"/>
        <w:rPr>
          <w:rFonts w:ascii="Times New Roman" w:hAnsi="Times New Roman" w:cs="Times New Roman"/>
          <w:bCs/>
          <w:sz w:val="24"/>
          <w:szCs w:val="24"/>
        </w:rPr>
      </w:pPr>
    </w:p>
    <w:p w:rsidR="00526485" w:rsidRPr="00C34F3A" w:rsidRDefault="006D4B21"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 xml:space="preserve">Number of Health Plans Included in Testing Sample </w:t>
      </w:r>
      <w:r w:rsidR="001C2E71" w:rsidRPr="00C34F3A">
        <w:rPr>
          <w:rFonts w:ascii="Times New Roman" w:hAnsi="Times New Roman" w:cs="Times New Roman"/>
          <w:bCs/>
          <w:sz w:val="24"/>
          <w:szCs w:val="24"/>
        </w:rPr>
        <w:t>2</w:t>
      </w:r>
    </w:p>
    <w:tbl>
      <w:tblPr>
        <w:tblStyle w:val="TableGrid"/>
        <w:tblW w:w="0" w:type="auto"/>
        <w:tblLook w:val="04A0" w:firstRow="1" w:lastRow="0" w:firstColumn="1" w:lastColumn="0" w:noHBand="0" w:noVBand="1"/>
      </w:tblPr>
      <w:tblGrid>
        <w:gridCol w:w="1885"/>
        <w:gridCol w:w="990"/>
        <w:gridCol w:w="1260"/>
      </w:tblGrid>
      <w:tr w:rsidR="00FD5C57" w:rsidRPr="00576F21" w:rsidTr="00FD5C57">
        <w:tc>
          <w:tcPr>
            <w:tcW w:w="2875" w:type="dxa"/>
            <w:gridSpan w:val="2"/>
            <w:vAlign w:val="bottom"/>
          </w:tcPr>
          <w:p w:rsidR="00FD5C57" w:rsidRPr="001C2E71" w:rsidRDefault="00FD5C57" w:rsidP="00FD5C57">
            <w:pPr>
              <w:autoSpaceDE w:val="0"/>
              <w:autoSpaceDN w:val="0"/>
              <w:adjustRightInd w:val="0"/>
              <w:rPr>
                <w:rFonts w:ascii="Times New Roman" w:hAnsi="Times New Roman" w:cs="Times New Roman"/>
                <w:b/>
                <w:bCs/>
              </w:rPr>
            </w:pPr>
            <w:r w:rsidRPr="00C34F3A">
              <w:rPr>
                <w:rFonts w:ascii="Times New Roman" w:hAnsi="Times New Roman" w:cs="Times New Roman"/>
                <w:b/>
                <w:bCs/>
                <w:sz w:val="24"/>
              </w:rPr>
              <w:t>Product Line and Type</w:t>
            </w:r>
          </w:p>
        </w:tc>
        <w:tc>
          <w:tcPr>
            <w:tcW w:w="1260" w:type="dxa"/>
            <w:vAlign w:val="bottom"/>
          </w:tcPr>
          <w:p w:rsidR="00FD5C57" w:rsidRPr="00FD5C57" w:rsidRDefault="00FD5C57" w:rsidP="00FD5C57">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N</w:t>
            </w:r>
            <w:r w:rsidRPr="00FD5C57">
              <w:rPr>
                <w:rFonts w:ascii="Times New Roman" w:hAnsi="Times New Roman" w:cs="Times New Roman"/>
                <w:b/>
                <w:bCs/>
                <w:sz w:val="24"/>
                <w:szCs w:val="24"/>
              </w:rPr>
              <w:t xml:space="preserve"> Plans</w:t>
            </w:r>
          </w:p>
        </w:tc>
      </w:tr>
      <w:tr w:rsidR="00FD5C57" w:rsidRPr="00576F21" w:rsidTr="001C2E71">
        <w:tc>
          <w:tcPr>
            <w:tcW w:w="1885" w:type="dxa"/>
            <w:vMerge w:val="restart"/>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Commercial</w:t>
            </w:r>
          </w:p>
          <w:p w:rsidR="00FD5C57" w:rsidRDefault="00FD5C57" w:rsidP="001C2E71">
            <w:pPr>
              <w:autoSpaceDE w:val="0"/>
              <w:autoSpaceDN w:val="0"/>
              <w:adjustRightInd w:val="0"/>
              <w:rPr>
                <w:rFonts w:ascii="Times New Roman" w:hAnsi="Times New Roman" w:cs="Times New Roman"/>
                <w:bCs/>
              </w:rPr>
            </w:pPr>
          </w:p>
        </w:tc>
        <w:tc>
          <w:tcPr>
            <w:tcW w:w="990"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HMO</w:t>
            </w:r>
          </w:p>
        </w:tc>
        <w:tc>
          <w:tcPr>
            <w:tcW w:w="1260" w:type="dxa"/>
            <w:vAlign w:val="bottom"/>
          </w:tcPr>
          <w:p w:rsidR="00FD5C57" w:rsidRPr="00576F21" w:rsidRDefault="00FD5C57" w:rsidP="001C2E71">
            <w:pPr>
              <w:autoSpaceDE w:val="0"/>
              <w:autoSpaceDN w:val="0"/>
              <w:adjustRightInd w:val="0"/>
              <w:jc w:val="right"/>
              <w:rPr>
                <w:rFonts w:ascii="Times New Roman" w:hAnsi="Times New Roman" w:cs="Times New Roman"/>
                <w:bCs/>
              </w:rPr>
            </w:pPr>
            <w:r w:rsidRPr="00576F21">
              <w:rPr>
                <w:rFonts w:ascii="Times New Roman" w:hAnsi="Times New Roman" w:cs="Times New Roman"/>
                <w:bCs/>
              </w:rPr>
              <w:t>212</w:t>
            </w:r>
          </w:p>
        </w:tc>
      </w:tr>
      <w:tr w:rsidR="00FD5C57" w:rsidRPr="00576F21" w:rsidTr="001C2E71">
        <w:tc>
          <w:tcPr>
            <w:tcW w:w="1885" w:type="dxa"/>
            <w:vMerge/>
          </w:tcPr>
          <w:p w:rsidR="00FD5C57" w:rsidRPr="00576F21" w:rsidRDefault="00FD5C57" w:rsidP="001C2E71">
            <w:pPr>
              <w:autoSpaceDE w:val="0"/>
              <w:autoSpaceDN w:val="0"/>
              <w:adjustRightInd w:val="0"/>
              <w:rPr>
                <w:rFonts w:ascii="Times New Roman" w:hAnsi="Times New Roman" w:cs="Times New Roman"/>
                <w:bCs/>
              </w:rPr>
            </w:pPr>
          </w:p>
        </w:tc>
        <w:tc>
          <w:tcPr>
            <w:tcW w:w="990"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PPO</w:t>
            </w:r>
          </w:p>
        </w:tc>
        <w:tc>
          <w:tcPr>
            <w:tcW w:w="1260" w:type="dxa"/>
            <w:vAlign w:val="bottom"/>
          </w:tcPr>
          <w:p w:rsidR="00FD5C57" w:rsidRPr="00576F21" w:rsidRDefault="00FD5C57" w:rsidP="001C2E71">
            <w:pPr>
              <w:autoSpaceDE w:val="0"/>
              <w:autoSpaceDN w:val="0"/>
              <w:adjustRightInd w:val="0"/>
              <w:jc w:val="right"/>
              <w:rPr>
                <w:rFonts w:ascii="Times New Roman" w:hAnsi="Times New Roman" w:cs="Times New Roman"/>
                <w:bCs/>
              </w:rPr>
            </w:pPr>
            <w:r w:rsidRPr="00576F21">
              <w:rPr>
                <w:rFonts w:ascii="Times New Roman" w:hAnsi="Times New Roman" w:cs="Times New Roman"/>
                <w:bCs/>
              </w:rPr>
              <w:t>199</w:t>
            </w:r>
          </w:p>
        </w:tc>
      </w:tr>
      <w:tr w:rsidR="00FD5C57" w:rsidRPr="00576F21" w:rsidTr="001C2E71">
        <w:tc>
          <w:tcPr>
            <w:tcW w:w="1885"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Medicaid</w:t>
            </w:r>
          </w:p>
        </w:tc>
        <w:tc>
          <w:tcPr>
            <w:tcW w:w="990"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HMO</w:t>
            </w:r>
          </w:p>
        </w:tc>
        <w:tc>
          <w:tcPr>
            <w:tcW w:w="1260" w:type="dxa"/>
            <w:vAlign w:val="bottom"/>
          </w:tcPr>
          <w:p w:rsidR="00FD5C57" w:rsidRPr="00576F21" w:rsidRDefault="00FD5C57" w:rsidP="001C2E71">
            <w:pPr>
              <w:autoSpaceDE w:val="0"/>
              <w:autoSpaceDN w:val="0"/>
              <w:adjustRightInd w:val="0"/>
              <w:jc w:val="right"/>
              <w:rPr>
                <w:rFonts w:ascii="Times New Roman" w:hAnsi="Times New Roman" w:cs="Times New Roman"/>
                <w:bCs/>
              </w:rPr>
            </w:pPr>
            <w:r w:rsidRPr="00576F21">
              <w:rPr>
                <w:rFonts w:ascii="Times New Roman" w:hAnsi="Times New Roman" w:cs="Times New Roman"/>
                <w:bCs/>
              </w:rPr>
              <w:t>176</w:t>
            </w:r>
          </w:p>
        </w:tc>
      </w:tr>
      <w:tr w:rsidR="00FD5C57" w:rsidRPr="00576F21" w:rsidTr="001C2E71">
        <w:tc>
          <w:tcPr>
            <w:tcW w:w="1885" w:type="dxa"/>
            <w:vMerge w:val="restart"/>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Medicare</w:t>
            </w:r>
          </w:p>
        </w:tc>
        <w:tc>
          <w:tcPr>
            <w:tcW w:w="990"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HMO</w:t>
            </w:r>
          </w:p>
        </w:tc>
        <w:tc>
          <w:tcPr>
            <w:tcW w:w="1260" w:type="dxa"/>
            <w:vAlign w:val="bottom"/>
          </w:tcPr>
          <w:p w:rsidR="00FD5C57" w:rsidRPr="00576F21" w:rsidRDefault="00FD5C57" w:rsidP="001C2E71">
            <w:pPr>
              <w:jc w:val="right"/>
              <w:rPr>
                <w:rFonts w:ascii="Times New Roman" w:eastAsia="Times New Roman" w:hAnsi="Times New Roman" w:cs="Times New Roman"/>
                <w:color w:val="000000"/>
              </w:rPr>
            </w:pPr>
            <w:r w:rsidRPr="00576F21">
              <w:rPr>
                <w:rFonts w:ascii="Times New Roman" w:eastAsia="Times New Roman" w:hAnsi="Times New Roman" w:cs="Times New Roman"/>
                <w:color w:val="000000"/>
              </w:rPr>
              <w:t>350</w:t>
            </w:r>
          </w:p>
        </w:tc>
      </w:tr>
      <w:tr w:rsidR="00FD5C57" w:rsidRPr="00576F21" w:rsidTr="001C2E71">
        <w:tc>
          <w:tcPr>
            <w:tcW w:w="1885" w:type="dxa"/>
            <w:vMerge/>
          </w:tcPr>
          <w:p w:rsidR="00FD5C57" w:rsidRPr="00576F21" w:rsidRDefault="00FD5C57" w:rsidP="001C2E71">
            <w:pPr>
              <w:autoSpaceDE w:val="0"/>
              <w:autoSpaceDN w:val="0"/>
              <w:adjustRightInd w:val="0"/>
              <w:rPr>
                <w:rFonts w:ascii="Times New Roman" w:hAnsi="Times New Roman" w:cs="Times New Roman"/>
                <w:bCs/>
              </w:rPr>
            </w:pPr>
          </w:p>
        </w:tc>
        <w:tc>
          <w:tcPr>
            <w:tcW w:w="990" w:type="dxa"/>
          </w:tcPr>
          <w:p w:rsidR="00FD5C57" w:rsidRPr="00C34F3A" w:rsidRDefault="00FD5C57" w:rsidP="001C2E71">
            <w:pPr>
              <w:autoSpaceDE w:val="0"/>
              <w:autoSpaceDN w:val="0"/>
              <w:adjustRightInd w:val="0"/>
              <w:rPr>
                <w:rFonts w:ascii="Times New Roman" w:hAnsi="Times New Roman" w:cs="Times New Roman"/>
                <w:bCs/>
                <w:sz w:val="24"/>
                <w:szCs w:val="24"/>
              </w:rPr>
            </w:pPr>
            <w:r w:rsidRPr="00C34F3A">
              <w:rPr>
                <w:rFonts w:ascii="Times New Roman" w:hAnsi="Times New Roman" w:cs="Times New Roman"/>
                <w:bCs/>
                <w:sz w:val="24"/>
                <w:szCs w:val="24"/>
              </w:rPr>
              <w:t>PPO</w:t>
            </w:r>
          </w:p>
        </w:tc>
        <w:tc>
          <w:tcPr>
            <w:tcW w:w="1260" w:type="dxa"/>
            <w:vAlign w:val="bottom"/>
          </w:tcPr>
          <w:p w:rsidR="00FD5C57" w:rsidRPr="00576F21" w:rsidRDefault="00FD5C57" w:rsidP="001C2E71">
            <w:pPr>
              <w:jc w:val="right"/>
              <w:rPr>
                <w:rFonts w:ascii="Times New Roman" w:eastAsia="Times New Roman" w:hAnsi="Times New Roman" w:cs="Times New Roman"/>
                <w:color w:val="000000"/>
              </w:rPr>
            </w:pPr>
            <w:r w:rsidRPr="00576F21">
              <w:rPr>
                <w:rFonts w:ascii="Times New Roman" w:eastAsia="Times New Roman" w:hAnsi="Times New Roman" w:cs="Times New Roman"/>
                <w:color w:val="000000"/>
              </w:rPr>
              <w:t>152</w:t>
            </w:r>
          </w:p>
        </w:tc>
      </w:tr>
    </w:tbl>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p>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p>
    <w:p w:rsidR="001B7F8C" w:rsidRPr="00C34F3A" w:rsidRDefault="001B7F8C" w:rsidP="001B7F8C">
      <w:pPr>
        <w:autoSpaceDE w:val="0"/>
        <w:autoSpaceDN w:val="0"/>
        <w:adjustRightInd w:val="0"/>
        <w:spacing w:after="0" w:line="240" w:lineRule="auto"/>
        <w:rPr>
          <w:rFonts w:ascii="Times New Roman" w:hAnsi="Times New Roman" w:cs="Times New Roman"/>
          <w:b/>
          <w:bCs/>
          <w:sz w:val="24"/>
        </w:rPr>
      </w:pPr>
      <w:r w:rsidRPr="00C34F3A">
        <w:rPr>
          <w:rFonts w:ascii="Times New Roman" w:hAnsi="Times New Roman" w:cs="Times New Roman"/>
          <w:b/>
          <w:bCs/>
          <w:sz w:val="24"/>
        </w:rPr>
        <w:t xml:space="preserve">Face </w:t>
      </w:r>
      <w:r w:rsidR="00BA0DD8" w:rsidRPr="00C34F3A">
        <w:rPr>
          <w:rFonts w:ascii="Times New Roman" w:hAnsi="Times New Roman" w:cs="Times New Roman"/>
          <w:b/>
          <w:bCs/>
          <w:sz w:val="24"/>
        </w:rPr>
        <w:t>validity testing</w:t>
      </w:r>
      <w:r w:rsidRPr="00C34F3A">
        <w:rPr>
          <w:rFonts w:ascii="Times New Roman" w:hAnsi="Times New Roman" w:cs="Times New Roman"/>
          <w:b/>
          <w:bCs/>
          <w:sz w:val="24"/>
        </w:rPr>
        <w:t xml:space="preserve">: </w:t>
      </w:r>
      <w:r w:rsidRPr="00C34F3A">
        <w:rPr>
          <w:rFonts w:ascii="Times New Roman" w:hAnsi="Times New Roman" w:cs="Times New Roman"/>
          <w:sz w:val="24"/>
          <w:szCs w:val="24"/>
        </w:rPr>
        <w:t>This measure was systematically</w:t>
      </w:r>
      <w:r w:rsidRPr="00C34F3A">
        <w:rPr>
          <w:rFonts w:ascii="Times New Roman" w:hAnsi="Times New Roman" w:cs="Times New Roman"/>
          <w:bCs/>
          <w:sz w:val="24"/>
          <w:szCs w:val="24"/>
        </w:rPr>
        <w:t xml:space="preserve"> evaluated for face validity</w:t>
      </w:r>
      <w:r w:rsidR="00AE549D" w:rsidRPr="00C34F3A">
        <w:rPr>
          <w:rFonts w:ascii="Times New Roman" w:hAnsi="Times New Roman" w:cs="Times New Roman"/>
          <w:bCs/>
          <w:sz w:val="24"/>
          <w:szCs w:val="24"/>
        </w:rPr>
        <w:t xml:space="preserve"> </w:t>
      </w:r>
      <w:r w:rsidRPr="00C34F3A">
        <w:rPr>
          <w:rFonts w:ascii="Times New Roman" w:hAnsi="Times New Roman" w:cs="Times New Roman"/>
          <w:sz w:val="24"/>
          <w:szCs w:val="24"/>
        </w:rPr>
        <w:t>with four panels of experts. See Additional Information: Ad.1. Workgroup/Expert Panel Involved in Measure Development for names and affiliation of expert panel.</w:t>
      </w:r>
    </w:p>
    <w:p w:rsidR="001B7F8C" w:rsidRPr="00C34F3A" w:rsidRDefault="001B7F8C" w:rsidP="001B7F8C">
      <w:pPr>
        <w:pStyle w:val="ListParagraph"/>
        <w:numPr>
          <w:ilvl w:val="0"/>
          <w:numId w:val="27"/>
        </w:numPr>
        <w:autoSpaceDE w:val="0"/>
        <w:autoSpaceDN w:val="0"/>
        <w:adjustRightInd w:val="0"/>
        <w:spacing w:after="0" w:line="240" w:lineRule="auto"/>
        <w:rPr>
          <w:rFonts w:ascii="Times New Roman" w:hAnsi="Times New Roman" w:cs="Times New Roman"/>
          <w:sz w:val="24"/>
        </w:rPr>
      </w:pPr>
      <w:r w:rsidRPr="00C34F3A">
        <w:rPr>
          <w:rFonts w:ascii="Times New Roman" w:hAnsi="Times New Roman" w:cs="Times New Roman"/>
          <w:sz w:val="24"/>
        </w:rPr>
        <w:t xml:space="preserve">The </w:t>
      </w:r>
      <w:r w:rsidR="00BA0DD8" w:rsidRPr="00C34F3A">
        <w:rPr>
          <w:rFonts w:ascii="Times New Roman" w:hAnsi="Times New Roman" w:cs="Times New Roman"/>
          <w:sz w:val="24"/>
        </w:rPr>
        <w:t>Medication Management</w:t>
      </w:r>
      <w:r w:rsidRPr="00C34F3A">
        <w:rPr>
          <w:rFonts w:ascii="Times New Roman" w:hAnsi="Times New Roman" w:cs="Times New Roman"/>
          <w:sz w:val="24"/>
        </w:rPr>
        <w:t xml:space="preserve"> Technical Expert Sub-committee included </w:t>
      </w:r>
      <w:r w:rsidR="00BA0DD8" w:rsidRPr="00C34F3A">
        <w:rPr>
          <w:rFonts w:ascii="Times New Roman" w:hAnsi="Times New Roman" w:cs="Times New Roman"/>
          <w:sz w:val="24"/>
        </w:rPr>
        <w:t xml:space="preserve">three </w:t>
      </w:r>
      <w:r w:rsidRPr="00C34F3A">
        <w:rPr>
          <w:rFonts w:ascii="Times New Roman" w:hAnsi="Times New Roman" w:cs="Times New Roman"/>
          <w:sz w:val="24"/>
        </w:rPr>
        <w:t xml:space="preserve">physicians and </w:t>
      </w:r>
      <w:r w:rsidR="00BA0DD8" w:rsidRPr="00C34F3A">
        <w:rPr>
          <w:rFonts w:ascii="Times New Roman" w:hAnsi="Times New Roman" w:cs="Times New Roman"/>
          <w:sz w:val="24"/>
        </w:rPr>
        <w:t>three pharmacists</w:t>
      </w:r>
      <w:r w:rsidRPr="00C34F3A">
        <w:rPr>
          <w:rFonts w:ascii="Times New Roman" w:hAnsi="Times New Roman" w:cs="Times New Roman"/>
          <w:sz w:val="24"/>
        </w:rPr>
        <w:t xml:space="preserve"> with expertise in </w:t>
      </w:r>
      <w:r w:rsidR="00BA0DD8" w:rsidRPr="00C34F3A">
        <w:rPr>
          <w:rFonts w:ascii="Times New Roman" w:hAnsi="Times New Roman" w:cs="Times New Roman"/>
          <w:sz w:val="24"/>
        </w:rPr>
        <w:t>medication management</w:t>
      </w:r>
      <w:r w:rsidRPr="00C34F3A">
        <w:rPr>
          <w:rFonts w:ascii="Times New Roman" w:hAnsi="Times New Roman" w:cs="Times New Roman"/>
          <w:sz w:val="24"/>
        </w:rPr>
        <w:t xml:space="preserve">.  </w:t>
      </w:r>
    </w:p>
    <w:p w:rsidR="001B7F8C" w:rsidRPr="00C34F3A" w:rsidRDefault="001B7F8C" w:rsidP="001B7F8C">
      <w:pPr>
        <w:pStyle w:val="ListParagraph"/>
        <w:numPr>
          <w:ilvl w:val="0"/>
          <w:numId w:val="27"/>
        </w:numPr>
        <w:autoSpaceDE w:val="0"/>
        <w:autoSpaceDN w:val="0"/>
        <w:adjustRightInd w:val="0"/>
        <w:spacing w:after="0" w:line="240" w:lineRule="auto"/>
        <w:rPr>
          <w:rFonts w:ascii="Times New Roman" w:hAnsi="Times New Roman" w:cs="Times New Roman"/>
          <w:sz w:val="24"/>
        </w:rPr>
      </w:pPr>
      <w:r w:rsidRPr="00C34F3A">
        <w:rPr>
          <w:rFonts w:ascii="Times New Roman" w:hAnsi="Times New Roman" w:cs="Times New Roman"/>
          <w:sz w:val="24"/>
        </w:rPr>
        <w:t xml:space="preserve">The Geriatric MAP included 13 experts in geriatrics, including representation by consumers, health plans, health care providers and policy makers.  </w:t>
      </w:r>
    </w:p>
    <w:p w:rsidR="001B7F8C" w:rsidRPr="00C34F3A" w:rsidRDefault="001B7F8C" w:rsidP="001B7F8C">
      <w:pPr>
        <w:pStyle w:val="ListParagraph"/>
        <w:numPr>
          <w:ilvl w:val="0"/>
          <w:numId w:val="27"/>
        </w:numPr>
        <w:autoSpaceDE w:val="0"/>
        <w:autoSpaceDN w:val="0"/>
        <w:adjustRightInd w:val="0"/>
        <w:spacing w:after="0" w:line="240" w:lineRule="auto"/>
        <w:rPr>
          <w:rFonts w:ascii="Times New Roman" w:hAnsi="Times New Roman" w:cs="Times New Roman"/>
          <w:sz w:val="24"/>
        </w:rPr>
      </w:pPr>
      <w:r w:rsidRPr="00C34F3A">
        <w:rPr>
          <w:rFonts w:ascii="Times New Roman" w:hAnsi="Times New Roman" w:cs="Times New Roman"/>
          <w:sz w:val="24"/>
        </w:rPr>
        <w:t>The Technical Measurement Advisory Panel includes 14 members, including representation by health plans methodologists, clinicians and HEDIS auditors.</w:t>
      </w:r>
    </w:p>
    <w:p w:rsidR="001B7F8C" w:rsidRPr="00C34F3A" w:rsidRDefault="001B7F8C" w:rsidP="001B7F8C">
      <w:pPr>
        <w:pStyle w:val="ListParagraph"/>
        <w:numPr>
          <w:ilvl w:val="0"/>
          <w:numId w:val="27"/>
        </w:numPr>
        <w:autoSpaceDE w:val="0"/>
        <w:autoSpaceDN w:val="0"/>
        <w:adjustRightInd w:val="0"/>
        <w:spacing w:after="0" w:line="240" w:lineRule="auto"/>
        <w:rPr>
          <w:rFonts w:ascii="Times New Roman" w:hAnsi="Times New Roman" w:cs="Times New Roman"/>
          <w:sz w:val="24"/>
        </w:rPr>
      </w:pPr>
      <w:r w:rsidRPr="00C34F3A">
        <w:rPr>
          <w:rFonts w:ascii="Times New Roman" w:hAnsi="Times New Roman" w:cs="Times New Roman"/>
          <w:sz w:val="24"/>
        </w:rPr>
        <w:t>NCQA’s Committee on Performance Measurement (CPM) oversees the evolution of the measurement set and includes representation by purchasers, consumers, health plans, health care providers and policy makers. This panel is made up of 21 members. The CPM is organized and managed by NCQA and reports to the NCQA Board of Directors and is responsible for advising NCQA staff on the development and maintenance of performance measures. CPM members reflect the diversity of constituencies that performance measurement serves; some bring other perspectives and additional expertise in quality management and the science of measurement.</w:t>
      </w:r>
    </w:p>
    <w:p w:rsidR="001B7F8C" w:rsidRPr="001B7F8C" w:rsidRDefault="001B7F8C" w:rsidP="00DB3627">
      <w:pPr>
        <w:autoSpaceDE w:val="0"/>
        <w:autoSpaceDN w:val="0"/>
        <w:adjustRightInd w:val="0"/>
        <w:spacing w:after="0" w:line="240" w:lineRule="auto"/>
        <w:rPr>
          <w:rFonts w:cstheme="minorHAnsi"/>
          <w:bCs/>
        </w:rPr>
      </w:pPr>
    </w:p>
    <w:p w:rsidR="002B5016" w:rsidRPr="001B7F8C" w:rsidRDefault="002B5016" w:rsidP="00DB3627">
      <w:pPr>
        <w:autoSpaceDE w:val="0"/>
        <w:autoSpaceDN w:val="0"/>
        <w:adjustRightInd w:val="0"/>
        <w:spacing w:after="0" w:line="240" w:lineRule="auto"/>
        <w:rPr>
          <w:rFonts w:cstheme="minorHAnsi"/>
          <w:bCs/>
        </w:rPr>
      </w:pPr>
    </w:p>
    <w:p w:rsidR="001B7F8C"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BA0DD8" w:rsidRDefault="00BA0DD8" w:rsidP="00DB3627">
      <w:pPr>
        <w:autoSpaceDE w:val="0"/>
        <w:autoSpaceDN w:val="0"/>
        <w:adjustRightInd w:val="0"/>
        <w:spacing w:after="0" w:line="240" w:lineRule="auto"/>
        <w:rPr>
          <w:rFonts w:cstheme="minorHAnsi"/>
          <w:bCs/>
        </w:rPr>
      </w:pPr>
    </w:p>
    <w:p w:rsidR="00AE549D" w:rsidRPr="00C34F3A" w:rsidRDefault="006D4B21" w:rsidP="00AE549D">
      <w:pPr>
        <w:spacing w:line="240" w:lineRule="auto"/>
        <w:rPr>
          <w:rFonts w:ascii="Times New Roman" w:hAnsi="Times New Roman" w:cs="Times New Roman"/>
          <w:sz w:val="24"/>
          <w:szCs w:val="24"/>
        </w:rPr>
      </w:pPr>
      <w:r w:rsidRPr="00C34F3A">
        <w:rPr>
          <w:rFonts w:ascii="Times New Roman" w:hAnsi="Times New Roman" w:cs="Times New Roman"/>
          <w:b/>
          <w:bCs/>
          <w:sz w:val="24"/>
        </w:rPr>
        <w:t>Sample 1</w:t>
      </w:r>
      <w:r w:rsidRPr="00C34F3A">
        <w:rPr>
          <w:rFonts w:ascii="Times New Roman" w:hAnsi="Times New Roman" w:cs="Times New Roman"/>
          <w:bCs/>
          <w:sz w:val="24"/>
          <w:szCs w:val="24"/>
        </w:rPr>
        <w:t xml:space="preserve">: </w:t>
      </w:r>
      <w:r w:rsidR="00AE549D" w:rsidRPr="00C34F3A">
        <w:rPr>
          <w:rFonts w:ascii="Times New Roman" w:hAnsi="Times New Roman" w:cs="Times New Roman"/>
          <w:sz w:val="24"/>
          <w:szCs w:val="24"/>
        </w:rPr>
        <w:t>Medical records were abstracted for a total of 634 patients across the five participating plans based on a random sample of members who received the drugs of interest and who either did or did not receive the laboratory tests of interest. Medical record data was reported consistently across all five field test participant plans. The numbers of medical records reviewed were proportionate to the number of patients of each drug was dispensed to at each site.  This resulted in a total of 47 for ARB and ARB combinations, 57 for digoxin, 262 for ACEI and ACEI combinations, and 268 for diuretics and diuretic combinations.</w:t>
      </w:r>
      <w:r w:rsidR="00783F0A" w:rsidRPr="00C34F3A">
        <w:rPr>
          <w:rFonts w:ascii="Times New Roman" w:hAnsi="Times New Roman" w:cs="Times New Roman"/>
          <w:sz w:val="24"/>
          <w:szCs w:val="24"/>
        </w:rPr>
        <w:t xml:space="preserve">  The average age across patients was 63 years old and 50% were female. </w:t>
      </w:r>
    </w:p>
    <w:p w:rsidR="001C2E71" w:rsidRPr="00C34F3A" w:rsidRDefault="006D4B21" w:rsidP="00DB3627">
      <w:pPr>
        <w:autoSpaceDE w:val="0"/>
        <w:autoSpaceDN w:val="0"/>
        <w:adjustRightInd w:val="0"/>
        <w:spacing w:after="0" w:line="240" w:lineRule="auto"/>
        <w:rPr>
          <w:rFonts w:ascii="Times New Roman" w:hAnsi="Times New Roman" w:cs="Times New Roman"/>
          <w:sz w:val="24"/>
          <w:szCs w:val="24"/>
        </w:rPr>
      </w:pPr>
      <w:r w:rsidRPr="00C34F3A">
        <w:rPr>
          <w:rFonts w:ascii="Times New Roman" w:hAnsi="Times New Roman" w:cs="Times New Roman"/>
          <w:b/>
          <w:bCs/>
          <w:sz w:val="24"/>
        </w:rPr>
        <w:t>Sample 2</w:t>
      </w:r>
      <w:r w:rsidRPr="00C34F3A">
        <w:rPr>
          <w:rFonts w:ascii="Times New Roman" w:hAnsi="Times New Roman" w:cs="Times New Roman"/>
          <w:bCs/>
          <w:sz w:val="24"/>
          <w:szCs w:val="24"/>
        </w:rPr>
        <w:t xml:space="preserve">: </w:t>
      </w:r>
      <w:r w:rsidR="001C2E71" w:rsidRPr="00C34F3A">
        <w:rPr>
          <w:rFonts w:ascii="Times New Roman" w:hAnsi="Times New Roman" w:cs="Times New Roman"/>
          <w:sz w:val="24"/>
          <w:szCs w:val="24"/>
        </w:rPr>
        <w:t>In 201</w:t>
      </w:r>
      <w:r w:rsidR="00FD5C57">
        <w:rPr>
          <w:rFonts w:ascii="Times New Roman" w:hAnsi="Times New Roman" w:cs="Times New Roman"/>
          <w:sz w:val="24"/>
          <w:szCs w:val="24"/>
        </w:rPr>
        <w:t>2</w:t>
      </w:r>
      <w:r w:rsidR="001C2E71" w:rsidRPr="00C34F3A">
        <w:rPr>
          <w:rFonts w:ascii="Times New Roman" w:hAnsi="Times New Roman" w:cs="Times New Roman"/>
          <w:sz w:val="24"/>
          <w:szCs w:val="24"/>
        </w:rPr>
        <w:t xml:space="preserve">, HEDIS measures covered 99.4 million commercial health plan beneficiaries, 14.3 </w:t>
      </w:r>
      <w:r w:rsidR="007319B2" w:rsidRPr="00C34F3A">
        <w:rPr>
          <w:rFonts w:ascii="Times New Roman" w:hAnsi="Times New Roman" w:cs="Times New Roman"/>
          <w:sz w:val="24"/>
          <w:szCs w:val="24"/>
        </w:rPr>
        <w:t xml:space="preserve">million </w:t>
      </w:r>
      <w:r w:rsidR="001C2E71" w:rsidRPr="00C34F3A">
        <w:rPr>
          <w:rFonts w:ascii="Times New Roman" w:hAnsi="Times New Roman" w:cs="Times New Roman"/>
          <w:sz w:val="24"/>
          <w:szCs w:val="24"/>
        </w:rPr>
        <w:t xml:space="preserve">Medicaid beneficiaries, and 11.5 million Medicare beneficiaries.  Data is summarized at the health plan level and stratified by product line (i.e. commercial, Medicare, Medicaid) and type (HMO, PPO).  The patients included in the HEDIS data include a diverse representation of ages, race and diagnoses.  The table below shows the average number of eligible patients per health plan and the standard deviation of that average across health plans. </w:t>
      </w:r>
    </w:p>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p>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Average Eligible Population (EP) per Health Plan Included in Testing Sample 2</w:t>
      </w:r>
    </w:p>
    <w:tbl>
      <w:tblPr>
        <w:tblStyle w:val="TableGrid"/>
        <w:tblW w:w="0" w:type="auto"/>
        <w:tblLook w:val="04A0" w:firstRow="1" w:lastRow="0" w:firstColumn="1" w:lastColumn="0" w:noHBand="0" w:noVBand="1"/>
      </w:tblPr>
      <w:tblGrid>
        <w:gridCol w:w="1435"/>
        <w:gridCol w:w="950"/>
        <w:gridCol w:w="741"/>
        <w:gridCol w:w="932"/>
        <w:gridCol w:w="932"/>
      </w:tblGrid>
      <w:tr w:rsidR="00FD5C57" w:rsidRPr="00FD5C57" w:rsidTr="00FD5C57">
        <w:tc>
          <w:tcPr>
            <w:tcW w:w="2385" w:type="dxa"/>
            <w:gridSpan w:val="2"/>
          </w:tcPr>
          <w:p w:rsidR="00FD5C57" w:rsidRPr="00FD5C57" w:rsidRDefault="00FD5C57" w:rsidP="00576F21">
            <w:pPr>
              <w:autoSpaceDE w:val="0"/>
              <w:autoSpaceDN w:val="0"/>
              <w:adjustRightInd w:val="0"/>
              <w:rPr>
                <w:rFonts w:ascii="Times New Roman" w:hAnsi="Times New Roman" w:cs="Times New Roman"/>
                <w:b/>
                <w:bCs/>
              </w:rPr>
            </w:pPr>
          </w:p>
        </w:tc>
        <w:tc>
          <w:tcPr>
            <w:tcW w:w="741" w:type="dxa"/>
          </w:tcPr>
          <w:p w:rsidR="00FD5C57" w:rsidRPr="00FD5C57" w:rsidRDefault="00FD5C57" w:rsidP="00576F21">
            <w:pPr>
              <w:autoSpaceDE w:val="0"/>
              <w:autoSpaceDN w:val="0"/>
              <w:adjustRightInd w:val="0"/>
              <w:rPr>
                <w:rFonts w:ascii="Times New Roman" w:hAnsi="Times New Roman" w:cs="Times New Roman"/>
                <w:b/>
                <w:bCs/>
                <w:szCs w:val="24"/>
              </w:rPr>
            </w:pPr>
            <w:r w:rsidRPr="00FD5C57">
              <w:rPr>
                <w:rFonts w:ascii="Times New Roman" w:hAnsi="Times New Roman" w:cs="Times New Roman"/>
                <w:b/>
                <w:bCs/>
                <w:szCs w:val="24"/>
              </w:rPr>
              <w:t>N Plans</w:t>
            </w:r>
          </w:p>
        </w:tc>
        <w:tc>
          <w:tcPr>
            <w:tcW w:w="932" w:type="dxa"/>
          </w:tcPr>
          <w:p w:rsidR="00FD5C57" w:rsidRPr="00FD5C57" w:rsidRDefault="00FD5C57" w:rsidP="00576F21">
            <w:pPr>
              <w:autoSpaceDE w:val="0"/>
              <w:autoSpaceDN w:val="0"/>
              <w:adjustRightInd w:val="0"/>
              <w:rPr>
                <w:rFonts w:ascii="Times New Roman" w:hAnsi="Times New Roman" w:cs="Times New Roman"/>
                <w:b/>
                <w:bCs/>
                <w:szCs w:val="24"/>
              </w:rPr>
            </w:pPr>
            <w:r w:rsidRPr="00FD5C57">
              <w:rPr>
                <w:rFonts w:ascii="Times New Roman" w:hAnsi="Times New Roman" w:cs="Times New Roman"/>
                <w:b/>
                <w:bCs/>
                <w:szCs w:val="24"/>
              </w:rPr>
              <w:t>Avg. EP</w:t>
            </w:r>
          </w:p>
        </w:tc>
        <w:tc>
          <w:tcPr>
            <w:tcW w:w="932" w:type="dxa"/>
          </w:tcPr>
          <w:p w:rsidR="00FD5C57" w:rsidRPr="00FD5C57" w:rsidRDefault="00FD5C57" w:rsidP="00576F21">
            <w:pPr>
              <w:autoSpaceDE w:val="0"/>
              <w:autoSpaceDN w:val="0"/>
              <w:adjustRightInd w:val="0"/>
              <w:rPr>
                <w:rFonts w:ascii="Times New Roman" w:hAnsi="Times New Roman" w:cs="Times New Roman"/>
                <w:b/>
                <w:bCs/>
                <w:szCs w:val="24"/>
              </w:rPr>
            </w:pPr>
            <w:r w:rsidRPr="00FD5C57">
              <w:rPr>
                <w:rFonts w:ascii="Times New Roman" w:hAnsi="Times New Roman" w:cs="Times New Roman"/>
                <w:b/>
                <w:bCs/>
                <w:szCs w:val="24"/>
              </w:rPr>
              <w:t>SD</w:t>
            </w:r>
          </w:p>
        </w:tc>
      </w:tr>
      <w:tr w:rsidR="00FD5C57" w:rsidRPr="00C34F3A" w:rsidTr="00FD5C57">
        <w:tc>
          <w:tcPr>
            <w:tcW w:w="1435" w:type="dxa"/>
            <w:vMerge w:val="restart"/>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Com</w:t>
            </w:r>
            <w:r>
              <w:rPr>
                <w:rFonts w:ascii="Times New Roman" w:hAnsi="Times New Roman" w:cs="Times New Roman"/>
                <w:bCs/>
                <w:szCs w:val="24"/>
              </w:rPr>
              <w:t>mercial</w:t>
            </w:r>
          </w:p>
        </w:tc>
        <w:tc>
          <w:tcPr>
            <w:tcW w:w="950" w:type="dxa"/>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HMO</w:t>
            </w:r>
          </w:p>
        </w:tc>
        <w:tc>
          <w:tcPr>
            <w:tcW w:w="741"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hAnsi="Times New Roman" w:cs="Times New Roman"/>
                <w:bCs/>
              </w:rPr>
              <w:t>212</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17196.1</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37726.9</w:t>
            </w:r>
          </w:p>
        </w:tc>
      </w:tr>
      <w:tr w:rsidR="00FD5C57" w:rsidRPr="00C34F3A" w:rsidTr="00FD5C57">
        <w:tc>
          <w:tcPr>
            <w:tcW w:w="1435" w:type="dxa"/>
            <w:vMerge/>
          </w:tcPr>
          <w:p w:rsidR="00FD5C57" w:rsidRPr="00C34F3A" w:rsidRDefault="00FD5C57" w:rsidP="00576F21">
            <w:pPr>
              <w:autoSpaceDE w:val="0"/>
              <w:autoSpaceDN w:val="0"/>
              <w:adjustRightInd w:val="0"/>
              <w:rPr>
                <w:rFonts w:ascii="Times New Roman" w:hAnsi="Times New Roman" w:cs="Times New Roman"/>
                <w:bCs/>
              </w:rPr>
            </w:pPr>
          </w:p>
        </w:tc>
        <w:tc>
          <w:tcPr>
            <w:tcW w:w="950" w:type="dxa"/>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PPO</w:t>
            </w:r>
          </w:p>
        </w:tc>
        <w:tc>
          <w:tcPr>
            <w:tcW w:w="741"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hAnsi="Times New Roman" w:cs="Times New Roman"/>
                <w:bCs/>
              </w:rPr>
              <w:t>199</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23707.5</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41368.6</w:t>
            </w:r>
          </w:p>
        </w:tc>
      </w:tr>
      <w:tr w:rsidR="00FD5C57" w:rsidRPr="00C34F3A" w:rsidTr="00FD5C57">
        <w:tc>
          <w:tcPr>
            <w:tcW w:w="1435" w:type="dxa"/>
          </w:tcPr>
          <w:p w:rsidR="00FD5C57" w:rsidRPr="00C34F3A" w:rsidRDefault="00FD5C57" w:rsidP="00FD5C57">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Medicaid</w:t>
            </w:r>
          </w:p>
        </w:tc>
        <w:tc>
          <w:tcPr>
            <w:tcW w:w="950" w:type="dxa"/>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HMO</w:t>
            </w:r>
          </w:p>
        </w:tc>
        <w:tc>
          <w:tcPr>
            <w:tcW w:w="741"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hAnsi="Times New Roman" w:cs="Times New Roman"/>
                <w:bCs/>
              </w:rPr>
              <w:t>176</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5449.1</w:t>
            </w:r>
          </w:p>
        </w:tc>
        <w:tc>
          <w:tcPr>
            <w:tcW w:w="932" w:type="dxa"/>
            <w:vAlign w:val="bottom"/>
          </w:tcPr>
          <w:p w:rsidR="00FD5C57" w:rsidRPr="00C34F3A" w:rsidRDefault="00FD5C57" w:rsidP="00576F21">
            <w:pPr>
              <w:autoSpaceDE w:val="0"/>
              <w:autoSpaceDN w:val="0"/>
              <w:adjustRightInd w:val="0"/>
              <w:jc w:val="right"/>
              <w:rPr>
                <w:rFonts w:ascii="Times New Roman" w:hAnsi="Times New Roman" w:cs="Times New Roman"/>
                <w:bCs/>
              </w:rPr>
            </w:pPr>
            <w:r w:rsidRPr="00C34F3A">
              <w:rPr>
                <w:rFonts w:ascii="Times New Roman" w:eastAsia="Times New Roman" w:hAnsi="Times New Roman" w:cs="Times New Roman"/>
              </w:rPr>
              <w:t>6722.9</w:t>
            </w:r>
          </w:p>
        </w:tc>
      </w:tr>
      <w:tr w:rsidR="00FD5C57" w:rsidRPr="00C34F3A" w:rsidTr="00FD5C57">
        <w:tc>
          <w:tcPr>
            <w:tcW w:w="1435" w:type="dxa"/>
            <w:vMerge w:val="restart"/>
          </w:tcPr>
          <w:p w:rsidR="00FD5C57" w:rsidRPr="00C34F3A" w:rsidRDefault="00FD5C57" w:rsidP="00FD5C57">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Medicare</w:t>
            </w:r>
          </w:p>
        </w:tc>
        <w:tc>
          <w:tcPr>
            <w:tcW w:w="950" w:type="dxa"/>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HMO</w:t>
            </w:r>
          </w:p>
        </w:tc>
        <w:tc>
          <w:tcPr>
            <w:tcW w:w="741"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350</w:t>
            </w:r>
          </w:p>
        </w:tc>
        <w:tc>
          <w:tcPr>
            <w:tcW w:w="932"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16397.4</w:t>
            </w:r>
          </w:p>
        </w:tc>
        <w:tc>
          <w:tcPr>
            <w:tcW w:w="932"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32151.6</w:t>
            </w:r>
          </w:p>
        </w:tc>
      </w:tr>
      <w:tr w:rsidR="00FD5C57" w:rsidRPr="00C34F3A" w:rsidTr="00FD5C57">
        <w:tc>
          <w:tcPr>
            <w:tcW w:w="1435" w:type="dxa"/>
            <w:vMerge/>
          </w:tcPr>
          <w:p w:rsidR="00FD5C57" w:rsidRPr="00C34F3A" w:rsidRDefault="00FD5C57" w:rsidP="00576F21">
            <w:pPr>
              <w:autoSpaceDE w:val="0"/>
              <w:autoSpaceDN w:val="0"/>
              <w:adjustRightInd w:val="0"/>
              <w:rPr>
                <w:rFonts w:ascii="Times New Roman" w:hAnsi="Times New Roman" w:cs="Times New Roman"/>
                <w:bCs/>
              </w:rPr>
            </w:pPr>
          </w:p>
        </w:tc>
        <w:tc>
          <w:tcPr>
            <w:tcW w:w="950" w:type="dxa"/>
          </w:tcPr>
          <w:p w:rsidR="00FD5C57" w:rsidRPr="00C34F3A" w:rsidRDefault="00FD5C57" w:rsidP="00576F21">
            <w:pPr>
              <w:autoSpaceDE w:val="0"/>
              <w:autoSpaceDN w:val="0"/>
              <w:adjustRightInd w:val="0"/>
              <w:rPr>
                <w:rFonts w:ascii="Times New Roman" w:hAnsi="Times New Roman" w:cs="Times New Roman"/>
                <w:bCs/>
                <w:szCs w:val="24"/>
              </w:rPr>
            </w:pPr>
            <w:r w:rsidRPr="00C34F3A">
              <w:rPr>
                <w:rFonts w:ascii="Times New Roman" w:hAnsi="Times New Roman" w:cs="Times New Roman"/>
                <w:bCs/>
                <w:szCs w:val="24"/>
              </w:rPr>
              <w:t>PPO</w:t>
            </w:r>
          </w:p>
        </w:tc>
        <w:tc>
          <w:tcPr>
            <w:tcW w:w="741"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152</w:t>
            </w:r>
          </w:p>
        </w:tc>
        <w:tc>
          <w:tcPr>
            <w:tcW w:w="932"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12553.0</w:t>
            </w:r>
          </w:p>
        </w:tc>
        <w:tc>
          <w:tcPr>
            <w:tcW w:w="932" w:type="dxa"/>
            <w:vAlign w:val="bottom"/>
          </w:tcPr>
          <w:p w:rsidR="00FD5C57" w:rsidRPr="00C34F3A" w:rsidRDefault="00FD5C57" w:rsidP="00576F21">
            <w:pPr>
              <w:jc w:val="right"/>
              <w:rPr>
                <w:rFonts w:ascii="Times New Roman" w:eastAsia="Times New Roman" w:hAnsi="Times New Roman" w:cs="Times New Roman"/>
              </w:rPr>
            </w:pPr>
            <w:r w:rsidRPr="00C34F3A">
              <w:rPr>
                <w:rFonts w:ascii="Times New Roman" w:eastAsia="Times New Roman" w:hAnsi="Times New Roman" w:cs="Times New Roman"/>
              </w:rPr>
              <w:t>22672.6</w:t>
            </w:r>
          </w:p>
        </w:tc>
      </w:tr>
    </w:tbl>
    <w:p w:rsidR="00526485" w:rsidRPr="00C34F3A" w:rsidRDefault="001C2E71"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EP: Eligible population</w:t>
      </w:r>
    </w:p>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SD: Standard deviation</w:t>
      </w:r>
    </w:p>
    <w:p w:rsidR="001C2E71" w:rsidRPr="00C34F3A" w:rsidRDefault="001C2E71" w:rsidP="00DB3627">
      <w:pPr>
        <w:autoSpaceDE w:val="0"/>
        <w:autoSpaceDN w:val="0"/>
        <w:adjustRightInd w:val="0"/>
        <w:spacing w:after="0" w:line="240" w:lineRule="auto"/>
        <w:rPr>
          <w:rFonts w:ascii="Times New Roman" w:hAnsi="Times New Roman" w:cs="Times New Roman"/>
          <w:bCs/>
          <w:sz w:val="24"/>
          <w:szCs w:val="24"/>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Pr="00C34F3A" w:rsidRDefault="000D190F" w:rsidP="00E37E1B">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Sample 1 was used to test item-level validity.</w:t>
      </w:r>
    </w:p>
    <w:p w:rsidR="000D190F" w:rsidRPr="00C34F3A" w:rsidRDefault="000D190F" w:rsidP="00E37E1B">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Sample 2 was used to test reliability, empirical validity, and meaningful difference in performance</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1E1C5D">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1E1C5D" w:rsidRPr="00C34F3A" w:rsidRDefault="001E1C5D" w:rsidP="001E1C5D">
      <w:pPr>
        <w:spacing w:after="0" w:line="240" w:lineRule="auto"/>
        <w:rPr>
          <w:rFonts w:ascii="Times New Roman" w:hAnsi="Times New Roman" w:cs="Times New Roman"/>
          <w:sz w:val="24"/>
          <w:szCs w:val="24"/>
        </w:rPr>
      </w:pPr>
      <w:r w:rsidRPr="00C34F3A">
        <w:rPr>
          <w:rFonts w:ascii="Times New Roman" w:hAnsi="Times New Roman" w:cs="Times New Roman"/>
          <w:bCs/>
          <w:sz w:val="24"/>
          <w:u w:val="single"/>
        </w:rPr>
        <w:t>Reliability Testing of Performance Measure Score</w:t>
      </w:r>
      <w:r w:rsidRPr="00C34F3A">
        <w:rPr>
          <w:rFonts w:ascii="Times New Roman" w:hAnsi="Times New Roman" w:cs="Times New Roman"/>
          <w:sz w:val="24"/>
          <w:szCs w:val="24"/>
        </w:rPr>
        <w:t xml:space="preserve">: In order to assess measure precision in the context of the observed variability across accountable entities, we utilized the reliability estimate proposed by Adams (2009). 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rsidR="001E1C5D" w:rsidRPr="00C34F3A" w:rsidRDefault="001E1C5D" w:rsidP="001E1C5D">
      <w:pPr>
        <w:spacing w:after="0" w:line="240" w:lineRule="auto"/>
        <w:rPr>
          <w:rFonts w:ascii="Times New Roman" w:hAnsi="Times New Roman" w:cs="Times New Roman"/>
          <w:sz w:val="24"/>
          <w:szCs w:val="24"/>
        </w:rPr>
      </w:pPr>
    </w:p>
    <w:p w:rsidR="001E1C5D" w:rsidRPr="00C34F3A" w:rsidRDefault="001E1C5D" w:rsidP="001E1C5D">
      <w:pPr>
        <w:spacing w:after="0" w:line="240" w:lineRule="auto"/>
        <w:rPr>
          <w:rFonts w:ascii="Times New Roman" w:hAnsi="Times New Roman" w:cs="Times New Roman"/>
          <w:sz w:val="24"/>
          <w:szCs w:val="24"/>
        </w:rPr>
      </w:pPr>
      <w:r w:rsidRPr="00C34F3A">
        <w:rPr>
          <w:rFonts w:ascii="Times New Roman" w:hAnsi="Times New Roman" w:cs="Times New Roman"/>
          <w:sz w:val="24"/>
          <w:szCs w:val="24"/>
        </w:rPr>
        <w:t xml:space="preserve">Adams’ approach uses a Beta-binomial model to estimate reliability; this model provides a better fit when estimating the reliability of simple pass/fail rate measures as is the case with most HEDIS® measures. 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w:t>
      </w:r>
    </w:p>
    <w:p w:rsidR="001E1C5D" w:rsidRPr="00C34F3A" w:rsidRDefault="001E1C5D" w:rsidP="001E1C5D">
      <w:pPr>
        <w:spacing w:after="0" w:line="240" w:lineRule="auto"/>
        <w:rPr>
          <w:rFonts w:ascii="Times New Roman" w:hAnsi="Times New Roman" w:cs="Times New Roman"/>
          <w:sz w:val="24"/>
          <w:szCs w:val="24"/>
        </w:rPr>
      </w:pPr>
    </w:p>
    <w:p w:rsidR="001E1C5D" w:rsidRPr="00C34F3A" w:rsidRDefault="001E1C5D" w:rsidP="001E1C5D">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sz w:val="24"/>
          <w:szCs w:val="24"/>
        </w:rPr>
        <w:t>Adams, J. L. The Reliability of Provider Profiling: A Tutorial. Santa Monica, California: RAND Corporation. TR-653-NCQA, 2009</w:t>
      </w:r>
    </w:p>
    <w:p w:rsidR="008C54A9" w:rsidRPr="00A25024" w:rsidRDefault="008C54A9" w:rsidP="008C54A9">
      <w:pPr>
        <w:autoSpaceDE w:val="0"/>
        <w:autoSpaceDN w:val="0"/>
        <w:adjustRightInd w:val="0"/>
        <w:spacing w:after="0" w:line="240" w:lineRule="auto"/>
        <w:rPr>
          <w:rFonts w:cstheme="minorHAnsi"/>
          <w:bCs/>
        </w:rPr>
      </w:pPr>
    </w:p>
    <w:p w:rsidR="001E1C5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AE549D" w:rsidRDefault="00516149" w:rsidP="008C54A9">
      <w:pPr>
        <w:autoSpaceDE w:val="0"/>
        <w:autoSpaceDN w:val="0"/>
        <w:adjustRightInd w:val="0"/>
        <w:spacing w:after="0" w:line="240" w:lineRule="auto"/>
        <w:rPr>
          <w:rFonts w:ascii="Times New Roman" w:hAnsi="Times New Roman" w:cs="Times New Roman"/>
          <w:u w:val="single"/>
        </w:rPr>
      </w:pPr>
      <w:r w:rsidRPr="00AE549D">
        <w:rPr>
          <w:rFonts w:ascii="Times New Roman" w:hAnsi="Times New Roman" w:cs="Times New Roman"/>
          <w:bCs/>
          <w:u w:val="single"/>
        </w:rPr>
        <w:t>Results of Reliability Testing of Performance Measure Score</w:t>
      </w:r>
      <w:r w:rsidRPr="00AE549D">
        <w:rPr>
          <w:rFonts w:ascii="Times New Roman" w:hAnsi="Times New Roman" w:cs="Times New Roman"/>
          <w:u w:val="single"/>
        </w:rPr>
        <w:t>:</w:t>
      </w:r>
      <w:r w:rsidR="00826C40" w:rsidRPr="00AE549D">
        <w:rPr>
          <w:rFonts w:ascii="Times New Roman" w:hAnsi="Times New Roman" w:cs="Times New Roman"/>
          <w:u w:val="single"/>
        </w:rPr>
        <w:t xml:space="preserve"> </w:t>
      </w:r>
    </w:p>
    <w:p w:rsidR="00AE549D" w:rsidRDefault="00AE549D" w:rsidP="008C54A9">
      <w:pPr>
        <w:autoSpaceDE w:val="0"/>
        <w:autoSpaceDN w:val="0"/>
        <w:adjustRightInd w:val="0"/>
        <w:spacing w:after="0" w:line="240" w:lineRule="auto"/>
        <w:rPr>
          <w:rFonts w:ascii="Times New Roman" w:hAnsi="Times New Roman" w:cs="Times New Roman"/>
          <w:u w:val="single"/>
        </w:rPr>
      </w:pPr>
    </w:p>
    <w:p w:rsidR="00516149" w:rsidRPr="00C34F3A" w:rsidRDefault="00826C40" w:rsidP="008C54A9">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sz w:val="24"/>
          <w:szCs w:val="24"/>
        </w:rPr>
        <w:t>Beta-Binomial Statistic</w:t>
      </w:r>
      <w:r w:rsidR="00AE549D" w:rsidRPr="00C34F3A">
        <w:rPr>
          <w:rFonts w:ascii="Times New Roman" w:hAnsi="Times New Roman" w:cs="Times New Roman"/>
          <w:sz w:val="24"/>
          <w:szCs w:val="24"/>
        </w:rPr>
        <w:t xml:space="preserve"> For Each Measure Rate</w:t>
      </w:r>
    </w:p>
    <w:tbl>
      <w:tblPr>
        <w:tblW w:w="466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5"/>
        <w:gridCol w:w="725"/>
        <w:gridCol w:w="721"/>
        <w:gridCol w:w="1078"/>
        <w:gridCol w:w="721"/>
        <w:gridCol w:w="806"/>
        <w:gridCol w:w="1078"/>
        <w:gridCol w:w="721"/>
        <w:gridCol w:w="629"/>
        <w:gridCol w:w="1075"/>
      </w:tblGrid>
      <w:tr w:rsidR="00D777D0" w:rsidRPr="00516149" w:rsidTr="00D777D0">
        <w:trPr>
          <w:trHeight w:val="255"/>
        </w:trPr>
        <w:tc>
          <w:tcPr>
            <w:tcW w:w="663" w:type="pct"/>
            <w:vMerge w:val="restart"/>
            <w:tcBorders>
              <w:right w:val="single" w:sz="12" w:space="0" w:color="auto"/>
            </w:tcBorders>
            <w:shd w:val="clear" w:color="auto" w:fill="auto"/>
            <w:noWrap/>
            <w:vAlign w:val="bottom"/>
            <w:hideMark/>
          </w:tcPr>
          <w:p w:rsidR="00D777D0" w:rsidRPr="001E1C5D" w:rsidRDefault="00D777D0" w:rsidP="001E1C5D">
            <w:pPr>
              <w:spacing w:after="0" w:line="240" w:lineRule="auto"/>
              <w:rPr>
                <w:rFonts w:ascii="Times Roman" w:eastAsia="Times New Roman" w:hAnsi="Times Roman" w:cs="Calibri"/>
                <w:color w:val="000000"/>
                <w:szCs w:val="20"/>
              </w:rPr>
            </w:pPr>
            <w:r w:rsidRPr="00516149">
              <w:rPr>
                <w:rFonts w:ascii="Times Roman" w:eastAsia="Times New Roman" w:hAnsi="Times Roman" w:cs="Calibri"/>
                <w:color w:val="000000"/>
                <w:szCs w:val="20"/>
              </w:rPr>
              <w:t>Rate</w:t>
            </w:r>
          </w:p>
        </w:tc>
        <w:tc>
          <w:tcPr>
            <w:tcW w:w="1449" w:type="pct"/>
            <w:gridSpan w:val="3"/>
            <w:tcBorders>
              <w:left w:val="single" w:sz="12" w:space="0" w:color="auto"/>
              <w:right w:val="single" w:sz="12" w:space="0" w:color="auto"/>
            </w:tcBorders>
            <w:shd w:val="clear" w:color="auto" w:fill="auto"/>
            <w:noWrap/>
            <w:vAlign w:val="bottom"/>
            <w:hideMark/>
          </w:tcPr>
          <w:p w:rsidR="00D777D0" w:rsidRPr="00D777D0" w:rsidRDefault="00D777D0" w:rsidP="00D777D0">
            <w:pPr>
              <w:spacing w:after="0" w:line="240" w:lineRule="auto"/>
              <w:jc w:val="center"/>
              <w:rPr>
                <w:rFonts w:ascii="Times Roman" w:eastAsia="Times New Roman" w:hAnsi="Times Roman" w:cs="Calibri"/>
                <w:b/>
                <w:color w:val="000000"/>
                <w:szCs w:val="20"/>
              </w:rPr>
            </w:pPr>
            <w:r w:rsidRPr="00D777D0">
              <w:rPr>
                <w:rFonts w:ascii="Times Roman" w:eastAsia="Times New Roman" w:hAnsi="Times Roman" w:cs="Calibri"/>
                <w:b/>
                <w:color w:val="000000"/>
                <w:szCs w:val="20"/>
              </w:rPr>
              <w:t>Commercial</w:t>
            </w:r>
          </w:p>
        </w:tc>
        <w:tc>
          <w:tcPr>
            <w:tcW w:w="1496" w:type="pct"/>
            <w:gridSpan w:val="3"/>
            <w:tcBorders>
              <w:left w:val="single" w:sz="12" w:space="0" w:color="auto"/>
              <w:right w:val="single" w:sz="12" w:space="0" w:color="auto"/>
            </w:tcBorders>
          </w:tcPr>
          <w:p w:rsidR="00D777D0" w:rsidRPr="00D777D0" w:rsidRDefault="00D777D0" w:rsidP="00D777D0">
            <w:pPr>
              <w:spacing w:after="0" w:line="240" w:lineRule="auto"/>
              <w:jc w:val="center"/>
              <w:rPr>
                <w:rFonts w:ascii="Times Roman" w:eastAsia="Times New Roman" w:hAnsi="Times Roman" w:cs="Calibri"/>
                <w:b/>
                <w:color w:val="000000"/>
                <w:szCs w:val="20"/>
              </w:rPr>
            </w:pPr>
            <w:r w:rsidRPr="00D777D0">
              <w:rPr>
                <w:rFonts w:ascii="Times Roman" w:eastAsia="Times New Roman" w:hAnsi="Times Roman" w:cs="Calibri"/>
                <w:b/>
                <w:color w:val="000000"/>
                <w:szCs w:val="20"/>
              </w:rPr>
              <w:t>Medicaid</w:t>
            </w:r>
          </w:p>
        </w:tc>
        <w:tc>
          <w:tcPr>
            <w:tcW w:w="1393" w:type="pct"/>
            <w:gridSpan w:val="3"/>
            <w:tcBorders>
              <w:left w:val="single" w:sz="12" w:space="0" w:color="auto"/>
              <w:right w:val="single" w:sz="12" w:space="0" w:color="auto"/>
            </w:tcBorders>
          </w:tcPr>
          <w:p w:rsidR="00D777D0" w:rsidRPr="00D777D0" w:rsidRDefault="00D777D0" w:rsidP="00D777D0">
            <w:pPr>
              <w:spacing w:after="0" w:line="240" w:lineRule="auto"/>
              <w:jc w:val="center"/>
              <w:rPr>
                <w:rFonts w:ascii="Times Roman" w:eastAsia="Times New Roman" w:hAnsi="Times Roman" w:cs="Calibri"/>
                <w:b/>
                <w:color w:val="000000"/>
                <w:szCs w:val="20"/>
              </w:rPr>
            </w:pPr>
            <w:r w:rsidRPr="00D777D0">
              <w:rPr>
                <w:rFonts w:ascii="Times Roman" w:eastAsia="Times New Roman" w:hAnsi="Times Roman" w:cs="Calibri"/>
                <w:b/>
                <w:color w:val="000000"/>
                <w:szCs w:val="20"/>
              </w:rPr>
              <w:t>Medicare</w:t>
            </w:r>
          </w:p>
        </w:tc>
      </w:tr>
      <w:tr w:rsidR="00D777D0" w:rsidRPr="00516149" w:rsidTr="00D777D0">
        <w:trPr>
          <w:trHeight w:val="255"/>
        </w:trPr>
        <w:tc>
          <w:tcPr>
            <w:tcW w:w="663" w:type="pct"/>
            <w:vMerge/>
            <w:tcBorders>
              <w:right w:val="single" w:sz="12" w:space="0" w:color="auto"/>
            </w:tcBorders>
            <w:shd w:val="clear" w:color="auto" w:fill="auto"/>
            <w:noWrap/>
            <w:vAlign w:val="bottom"/>
          </w:tcPr>
          <w:p w:rsidR="00D777D0" w:rsidRPr="001E1C5D" w:rsidRDefault="00D777D0" w:rsidP="00F80091">
            <w:pPr>
              <w:spacing w:after="0" w:line="240" w:lineRule="auto"/>
              <w:rPr>
                <w:rFonts w:ascii="Times Roman" w:eastAsia="Times New Roman" w:hAnsi="Times Roman" w:cs="Calibri"/>
                <w:color w:val="000000"/>
                <w:szCs w:val="20"/>
              </w:rPr>
            </w:pPr>
          </w:p>
        </w:tc>
        <w:tc>
          <w:tcPr>
            <w:tcW w:w="416" w:type="pct"/>
            <w:tcBorders>
              <w:left w:val="single" w:sz="12" w:space="0" w:color="auto"/>
            </w:tcBorders>
            <w:shd w:val="clear" w:color="auto" w:fill="auto"/>
            <w:noWrap/>
            <w:vAlign w:val="bottom"/>
          </w:tcPr>
          <w:p w:rsidR="00D777D0" w:rsidRPr="001E1C5D" w:rsidRDefault="00D777D0"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Avg.</w:t>
            </w:r>
          </w:p>
        </w:tc>
        <w:tc>
          <w:tcPr>
            <w:tcW w:w="414" w:type="pct"/>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SD</w:t>
            </w:r>
          </w:p>
        </w:tc>
        <w:tc>
          <w:tcPr>
            <w:tcW w:w="619" w:type="pct"/>
            <w:tcBorders>
              <w:right w:val="single" w:sz="12" w:space="0" w:color="auto"/>
            </w:tcBorders>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10-90th</w:t>
            </w:r>
          </w:p>
        </w:tc>
        <w:tc>
          <w:tcPr>
            <w:tcW w:w="414" w:type="pct"/>
            <w:tcBorders>
              <w:left w:val="single" w:sz="12" w:space="0" w:color="auto"/>
            </w:tcBorders>
            <w:vAlign w:val="bottom"/>
          </w:tcPr>
          <w:p w:rsidR="00D777D0" w:rsidRPr="001E1C5D" w:rsidRDefault="00D777D0"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Avg.</w:t>
            </w:r>
          </w:p>
        </w:tc>
        <w:tc>
          <w:tcPr>
            <w:tcW w:w="463" w:type="pct"/>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SD</w:t>
            </w:r>
          </w:p>
        </w:tc>
        <w:tc>
          <w:tcPr>
            <w:tcW w:w="619" w:type="pct"/>
            <w:tcBorders>
              <w:right w:val="single" w:sz="12" w:space="0" w:color="auto"/>
            </w:tcBorders>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10-90th</w:t>
            </w:r>
          </w:p>
        </w:tc>
        <w:tc>
          <w:tcPr>
            <w:tcW w:w="414" w:type="pct"/>
            <w:tcBorders>
              <w:left w:val="single" w:sz="12" w:space="0" w:color="auto"/>
            </w:tcBorders>
            <w:vAlign w:val="bottom"/>
          </w:tcPr>
          <w:p w:rsidR="00D777D0" w:rsidRPr="001E1C5D" w:rsidRDefault="00D777D0"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Avg.</w:t>
            </w:r>
          </w:p>
        </w:tc>
        <w:tc>
          <w:tcPr>
            <w:tcW w:w="361" w:type="pct"/>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SD</w:t>
            </w:r>
          </w:p>
        </w:tc>
        <w:tc>
          <w:tcPr>
            <w:tcW w:w="618" w:type="pct"/>
            <w:tcBorders>
              <w:right w:val="single" w:sz="12" w:space="0" w:color="auto"/>
            </w:tcBorders>
            <w:vAlign w:val="bottom"/>
          </w:tcPr>
          <w:p w:rsidR="00D777D0"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10-90th</w:t>
            </w:r>
          </w:p>
        </w:tc>
      </w:tr>
      <w:tr w:rsidR="00D777D0" w:rsidRPr="00516149" w:rsidTr="00D777D0">
        <w:trPr>
          <w:trHeight w:val="255"/>
        </w:trPr>
        <w:tc>
          <w:tcPr>
            <w:tcW w:w="663" w:type="pct"/>
            <w:tcBorders>
              <w:right w:val="single" w:sz="12" w:space="0" w:color="auto"/>
            </w:tcBorders>
            <w:shd w:val="clear" w:color="auto" w:fill="auto"/>
            <w:noWrap/>
            <w:vAlign w:val="bottom"/>
            <w:hideMark/>
          </w:tcPr>
          <w:p w:rsidR="00F80091" w:rsidRPr="00D777D0" w:rsidRDefault="00D777D0" w:rsidP="00D777D0">
            <w:pPr>
              <w:spacing w:after="0" w:line="240" w:lineRule="auto"/>
              <w:rPr>
                <w:rFonts w:ascii="Times Roman" w:eastAsia="Times New Roman" w:hAnsi="Times Roman" w:cs="Calibri"/>
                <w:b/>
                <w:color w:val="000000"/>
                <w:szCs w:val="20"/>
              </w:rPr>
            </w:pPr>
            <w:r>
              <w:rPr>
                <w:rFonts w:ascii="Times Roman" w:eastAsia="Times New Roman" w:hAnsi="Times Roman" w:cs="Calibri"/>
                <w:b/>
                <w:color w:val="000000"/>
                <w:szCs w:val="20"/>
              </w:rPr>
              <w:t>ACE</w:t>
            </w:r>
            <w:r w:rsidR="00F80091" w:rsidRPr="00D777D0">
              <w:rPr>
                <w:rFonts w:ascii="Times Roman" w:eastAsia="Times New Roman" w:hAnsi="Times Roman" w:cs="Calibri"/>
                <w:b/>
                <w:color w:val="000000"/>
                <w:szCs w:val="20"/>
              </w:rPr>
              <w:t>/ ARBs</w:t>
            </w:r>
          </w:p>
        </w:tc>
        <w:tc>
          <w:tcPr>
            <w:tcW w:w="416" w:type="pct"/>
            <w:tcBorders>
              <w:left w:val="single" w:sz="12" w:space="0" w:color="auto"/>
            </w:tcBorders>
            <w:shd w:val="clear" w:color="auto" w:fill="auto"/>
            <w:noWrap/>
            <w:vAlign w:val="bottom"/>
            <w:hideMark/>
          </w:tcPr>
          <w:p w:rsidR="00F80091" w:rsidRPr="001E1C5D" w:rsidRDefault="00F80091"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0.96</w:t>
            </w:r>
          </w:p>
        </w:tc>
        <w:tc>
          <w:tcPr>
            <w:tcW w:w="414" w:type="pct"/>
            <w:vAlign w:val="bottom"/>
          </w:tcPr>
          <w:p w:rsidR="00F80091" w:rsidRPr="004529B8" w:rsidRDefault="00F80091" w:rsidP="00D777D0">
            <w:pPr>
              <w:spacing w:after="0" w:line="240" w:lineRule="auto"/>
              <w:rPr>
                <w:rFonts w:ascii="Times Roman" w:hAnsi="Times Roman" w:cs="Calibri"/>
                <w:color w:val="000000"/>
                <w:szCs w:val="20"/>
              </w:rPr>
            </w:pPr>
            <w:r>
              <w:rPr>
                <w:rFonts w:ascii="Times Roman" w:hAnsi="Times Roman" w:cs="Calibri"/>
                <w:color w:val="000000"/>
                <w:szCs w:val="20"/>
              </w:rPr>
              <w:t>0.06</w:t>
            </w:r>
          </w:p>
        </w:tc>
        <w:tc>
          <w:tcPr>
            <w:tcW w:w="619" w:type="pct"/>
            <w:tcBorders>
              <w:right w:val="single" w:sz="12" w:space="0" w:color="auto"/>
            </w:tcBorders>
            <w:vAlign w:val="bottom"/>
          </w:tcPr>
          <w:p w:rsidR="00F80091" w:rsidRPr="004529B8" w:rsidRDefault="00F80091" w:rsidP="00D777D0">
            <w:pPr>
              <w:spacing w:after="0" w:line="240" w:lineRule="auto"/>
              <w:rPr>
                <w:rFonts w:ascii="Times Roman" w:hAnsi="Times Roman" w:cs="Calibri"/>
                <w:color w:val="000000"/>
                <w:szCs w:val="20"/>
              </w:rPr>
            </w:pPr>
            <w:r>
              <w:rPr>
                <w:rFonts w:ascii="Times Roman" w:hAnsi="Times Roman" w:cs="Calibri"/>
                <w:color w:val="000000"/>
                <w:szCs w:val="20"/>
              </w:rPr>
              <w:t>0.89-0.99</w:t>
            </w:r>
          </w:p>
        </w:tc>
        <w:tc>
          <w:tcPr>
            <w:tcW w:w="414" w:type="pct"/>
            <w:tcBorders>
              <w:left w:val="single" w:sz="12" w:space="0" w:color="auto"/>
            </w:tcBorders>
            <w:vAlign w:val="bottom"/>
          </w:tcPr>
          <w:p w:rsidR="00F80091" w:rsidRPr="004529B8" w:rsidRDefault="00F80091" w:rsidP="00D777D0">
            <w:pPr>
              <w:spacing w:after="0" w:line="240" w:lineRule="auto"/>
              <w:rPr>
                <w:rFonts w:ascii="Times Roman" w:hAnsi="Times Roman" w:cs="Calibri"/>
                <w:color w:val="000000"/>
                <w:szCs w:val="20"/>
              </w:rPr>
            </w:pPr>
            <w:r w:rsidRPr="004529B8">
              <w:rPr>
                <w:rFonts w:ascii="Times Roman" w:hAnsi="Times Roman" w:cs="Calibri"/>
                <w:color w:val="000000"/>
                <w:szCs w:val="20"/>
              </w:rPr>
              <w:t>0.</w:t>
            </w:r>
            <w:r w:rsidR="003971F1">
              <w:rPr>
                <w:rFonts w:ascii="Times Roman" w:hAnsi="Times Roman" w:cs="Calibri"/>
                <w:color w:val="000000"/>
                <w:szCs w:val="20"/>
              </w:rPr>
              <w:t>90</w:t>
            </w:r>
          </w:p>
        </w:tc>
        <w:tc>
          <w:tcPr>
            <w:tcW w:w="463" w:type="pct"/>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0.15</w:t>
            </w:r>
          </w:p>
        </w:tc>
        <w:tc>
          <w:tcPr>
            <w:tcW w:w="619" w:type="pct"/>
            <w:tcBorders>
              <w:right w:val="single" w:sz="12" w:space="0" w:color="auto"/>
            </w:tcBorders>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0.73-0.99</w:t>
            </w:r>
          </w:p>
        </w:tc>
        <w:tc>
          <w:tcPr>
            <w:tcW w:w="414" w:type="pct"/>
            <w:tcBorders>
              <w:lef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0.95</w:t>
            </w:r>
          </w:p>
        </w:tc>
        <w:tc>
          <w:tcPr>
            <w:tcW w:w="361" w:type="pct"/>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0.10</w:t>
            </w:r>
          </w:p>
        </w:tc>
        <w:tc>
          <w:tcPr>
            <w:tcW w:w="618" w:type="pct"/>
            <w:tcBorders>
              <w:righ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0.86-1.00</w:t>
            </w:r>
          </w:p>
        </w:tc>
      </w:tr>
      <w:tr w:rsidR="00D777D0" w:rsidRPr="00516149" w:rsidTr="00D777D0">
        <w:trPr>
          <w:trHeight w:val="255"/>
        </w:trPr>
        <w:tc>
          <w:tcPr>
            <w:tcW w:w="663" w:type="pct"/>
            <w:tcBorders>
              <w:right w:val="single" w:sz="12" w:space="0" w:color="auto"/>
            </w:tcBorders>
            <w:shd w:val="clear" w:color="auto" w:fill="auto"/>
            <w:noWrap/>
            <w:vAlign w:val="bottom"/>
            <w:hideMark/>
          </w:tcPr>
          <w:p w:rsidR="00F80091" w:rsidRPr="00D777D0" w:rsidRDefault="00F80091" w:rsidP="00F80091">
            <w:pPr>
              <w:spacing w:after="0" w:line="240" w:lineRule="auto"/>
              <w:rPr>
                <w:rFonts w:ascii="Times Roman" w:eastAsia="Times New Roman" w:hAnsi="Times Roman" w:cs="Calibri"/>
                <w:b/>
                <w:color w:val="000000"/>
                <w:szCs w:val="20"/>
              </w:rPr>
            </w:pPr>
            <w:r w:rsidRPr="00D777D0">
              <w:rPr>
                <w:rFonts w:ascii="Times Roman" w:eastAsia="Times New Roman" w:hAnsi="Times Roman" w:cs="Calibri"/>
                <w:b/>
                <w:color w:val="000000"/>
                <w:szCs w:val="20"/>
              </w:rPr>
              <w:t>Digoxin</w:t>
            </w:r>
          </w:p>
        </w:tc>
        <w:tc>
          <w:tcPr>
            <w:tcW w:w="416" w:type="pct"/>
            <w:tcBorders>
              <w:left w:val="single" w:sz="12" w:space="0" w:color="auto"/>
            </w:tcBorders>
            <w:shd w:val="clear" w:color="auto" w:fill="auto"/>
            <w:noWrap/>
            <w:vAlign w:val="bottom"/>
            <w:hideMark/>
          </w:tcPr>
          <w:p w:rsidR="00F80091" w:rsidRPr="001E1C5D" w:rsidRDefault="00F80091"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0.72</w:t>
            </w:r>
          </w:p>
        </w:tc>
        <w:tc>
          <w:tcPr>
            <w:tcW w:w="414" w:type="pct"/>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0.17</w:t>
            </w:r>
          </w:p>
        </w:tc>
        <w:tc>
          <w:tcPr>
            <w:tcW w:w="619" w:type="pct"/>
            <w:tcBorders>
              <w:right w:val="single" w:sz="12" w:space="0" w:color="auto"/>
            </w:tcBorders>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0.46-0.94</w:t>
            </w:r>
          </w:p>
        </w:tc>
        <w:tc>
          <w:tcPr>
            <w:tcW w:w="414" w:type="pct"/>
            <w:tcBorders>
              <w:lef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0.36</w:t>
            </w:r>
          </w:p>
        </w:tc>
        <w:tc>
          <w:tcPr>
            <w:tcW w:w="463" w:type="pct"/>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0.17</w:t>
            </w:r>
          </w:p>
        </w:tc>
        <w:tc>
          <w:tcPr>
            <w:tcW w:w="619" w:type="pct"/>
            <w:tcBorders>
              <w:righ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0.13-0.59</w:t>
            </w:r>
          </w:p>
        </w:tc>
        <w:tc>
          <w:tcPr>
            <w:tcW w:w="414" w:type="pct"/>
            <w:tcBorders>
              <w:lef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0.71</w:t>
            </w:r>
          </w:p>
        </w:tc>
        <w:tc>
          <w:tcPr>
            <w:tcW w:w="361" w:type="pct"/>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0.23</w:t>
            </w:r>
          </w:p>
        </w:tc>
        <w:tc>
          <w:tcPr>
            <w:tcW w:w="618" w:type="pct"/>
            <w:tcBorders>
              <w:righ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0.35-0.96</w:t>
            </w:r>
          </w:p>
        </w:tc>
      </w:tr>
      <w:tr w:rsidR="00D777D0" w:rsidRPr="00516149" w:rsidTr="00D777D0">
        <w:trPr>
          <w:trHeight w:val="255"/>
        </w:trPr>
        <w:tc>
          <w:tcPr>
            <w:tcW w:w="663" w:type="pct"/>
            <w:tcBorders>
              <w:right w:val="single" w:sz="12" w:space="0" w:color="auto"/>
            </w:tcBorders>
            <w:shd w:val="clear" w:color="auto" w:fill="auto"/>
            <w:noWrap/>
            <w:vAlign w:val="bottom"/>
            <w:hideMark/>
          </w:tcPr>
          <w:p w:rsidR="00F80091" w:rsidRPr="00D777D0" w:rsidRDefault="00F80091" w:rsidP="00F80091">
            <w:pPr>
              <w:spacing w:after="0" w:line="240" w:lineRule="auto"/>
              <w:rPr>
                <w:rFonts w:ascii="Times Roman" w:eastAsia="Times New Roman" w:hAnsi="Times Roman" w:cs="Calibri"/>
                <w:b/>
                <w:color w:val="000000"/>
                <w:szCs w:val="20"/>
              </w:rPr>
            </w:pPr>
            <w:r w:rsidRPr="00D777D0">
              <w:rPr>
                <w:rFonts w:ascii="Times Roman" w:eastAsia="Times New Roman" w:hAnsi="Times Roman" w:cs="Calibri"/>
                <w:b/>
                <w:color w:val="000000"/>
                <w:szCs w:val="20"/>
              </w:rPr>
              <w:t>Diuretics</w:t>
            </w:r>
          </w:p>
        </w:tc>
        <w:tc>
          <w:tcPr>
            <w:tcW w:w="416" w:type="pct"/>
            <w:tcBorders>
              <w:left w:val="single" w:sz="12" w:space="0" w:color="auto"/>
            </w:tcBorders>
            <w:shd w:val="clear" w:color="auto" w:fill="auto"/>
            <w:noWrap/>
            <w:vAlign w:val="bottom"/>
            <w:hideMark/>
          </w:tcPr>
          <w:p w:rsidR="00F80091" w:rsidRPr="001E1C5D" w:rsidRDefault="003971F1"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0.95</w:t>
            </w:r>
          </w:p>
        </w:tc>
        <w:tc>
          <w:tcPr>
            <w:tcW w:w="414" w:type="pct"/>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0.08</w:t>
            </w:r>
          </w:p>
        </w:tc>
        <w:tc>
          <w:tcPr>
            <w:tcW w:w="619" w:type="pct"/>
            <w:tcBorders>
              <w:right w:val="single" w:sz="12" w:space="0" w:color="auto"/>
            </w:tcBorders>
            <w:vAlign w:val="bottom"/>
          </w:tcPr>
          <w:p w:rsidR="00F80091" w:rsidRPr="004529B8" w:rsidRDefault="003971F1" w:rsidP="00D777D0">
            <w:pPr>
              <w:spacing w:after="0" w:line="240" w:lineRule="auto"/>
              <w:rPr>
                <w:rFonts w:ascii="Times Roman" w:hAnsi="Times Roman" w:cs="Calibri"/>
                <w:color w:val="000000"/>
                <w:szCs w:val="20"/>
              </w:rPr>
            </w:pPr>
            <w:r>
              <w:rPr>
                <w:rFonts w:ascii="Times Roman" w:hAnsi="Times Roman" w:cs="Calibri"/>
                <w:color w:val="000000"/>
                <w:szCs w:val="20"/>
              </w:rPr>
              <w:t>0.85-</w:t>
            </w:r>
            <w:r w:rsidR="00D777D0">
              <w:rPr>
                <w:rFonts w:ascii="Times Roman" w:hAnsi="Times Roman" w:cs="Calibri"/>
                <w:color w:val="000000"/>
                <w:szCs w:val="20"/>
              </w:rPr>
              <w:t>1.00</w:t>
            </w:r>
          </w:p>
        </w:tc>
        <w:tc>
          <w:tcPr>
            <w:tcW w:w="414" w:type="pct"/>
            <w:tcBorders>
              <w:lef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0.89</w:t>
            </w:r>
          </w:p>
        </w:tc>
        <w:tc>
          <w:tcPr>
            <w:tcW w:w="463" w:type="pct"/>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0.15</w:t>
            </w:r>
          </w:p>
        </w:tc>
        <w:tc>
          <w:tcPr>
            <w:tcW w:w="619" w:type="pct"/>
            <w:tcBorders>
              <w:righ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0.71-0.99</w:t>
            </w:r>
          </w:p>
        </w:tc>
        <w:tc>
          <w:tcPr>
            <w:tcW w:w="414" w:type="pct"/>
            <w:tcBorders>
              <w:lef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0.93</w:t>
            </w:r>
          </w:p>
        </w:tc>
        <w:tc>
          <w:tcPr>
            <w:tcW w:w="361" w:type="pct"/>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0.12</w:t>
            </w:r>
          </w:p>
        </w:tc>
        <w:tc>
          <w:tcPr>
            <w:tcW w:w="618" w:type="pct"/>
            <w:tcBorders>
              <w:right w:val="single" w:sz="12" w:space="0" w:color="auto"/>
            </w:tcBorders>
            <w:vAlign w:val="bottom"/>
          </w:tcPr>
          <w:p w:rsidR="00F80091" w:rsidRPr="004529B8" w:rsidRDefault="00D777D0" w:rsidP="00D777D0">
            <w:pPr>
              <w:spacing w:after="0" w:line="240" w:lineRule="auto"/>
              <w:rPr>
                <w:rFonts w:ascii="Times Roman" w:hAnsi="Times Roman" w:cs="Calibri"/>
                <w:color w:val="000000"/>
                <w:szCs w:val="20"/>
              </w:rPr>
            </w:pPr>
            <w:r>
              <w:rPr>
                <w:rFonts w:ascii="Times Roman" w:hAnsi="Times Roman" w:cs="Calibri"/>
                <w:color w:val="000000"/>
                <w:szCs w:val="20"/>
              </w:rPr>
              <w:t>0.81-0.91</w:t>
            </w:r>
          </w:p>
        </w:tc>
      </w:tr>
      <w:tr w:rsidR="00231480" w:rsidRPr="00516149" w:rsidTr="00D777D0">
        <w:trPr>
          <w:trHeight w:val="255"/>
        </w:trPr>
        <w:tc>
          <w:tcPr>
            <w:tcW w:w="663" w:type="pct"/>
            <w:tcBorders>
              <w:right w:val="single" w:sz="12" w:space="0" w:color="auto"/>
            </w:tcBorders>
            <w:shd w:val="clear" w:color="auto" w:fill="auto"/>
            <w:noWrap/>
            <w:vAlign w:val="bottom"/>
          </w:tcPr>
          <w:p w:rsidR="00231480" w:rsidRPr="00D777D0" w:rsidRDefault="00231480" w:rsidP="00F80091">
            <w:pPr>
              <w:spacing w:after="0" w:line="240" w:lineRule="auto"/>
              <w:rPr>
                <w:rFonts w:ascii="Times Roman" w:eastAsia="Times New Roman" w:hAnsi="Times Roman" w:cs="Calibri"/>
                <w:b/>
                <w:color w:val="000000"/>
                <w:szCs w:val="20"/>
              </w:rPr>
            </w:pPr>
            <w:r>
              <w:rPr>
                <w:rFonts w:ascii="Times Roman" w:eastAsia="Times New Roman" w:hAnsi="Times Roman" w:cs="Calibri"/>
                <w:b/>
                <w:color w:val="000000"/>
                <w:szCs w:val="20"/>
              </w:rPr>
              <w:t>Total</w:t>
            </w:r>
          </w:p>
        </w:tc>
        <w:tc>
          <w:tcPr>
            <w:tcW w:w="416" w:type="pct"/>
            <w:tcBorders>
              <w:left w:val="single" w:sz="12" w:space="0" w:color="auto"/>
            </w:tcBorders>
            <w:shd w:val="clear" w:color="auto" w:fill="auto"/>
            <w:noWrap/>
            <w:vAlign w:val="bottom"/>
          </w:tcPr>
          <w:p w:rsidR="00231480" w:rsidRDefault="00231480" w:rsidP="00D777D0">
            <w:pPr>
              <w:spacing w:after="0" w:line="240" w:lineRule="auto"/>
              <w:rPr>
                <w:rFonts w:ascii="Times Roman" w:eastAsia="Times New Roman" w:hAnsi="Times Roman" w:cs="Calibri"/>
                <w:color w:val="000000"/>
                <w:szCs w:val="20"/>
              </w:rPr>
            </w:pPr>
            <w:r>
              <w:rPr>
                <w:rFonts w:ascii="Times Roman" w:eastAsia="Times New Roman" w:hAnsi="Times Roman" w:cs="Calibri"/>
                <w:color w:val="000000"/>
                <w:szCs w:val="20"/>
              </w:rPr>
              <w:t>0.81</w:t>
            </w:r>
          </w:p>
        </w:tc>
        <w:tc>
          <w:tcPr>
            <w:tcW w:w="414" w:type="pct"/>
            <w:vAlign w:val="bottom"/>
          </w:tcPr>
          <w:p w:rsidR="00231480" w:rsidRDefault="00231480" w:rsidP="00D777D0">
            <w:pPr>
              <w:spacing w:after="0" w:line="240" w:lineRule="auto"/>
              <w:rPr>
                <w:rFonts w:ascii="Times Roman" w:hAnsi="Times Roman" w:cs="Calibri"/>
                <w:color w:val="000000"/>
                <w:szCs w:val="20"/>
              </w:rPr>
            </w:pPr>
            <w:r>
              <w:rPr>
                <w:rFonts w:ascii="Times Roman" w:hAnsi="Times Roman" w:cs="Calibri"/>
                <w:color w:val="000000"/>
                <w:szCs w:val="20"/>
              </w:rPr>
              <w:t>0.04</w:t>
            </w:r>
          </w:p>
        </w:tc>
        <w:tc>
          <w:tcPr>
            <w:tcW w:w="619" w:type="pct"/>
            <w:tcBorders>
              <w:right w:val="single" w:sz="12" w:space="0" w:color="auto"/>
            </w:tcBorders>
            <w:vAlign w:val="bottom"/>
          </w:tcPr>
          <w:p w:rsidR="00231480" w:rsidRDefault="00231480" w:rsidP="00D777D0">
            <w:pPr>
              <w:spacing w:after="0" w:line="240" w:lineRule="auto"/>
              <w:rPr>
                <w:rFonts w:ascii="Times Roman" w:hAnsi="Times Roman" w:cs="Calibri"/>
                <w:color w:val="000000"/>
                <w:szCs w:val="20"/>
              </w:rPr>
            </w:pPr>
            <w:r>
              <w:rPr>
                <w:rFonts w:ascii="Times Roman" w:hAnsi="Times Roman" w:cs="Calibri"/>
                <w:color w:val="000000"/>
                <w:szCs w:val="20"/>
              </w:rPr>
              <w:t>0.75-0.86</w:t>
            </w:r>
          </w:p>
        </w:tc>
        <w:tc>
          <w:tcPr>
            <w:tcW w:w="414" w:type="pct"/>
            <w:tcBorders>
              <w:left w:val="single" w:sz="12" w:space="0" w:color="auto"/>
            </w:tcBorders>
            <w:vAlign w:val="bottom"/>
          </w:tcPr>
          <w:p w:rsidR="00231480" w:rsidRDefault="00231480" w:rsidP="00D777D0">
            <w:pPr>
              <w:spacing w:after="0" w:line="240" w:lineRule="auto"/>
              <w:rPr>
                <w:rFonts w:ascii="Times Roman" w:hAnsi="Times Roman" w:cs="Calibri"/>
                <w:color w:val="000000"/>
                <w:szCs w:val="20"/>
              </w:rPr>
            </w:pPr>
            <w:r>
              <w:rPr>
                <w:rFonts w:ascii="Times Roman" w:hAnsi="Times Roman" w:cs="Calibri"/>
                <w:color w:val="000000"/>
                <w:szCs w:val="20"/>
              </w:rPr>
              <w:t>0.86</w:t>
            </w:r>
          </w:p>
        </w:tc>
        <w:tc>
          <w:tcPr>
            <w:tcW w:w="463" w:type="pct"/>
            <w:vAlign w:val="bottom"/>
          </w:tcPr>
          <w:p w:rsidR="00231480" w:rsidRDefault="00231480" w:rsidP="00D777D0">
            <w:pPr>
              <w:spacing w:after="0" w:line="240" w:lineRule="auto"/>
              <w:rPr>
                <w:rFonts w:ascii="Times Roman" w:hAnsi="Times Roman" w:cs="Calibri"/>
                <w:color w:val="000000"/>
                <w:szCs w:val="20"/>
              </w:rPr>
            </w:pPr>
            <w:r>
              <w:rPr>
                <w:rFonts w:ascii="Times Roman" w:hAnsi="Times Roman" w:cs="Calibri"/>
                <w:color w:val="000000"/>
                <w:szCs w:val="20"/>
              </w:rPr>
              <w:t>0.05</w:t>
            </w:r>
          </w:p>
        </w:tc>
        <w:tc>
          <w:tcPr>
            <w:tcW w:w="619" w:type="pct"/>
            <w:tcBorders>
              <w:right w:val="single" w:sz="12" w:space="0" w:color="auto"/>
            </w:tcBorders>
            <w:vAlign w:val="bottom"/>
          </w:tcPr>
          <w:p w:rsidR="00231480" w:rsidRDefault="00231480" w:rsidP="00D777D0">
            <w:pPr>
              <w:spacing w:after="0" w:line="240" w:lineRule="auto"/>
              <w:rPr>
                <w:rFonts w:ascii="Times Roman" w:hAnsi="Times Roman" w:cs="Calibri"/>
                <w:color w:val="000000"/>
                <w:szCs w:val="20"/>
              </w:rPr>
            </w:pPr>
            <w:r>
              <w:rPr>
                <w:rFonts w:ascii="Times Roman" w:hAnsi="Times Roman" w:cs="Calibri"/>
                <w:color w:val="000000"/>
                <w:szCs w:val="20"/>
              </w:rPr>
              <w:t>0.80-0.</w:t>
            </w:r>
            <w:r w:rsidR="00F47554">
              <w:rPr>
                <w:rFonts w:ascii="Times Roman" w:hAnsi="Times Roman" w:cs="Calibri"/>
                <w:color w:val="000000"/>
                <w:szCs w:val="20"/>
              </w:rPr>
              <w:t>91</w:t>
            </w:r>
          </w:p>
        </w:tc>
        <w:tc>
          <w:tcPr>
            <w:tcW w:w="414" w:type="pct"/>
            <w:tcBorders>
              <w:left w:val="single" w:sz="12" w:space="0" w:color="auto"/>
            </w:tcBorders>
            <w:vAlign w:val="bottom"/>
          </w:tcPr>
          <w:p w:rsidR="00231480" w:rsidRDefault="00F47554" w:rsidP="00D777D0">
            <w:pPr>
              <w:spacing w:after="0" w:line="240" w:lineRule="auto"/>
              <w:rPr>
                <w:rFonts w:ascii="Times Roman" w:hAnsi="Times Roman" w:cs="Calibri"/>
                <w:color w:val="000000"/>
                <w:szCs w:val="20"/>
              </w:rPr>
            </w:pPr>
            <w:r>
              <w:rPr>
                <w:rFonts w:ascii="Times Roman" w:hAnsi="Times Roman" w:cs="Calibri"/>
                <w:color w:val="000000"/>
                <w:szCs w:val="20"/>
              </w:rPr>
              <w:t>0.92</w:t>
            </w:r>
          </w:p>
        </w:tc>
        <w:tc>
          <w:tcPr>
            <w:tcW w:w="361" w:type="pct"/>
            <w:vAlign w:val="bottom"/>
          </w:tcPr>
          <w:p w:rsidR="00231480" w:rsidRDefault="00F47554" w:rsidP="00D777D0">
            <w:pPr>
              <w:spacing w:after="0" w:line="240" w:lineRule="auto"/>
              <w:rPr>
                <w:rFonts w:ascii="Times Roman" w:hAnsi="Times Roman" w:cs="Calibri"/>
                <w:color w:val="000000"/>
                <w:szCs w:val="20"/>
              </w:rPr>
            </w:pPr>
            <w:r>
              <w:rPr>
                <w:rFonts w:ascii="Times Roman" w:hAnsi="Times Roman" w:cs="Calibri"/>
                <w:color w:val="000000"/>
                <w:szCs w:val="20"/>
              </w:rPr>
              <w:t>0.04</w:t>
            </w:r>
          </w:p>
        </w:tc>
        <w:tc>
          <w:tcPr>
            <w:tcW w:w="618" w:type="pct"/>
            <w:tcBorders>
              <w:right w:val="single" w:sz="12" w:space="0" w:color="auto"/>
            </w:tcBorders>
            <w:vAlign w:val="bottom"/>
          </w:tcPr>
          <w:p w:rsidR="00231480" w:rsidRDefault="00F47554" w:rsidP="00D777D0">
            <w:pPr>
              <w:spacing w:after="0" w:line="240" w:lineRule="auto"/>
              <w:rPr>
                <w:rFonts w:ascii="Times Roman" w:hAnsi="Times Roman" w:cs="Calibri"/>
                <w:color w:val="000000"/>
                <w:szCs w:val="20"/>
              </w:rPr>
            </w:pPr>
            <w:r>
              <w:rPr>
                <w:rFonts w:ascii="Times Roman" w:hAnsi="Times Roman" w:cs="Calibri"/>
                <w:color w:val="000000"/>
                <w:szCs w:val="20"/>
              </w:rPr>
              <w:t>0.87-0.96</w:t>
            </w:r>
          </w:p>
        </w:tc>
      </w:tr>
    </w:tbl>
    <w:p w:rsidR="003B3230" w:rsidRPr="003B3230" w:rsidRDefault="003B3230" w:rsidP="008C54A9">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Avg.: Average beta-bino</w:t>
      </w:r>
      <w:r w:rsidRPr="003B3230">
        <w:rPr>
          <w:rFonts w:ascii="Times New Roman" w:hAnsi="Times New Roman" w:cs="Times New Roman"/>
          <w:bCs/>
        </w:rPr>
        <w:t>mial</w:t>
      </w:r>
    </w:p>
    <w:p w:rsidR="001E1C5D" w:rsidRPr="003B3230" w:rsidRDefault="003B3230" w:rsidP="008C54A9">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SD: Standard d</w:t>
      </w:r>
      <w:r w:rsidRPr="003B3230">
        <w:rPr>
          <w:rFonts w:ascii="Times New Roman" w:hAnsi="Times New Roman" w:cs="Times New Roman"/>
          <w:bCs/>
        </w:rPr>
        <w:t>eviation</w:t>
      </w:r>
      <w:r>
        <w:rPr>
          <w:rFonts w:ascii="Times New Roman" w:hAnsi="Times New Roman" w:cs="Times New Roman"/>
          <w:bCs/>
        </w:rPr>
        <w:t xml:space="preserve"> across plans</w:t>
      </w:r>
    </w:p>
    <w:p w:rsidR="003B3230" w:rsidRPr="003B3230" w:rsidRDefault="003B3230" w:rsidP="008C54A9">
      <w:pPr>
        <w:autoSpaceDE w:val="0"/>
        <w:autoSpaceDN w:val="0"/>
        <w:adjustRightInd w:val="0"/>
        <w:spacing w:after="0" w:line="240" w:lineRule="auto"/>
        <w:rPr>
          <w:rFonts w:ascii="Times New Roman" w:hAnsi="Times New Roman" w:cs="Times New Roman"/>
          <w:bCs/>
        </w:rPr>
      </w:pPr>
      <w:r w:rsidRPr="003B3230">
        <w:rPr>
          <w:rFonts w:ascii="Times New Roman" w:hAnsi="Times New Roman" w:cs="Times New Roman"/>
          <w:bCs/>
        </w:rPr>
        <w:t>10-90</w:t>
      </w:r>
      <w:r w:rsidRPr="003B3230">
        <w:rPr>
          <w:rFonts w:ascii="Times New Roman" w:hAnsi="Times New Roman" w:cs="Times New Roman"/>
          <w:bCs/>
          <w:vertAlign w:val="superscript"/>
        </w:rPr>
        <w:t>th</w:t>
      </w:r>
      <w:r w:rsidRPr="003B3230">
        <w:rPr>
          <w:rFonts w:ascii="Times New Roman" w:hAnsi="Times New Roman" w:cs="Times New Roman"/>
          <w:bCs/>
        </w:rPr>
        <w:t>: 10</w:t>
      </w:r>
      <w:r w:rsidRPr="003B3230">
        <w:rPr>
          <w:rFonts w:ascii="Times New Roman" w:hAnsi="Times New Roman" w:cs="Times New Roman"/>
          <w:bCs/>
          <w:vertAlign w:val="superscript"/>
        </w:rPr>
        <w:t>th</w:t>
      </w:r>
      <w:r w:rsidRPr="003B3230">
        <w:rPr>
          <w:rFonts w:ascii="Times New Roman" w:hAnsi="Times New Roman" w:cs="Times New Roman"/>
          <w:bCs/>
        </w:rPr>
        <w:t xml:space="preserve"> percentile-90</w:t>
      </w:r>
      <w:r w:rsidRPr="003B3230">
        <w:rPr>
          <w:rFonts w:ascii="Times New Roman" w:hAnsi="Times New Roman" w:cs="Times New Roman"/>
          <w:bCs/>
          <w:vertAlign w:val="superscript"/>
        </w:rPr>
        <w:t>th</w:t>
      </w:r>
      <w:r w:rsidRPr="003B3230">
        <w:rPr>
          <w:rFonts w:ascii="Times New Roman" w:hAnsi="Times New Roman" w:cs="Times New Roman"/>
          <w:bCs/>
        </w:rPr>
        <w:t xml:space="preserve"> percentile</w:t>
      </w:r>
      <w:r>
        <w:rPr>
          <w:rFonts w:ascii="Times New Roman" w:hAnsi="Times New Roman" w:cs="Times New Roman"/>
          <w:bCs/>
        </w:rPr>
        <w:t xml:space="preserve"> across plans</w:t>
      </w:r>
    </w:p>
    <w:p w:rsidR="003B3230" w:rsidRDefault="003B3230" w:rsidP="00516149">
      <w:pPr>
        <w:autoSpaceDE w:val="0"/>
        <w:autoSpaceDN w:val="0"/>
        <w:adjustRightInd w:val="0"/>
        <w:spacing w:after="0" w:line="240" w:lineRule="auto"/>
        <w:rPr>
          <w:rFonts w:cstheme="minorHAnsi"/>
          <w:b/>
          <w:bCs/>
        </w:rPr>
      </w:pPr>
    </w:p>
    <w:p w:rsidR="00AE549D" w:rsidRDefault="00092566" w:rsidP="00516149">
      <w:pPr>
        <w:autoSpaceDE w:val="0"/>
        <w:autoSpaceDN w:val="0"/>
        <w:adjustRightInd w:val="0"/>
        <w:spacing w:after="0" w:line="240" w:lineRule="auto"/>
        <w:rPr>
          <w:rFonts w:cstheme="minorHAnsi"/>
          <w:bCs/>
        </w:rPr>
      </w:pPr>
      <w:r>
        <w:rPr>
          <w:rFonts w:cstheme="minorHAnsi"/>
          <w:b/>
          <w:bCs/>
        </w:rPr>
        <w:lastRenderedPageBreak/>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516149" w:rsidRPr="00C34F3A" w:rsidRDefault="007422FD" w:rsidP="00516149">
      <w:pPr>
        <w:autoSpaceDE w:val="0"/>
        <w:autoSpaceDN w:val="0"/>
        <w:adjustRightInd w:val="0"/>
        <w:spacing w:after="0" w:line="240" w:lineRule="auto"/>
        <w:rPr>
          <w:rFonts w:ascii="Times New Roman" w:hAnsi="Times New Roman" w:cs="Times New Roman"/>
          <w:bCs/>
          <w:sz w:val="24"/>
          <w:szCs w:val="24"/>
        </w:rPr>
      </w:pPr>
      <w:r w:rsidRPr="00A25024">
        <w:rPr>
          <w:rFonts w:cstheme="minorHAnsi"/>
          <w:bCs/>
        </w:rPr>
        <w:br/>
      </w:r>
      <w:r w:rsidR="00516149" w:rsidRPr="00C34F3A">
        <w:rPr>
          <w:rFonts w:ascii="Times New Roman" w:hAnsi="Times New Roman" w:cs="Times New Roman"/>
          <w:bCs/>
          <w:sz w:val="24"/>
          <w:u w:val="single"/>
        </w:rPr>
        <w:t>Reliability Testing of Performance Measure Score</w:t>
      </w:r>
      <w:r w:rsidR="00516149" w:rsidRPr="00C34F3A">
        <w:rPr>
          <w:rFonts w:ascii="Times New Roman" w:hAnsi="Times New Roman" w:cs="Times New Roman"/>
          <w:sz w:val="24"/>
          <w:szCs w:val="24"/>
        </w:rPr>
        <w:t xml:space="preserve">: Reliability scores </w:t>
      </w:r>
      <w:r w:rsidR="003B3230">
        <w:rPr>
          <w:rFonts w:ascii="Times New Roman" w:hAnsi="Times New Roman" w:cs="Times New Roman"/>
          <w:sz w:val="24"/>
          <w:szCs w:val="24"/>
        </w:rPr>
        <w:t xml:space="preserve">can </w:t>
      </w:r>
      <w:r w:rsidR="00516149" w:rsidRPr="00C34F3A">
        <w:rPr>
          <w:rFonts w:ascii="Times New Roman" w:hAnsi="Times New Roman" w:cs="Times New Roman"/>
          <w:sz w:val="24"/>
          <w:szCs w:val="24"/>
        </w:rPr>
        <w:t xml:space="preserve">vary from 0.0 to 1.0.  A score of zero implies that all variation is attributed to measurement error (noise) whereas a reliability of 1.0 implies that all variation is caused by a real difference in performance (signal). Generally, a minimum reliability score of 0.7 is used to indicate sufficient signal strength to discriminate performance between accountable entities. </w:t>
      </w:r>
      <w:r w:rsidR="00516149" w:rsidRPr="00C34F3A">
        <w:rPr>
          <w:rFonts w:ascii="Times New Roman" w:hAnsi="Times New Roman" w:cs="Times New Roman"/>
          <w:bCs/>
          <w:sz w:val="24"/>
          <w:szCs w:val="24"/>
        </w:rPr>
        <w:t>The testing suggests the all three indicators within this measure have good reliability</w:t>
      </w:r>
      <w:r w:rsidR="00AE549D" w:rsidRPr="00C34F3A">
        <w:rPr>
          <w:rFonts w:ascii="Times New Roman" w:hAnsi="Times New Roman" w:cs="Times New Roman"/>
          <w:bCs/>
          <w:sz w:val="24"/>
          <w:szCs w:val="24"/>
        </w:rPr>
        <w:t xml:space="preserve"> between 0.7 and 1.0</w:t>
      </w:r>
      <w:r w:rsidR="00516149" w:rsidRPr="00C34F3A">
        <w:rPr>
          <w:rFonts w:ascii="Times New Roman" w:hAnsi="Times New Roman" w:cs="Times New Roman"/>
          <w:bCs/>
          <w:sz w:val="24"/>
          <w:szCs w:val="24"/>
        </w:rPr>
        <w:t>.</w:t>
      </w:r>
      <w:r w:rsidR="003B3230">
        <w:rPr>
          <w:rFonts w:ascii="Times New Roman" w:hAnsi="Times New Roman" w:cs="Times New Roman"/>
          <w:bCs/>
          <w:sz w:val="24"/>
          <w:szCs w:val="24"/>
        </w:rPr>
        <w:t xml:space="preserve">  The only exception is Digoxin in the Medicaid population, the average reliability is 0.36.  </w:t>
      </w:r>
      <w:r w:rsidR="00B023FE">
        <w:rPr>
          <w:rFonts w:ascii="Times New Roman" w:hAnsi="Times New Roman" w:cs="Times New Roman"/>
          <w:bCs/>
          <w:sz w:val="24"/>
          <w:szCs w:val="24"/>
        </w:rPr>
        <w:t>This low reliability is due primarily to small sample size for this measure in 2012.  Less than half of Medicaid plans were able to meet the minimum sample size of 30 patients with a prescription for Digoxin necessary to report this measure.  Of those plans that did report this measure, the average denominator size was much lower than the average denominator size for Medicare and commercial health plans.  This is due to the small size of Medicaid plans in general.  Reliability is not a static property of a measures and as the number of Medicaid HMOs continues to grow we expect the reliability of the measure score to increase for this one indicator.</w:t>
      </w:r>
    </w:p>
    <w:p w:rsidR="007422FD" w:rsidRDefault="007422FD" w:rsidP="00DB3627">
      <w:pPr>
        <w:autoSpaceDE w:val="0"/>
        <w:autoSpaceDN w:val="0"/>
        <w:adjustRightInd w:val="0"/>
        <w:spacing w:after="0" w:line="240" w:lineRule="auto"/>
        <w:rPr>
          <w:rFonts w:cstheme="minorHAnsi"/>
          <w:bCs/>
        </w:rPr>
      </w:pPr>
    </w:p>
    <w:p w:rsidR="00783F0A" w:rsidRPr="00C34F3A" w:rsidRDefault="00783F0A" w:rsidP="00783F0A">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 xml:space="preserve">The </w:t>
      </w:r>
      <w:r w:rsidR="003B3230">
        <w:rPr>
          <w:rFonts w:ascii="Times New Roman" w:hAnsi="Times New Roman" w:cs="Times New Roman"/>
          <w:bCs/>
          <w:sz w:val="24"/>
          <w:szCs w:val="24"/>
        </w:rPr>
        <w:t>10-90</w:t>
      </w:r>
      <w:r w:rsidR="003B3230" w:rsidRPr="003B3230">
        <w:rPr>
          <w:rFonts w:ascii="Times New Roman" w:hAnsi="Times New Roman" w:cs="Times New Roman"/>
          <w:bCs/>
          <w:sz w:val="24"/>
          <w:szCs w:val="24"/>
          <w:vertAlign w:val="superscript"/>
        </w:rPr>
        <w:t>th</w:t>
      </w:r>
      <w:r w:rsidR="003B3230">
        <w:rPr>
          <w:rFonts w:ascii="Times New Roman" w:hAnsi="Times New Roman" w:cs="Times New Roman"/>
          <w:bCs/>
          <w:sz w:val="24"/>
          <w:szCs w:val="24"/>
        </w:rPr>
        <w:t xml:space="preserve"> percentile </w:t>
      </w:r>
      <w:r w:rsidRPr="00C34F3A">
        <w:rPr>
          <w:rFonts w:ascii="Times New Roman" w:hAnsi="Times New Roman" w:cs="Times New Roman"/>
          <w:bCs/>
          <w:sz w:val="24"/>
          <w:szCs w:val="24"/>
        </w:rPr>
        <w:t>dis</w:t>
      </w:r>
      <w:r w:rsidR="003B3230">
        <w:rPr>
          <w:rFonts w:ascii="Times New Roman" w:hAnsi="Times New Roman" w:cs="Times New Roman"/>
          <w:bCs/>
          <w:sz w:val="24"/>
          <w:szCs w:val="24"/>
        </w:rPr>
        <w:t>tribution of</w:t>
      </w:r>
      <w:r w:rsidRPr="00C34F3A">
        <w:rPr>
          <w:rFonts w:ascii="Times New Roman" w:hAnsi="Times New Roman" w:cs="Times New Roman"/>
          <w:bCs/>
          <w:sz w:val="24"/>
          <w:szCs w:val="24"/>
        </w:rPr>
        <w:t xml:space="preserve"> health plan level-reliability on the rates in this measure show the vast majority of health plans met or exceeded the minimally accepted threshold of 0.7, and the majority of plans exceeded 0.</w:t>
      </w:r>
      <w:r w:rsidR="003B3230">
        <w:rPr>
          <w:rFonts w:ascii="Times New Roman" w:hAnsi="Times New Roman" w:cs="Times New Roman"/>
          <w:bCs/>
          <w:sz w:val="24"/>
          <w:szCs w:val="24"/>
        </w:rPr>
        <w:t>8</w:t>
      </w:r>
      <w:r w:rsidRPr="00C34F3A">
        <w:rPr>
          <w:rFonts w:ascii="Times New Roman" w:hAnsi="Times New Roman" w:cs="Times New Roman"/>
          <w:bCs/>
          <w:sz w:val="24"/>
          <w:szCs w:val="24"/>
        </w:rPr>
        <w:t xml:space="preserve">. Strong reliability is demonstrated since majority of variances is due to signal and not to noise. </w:t>
      </w:r>
    </w:p>
    <w:p w:rsidR="00783F0A" w:rsidRPr="00A25024" w:rsidRDefault="00783F0A"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51614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3148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3148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51614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51614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516149" w:rsidRPr="00A25024" w:rsidRDefault="00516149" w:rsidP="00DB3627">
      <w:pPr>
        <w:autoSpaceDE w:val="0"/>
        <w:autoSpaceDN w:val="0"/>
        <w:adjustRightInd w:val="0"/>
        <w:spacing w:after="0" w:line="240" w:lineRule="auto"/>
        <w:rPr>
          <w:rFonts w:cstheme="minorHAnsi"/>
          <w:bCs/>
        </w:rPr>
      </w:pPr>
    </w:p>
    <w:p w:rsidR="00826C40" w:rsidRPr="00C34F3A" w:rsidRDefault="00092566" w:rsidP="00826C40">
      <w:pPr>
        <w:autoSpaceDE w:val="0"/>
        <w:autoSpaceDN w:val="0"/>
        <w:adjustRightInd w:val="0"/>
        <w:spacing w:after="0" w:line="240" w:lineRule="auto"/>
        <w:rPr>
          <w:rFonts w:ascii="Times New Roman" w:hAnsi="Times New Roman" w:cs="Times New Roman"/>
          <w:bCs/>
          <w:sz w:val="24"/>
          <w:szCs w:val="24"/>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826C40" w:rsidRPr="00C34F3A">
        <w:rPr>
          <w:rFonts w:ascii="Times New Roman" w:hAnsi="Times New Roman" w:cs="Times New Roman"/>
          <w:bCs/>
          <w:sz w:val="24"/>
          <w:u w:val="single"/>
        </w:rPr>
        <w:t>Method of testing critical data element validity:</w:t>
      </w:r>
      <w:r w:rsidR="00826C40" w:rsidRPr="00C34F3A">
        <w:rPr>
          <w:rFonts w:ascii="Times New Roman" w:hAnsi="Times New Roman" w:cs="Times New Roman"/>
          <w:bCs/>
          <w:sz w:val="24"/>
          <w:szCs w:val="24"/>
        </w:rPr>
        <w:t xml:space="preserve"> We tested critical data element validity by comparing medical records (considered the “gold standard”) with administrative data.  We evaluated the accuracy of the administrative data to determine the sensitivity, specificity and positive predictive value (PPV) of the three indicators at each health plan.  The sensitivity is the proportion of patients who had the laboratory test conducted that was documented in the medical record who also have an administrative claims code for the laboratory test (i.e., the true positives divided by the sum of the true positives plus the false negatives). Specificity is the proportion of patients who did not have the laboratory test conducted who also did not have the claims code for the laboratory test (i.e., the true negatives divided by the sum of the true negatives plus the </w:t>
      </w:r>
      <w:r w:rsidR="00826C40" w:rsidRPr="00C34F3A">
        <w:rPr>
          <w:rFonts w:ascii="Times New Roman" w:hAnsi="Times New Roman" w:cs="Times New Roman"/>
          <w:bCs/>
          <w:sz w:val="24"/>
          <w:szCs w:val="24"/>
        </w:rPr>
        <w:lastRenderedPageBreak/>
        <w:t xml:space="preserve">false positives).  The PPV is the proportion of patients who had the laboratory test conducted that are true positives (i.e., the true positives divided by the true positives plus the false positives).  </w:t>
      </w:r>
    </w:p>
    <w:p w:rsidR="00826C40" w:rsidRPr="00C34F3A" w:rsidRDefault="00826C40" w:rsidP="00826C40">
      <w:pPr>
        <w:autoSpaceDE w:val="0"/>
        <w:autoSpaceDN w:val="0"/>
        <w:adjustRightInd w:val="0"/>
        <w:spacing w:after="0" w:line="240" w:lineRule="auto"/>
        <w:rPr>
          <w:rFonts w:ascii="Times New Roman" w:hAnsi="Times New Roman" w:cs="Times New Roman"/>
          <w:bCs/>
          <w:sz w:val="24"/>
          <w:szCs w:val="24"/>
        </w:rPr>
      </w:pPr>
    </w:p>
    <w:p w:rsidR="00826C40" w:rsidRPr="00C34F3A" w:rsidRDefault="00826C40" w:rsidP="00AE549D">
      <w:pPr>
        <w:spacing w:line="240" w:lineRule="auto"/>
        <w:rPr>
          <w:rFonts w:ascii="Times New Roman" w:hAnsi="Times New Roman" w:cs="Times New Roman"/>
          <w:sz w:val="24"/>
          <w:szCs w:val="24"/>
        </w:rPr>
      </w:pPr>
      <w:r w:rsidRPr="00C34F3A">
        <w:rPr>
          <w:rFonts w:ascii="Times New Roman" w:hAnsi="Times New Roman" w:cs="Times New Roman"/>
          <w:bCs/>
          <w:sz w:val="24"/>
          <w:u w:val="single"/>
        </w:rPr>
        <w:t>Method of empirical validity testing</w:t>
      </w:r>
      <w:r w:rsidRPr="00C34F3A">
        <w:rPr>
          <w:rFonts w:ascii="Times New Roman" w:hAnsi="Times New Roman" w:cs="Times New Roman"/>
          <w:bCs/>
          <w:sz w:val="24"/>
          <w:szCs w:val="24"/>
        </w:rPr>
        <w:t xml:space="preserve">: </w:t>
      </w:r>
      <w:r w:rsidRPr="00C34F3A">
        <w:rPr>
          <w:rFonts w:ascii="Times New Roman" w:eastAsia="Times New Roman" w:hAnsi="Times New Roman" w:cs="Times New Roman"/>
          <w:sz w:val="24"/>
          <w:szCs w:val="24"/>
        </w:rPr>
        <w:t xml:space="preserve">We tested for construct validity by exploring whether the indicators within this measure were correlated with each other.  We hypothesized that organizations that perform well on one of the three indicators should perform well on the measures.  To test these correlations we used a Person correlation test. </w:t>
      </w:r>
      <w:r w:rsidRPr="00C34F3A">
        <w:rPr>
          <w:rFonts w:ascii="Times New Roman" w:hAnsi="Times New Roman" w:cs="Times New Roman"/>
          <w:sz w:val="24"/>
          <w:szCs w:val="24"/>
        </w:rPr>
        <w:t>The Pearson correlation estimates the strength of the linear association between two continuous variables</w:t>
      </w:r>
      <w:r w:rsidR="00F57019" w:rsidRPr="00C34F3A">
        <w:rPr>
          <w:rFonts w:ascii="Times New Roman" w:hAnsi="Times New Roman" w:cs="Times New Roman"/>
          <w:sz w:val="24"/>
          <w:szCs w:val="24"/>
        </w:rPr>
        <w:t xml:space="preserve">; </w:t>
      </w:r>
      <w:r w:rsidRPr="00C34F3A">
        <w:rPr>
          <w:rFonts w:ascii="Times New Roman" w:hAnsi="Times New Roman" w:cs="Times New Roman"/>
          <w:sz w:val="24"/>
          <w:szCs w:val="24"/>
        </w:rPr>
        <w:t xml:space="preserve">the magnitude of correlation ranges from -1 and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p>
    <w:p w:rsidR="00826C40" w:rsidRPr="00C34F3A" w:rsidRDefault="00826C40" w:rsidP="00826C40">
      <w:pPr>
        <w:autoSpaceDE w:val="0"/>
        <w:autoSpaceDN w:val="0"/>
        <w:adjustRightInd w:val="0"/>
        <w:spacing w:after="0" w:line="240" w:lineRule="auto"/>
        <w:rPr>
          <w:rFonts w:ascii="Times New Roman" w:hAnsi="Times New Roman" w:cs="Times New Roman"/>
          <w:sz w:val="24"/>
          <w:szCs w:val="24"/>
        </w:rPr>
      </w:pPr>
      <w:r w:rsidRPr="00C34F3A">
        <w:rPr>
          <w:rFonts w:ascii="Times New Roman" w:hAnsi="Times New Roman" w:cs="Times New Roman"/>
          <w:sz w:val="24"/>
          <w:u w:val="single"/>
        </w:rPr>
        <w:t>Systematic Assessment of Face Validity</w:t>
      </w:r>
      <w:r w:rsidRPr="00C34F3A">
        <w:rPr>
          <w:rFonts w:ascii="Times New Roman" w:hAnsi="Times New Roman" w:cs="Times New Roman"/>
          <w:sz w:val="24"/>
          <w:szCs w:val="24"/>
        </w:rPr>
        <w:t xml:space="preserve">: NCQA has identified and refined measure management into a standardized process called the HEDIS measure life cycle. </w:t>
      </w:r>
    </w:p>
    <w:p w:rsidR="00826C40" w:rsidRPr="00C34F3A" w:rsidRDefault="00826C40" w:rsidP="00826C40">
      <w:pPr>
        <w:autoSpaceDE w:val="0"/>
        <w:autoSpaceDN w:val="0"/>
        <w:adjustRightInd w:val="0"/>
        <w:spacing w:before="120" w:after="0" w:line="240" w:lineRule="auto"/>
        <w:rPr>
          <w:rFonts w:ascii="Times New Roman" w:hAnsi="Times New Roman" w:cs="Times New Roman"/>
          <w:sz w:val="24"/>
        </w:rPr>
      </w:pPr>
      <w:r w:rsidRPr="00C34F3A">
        <w:rPr>
          <w:rFonts w:ascii="Times New Roman" w:hAnsi="Times New Roman" w:cs="Times New Roman"/>
          <w:sz w:val="24"/>
        </w:rPr>
        <w:t xml:space="preserve">STEP 1: NCQA staff identifies areas of interest or gaps in care. </w:t>
      </w:r>
      <w:r w:rsidR="002E4E37">
        <w:rPr>
          <w:rFonts w:ascii="Times New Roman" w:hAnsi="Times New Roman" w:cs="Times New Roman"/>
          <w:sz w:val="24"/>
        </w:rPr>
        <w:t>Measurement Advisory Panels (MAPs)</w:t>
      </w:r>
      <w:r w:rsidRPr="00C34F3A">
        <w:rPr>
          <w:rFonts w:ascii="Times New Roman" w:hAnsi="Times New Roman" w:cs="Times New Roman"/>
          <w:sz w:val="24"/>
        </w:rPr>
        <w:t xml:space="preserve">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MAPs, the Technical Measurement Advisory Panel (TMAP) and the Committee on Performance Measurement (CPM) as well as other panels as necessary. </w:t>
      </w:r>
    </w:p>
    <w:p w:rsidR="00826C40" w:rsidRPr="00C34F3A" w:rsidRDefault="00826C40" w:rsidP="00826C40">
      <w:pPr>
        <w:autoSpaceDE w:val="0"/>
        <w:autoSpaceDN w:val="0"/>
        <w:adjustRightInd w:val="0"/>
        <w:spacing w:before="120" w:after="0" w:line="240" w:lineRule="auto"/>
        <w:rPr>
          <w:rFonts w:ascii="Times New Roman" w:hAnsi="Times New Roman" w:cs="Times New Roman"/>
          <w:sz w:val="24"/>
        </w:rPr>
      </w:pPr>
      <w:r w:rsidRPr="00C34F3A">
        <w:rPr>
          <w:rFonts w:ascii="Times New Roman" w:hAnsi="Times New Roman" w:cs="Times New Roman"/>
          <w:sz w:val="24"/>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rsidR="00826C40" w:rsidRPr="00C34F3A" w:rsidRDefault="00826C40" w:rsidP="00826C40">
      <w:pPr>
        <w:autoSpaceDE w:val="0"/>
        <w:autoSpaceDN w:val="0"/>
        <w:adjustRightInd w:val="0"/>
        <w:spacing w:before="120" w:after="0" w:line="240" w:lineRule="auto"/>
        <w:rPr>
          <w:rFonts w:ascii="Times New Roman" w:hAnsi="Times New Roman" w:cs="Times New Roman"/>
          <w:sz w:val="24"/>
        </w:rPr>
      </w:pPr>
      <w:r w:rsidRPr="00C34F3A">
        <w:rPr>
          <w:rFonts w:ascii="Times New Roman" w:hAnsi="Times New Roman" w:cs="Times New Roman"/>
          <w:sz w:val="24"/>
        </w:rPr>
        <w:t xml:space="preserve">STEP 3: Public Comment is a 30-day period of review that allows interested parties to offer feedback to NCQA and the CPM about new measures or about changes to existing measures. </w:t>
      </w:r>
      <w:r w:rsidRPr="00C34F3A">
        <w:rPr>
          <w:rFonts w:ascii="Times New Roman" w:hAnsi="Times New Roman" w:cs="Times New Roman"/>
          <w:sz w:val="24"/>
        </w:rPr>
        <w:b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rsidR="00826C40" w:rsidRPr="00C34F3A" w:rsidRDefault="00826C40" w:rsidP="00826C40">
      <w:pPr>
        <w:autoSpaceDE w:val="0"/>
        <w:autoSpaceDN w:val="0"/>
        <w:adjustRightInd w:val="0"/>
        <w:spacing w:before="120" w:after="0" w:line="240" w:lineRule="auto"/>
        <w:rPr>
          <w:rFonts w:ascii="Times New Roman" w:hAnsi="Times New Roman" w:cs="Times New Roman"/>
          <w:sz w:val="24"/>
        </w:rPr>
      </w:pPr>
      <w:r w:rsidRPr="00C34F3A">
        <w:rPr>
          <w:rFonts w:ascii="Times New Roman" w:hAnsi="Times New Roman" w:cs="Times New Roman"/>
          <w:sz w:val="24"/>
        </w:rPr>
        <w:t xml:space="preserve">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w:t>
      </w:r>
      <w:r w:rsidRPr="00C34F3A">
        <w:rPr>
          <w:rFonts w:ascii="Times New Roman" w:hAnsi="Times New Roman" w:cs="Times New Roman"/>
          <w:sz w:val="24"/>
        </w:rPr>
        <w:lastRenderedPageBreak/>
        <w:t>reporting and auditing on a one-year introductory basis, NCQA conducts a detailed evaluation of first-year data. The CPM uses evaluation results to decide whether the measure should become publicly reportable or whether it needs further modifications.</w:t>
      </w:r>
    </w:p>
    <w:p w:rsidR="00826C40" w:rsidRPr="00C34F3A" w:rsidRDefault="00826C40" w:rsidP="00826C40">
      <w:pPr>
        <w:autoSpaceDE w:val="0"/>
        <w:autoSpaceDN w:val="0"/>
        <w:adjustRightInd w:val="0"/>
        <w:spacing w:before="120" w:after="0" w:line="240" w:lineRule="auto"/>
        <w:rPr>
          <w:rFonts w:ascii="Times New Roman" w:hAnsi="Times New Roman" w:cs="Times New Roman"/>
          <w:sz w:val="24"/>
        </w:rPr>
      </w:pPr>
      <w:r w:rsidRPr="00C34F3A">
        <w:rPr>
          <w:rFonts w:ascii="Times New Roman" w:hAnsi="Times New Roman" w:cs="Times New Roman"/>
          <w:sz w:val="24"/>
        </w:rPr>
        <w:t xml:space="preserve">STEP 5: Public reporting is based on the first-year measure evaluation results. If the measure is approved, it will be publically reported and may be used for scoring in accreditation. </w:t>
      </w:r>
    </w:p>
    <w:p w:rsidR="002E4E37" w:rsidRDefault="002E4E37" w:rsidP="00826C40">
      <w:pPr>
        <w:autoSpaceDE w:val="0"/>
        <w:autoSpaceDN w:val="0"/>
        <w:adjustRightInd w:val="0"/>
        <w:spacing w:after="0" w:line="240" w:lineRule="auto"/>
        <w:rPr>
          <w:rFonts w:ascii="Times New Roman" w:hAnsi="Times New Roman" w:cs="Times New Roman"/>
          <w:sz w:val="24"/>
          <w:szCs w:val="24"/>
        </w:rPr>
      </w:pPr>
    </w:p>
    <w:p w:rsidR="00826C40" w:rsidRPr="00C34F3A" w:rsidRDefault="002E4E37" w:rsidP="00826C40">
      <w:pPr>
        <w:autoSpaceDE w:val="0"/>
        <w:autoSpaceDN w:val="0"/>
        <w:adjustRightInd w:val="0"/>
        <w:spacing w:after="0" w:line="240" w:lineRule="auto"/>
        <w:rPr>
          <w:rFonts w:ascii="Times New Roman" w:hAnsi="Times New Roman" w:cs="Times New Roman"/>
          <w:sz w:val="24"/>
          <w:szCs w:val="24"/>
        </w:rPr>
      </w:pPr>
      <w:r w:rsidRPr="00C34F3A">
        <w:rPr>
          <w:rFonts w:ascii="Times New Roman" w:hAnsi="Times New Roman" w:cs="Times New Roman"/>
          <w:sz w:val="24"/>
          <w:szCs w:val="24"/>
        </w:rPr>
        <w:t xml:space="preserve">STEP </w:t>
      </w:r>
      <w:r w:rsidR="00826C40" w:rsidRPr="00C34F3A">
        <w:rPr>
          <w:rFonts w:ascii="Times New Roman" w:hAnsi="Times New Roman" w:cs="Times New Roman"/>
          <w:sz w:val="24"/>
          <w:szCs w:val="24"/>
        </w:rPr>
        <w:t xml:space="preserve">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rsidR="00826C40" w:rsidRPr="00C34F3A" w:rsidRDefault="00826C40" w:rsidP="00826C40">
      <w:pPr>
        <w:spacing w:before="120" w:after="0" w:line="240" w:lineRule="auto"/>
        <w:rPr>
          <w:rFonts w:ascii="Times New Roman" w:hAnsi="Times New Roman" w:cs="Times New Roman"/>
          <w:sz w:val="24"/>
        </w:rPr>
      </w:pPr>
      <w:r w:rsidRPr="00C34F3A">
        <w:rPr>
          <w:rFonts w:ascii="Times New Roman" w:hAnsi="Times New Roman" w:cs="Times New Roman"/>
          <w:sz w:val="24"/>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rsidR="00833325" w:rsidRPr="00C34F3A" w:rsidRDefault="00833325" w:rsidP="001E1C5D">
      <w:pPr>
        <w:spacing w:after="0" w:line="240" w:lineRule="auto"/>
        <w:rPr>
          <w:rFonts w:ascii="Times New Roman" w:hAnsi="Times New Roman" w:cs="Times New Roman"/>
          <w:bCs/>
          <w:sz w:val="24"/>
          <w:szCs w:val="24"/>
        </w:rPr>
      </w:pPr>
    </w:p>
    <w:p w:rsidR="00833325" w:rsidRPr="00A25024" w:rsidRDefault="00833325" w:rsidP="00DB3627">
      <w:pPr>
        <w:autoSpaceDE w:val="0"/>
        <w:autoSpaceDN w:val="0"/>
        <w:adjustRightInd w:val="0"/>
        <w:spacing w:after="0" w:line="240" w:lineRule="auto"/>
        <w:rPr>
          <w:rFonts w:cstheme="minorHAnsi"/>
          <w:bCs/>
        </w:rPr>
      </w:pPr>
    </w:p>
    <w:p w:rsidR="00826C40" w:rsidRPr="00C34F3A" w:rsidRDefault="00092566" w:rsidP="00826C40">
      <w:pPr>
        <w:rPr>
          <w:rFonts w:ascii="Times New Roman" w:hAnsi="Times New Roman" w:cs="Times New Roman"/>
          <w:sz w:val="24"/>
          <w:szCs w:val="24"/>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826C40" w:rsidRPr="00C34F3A">
        <w:rPr>
          <w:rFonts w:ascii="Times New Roman" w:hAnsi="Times New Roman" w:cs="Times New Roman"/>
          <w:sz w:val="24"/>
          <w:szCs w:val="24"/>
        </w:rPr>
        <w:t>Across all sites and all ages combined, the sensitivity, specificity, and PPV by drug and by laboratory test is shown below.</w:t>
      </w:r>
    </w:p>
    <w:p w:rsidR="00826C40" w:rsidRPr="004529B8" w:rsidRDefault="00826C40" w:rsidP="00826C40">
      <w:pPr>
        <w:spacing w:after="0" w:line="240" w:lineRule="auto"/>
        <w:rPr>
          <w:sz w:val="20"/>
          <w:u w:val="single"/>
        </w:rPr>
      </w:pPr>
      <w:r w:rsidRPr="00C34F3A">
        <w:rPr>
          <w:rFonts w:ascii="Times New Roman" w:hAnsi="Times New Roman" w:cs="Times New Roman"/>
          <w:bCs/>
          <w:sz w:val="24"/>
          <w:u w:val="single"/>
        </w:rPr>
        <w:t>Results of testing critical data element validity: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800"/>
        <w:gridCol w:w="1890"/>
        <w:gridCol w:w="1080"/>
      </w:tblGrid>
      <w:tr w:rsidR="00826C40" w:rsidRPr="00C34F3A" w:rsidTr="00826C40">
        <w:tc>
          <w:tcPr>
            <w:tcW w:w="3510" w:type="dxa"/>
          </w:tcPr>
          <w:p w:rsidR="00826C40" w:rsidRPr="00C34F3A" w:rsidRDefault="00826C40" w:rsidP="00826C40">
            <w:pPr>
              <w:spacing w:after="0" w:line="240" w:lineRule="auto"/>
              <w:rPr>
                <w:rFonts w:ascii="Times New Roman" w:hAnsi="Times New Roman" w:cs="Times New Roman"/>
                <w:b/>
                <w:i/>
              </w:rPr>
            </w:pPr>
            <w:r w:rsidRPr="00C34F3A">
              <w:rPr>
                <w:rFonts w:ascii="Times New Roman" w:hAnsi="Times New Roman" w:cs="Times New Roman"/>
                <w:b/>
                <w:i/>
              </w:rPr>
              <w:t>Drug</w:t>
            </w:r>
          </w:p>
        </w:tc>
        <w:tc>
          <w:tcPr>
            <w:tcW w:w="1800" w:type="dxa"/>
          </w:tcPr>
          <w:p w:rsidR="00826C40" w:rsidRPr="00C34F3A" w:rsidRDefault="00826C40" w:rsidP="00826C40">
            <w:pPr>
              <w:spacing w:after="0" w:line="240" w:lineRule="auto"/>
              <w:rPr>
                <w:rFonts w:ascii="Times New Roman" w:hAnsi="Times New Roman" w:cs="Times New Roman"/>
                <w:b/>
                <w:i/>
              </w:rPr>
            </w:pPr>
            <w:r w:rsidRPr="00C34F3A">
              <w:rPr>
                <w:rFonts w:ascii="Times New Roman" w:hAnsi="Times New Roman" w:cs="Times New Roman"/>
                <w:b/>
                <w:i/>
              </w:rPr>
              <w:t>Sensitivity (%)</w:t>
            </w:r>
          </w:p>
        </w:tc>
        <w:tc>
          <w:tcPr>
            <w:tcW w:w="1890" w:type="dxa"/>
          </w:tcPr>
          <w:p w:rsidR="00826C40" w:rsidRPr="00C34F3A" w:rsidRDefault="00826C40" w:rsidP="00826C40">
            <w:pPr>
              <w:spacing w:after="0" w:line="240" w:lineRule="auto"/>
              <w:rPr>
                <w:rFonts w:ascii="Times New Roman" w:hAnsi="Times New Roman" w:cs="Times New Roman"/>
                <w:b/>
                <w:i/>
              </w:rPr>
            </w:pPr>
            <w:r w:rsidRPr="00C34F3A">
              <w:rPr>
                <w:rFonts w:ascii="Times New Roman" w:hAnsi="Times New Roman" w:cs="Times New Roman"/>
                <w:b/>
                <w:i/>
              </w:rPr>
              <w:t>Specificity (%)</w:t>
            </w:r>
          </w:p>
        </w:tc>
        <w:tc>
          <w:tcPr>
            <w:tcW w:w="1080" w:type="dxa"/>
          </w:tcPr>
          <w:p w:rsidR="00826C40" w:rsidRPr="00C34F3A" w:rsidRDefault="00826C40" w:rsidP="00826C40">
            <w:pPr>
              <w:spacing w:after="0" w:line="240" w:lineRule="auto"/>
              <w:rPr>
                <w:rFonts w:ascii="Times New Roman" w:hAnsi="Times New Roman" w:cs="Times New Roman"/>
                <w:b/>
                <w:i/>
              </w:rPr>
            </w:pPr>
            <w:r w:rsidRPr="00C34F3A">
              <w:rPr>
                <w:rFonts w:ascii="Times New Roman" w:hAnsi="Times New Roman" w:cs="Times New Roman"/>
                <w:b/>
                <w:i/>
              </w:rPr>
              <w:t>PPV (%)</w:t>
            </w:r>
          </w:p>
        </w:tc>
      </w:tr>
      <w:tr w:rsidR="00826C40" w:rsidRPr="00C34F3A" w:rsidTr="00826C40">
        <w:tc>
          <w:tcPr>
            <w:tcW w:w="3510" w:type="dxa"/>
          </w:tcPr>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ACEI and ACEI Combinations</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Serum creatinine</w:t>
            </w:r>
          </w:p>
          <w:p w:rsidR="00826C40" w:rsidRPr="00C34F3A" w:rsidRDefault="00826C40" w:rsidP="002E4E37">
            <w:pPr>
              <w:spacing w:after="0" w:line="240" w:lineRule="auto"/>
              <w:rPr>
                <w:rFonts w:ascii="Times New Roman" w:hAnsi="Times New Roman" w:cs="Times New Roman"/>
              </w:rPr>
            </w:pPr>
            <w:r w:rsidRPr="00C34F3A">
              <w:rPr>
                <w:rFonts w:ascii="Times New Roman" w:hAnsi="Times New Roman" w:cs="Times New Roman"/>
              </w:rPr>
              <w:t xml:space="preserve">     </w:t>
            </w:r>
            <w:r w:rsidR="002E4E37">
              <w:rPr>
                <w:rFonts w:ascii="Times New Roman" w:hAnsi="Times New Roman" w:cs="Times New Roman"/>
              </w:rPr>
              <w:t>Serum potassium</w:t>
            </w:r>
          </w:p>
        </w:tc>
        <w:tc>
          <w:tcPr>
            <w:tcW w:w="180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97</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97</w:t>
            </w:r>
          </w:p>
        </w:tc>
        <w:tc>
          <w:tcPr>
            <w:tcW w:w="189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83</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87</w:t>
            </w:r>
          </w:p>
        </w:tc>
        <w:tc>
          <w:tcPr>
            <w:tcW w:w="108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95</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95</w:t>
            </w:r>
          </w:p>
        </w:tc>
      </w:tr>
      <w:tr w:rsidR="00826C40" w:rsidRPr="00C34F3A" w:rsidTr="00826C40">
        <w:tc>
          <w:tcPr>
            <w:tcW w:w="3510" w:type="dxa"/>
          </w:tcPr>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ARB and ARB Combinations</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Serum creatinine</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w:t>
            </w:r>
            <w:r w:rsidR="002E4E37">
              <w:rPr>
                <w:rFonts w:ascii="Times New Roman" w:hAnsi="Times New Roman" w:cs="Times New Roman"/>
              </w:rPr>
              <w:t>Serum potassium</w:t>
            </w:r>
          </w:p>
        </w:tc>
        <w:tc>
          <w:tcPr>
            <w:tcW w:w="180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89</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89</w:t>
            </w:r>
          </w:p>
        </w:tc>
        <w:tc>
          <w:tcPr>
            <w:tcW w:w="189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67</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82</w:t>
            </w:r>
          </w:p>
        </w:tc>
        <w:tc>
          <w:tcPr>
            <w:tcW w:w="108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92</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94</w:t>
            </w:r>
          </w:p>
        </w:tc>
      </w:tr>
      <w:tr w:rsidR="00826C40" w:rsidRPr="00C34F3A" w:rsidTr="00826C40">
        <w:tc>
          <w:tcPr>
            <w:tcW w:w="3510" w:type="dxa"/>
          </w:tcPr>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Digoxin</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Serum creatinine</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w:t>
            </w:r>
            <w:r w:rsidR="002E4E37">
              <w:rPr>
                <w:rFonts w:ascii="Times New Roman" w:hAnsi="Times New Roman" w:cs="Times New Roman"/>
              </w:rPr>
              <w:t>Serum potassium</w:t>
            </w:r>
          </w:p>
        </w:tc>
        <w:tc>
          <w:tcPr>
            <w:tcW w:w="180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93</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98</w:t>
            </w:r>
          </w:p>
        </w:tc>
        <w:tc>
          <w:tcPr>
            <w:tcW w:w="189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62</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69</w:t>
            </w:r>
          </w:p>
        </w:tc>
        <w:tc>
          <w:tcPr>
            <w:tcW w:w="108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89</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89</w:t>
            </w:r>
          </w:p>
        </w:tc>
      </w:tr>
      <w:tr w:rsidR="00826C40" w:rsidRPr="00C34F3A" w:rsidTr="00826C40">
        <w:tc>
          <w:tcPr>
            <w:tcW w:w="3510" w:type="dxa"/>
          </w:tcPr>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Diuretics and Diuretic Combinations</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Serum creatinine </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w:t>
            </w:r>
            <w:r w:rsidR="002E4E37">
              <w:rPr>
                <w:rFonts w:ascii="Times New Roman" w:hAnsi="Times New Roman" w:cs="Times New Roman"/>
              </w:rPr>
              <w:t>Serum potassium</w:t>
            </w:r>
          </w:p>
        </w:tc>
        <w:tc>
          <w:tcPr>
            <w:tcW w:w="180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96</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96</w:t>
            </w:r>
          </w:p>
        </w:tc>
        <w:tc>
          <w:tcPr>
            <w:tcW w:w="1890" w:type="dxa"/>
          </w:tcPr>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 xml:space="preserve"> </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91</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80</w:t>
            </w:r>
          </w:p>
        </w:tc>
        <w:tc>
          <w:tcPr>
            <w:tcW w:w="1080" w:type="dxa"/>
          </w:tcPr>
          <w:p w:rsidR="00826C40" w:rsidRPr="00C34F3A" w:rsidRDefault="00826C40" w:rsidP="00826C40">
            <w:pPr>
              <w:spacing w:after="0" w:line="240" w:lineRule="auto"/>
              <w:rPr>
                <w:rFonts w:ascii="Times New Roman" w:hAnsi="Times New Roman" w:cs="Times New Roman"/>
              </w:rPr>
            </w:pP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98</w:t>
            </w:r>
          </w:p>
          <w:p w:rsidR="00826C40" w:rsidRPr="00C34F3A" w:rsidRDefault="00826C40" w:rsidP="00826C40">
            <w:pPr>
              <w:spacing w:after="0" w:line="240" w:lineRule="auto"/>
              <w:rPr>
                <w:rFonts w:ascii="Times New Roman" w:hAnsi="Times New Roman" w:cs="Times New Roman"/>
              </w:rPr>
            </w:pPr>
            <w:r w:rsidRPr="00C34F3A">
              <w:rPr>
                <w:rFonts w:ascii="Times New Roman" w:hAnsi="Times New Roman" w:cs="Times New Roman"/>
              </w:rPr>
              <w:t>95</w:t>
            </w:r>
          </w:p>
        </w:tc>
      </w:tr>
    </w:tbl>
    <w:p w:rsidR="00826C40" w:rsidRPr="00F57019" w:rsidRDefault="00F57019" w:rsidP="00F57019">
      <w:pPr>
        <w:spacing w:line="240" w:lineRule="auto"/>
        <w:rPr>
          <w:rFonts w:ascii="Times New Roman" w:hAnsi="Times New Roman" w:cs="Times New Roman"/>
        </w:rPr>
      </w:pPr>
      <w:r w:rsidRPr="00F57019">
        <w:rPr>
          <w:rFonts w:ascii="Times New Roman" w:hAnsi="Times New Roman" w:cs="Times New Roman"/>
        </w:rPr>
        <w:t>*Serum Digoxin was added to the measure after initial field testing, therefore we do not have critical data element validity data for this monitoring parameter.</w:t>
      </w:r>
    </w:p>
    <w:p w:rsidR="00826C40" w:rsidRPr="00C34F3A" w:rsidRDefault="00826C40" w:rsidP="00826C40">
      <w:pPr>
        <w:spacing w:after="0"/>
        <w:rPr>
          <w:rFonts w:ascii="Times New Roman" w:hAnsi="Times New Roman" w:cs="Times New Roman"/>
          <w:bCs/>
          <w:sz w:val="24"/>
          <w:u w:val="single"/>
        </w:rPr>
      </w:pPr>
      <w:r w:rsidRPr="00C34F3A">
        <w:rPr>
          <w:rFonts w:ascii="Times New Roman" w:hAnsi="Times New Roman" w:cs="Times New Roman"/>
          <w:sz w:val="24"/>
          <w:u w:val="single"/>
        </w:rPr>
        <w:t xml:space="preserve">Results of </w:t>
      </w:r>
      <w:r w:rsidRPr="00C34F3A">
        <w:rPr>
          <w:rFonts w:ascii="Times New Roman" w:hAnsi="Times New Roman" w:cs="Times New Roman"/>
          <w:bCs/>
          <w:sz w:val="24"/>
          <w:u w:val="single"/>
        </w:rPr>
        <w:t>empirical validity testing:</w:t>
      </w:r>
    </w:p>
    <w:tbl>
      <w:tblPr>
        <w:tblW w:w="7176" w:type="dxa"/>
        <w:tblLook w:val="04A0" w:firstRow="1" w:lastRow="0" w:firstColumn="1" w:lastColumn="0" w:noHBand="0" w:noVBand="1"/>
      </w:tblPr>
      <w:tblGrid>
        <w:gridCol w:w="2060"/>
        <w:gridCol w:w="1800"/>
        <w:gridCol w:w="1658"/>
        <w:gridCol w:w="1658"/>
      </w:tblGrid>
      <w:tr w:rsidR="00826C40" w:rsidRPr="00826C40" w:rsidTr="00826C40">
        <w:trPr>
          <w:trHeight w:val="567"/>
        </w:trPr>
        <w:tc>
          <w:tcPr>
            <w:tcW w:w="2060" w:type="dxa"/>
            <w:tcBorders>
              <w:top w:val="single" w:sz="4" w:space="0" w:color="auto"/>
              <w:left w:val="single" w:sz="8" w:space="0" w:color="000000"/>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t> </w:t>
            </w:r>
          </w:p>
        </w:tc>
        <w:tc>
          <w:tcPr>
            <w:tcW w:w="1800" w:type="dxa"/>
            <w:tcBorders>
              <w:top w:val="single" w:sz="4" w:space="0" w:color="auto"/>
              <w:left w:val="nil"/>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t>ACE inhibitors or ARBs</w:t>
            </w:r>
          </w:p>
        </w:tc>
        <w:tc>
          <w:tcPr>
            <w:tcW w:w="1658" w:type="dxa"/>
            <w:tcBorders>
              <w:top w:val="single" w:sz="4" w:space="0" w:color="auto"/>
              <w:left w:val="nil"/>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t>Digoxin</w:t>
            </w:r>
          </w:p>
        </w:tc>
        <w:tc>
          <w:tcPr>
            <w:tcW w:w="1658" w:type="dxa"/>
            <w:tcBorders>
              <w:top w:val="single" w:sz="4" w:space="0" w:color="auto"/>
              <w:left w:val="nil"/>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t>Diuretics</w:t>
            </w:r>
          </w:p>
        </w:tc>
      </w:tr>
      <w:tr w:rsidR="00826C40" w:rsidRPr="00826C40" w:rsidTr="00826C40">
        <w:trPr>
          <w:trHeight w:val="300"/>
        </w:trPr>
        <w:tc>
          <w:tcPr>
            <w:tcW w:w="2060" w:type="dxa"/>
            <w:vMerge w:val="restart"/>
            <w:tcBorders>
              <w:top w:val="nil"/>
              <w:left w:val="single" w:sz="8" w:space="0" w:color="000000"/>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lastRenderedPageBreak/>
              <w:t>ACE inhibitors or ARBs</w:t>
            </w:r>
          </w:p>
        </w:tc>
        <w:tc>
          <w:tcPr>
            <w:tcW w:w="1800" w:type="dxa"/>
            <w:tcBorders>
              <w:top w:val="nil"/>
              <w:left w:val="nil"/>
              <w:bottom w:val="nil"/>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nil"/>
              <w:left w:val="nil"/>
              <w:bottom w:val="nil"/>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R=0.76519</w:t>
            </w:r>
          </w:p>
        </w:tc>
        <w:tc>
          <w:tcPr>
            <w:tcW w:w="1658" w:type="dxa"/>
            <w:tcBorders>
              <w:top w:val="nil"/>
              <w:left w:val="nil"/>
              <w:bottom w:val="nil"/>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R=0.98173</w:t>
            </w:r>
          </w:p>
        </w:tc>
      </w:tr>
      <w:tr w:rsidR="00826C40" w:rsidRPr="00826C40" w:rsidTr="00826C40">
        <w:trPr>
          <w:trHeight w:val="300"/>
        </w:trPr>
        <w:tc>
          <w:tcPr>
            <w:tcW w:w="2060" w:type="dxa"/>
            <w:vMerge/>
            <w:tcBorders>
              <w:top w:val="nil"/>
              <w:left w:val="single" w:sz="8" w:space="0" w:color="000000"/>
              <w:bottom w:val="single" w:sz="4" w:space="0" w:color="000000"/>
              <w:right w:val="single" w:sz="4" w:space="0" w:color="000000"/>
            </w:tcBorders>
            <w:vAlign w:val="center"/>
            <w:hideMark/>
          </w:tcPr>
          <w:p w:rsidR="00826C40" w:rsidRPr="00826C40" w:rsidRDefault="00826C40" w:rsidP="00826C40">
            <w:pPr>
              <w:spacing w:after="0" w:line="240" w:lineRule="auto"/>
              <w:rPr>
                <w:rFonts w:ascii="Times New Roman" w:eastAsia="Times New Roman" w:hAnsi="Times New Roman" w:cs="Times New Roman"/>
                <w:bCs/>
              </w:rPr>
            </w:pPr>
          </w:p>
        </w:tc>
        <w:tc>
          <w:tcPr>
            <w:tcW w:w="1800" w:type="dxa"/>
            <w:tcBorders>
              <w:top w:val="nil"/>
              <w:left w:val="nil"/>
              <w:bottom w:val="single" w:sz="4" w:space="0" w:color="auto"/>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nil"/>
              <w:left w:val="nil"/>
              <w:bottom w:val="single" w:sz="4" w:space="0" w:color="auto"/>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p&lt;.0001</w:t>
            </w:r>
          </w:p>
        </w:tc>
        <w:tc>
          <w:tcPr>
            <w:tcW w:w="1658" w:type="dxa"/>
            <w:tcBorders>
              <w:top w:val="nil"/>
              <w:left w:val="nil"/>
              <w:bottom w:val="single" w:sz="4" w:space="0" w:color="auto"/>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p&lt;.0001</w:t>
            </w:r>
          </w:p>
        </w:tc>
      </w:tr>
      <w:tr w:rsidR="00826C40" w:rsidRPr="00826C40" w:rsidTr="00826C40">
        <w:trPr>
          <w:trHeight w:val="300"/>
        </w:trPr>
        <w:tc>
          <w:tcPr>
            <w:tcW w:w="2060" w:type="dxa"/>
            <w:vMerge w:val="restart"/>
            <w:tcBorders>
              <w:top w:val="nil"/>
              <w:left w:val="single" w:sz="8" w:space="0" w:color="000000"/>
              <w:bottom w:val="single" w:sz="4" w:space="0" w:color="000000"/>
              <w:right w:val="single" w:sz="4" w:space="0" w:color="000000"/>
            </w:tcBorders>
            <w:shd w:val="clear" w:color="000000" w:fill="FFFFFF"/>
            <w:hideMark/>
          </w:tcPr>
          <w:p w:rsidR="00826C40" w:rsidRPr="00826C40" w:rsidRDefault="00826C40" w:rsidP="00826C40">
            <w:pPr>
              <w:spacing w:after="0" w:line="240" w:lineRule="auto"/>
              <w:jc w:val="center"/>
              <w:rPr>
                <w:rFonts w:ascii="Times New Roman" w:eastAsia="Times New Roman" w:hAnsi="Times New Roman" w:cs="Times New Roman"/>
                <w:bCs/>
              </w:rPr>
            </w:pPr>
            <w:r w:rsidRPr="00826C40">
              <w:rPr>
                <w:rFonts w:ascii="Times New Roman" w:eastAsia="Times New Roman" w:hAnsi="Times New Roman" w:cs="Times New Roman"/>
                <w:bCs/>
              </w:rPr>
              <w:t>Digoxin</w:t>
            </w:r>
          </w:p>
        </w:tc>
        <w:tc>
          <w:tcPr>
            <w:tcW w:w="1800" w:type="dxa"/>
            <w:tcBorders>
              <w:top w:val="single" w:sz="4" w:space="0" w:color="auto"/>
              <w:left w:val="nil"/>
              <w:bottom w:val="nil"/>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single" w:sz="4" w:space="0" w:color="auto"/>
              <w:left w:val="nil"/>
              <w:bottom w:val="nil"/>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single" w:sz="4" w:space="0" w:color="auto"/>
              <w:left w:val="nil"/>
              <w:bottom w:val="nil"/>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R=0.76525</w:t>
            </w:r>
          </w:p>
        </w:tc>
      </w:tr>
      <w:tr w:rsidR="00826C40" w:rsidRPr="00826C40" w:rsidTr="00826C40">
        <w:trPr>
          <w:trHeight w:val="300"/>
        </w:trPr>
        <w:tc>
          <w:tcPr>
            <w:tcW w:w="2060" w:type="dxa"/>
            <w:vMerge/>
            <w:tcBorders>
              <w:top w:val="nil"/>
              <w:left w:val="single" w:sz="8" w:space="0" w:color="000000"/>
              <w:bottom w:val="single" w:sz="4" w:space="0" w:color="000000"/>
              <w:right w:val="single" w:sz="4" w:space="0" w:color="000000"/>
            </w:tcBorders>
            <w:vAlign w:val="center"/>
            <w:hideMark/>
          </w:tcPr>
          <w:p w:rsidR="00826C40" w:rsidRPr="00826C40" w:rsidRDefault="00826C40" w:rsidP="00826C40">
            <w:pPr>
              <w:spacing w:after="0" w:line="240" w:lineRule="auto"/>
              <w:rPr>
                <w:rFonts w:ascii="Times New Roman" w:eastAsia="Times New Roman" w:hAnsi="Times New Roman" w:cs="Times New Roman"/>
                <w:bCs/>
              </w:rPr>
            </w:pPr>
          </w:p>
        </w:tc>
        <w:tc>
          <w:tcPr>
            <w:tcW w:w="1800" w:type="dxa"/>
            <w:tcBorders>
              <w:top w:val="nil"/>
              <w:left w:val="nil"/>
              <w:bottom w:val="single" w:sz="4" w:space="0" w:color="auto"/>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nil"/>
              <w:left w:val="nil"/>
              <w:bottom w:val="single" w:sz="4" w:space="0" w:color="auto"/>
              <w:right w:val="single" w:sz="4" w:space="0" w:color="000000"/>
            </w:tcBorders>
            <w:shd w:val="clear" w:color="000000" w:fill="FFFFFF"/>
            <w:vAlign w:val="center"/>
            <w:hideMark/>
          </w:tcPr>
          <w:p w:rsidR="00826C40" w:rsidRPr="00826C40" w:rsidRDefault="00826C40" w:rsidP="00826C40">
            <w:pPr>
              <w:spacing w:after="0" w:line="240" w:lineRule="auto"/>
              <w:jc w:val="center"/>
              <w:rPr>
                <w:rFonts w:ascii="Times New Roman" w:eastAsia="Times New Roman" w:hAnsi="Times New Roman" w:cs="Times New Roman"/>
              </w:rPr>
            </w:pPr>
            <w:r w:rsidRPr="00826C40">
              <w:rPr>
                <w:rFonts w:ascii="Times New Roman" w:eastAsia="Times New Roman" w:hAnsi="Times New Roman" w:cs="Times New Roman"/>
              </w:rPr>
              <w:t>-</w:t>
            </w:r>
          </w:p>
        </w:tc>
        <w:tc>
          <w:tcPr>
            <w:tcW w:w="1658" w:type="dxa"/>
            <w:tcBorders>
              <w:top w:val="nil"/>
              <w:left w:val="nil"/>
              <w:bottom w:val="single" w:sz="4" w:space="0" w:color="auto"/>
              <w:right w:val="single" w:sz="4" w:space="0" w:color="000000"/>
            </w:tcBorders>
            <w:shd w:val="clear" w:color="000000" w:fill="FFFFFF"/>
            <w:hideMark/>
          </w:tcPr>
          <w:p w:rsidR="00826C40" w:rsidRPr="00826C40" w:rsidRDefault="00826C40" w:rsidP="00826C40">
            <w:pPr>
              <w:spacing w:after="0" w:line="240" w:lineRule="auto"/>
              <w:jc w:val="right"/>
              <w:rPr>
                <w:rFonts w:ascii="Times New Roman" w:eastAsia="Times New Roman" w:hAnsi="Times New Roman" w:cs="Times New Roman"/>
              </w:rPr>
            </w:pPr>
            <w:r w:rsidRPr="00826C40">
              <w:rPr>
                <w:rFonts w:ascii="Times New Roman" w:eastAsia="Times New Roman" w:hAnsi="Times New Roman" w:cs="Times New Roman"/>
              </w:rPr>
              <w:t>p&lt;.0001</w:t>
            </w:r>
          </w:p>
        </w:tc>
      </w:tr>
    </w:tbl>
    <w:p w:rsidR="00826C40" w:rsidRDefault="00826C40" w:rsidP="00826C40"/>
    <w:p w:rsidR="00826C40" w:rsidRPr="00C34F3A" w:rsidRDefault="00826C40" w:rsidP="00826C40">
      <w:pPr>
        <w:rPr>
          <w:rFonts w:ascii="Times New Roman" w:hAnsi="Times New Roman" w:cs="Times New Roman"/>
          <w:sz w:val="24"/>
          <w:u w:val="single"/>
        </w:rPr>
      </w:pPr>
      <w:r w:rsidRPr="00C34F3A">
        <w:rPr>
          <w:rFonts w:ascii="Times New Roman" w:hAnsi="Times New Roman" w:cs="Times New Roman"/>
          <w:sz w:val="24"/>
          <w:u w:val="single"/>
        </w:rPr>
        <w:t>Results of Systematic Assessment of Face Validity</w:t>
      </w:r>
    </w:p>
    <w:p w:rsidR="004529B8" w:rsidRPr="00C34F3A" w:rsidRDefault="004529B8" w:rsidP="004529B8">
      <w:pPr>
        <w:spacing w:after="0" w:line="240" w:lineRule="auto"/>
        <w:rPr>
          <w:rFonts w:ascii="Times New Roman" w:hAnsi="Times New Roman" w:cs="Times New Roman"/>
          <w:sz w:val="24"/>
          <w:szCs w:val="24"/>
        </w:rPr>
      </w:pPr>
      <w:r w:rsidRPr="00C34F3A">
        <w:rPr>
          <w:rFonts w:ascii="Times New Roman" w:hAnsi="Times New Roman" w:cs="Times New Roman"/>
          <w:sz w:val="24"/>
          <w:szCs w:val="24"/>
        </w:rPr>
        <w:t xml:space="preserve">Step 1: </w:t>
      </w:r>
      <w:r w:rsidRPr="00C34F3A">
        <w:rPr>
          <w:rFonts w:ascii="Times New Roman" w:eastAsia="Times New Roman" w:hAnsi="Times New Roman" w:cs="Times New Roman"/>
          <w:sz w:val="24"/>
          <w:szCs w:val="24"/>
        </w:rPr>
        <w:t xml:space="preserve">This </w:t>
      </w:r>
      <w:r w:rsidRPr="00C34F3A">
        <w:rPr>
          <w:rFonts w:ascii="Times New Roman" w:hAnsi="Times New Roman" w:cs="Times New Roman"/>
          <w:sz w:val="24"/>
          <w:szCs w:val="24"/>
        </w:rPr>
        <w:t>measure was developed to address</w:t>
      </w:r>
      <w:r w:rsidR="00783F0A" w:rsidRPr="00C34F3A">
        <w:rPr>
          <w:rFonts w:ascii="Times New Roman" w:hAnsi="Times New Roman" w:cs="Times New Roman"/>
          <w:sz w:val="24"/>
          <w:szCs w:val="24"/>
        </w:rPr>
        <w:t xml:space="preserve"> medication safety for commonly used long-term medications </w:t>
      </w:r>
      <w:r w:rsidRPr="00C34F3A">
        <w:rPr>
          <w:rFonts w:ascii="Times New Roman" w:hAnsi="Times New Roman" w:cs="Times New Roman"/>
          <w:sz w:val="24"/>
          <w:szCs w:val="24"/>
        </w:rPr>
        <w:t xml:space="preserve">in 2004. NCQA and the </w:t>
      </w:r>
      <w:r w:rsidRPr="00C34F3A">
        <w:rPr>
          <w:rFonts w:ascii="Times New Roman" w:eastAsia="Times New Roman" w:hAnsi="Times New Roman" w:cs="Times New Roman"/>
          <w:sz w:val="24"/>
          <w:szCs w:val="24"/>
        </w:rPr>
        <w:t xml:space="preserve">Geriatric </w:t>
      </w:r>
      <w:r w:rsidRPr="00C34F3A">
        <w:rPr>
          <w:rFonts w:ascii="Times New Roman" w:hAnsi="Times New Roman" w:cs="Times New Roman"/>
          <w:sz w:val="24"/>
          <w:szCs w:val="24"/>
        </w:rPr>
        <w:t>MAP worked together to assess</w:t>
      </w:r>
      <w:r w:rsidR="00783F0A" w:rsidRPr="00C34F3A">
        <w:rPr>
          <w:rFonts w:ascii="Times New Roman" w:hAnsi="Times New Roman" w:cs="Times New Roman"/>
          <w:sz w:val="24"/>
          <w:szCs w:val="24"/>
        </w:rPr>
        <w:t xml:space="preserve"> the most appropriate tools for evaluating health plan performance at monitoring individuals taking common persistent medications.</w:t>
      </w:r>
    </w:p>
    <w:p w:rsidR="004529B8" w:rsidRPr="00C34F3A" w:rsidRDefault="004529B8" w:rsidP="004529B8">
      <w:pPr>
        <w:spacing w:before="120" w:after="0" w:line="240" w:lineRule="auto"/>
        <w:rPr>
          <w:rFonts w:ascii="Times New Roman" w:hAnsi="Times New Roman" w:cs="Times New Roman"/>
          <w:sz w:val="24"/>
        </w:rPr>
      </w:pPr>
      <w:r w:rsidRPr="00C34F3A">
        <w:rPr>
          <w:rFonts w:ascii="Times New Roman" w:hAnsi="Times New Roman" w:cs="Times New Roman"/>
          <w:sz w:val="24"/>
        </w:rPr>
        <w:t>Step 2: The measure was written and field-tested in 2004. After reviewing field test results, the CPM recommended to send the measure to public comment with a majority vote in 2005.</w:t>
      </w:r>
    </w:p>
    <w:p w:rsidR="004529B8" w:rsidRPr="00C34F3A" w:rsidRDefault="004529B8" w:rsidP="004529B8">
      <w:pPr>
        <w:spacing w:before="120" w:after="0" w:line="240" w:lineRule="auto"/>
        <w:rPr>
          <w:rFonts w:ascii="Times New Roman" w:hAnsi="Times New Roman" w:cs="Times New Roman"/>
          <w:sz w:val="24"/>
        </w:rPr>
      </w:pPr>
      <w:r w:rsidRPr="00C34F3A">
        <w:rPr>
          <w:rFonts w:ascii="Times New Roman" w:hAnsi="Times New Roman" w:cs="Times New Roman"/>
          <w:sz w:val="24"/>
        </w:rPr>
        <w:t xml:space="preserve">Step 3: The measure was released for Public Comment in 2005 prior to publication in HEDIS. We received and responded to </w:t>
      </w:r>
      <w:r w:rsidR="00C34F3A" w:rsidRPr="00C34F3A">
        <w:rPr>
          <w:rFonts w:ascii="Times New Roman" w:hAnsi="Times New Roman" w:cs="Times New Roman"/>
          <w:sz w:val="24"/>
        </w:rPr>
        <w:t>32</w:t>
      </w:r>
      <w:r w:rsidRPr="00C34F3A">
        <w:rPr>
          <w:rFonts w:ascii="Times New Roman" w:hAnsi="Times New Roman" w:cs="Times New Roman"/>
          <w:sz w:val="24"/>
        </w:rPr>
        <w:t xml:space="preserve"> comments on this measure. The CPM recommended moving this measure to first year data collection by a majority vote. </w:t>
      </w:r>
    </w:p>
    <w:p w:rsidR="004529B8" w:rsidRPr="00C34F3A" w:rsidRDefault="004529B8" w:rsidP="004529B8">
      <w:pPr>
        <w:spacing w:before="120" w:after="0" w:line="240" w:lineRule="auto"/>
        <w:rPr>
          <w:rFonts w:ascii="Times New Roman" w:hAnsi="Times New Roman" w:cs="Times New Roman"/>
          <w:sz w:val="24"/>
        </w:rPr>
      </w:pPr>
      <w:r w:rsidRPr="00C34F3A">
        <w:rPr>
          <w:rFonts w:ascii="Times New Roman" w:hAnsi="Times New Roman" w:cs="Times New Roman"/>
          <w:sz w:val="24"/>
        </w:rPr>
        <w:t>Step 4: The measure was introduced in HEDIS 2006. Organizations reported the measures in the first year and the results were analyzed for public reporting in the following year. The CPM recommended moving this measure public reporting with a majority vote.</w:t>
      </w:r>
    </w:p>
    <w:p w:rsidR="004529B8" w:rsidRPr="00C34F3A" w:rsidRDefault="004529B8" w:rsidP="004529B8">
      <w:pPr>
        <w:spacing w:before="120" w:after="0" w:line="240" w:lineRule="auto"/>
        <w:rPr>
          <w:rFonts w:ascii="Times New Roman" w:hAnsi="Times New Roman" w:cs="Times New Roman"/>
          <w:sz w:val="24"/>
        </w:rPr>
      </w:pPr>
      <w:r w:rsidRPr="00C34F3A">
        <w:rPr>
          <w:rFonts w:ascii="Times New Roman" w:hAnsi="Times New Roman" w:cs="Times New Roman"/>
          <w:sz w:val="24"/>
        </w:rPr>
        <w:t>Step 5: The measure is currently undergoing re-evaluation</w:t>
      </w:r>
    </w:p>
    <w:p w:rsidR="00826C40" w:rsidRPr="00C34F3A" w:rsidRDefault="004529B8" w:rsidP="00C34F3A">
      <w:pPr>
        <w:spacing w:before="120" w:after="0" w:line="240" w:lineRule="auto"/>
        <w:rPr>
          <w:rFonts w:ascii="Times New Roman" w:hAnsi="Times New Roman" w:cs="Times New Roman"/>
          <w:sz w:val="24"/>
        </w:rPr>
      </w:pPr>
      <w:r w:rsidRPr="00C34F3A">
        <w:rPr>
          <w:rFonts w:ascii="Times New Roman" w:hAnsi="Times New Roman" w:cs="Times New Roman"/>
          <w:bCs/>
          <w:sz w:val="24"/>
        </w:rPr>
        <w:t xml:space="preserve">Conclusion: The measure was deemed to have the desirable attributes of a HEDIS measure in 2005 (relevance, scientific soundness, and feasibility).  </w:t>
      </w:r>
    </w:p>
    <w:p w:rsidR="007422FD" w:rsidRPr="00092566" w:rsidRDefault="007422FD" w:rsidP="00092566">
      <w:pPr>
        <w:autoSpaceDE w:val="0"/>
        <w:autoSpaceDN w:val="0"/>
        <w:adjustRightInd w:val="0"/>
        <w:spacing w:after="0" w:line="240" w:lineRule="auto"/>
        <w:rPr>
          <w:rFonts w:cstheme="minorHAnsi"/>
          <w:bCs/>
        </w:rPr>
      </w:pPr>
    </w:p>
    <w:p w:rsidR="00F57019" w:rsidRPr="00C34F3A" w:rsidRDefault="00092566" w:rsidP="00F57019">
      <w:pPr>
        <w:autoSpaceDE w:val="0"/>
        <w:autoSpaceDN w:val="0"/>
        <w:adjustRightInd w:val="0"/>
        <w:spacing w:after="0" w:line="240" w:lineRule="auto"/>
        <w:rPr>
          <w:rFonts w:ascii="Times New Roman" w:hAnsi="Times New Roman" w:cs="Times New Roman"/>
          <w:bCs/>
          <w:sz w:val="24"/>
          <w:u w:val="single"/>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173AB7" w:rsidRPr="00C34F3A" w:rsidRDefault="004529B8" w:rsidP="00F57019">
      <w:pPr>
        <w:autoSpaceDE w:val="0"/>
        <w:autoSpaceDN w:val="0"/>
        <w:adjustRightInd w:val="0"/>
        <w:spacing w:after="0" w:line="240" w:lineRule="auto"/>
        <w:rPr>
          <w:rFonts w:ascii="Times New Roman" w:hAnsi="Times New Roman" w:cs="Times New Roman"/>
          <w:bCs/>
          <w:sz w:val="24"/>
          <w:u w:val="single"/>
        </w:rPr>
      </w:pPr>
      <w:r w:rsidRPr="00C34F3A">
        <w:rPr>
          <w:rFonts w:ascii="Times New Roman" w:hAnsi="Times New Roman" w:cs="Times New Roman"/>
          <w:bCs/>
          <w:sz w:val="24"/>
          <w:u w:val="single"/>
        </w:rPr>
        <w:t>Interpretation of testing critical data element validity</w:t>
      </w:r>
      <w:r w:rsidR="00F57019" w:rsidRPr="00C34F3A">
        <w:rPr>
          <w:rFonts w:ascii="Times New Roman" w:hAnsi="Times New Roman" w:cs="Times New Roman"/>
          <w:bCs/>
          <w:sz w:val="24"/>
          <w:u w:val="single"/>
        </w:rPr>
        <w:t xml:space="preserve">: </w:t>
      </w:r>
      <w:r w:rsidR="00F57019" w:rsidRPr="00C34F3A">
        <w:rPr>
          <w:rFonts w:ascii="Times New Roman" w:hAnsi="Times New Roman" w:cs="Times New Roman"/>
          <w:bCs/>
          <w:sz w:val="24"/>
          <w:szCs w:val="24"/>
        </w:rPr>
        <w:t xml:space="preserve">These results suggest that </w:t>
      </w:r>
      <w:r w:rsidR="00173AB7" w:rsidRPr="00C34F3A">
        <w:rPr>
          <w:rFonts w:ascii="Times New Roman" w:hAnsi="Times New Roman" w:cs="Times New Roman"/>
          <w:sz w:val="24"/>
          <w:szCs w:val="24"/>
        </w:rPr>
        <w:t>administrative data at health plans is sufficiently accurate to use as a proxy for evaluating whether laboratory tests are completed. The presence of a claims code for the laboratory tests including potassium</w:t>
      </w:r>
      <w:r w:rsidR="002E4E37">
        <w:rPr>
          <w:rFonts w:ascii="Times New Roman" w:hAnsi="Times New Roman" w:cs="Times New Roman"/>
          <w:sz w:val="24"/>
          <w:szCs w:val="24"/>
        </w:rPr>
        <w:t xml:space="preserve"> and</w:t>
      </w:r>
      <w:r w:rsidR="00173AB7" w:rsidRPr="00C34F3A">
        <w:rPr>
          <w:rFonts w:ascii="Times New Roman" w:hAnsi="Times New Roman" w:cs="Times New Roman"/>
          <w:sz w:val="24"/>
          <w:szCs w:val="24"/>
        </w:rPr>
        <w:t xml:space="preserve"> serum creatinine </w:t>
      </w:r>
      <w:r w:rsidR="002E4E37">
        <w:rPr>
          <w:rFonts w:ascii="Times New Roman" w:hAnsi="Times New Roman" w:cs="Times New Roman"/>
          <w:sz w:val="24"/>
          <w:szCs w:val="24"/>
        </w:rPr>
        <w:t>had</w:t>
      </w:r>
      <w:r w:rsidR="00173AB7" w:rsidRPr="00C34F3A">
        <w:rPr>
          <w:rFonts w:ascii="Times New Roman" w:hAnsi="Times New Roman" w:cs="Times New Roman"/>
          <w:sz w:val="24"/>
          <w:szCs w:val="24"/>
        </w:rPr>
        <w:t xml:space="preserve"> good to excellent (</w:t>
      </w:r>
      <w:r w:rsidR="002E4E37">
        <w:rPr>
          <w:rFonts w:ascii="Times New Roman" w:hAnsi="Times New Roman" w:cs="Times New Roman"/>
          <w:sz w:val="24"/>
          <w:szCs w:val="24"/>
        </w:rPr>
        <w:t>89</w:t>
      </w:r>
      <w:r w:rsidR="00173AB7" w:rsidRPr="00C34F3A">
        <w:rPr>
          <w:rFonts w:ascii="Times New Roman" w:hAnsi="Times New Roman" w:cs="Times New Roman"/>
          <w:sz w:val="24"/>
          <w:szCs w:val="24"/>
        </w:rPr>
        <w:t xml:space="preserve"> to </w:t>
      </w:r>
      <w:r w:rsidR="002E4E37">
        <w:rPr>
          <w:rFonts w:ascii="Times New Roman" w:hAnsi="Times New Roman" w:cs="Times New Roman"/>
          <w:sz w:val="24"/>
          <w:szCs w:val="24"/>
        </w:rPr>
        <w:t>99</w:t>
      </w:r>
      <w:r w:rsidR="00173AB7" w:rsidRPr="00C34F3A">
        <w:rPr>
          <w:rFonts w:ascii="Times New Roman" w:hAnsi="Times New Roman" w:cs="Times New Roman"/>
          <w:sz w:val="24"/>
          <w:szCs w:val="24"/>
        </w:rPr>
        <w:t>%) sensitivity and PPV (</w:t>
      </w:r>
      <w:r w:rsidR="002E4E37">
        <w:rPr>
          <w:rFonts w:ascii="Times New Roman" w:hAnsi="Times New Roman" w:cs="Times New Roman"/>
          <w:sz w:val="24"/>
          <w:szCs w:val="24"/>
        </w:rPr>
        <w:t>89</w:t>
      </w:r>
      <w:r w:rsidR="00173AB7" w:rsidRPr="00C34F3A">
        <w:rPr>
          <w:rFonts w:ascii="Times New Roman" w:hAnsi="Times New Roman" w:cs="Times New Roman"/>
          <w:sz w:val="24"/>
          <w:szCs w:val="24"/>
        </w:rPr>
        <w:t xml:space="preserve"> to </w:t>
      </w:r>
      <w:r w:rsidR="002E4E37">
        <w:rPr>
          <w:rFonts w:ascii="Times New Roman" w:hAnsi="Times New Roman" w:cs="Times New Roman"/>
          <w:sz w:val="24"/>
          <w:szCs w:val="24"/>
        </w:rPr>
        <w:t>98</w:t>
      </w:r>
      <w:r w:rsidR="00173AB7" w:rsidRPr="00C34F3A">
        <w:rPr>
          <w:rFonts w:ascii="Times New Roman" w:hAnsi="Times New Roman" w:cs="Times New Roman"/>
          <w:sz w:val="24"/>
          <w:szCs w:val="24"/>
        </w:rPr>
        <w:t>%). Specificity of the absence of a claims code for one of these laboratory tests</w:t>
      </w:r>
      <w:r w:rsidR="00F57019" w:rsidRPr="00C34F3A">
        <w:rPr>
          <w:rFonts w:ascii="Times New Roman" w:hAnsi="Times New Roman" w:cs="Times New Roman"/>
          <w:sz w:val="24"/>
          <w:szCs w:val="24"/>
        </w:rPr>
        <w:t xml:space="preserve"> is also very good (</w:t>
      </w:r>
      <w:r w:rsidR="002E4E37">
        <w:rPr>
          <w:rFonts w:ascii="Times New Roman" w:hAnsi="Times New Roman" w:cs="Times New Roman"/>
          <w:sz w:val="24"/>
          <w:szCs w:val="24"/>
        </w:rPr>
        <w:t>62</w:t>
      </w:r>
      <w:r w:rsidR="00F57019" w:rsidRPr="00C34F3A">
        <w:rPr>
          <w:rFonts w:ascii="Times New Roman" w:hAnsi="Times New Roman" w:cs="Times New Roman"/>
          <w:sz w:val="24"/>
          <w:szCs w:val="24"/>
        </w:rPr>
        <w:t xml:space="preserve"> to </w:t>
      </w:r>
      <w:r w:rsidR="002E4E37">
        <w:rPr>
          <w:rFonts w:ascii="Times New Roman" w:hAnsi="Times New Roman" w:cs="Times New Roman"/>
          <w:sz w:val="24"/>
          <w:szCs w:val="24"/>
        </w:rPr>
        <w:t>91</w:t>
      </w:r>
      <w:r w:rsidR="00F57019" w:rsidRPr="00C34F3A">
        <w:rPr>
          <w:rFonts w:ascii="Times New Roman" w:hAnsi="Times New Roman" w:cs="Times New Roman"/>
          <w:sz w:val="24"/>
          <w:szCs w:val="24"/>
        </w:rPr>
        <w:t>%).  Serum Digoxin was added to the measure as a monitoring parameter in 2013, therefore it was not included in the initial field test.  However, we assume the sensitivity and specificity of administrative claims for detecting laboratory tests is consistent across the specific type of test and can be extrapolated to serum digoxin.</w:t>
      </w:r>
    </w:p>
    <w:p w:rsidR="004529B8" w:rsidRDefault="004529B8" w:rsidP="00F57019">
      <w:pPr>
        <w:autoSpaceDE w:val="0"/>
        <w:autoSpaceDN w:val="0"/>
        <w:adjustRightInd w:val="0"/>
        <w:spacing w:after="0" w:line="240" w:lineRule="auto"/>
        <w:rPr>
          <w:rFonts w:ascii="Times New Roman" w:hAnsi="Times New Roman" w:cs="Times New Roman"/>
          <w:bCs/>
          <w:u w:val="single"/>
        </w:rPr>
      </w:pPr>
    </w:p>
    <w:p w:rsidR="004529B8" w:rsidRPr="00C34F3A" w:rsidRDefault="004529B8" w:rsidP="00F57019">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u w:val="single"/>
        </w:rPr>
        <w:t>Interpretation of empirical validity testing:</w:t>
      </w:r>
      <w:r w:rsidRPr="00C34F3A">
        <w:rPr>
          <w:rFonts w:ascii="Times New Roman" w:hAnsi="Times New Roman" w:cs="Times New Roman"/>
          <w:bCs/>
          <w:sz w:val="24"/>
          <w:szCs w:val="24"/>
        </w:rPr>
        <w:t xml:space="preserve"> </w:t>
      </w:r>
      <w:r w:rsidR="00F57019" w:rsidRPr="00C34F3A">
        <w:rPr>
          <w:rFonts w:ascii="Times New Roman" w:hAnsi="Times New Roman" w:cs="Times New Roman"/>
          <w:sz w:val="24"/>
          <w:szCs w:val="24"/>
        </w:rPr>
        <w:t xml:space="preserve">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w:t>
      </w:r>
      <w:r w:rsidR="00F57019" w:rsidRPr="00C34F3A">
        <w:rPr>
          <w:rFonts w:ascii="Times New Roman" w:hAnsi="Times New Roman" w:cs="Times New Roman"/>
          <w:sz w:val="24"/>
          <w:szCs w:val="24"/>
        </w:rPr>
        <w:lastRenderedPageBreak/>
        <w:t xml:space="preserve">due to chance alone.  </w:t>
      </w:r>
      <w:r w:rsidRPr="00C34F3A">
        <w:rPr>
          <w:rFonts w:ascii="Times New Roman" w:hAnsi="Times New Roman" w:cs="Times New Roman"/>
          <w:bCs/>
          <w:sz w:val="24"/>
          <w:szCs w:val="24"/>
        </w:rPr>
        <w:t>The results confirmed the hypothesis that the three monitoring indicators are correlated very highly with each other</w:t>
      </w:r>
      <w:r w:rsidR="00F57019" w:rsidRPr="00C34F3A">
        <w:rPr>
          <w:rFonts w:ascii="Times New Roman" w:hAnsi="Times New Roman" w:cs="Times New Roman"/>
          <w:bCs/>
          <w:sz w:val="24"/>
          <w:szCs w:val="24"/>
        </w:rPr>
        <w:t xml:space="preserve"> (0.8-1.0)</w:t>
      </w:r>
      <w:r w:rsidRPr="00C34F3A">
        <w:rPr>
          <w:rFonts w:ascii="Times New Roman" w:hAnsi="Times New Roman" w:cs="Times New Roman"/>
          <w:bCs/>
          <w:sz w:val="24"/>
          <w:szCs w:val="24"/>
        </w:rPr>
        <w:t xml:space="preserve">, suggesting they represent the same underlying quality construct of persistent medication monitoring quality. </w:t>
      </w:r>
      <w:r w:rsidR="00F57019" w:rsidRPr="00C34F3A">
        <w:rPr>
          <w:rFonts w:ascii="Times New Roman" w:hAnsi="Times New Roman" w:cs="Times New Roman"/>
          <w:bCs/>
          <w:sz w:val="24"/>
          <w:szCs w:val="24"/>
        </w:rPr>
        <w:t xml:space="preserve"> These correlation coefficients were significantly different from 0 (p&lt;0.001).</w:t>
      </w:r>
    </w:p>
    <w:p w:rsidR="004529B8" w:rsidRPr="004529B8" w:rsidRDefault="004529B8" w:rsidP="00F57019">
      <w:pPr>
        <w:spacing w:after="0" w:line="240" w:lineRule="auto"/>
        <w:rPr>
          <w:rFonts w:ascii="Times New Roman" w:hAnsi="Times New Roman" w:cs="Times New Roman"/>
          <w:u w:val="single"/>
        </w:rPr>
      </w:pPr>
    </w:p>
    <w:p w:rsidR="004529B8" w:rsidRPr="00C34F3A" w:rsidRDefault="004529B8" w:rsidP="00F57019">
      <w:pPr>
        <w:spacing w:after="0" w:line="240" w:lineRule="auto"/>
        <w:rPr>
          <w:rFonts w:ascii="Times New Roman" w:hAnsi="Times New Roman" w:cs="Times New Roman"/>
          <w:bCs/>
          <w:sz w:val="24"/>
          <w:szCs w:val="24"/>
        </w:rPr>
      </w:pPr>
      <w:r w:rsidRPr="00C34F3A">
        <w:rPr>
          <w:rFonts w:ascii="Times New Roman" w:hAnsi="Times New Roman" w:cs="Times New Roman"/>
          <w:sz w:val="24"/>
          <w:u w:val="single"/>
        </w:rPr>
        <w:t>Interpretation of systematic assessment of face validity</w:t>
      </w:r>
      <w:r w:rsidRPr="00C34F3A">
        <w:rPr>
          <w:rFonts w:ascii="Times New Roman" w:hAnsi="Times New Roman" w:cs="Times New Roman"/>
          <w:sz w:val="24"/>
          <w:szCs w:val="24"/>
        </w:rPr>
        <w:t xml:space="preserve">: </w:t>
      </w:r>
      <w:r w:rsidRPr="00C34F3A">
        <w:rPr>
          <w:rFonts w:ascii="Times New Roman" w:hAnsi="Times New Roman" w:cs="Times New Roman"/>
          <w:bCs/>
          <w:sz w:val="24"/>
          <w:szCs w:val="24"/>
        </w:rPr>
        <w:t>These results indicate the technical expert panel showed good agreement that the measures as specified will accurately differentiate quality across providers.  Our interpretation of these results is that this measure has sufficient face validity.</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4529B8">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C34F3A" w:rsidRDefault="00092566" w:rsidP="00DB3627">
      <w:pPr>
        <w:autoSpaceDE w:val="0"/>
        <w:autoSpaceDN w:val="0"/>
        <w:adjustRightInd w:val="0"/>
        <w:spacing w:after="0" w:line="240" w:lineRule="auto"/>
        <w:rPr>
          <w:rFonts w:ascii="Times New Roman" w:hAnsi="Times New Roman" w:cs="Times New Roman"/>
          <w:bCs/>
          <w:sz w:val="24"/>
          <w:szCs w:val="24"/>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F57019" w:rsidRPr="00C34F3A">
        <w:rPr>
          <w:rFonts w:ascii="Times New Roman" w:hAnsi="Times New Roman" w:cs="Times New Roman"/>
          <w:bCs/>
          <w:sz w:val="24"/>
          <w:szCs w:val="24"/>
        </w:rPr>
        <w:t xml:space="preserve">This measure includes an exclusion for individuals who were admitted to an inpatient facility in the measurement year.  This exclusion was included because it is assumed any individual admitted to an inpatient facility will be given a standard lab panel that includes the monitoring parameters included in this measure but </w:t>
      </w:r>
      <w:r w:rsidR="00D052A1" w:rsidRPr="00C34F3A">
        <w:rPr>
          <w:rFonts w:ascii="Times New Roman" w:hAnsi="Times New Roman" w:cs="Times New Roman"/>
          <w:bCs/>
          <w:sz w:val="24"/>
          <w:szCs w:val="24"/>
        </w:rPr>
        <w:t>may</w:t>
      </w:r>
      <w:r w:rsidR="00F57019" w:rsidRPr="00C34F3A">
        <w:rPr>
          <w:rFonts w:ascii="Times New Roman" w:hAnsi="Times New Roman" w:cs="Times New Roman"/>
          <w:bCs/>
          <w:sz w:val="24"/>
          <w:szCs w:val="24"/>
        </w:rPr>
        <w:t xml:space="preserve"> not be separately represented as individual claims codes</w:t>
      </w:r>
      <w:r w:rsidR="00D052A1" w:rsidRPr="00C34F3A">
        <w:rPr>
          <w:rFonts w:ascii="Times New Roman" w:hAnsi="Times New Roman" w:cs="Times New Roman"/>
          <w:bCs/>
          <w:sz w:val="24"/>
          <w:szCs w:val="24"/>
        </w:rPr>
        <w:t xml:space="preserve"> (i.e. they may be included in a DRG or other bundled payment).  </w:t>
      </w:r>
    </w:p>
    <w:p w:rsidR="00D052A1" w:rsidRPr="00C34F3A" w:rsidRDefault="00D052A1" w:rsidP="00DB3627">
      <w:pPr>
        <w:autoSpaceDE w:val="0"/>
        <w:autoSpaceDN w:val="0"/>
        <w:adjustRightInd w:val="0"/>
        <w:spacing w:after="0" w:line="240" w:lineRule="auto"/>
        <w:rPr>
          <w:rFonts w:ascii="Times New Roman" w:hAnsi="Times New Roman" w:cs="Times New Roman"/>
          <w:bCs/>
          <w:sz w:val="24"/>
          <w:szCs w:val="24"/>
        </w:rPr>
      </w:pPr>
    </w:p>
    <w:p w:rsidR="00D052A1" w:rsidRPr="00C34F3A" w:rsidRDefault="00D052A1" w:rsidP="00DB3627">
      <w:pPr>
        <w:autoSpaceDE w:val="0"/>
        <w:autoSpaceDN w:val="0"/>
        <w:adjustRightInd w:val="0"/>
        <w:spacing w:after="0" w:line="240" w:lineRule="auto"/>
        <w:rPr>
          <w:rFonts w:cstheme="minorHAnsi"/>
          <w:bCs/>
          <w:sz w:val="24"/>
          <w:szCs w:val="24"/>
        </w:rPr>
      </w:pPr>
      <w:r w:rsidRPr="00C34F3A">
        <w:rPr>
          <w:rFonts w:ascii="Times New Roman" w:hAnsi="Times New Roman" w:cs="Times New Roman"/>
          <w:bCs/>
          <w:sz w:val="24"/>
          <w:szCs w:val="24"/>
        </w:rPr>
        <w:t>In HEDIS data submission, the process of identifying individuals eligible for exclusions is audited by independent HEDIS certified auditors but is not reported.  Therefore we cannot provide data on the number of exclusions in this measure.</w:t>
      </w:r>
    </w:p>
    <w:p w:rsidR="00833325" w:rsidRPr="00A25024" w:rsidRDefault="00833325" w:rsidP="00DB3627">
      <w:pPr>
        <w:autoSpaceDE w:val="0"/>
        <w:autoSpaceDN w:val="0"/>
        <w:adjustRightInd w:val="0"/>
        <w:spacing w:after="0" w:line="240" w:lineRule="auto"/>
        <w:rPr>
          <w:rFonts w:cstheme="minorHAnsi"/>
          <w:bCs/>
        </w:rPr>
      </w:pPr>
    </w:p>
    <w:p w:rsidR="007422FD" w:rsidRPr="00C34F3A" w:rsidRDefault="00092566" w:rsidP="00092566">
      <w:pPr>
        <w:autoSpaceDE w:val="0"/>
        <w:autoSpaceDN w:val="0"/>
        <w:adjustRightInd w:val="0"/>
        <w:spacing w:after="0" w:line="240" w:lineRule="auto"/>
        <w:rPr>
          <w:rFonts w:ascii="Times New Roman" w:hAnsi="Times New Roman" w:cs="Times New Roman"/>
          <w:bCs/>
          <w:sz w:val="24"/>
          <w:szCs w:val="24"/>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D052A1" w:rsidRPr="00C34F3A">
        <w:rPr>
          <w:rFonts w:ascii="Times New Roman" w:hAnsi="Times New Roman" w:cs="Times New Roman"/>
          <w:bCs/>
          <w:sz w:val="24"/>
          <w:szCs w:val="24"/>
        </w:rPr>
        <w:t>None</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D052A1" w:rsidRPr="00C34F3A">
        <w:rPr>
          <w:rFonts w:ascii="Times New Roman" w:hAnsi="Times New Roman" w:cs="Times New Roman"/>
          <w:bCs/>
          <w:sz w:val="24"/>
          <w:szCs w:val="24"/>
        </w:rPr>
        <w:t>None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23148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EB78B6">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3148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3148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3148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251CC6" w:rsidRDefault="00D61410" w:rsidP="00251CC6">
      <w:pPr>
        <w:pStyle w:val="NoSpacing"/>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251CC6" w:rsidRPr="00C34F3A" w:rsidRDefault="00251CC6" w:rsidP="00251CC6">
      <w:pPr>
        <w:pStyle w:val="NoSpacing"/>
        <w:rPr>
          <w:rFonts w:ascii="Times New Roman" w:hAnsi="Times New Roman" w:cs="Times New Roman"/>
          <w:sz w:val="24"/>
        </w:rPr>
      </w:pPr>
      <w:r>
        <w:rPr>
          <w:rFonts w:cstheme="minorHAnsi"/>
          <w:bCs/>
        </w:rPr>
        <w:lastRenderedPageBreak/>
        <w:br/>
      </w:r>
      <w:r w:rsidRPr="00C34F3A">
        <w:rPr>
          <w:rFonts w:ascii="Times New Roman" w:hAnsi="Times New Roman" w:cs="Times New Roman"/>
          <w:bCs/>
          <w:sz w:val="24"/>
        </w:rPr>
        <w:t xml:space="preserve">To demonstrate meaningful differences in performance, NCQA calculates an inter-quartile range (IQR) for each indicator. The </w:t>
      </w:r>
      <w:r w:rsidRPr="00C34F3A">
        <w:rPr>
          <w:rFonts w:ascii="Times New Roman" w:hAnsi="Times New Roman" w:cs="Times New Roman"/>
          <w:sz w:val="24"/>
        </w:rPr>
        <w:t>IQR provides a measure of the dispersion of performance. The IQR can be interpreted as the difference between the 25</w:t>
      </w:r>
      <w:r w:rsidRPr="00554ECC">
        <w:rPr>
          <w:rFonts w:ascii="Times New Roman" w:hAnsi="Times New Roman" w:cs="Times New Roman"/>
          <w:vertAlign w:val="superscript"/>
        </w:rPr>
        <w:t>th</w:t>
      </w:r>
      <w:r w:rsidRPr="00C34F3A">
        <w:rPr>
          <w:rFonts w:ascii="Times New Roman" w:hAnsi="Times New Roman" w:cs="Times New Roman"/>
          <w:sz w:val="24"/>
        </w:rPr>
        <w:t xml:space="preserve"> and 75</w:t>
      </w:r>
      <w:r w:rsidRPr="00554ECC">
        <w:rPr>
          <w:rFonts w:ascii="Times New Roman" w:hAnsi="Times New Roman" w:cs="Times New Roman"/>
          <w:vertAlign w:val="superscript"/>
        </w:rPr>
        <w:t>th</w:t>
      </w:r>
      <w:r w:rsidRPr="00C34F3A">
        <w:rPr>
          <w:rFonts w:ascii="Times New Roman" w:hAnsi="Times New Roman" w:cs="Times New Roman"/>
          <w:sz w:val="24"/>
        </w:rPr>
        <w:t xml:space="preserve"> percentile on a measure.  To determine if this difference is statistically significant, NCQA calculates an independent sample t-test of the performance difference between two randomly selected plans at the 25</w:t>
      </w:r>
      <w:r w:rsidRPr="00554ECC">
        <w:rPr>
          <w:rFonts w:ascii="Times New Roman" w:hAnsi="Times New Roman" w:cs="Times New Roman"/>
          <w:vertAlign w:val="superscript"/>
        </w:rPr>
        <w:t>th</w:t>
      </w:r>
      <w:r w:rsidRPr="00C34F3A">
        <w:rPr>
          <w:rFonts w:ascii="Times New Roman" w:hAnsi="Times New Roman" w:cs="Times New Roman"/>
          <w:sz w:val="24"/>
        </w:rPr>
        <w:t xml:space="preserve"> and 75</w:t>
      </w:r>
      <w:r w:rsidRPr="00554ECC">
        <w:rPr>
          <w:rFonts w:ascii="Times New Roman" w:hAnsi="Times New Roman" w:cs="Times New Roman"/>
          <w:vertAlign w:val="superscript"/>
        </w:rPr>
        <w:t>th</w:t>
      </w:r>
      <w:r w:rsidRPr="00C34F3A">
        <w:rPr>
          <w:rFonts w:ascii="Times New Roman" w:hAnsi="Times New Roman" w:cs="Times New Roman"/>
          <w:sz w:val="24"/>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.05, then the two plans’ performance is significantly different from each other. Using this method, we compared the performance rates of two randomly selected plans, one plan in the 25th percentile and another plan in the 75th percentile of performance. We used these two plans as examples of measured entities. However the method can be used for comparison of any two measured entities. </w:t>
      </w:r>
    </w:p>
    <w:p w:rsidR="00D61410" w:rsidRPr="00A25024" w:rsidRDefault="00D61410" w:rsidP="00D61410">
      <w:pPr>
        <w:autoSpaceDE w:val="0"/>
        <w:autoSpaceDN w:val="0"/>
        <w:adjustRightInd w:val="0"/>
        <w:spacing w:after="0" w:line="240" w:lineRule="auto"/>
        <w:rPr>
          <w:rFonts w:cstheme="minorHAnsi"/>
          <w:bCs/>
        </w:rPr>
      </w:pPr>
    </w:p>
    <w:p w:rsidR="00251CC6" w:rsidRPr="00C34F3A" w:rsidRDefault="00D61410" w:rsidP="00251CC6">
      <w:pPr>
        <w:autoSpaceDE w:val="0"/>
        <w:autoSpaceDN w:val="0"/>
        <w:adjustRightInd w:val="0"/>
        <w:spacing w:after="0" w:line="240" w:lineRule="auto"/>
        <w:rPr>
          <w:rFonts w:ascii="Times New Roman" w:hAnsi="Times New Roman" w:cs="Times New Roman"/>
          <w:b/>
          <w:bCs/>
          <w:sz w:val="24"/>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251CC6" w:rsidRPr="00C34F3A">
        <w:rPr>
          <w:rFonts w:ascii="Times New Roman" w:hAnsi="Times New Roman" w:cs="Times New Roman"/>
          <w:b/>
          <w:bCs/>
          <w:sz w:val="24"/>
        </w:rPr>
        <w:t>Variation in Performance across Health Plans</w:t>
      </w:r>
      <w:r w:rsidR="002E4E37">
        <w:rPr>
          <w:rFonts w:ascii="Times New Roman" w:hAnsi="Times New Roman" w:cs="Times New Roman"/>
          <w:b/>
          <w:bCs/>
          <w:sz w:val="24"/>
        </w:rPr>
        <w:t>: Measurement Year 2012</w:t>
      </w:r>
    </w:p>
    <w:tbl>
      <w:tblPr>
        <w:tblStyle w:val="TableGrid"/>
        <w:tblW w:w="4957" w:type="pct"/>
        <w:tblInd w:w="-5" w:type="dxa"/>
        <w:tblLayout w:type="fixed"/>
        <w:tblLook w:val="04A0" w:firstRow="1" w:lastRow="0" w:firstColumn="1" w:lastColumn="0" w:noHBand="0" w:noVBand="1"/>
      </w:tblPr>
      <w:tblGrid>
        <w:gridCol w:w="539"/>
        <w:gridCol w:w="1593"/>
        <w:gridCol w:w="781"/>
        <w:gridCol w:w="740"/>
        <w:gridCol w:w="575"/>
        <w:gridCol w:w="701"/>
        <w:gridCol w:w="701"/>
        <w:gridCol w:w="701"/>
        <w:gridCol w:w="701"/>
        <w:gridCol w:w="701"/>
        <w:gridCol w:w="701"/>
        <w:gridCol w:w="836"/>
      </w:tblGrid>
      <w:tr w:rsidR="00251CC6" w:rsidRPr="00C34F3A" w:rsidTr="004B697D">
        <w:tc>
          <w:tcPr>
            <w:tcW w:w="291"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p>
        </w:tc>
        <w:tc>
          <w:tcPr>
            <w:tcW w:w="859"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Rate</w:t>
            </w:r>
          </w:p>
        </w:tc>
        <w:tc>
          <w:tcPr>
            <w:tcW w:w="421"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Avg. EP</w:t>
            </w:r>
          </w:p>
        </w:tc>
        <w:tc>
          <w:tcPr>
            <w:tcW w:w="399"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Avg.</w:t>
            </w:r>
          </w:p>
        </w:tc>
        <w:tc>
          <w:tcPr>
            <w:tcW w:w="310"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SD</w:t>
            </w:r>
          </w:p>
        </w:tc>
        <w:tc>
          <w:tcPr>
            <w:tcW w:w="378"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10th</w:t>
            </w:r>
          </w:p>
        </w:tc>
        <w:tc>
          <w:tcPr>
            <w:tcW w:w="378" w:type="pct"/>
            <w:shd w:val="clear" w:color="auto" w:fill="F2F2F2" w:themeFill="background1" w:themeFillShade="F2"/>
          </w:tcPr>
          <w:p w:rsidR="00251CC6" w:rsidRPr="00C34F3A" w:rsidRDefault="00251CC6" w:rsidP="001A2426">
            <w:pPr>
              <w:tabs>
                <w:tab w:val="center" w:pos="948"/>
              </w:tabs>
              <w:spacing w:before="40" w:after="40"/>
              <w:rPr>
                <w:rFonts w:ascii="Times New Roman" w:hAnsi="Times New Roman" w:cs="Times New Roman"/>
                <w:b/>
                <w:iCs/>
              </w:rPr>
            </w:pPr>
            <w:r w:rsidRPr="00C34F3A">
              <w:rPr>
                <w:rFonts w:ascii="Times New Roman" w:hAnsi="Times New Roman" w:cs="Times New Roman"/>
                <w:b/>
                <w:iCs/>
              </w:rPr>
              <w:t xml:space="preserve">25th </w:t>
            </w:r>
          </w:p>
        </w:tc>
        <w:tc>
          <w:tcPr>
            <w:tcW w:w="378"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 xml:space="preserve">50th </w:t>
            </w:r>
          </w:p>
        </w:tc>
        <w:tc>
          <w:tcPr>
            <w:tcW w:w="378"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 xml:space="preserve">75th </w:t>
            </w:r>
          </w:p>
        </w:tc>
        <w:tc>
          <w:tcPr>
            <w:tcW w:w="378"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 xml:space="preserve">90th </w:t>
            </w:r>
          </w:p>
        </w:tc>
        <w:tc>
          <w:tcPr>
            <w:tcW w:w="378"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IQR</w:t>
            </w:r>
          </w:p>
        </w:tc>
        <w:tc>
          <w:tcPr>
            <w:tcW w:w="451" w:type="pct"/>
            <w:shd w:val="clear" w:color="auto" w:fill="F2F2F2" w:themeFill="background1" w:themeFillShade="F2"/>
          </w:tcPr>
          <w:p w:rsidR="00251CC6" w:rsidRPr="00C34F3A" w:rsidRDefault="00251CC6" w:rsidP="001A2426">
            <w:pPr>
              <w:spacing w:before="40" w:after="40"/>
              <w:rPr>
                <w:rFonts w:ascii="Times New Roman" w:hAnsi="Times New Roman" w:cs="Times New Roman"/>
                <w:b/>
                <w:iCs/>
              </w:rPr>
            </w:pPr>
            <w:r w:rsidRPr="00C34F3A">
              <w:rPr>
                <w:rFonts w:ascii="Times New Roman" w:hAnsi="Times New Roman" w:cs="Times New Roman"/>
                <w:b/>
                <w:iCs/>
              </w:rPr>
              <w:t>p-value</w:t>
            </w:r>
          </w:p>
        </w:tc>
      </w:tr>
      <w:tr w:rsidR="00C03EDC" w:rsidRPr="00C34F3A" w:rsidTr="004B697D">
        <w:tc>
          <w:tcPr>
            <w:tcW w:w="291" w:type="pct"/>
            <w:vMerge w:val="restart"/>
            <w:shd w:val="clear" w:color="auto" w:fill="FFFFFF" w:themeFill="background1"/>
            <w:textDirection w:val="btLr"/>
          </w:tcPr>
          <w:p w:rsidR="00C03EDC" w:rsidRPr="004B697D" w:rsidRDefault="004B697D" w:rsidP="004B697D">
            <w:pPr>
              <w:spacing w:before="40" w:after="40"/>
              <w:ind w:left="113" w:right="113"/>
              <w:rPr>
                <w:rFonts w:ascii="Times New Roman" w:hAnsi="Times New Roman" w:cs="Times New Roman"/>
                <w:b/>
                <w:iCs/>
                <w:sz w:val="20"/>
              </w:rPr>
            </w:pPr>
            <w:r w:rsidRPr="004B697D">
              <w:rPr>
                <w:rFonts w:ascii="Times New Roman" w:hAnsi="Times New Roman" w:cs="Times New Roman"/>
                <w:b/>
                <w:iCs/>
                <w:sz w:val="20"/>
              </w:rPr>
              <w:t>Commercial</w:t>
            </w:r>
          </w:p>
          <w:p w:rsidR="00C03EDC" w:rsidRPr="004B697D" w:rsidRDefault="00C03EDC" w:rsidP="004B697D">
            <w:pPr>
              <w:spacing w:before="40" w:after="40"/>
              <w:ind w:left="113" w:right="113"/>
              <w:rPr>
                <w:rFonts w:ascii="Times New Roman" w:hAnsi="Times New Roman" w:cs="Times New Roman"/>
                <w:b/>
                <w:iCs/>
                <w:sz w:val="20"/>
              </w:rPr>
            </w:pPr>
          </w:p>
        </w:tc>
        <w:tc>
          <w:tcPr>
            <w:tcW w:w="859" w:type="pct"/>
            <w:shd w:val="clear" w:color="auto" w:fill="FFFFFF" w:themeFill="background1"/>
          </w:tcPr>
          <w:p w:rsidR="00C03EDC" w:rsidRPr="00C34F3A" w:rsidRDefault="00C03EDC" w:rsidP="00F47554">
            <w:pPr>
              <w:spacing w:before="40" w:after="40"/>
              <w:rPr>
                <w:rFonts w:ascii="Times New Roman" w:hAnsi="Times New Roman" w:cs="Times New Roman"/>
                <w:b/>
                <w:iCs/>
              </w:rPr>
            </w:pPr>
            <w:r w:rsidRPr="00C34F3A">
              <w:rPr>
                <w:rFonts w:ascii="Times New Roman" w:hAnsi="Times New Roman" w:cs="Times New Roman"/>
                <w:b/>
                <w:iCs/>
              </w:rPr>
              <w:t>ACE/ARB</w:t>
            </w:r>
          </w:p>
        </w:tc>
        <w:tc>
          <w:tcPr>
            <w:tcW w:w="421" w:type="pct"/>
            <w:shd w:val="clear" w:color="auto" w:fill="FFFFFF" w:themeFill="background1"/>
          </w:tcPr>
          <w:p w:rsidR="00C03EDC" w:rsidRPr="00C34F3A" w:rsidRDefault="00C03EDC" w:rsidP="00F47554">
            <w:pPr>
              <w:rPr>
                <w:rFonts w:ascii="Times New Roman" w:hAnsi="Times New Roman" w:cs="Times New Roman"/>
              </w:rPr>
            </w:pPr>
            <w:r>
              <w:rPr>
                <w:rFonts w:ascii="Times New Roman" w:hAnsi="Times New Roman" w:cs="Times New Roman"/>
              </w:rPr>
              <w:t>11879</w:t>
            </w:r>
          </w:p>
        </w:tc>
        <w:tc>
          <w:tcPr>
            <w:tcW w:w="399"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81.1</w:t>
            </w:r>
          </w:p>
        </w:tc>
        <w:tc>
          <w:tcPr>
            <w:tcW w:w="310"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4.4</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75.9</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78.6</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81.2</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84.0</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86.6</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5.4</w:t>
            </w:r>
          </w:p>
        </w:tc>
        <w:tc>
          <w:tcPr>
            <w:tcW w:w="451" w:type="pct"/>
            <w:shd w:val="clear" w:color="auto" w:fill="FFFFFF" w:themeFill="background1"/>
          </w:tcPr>
          <w:p w:rsidR="00C03EDC" w:rsidRPr="00C34F3A" w:rsidRDefault="00C03EDC" w:rsidP="00F47554">
            <w:pPr>
              <w:rPr>
                <w:rFonts w:ascii="Times New Roman" w:hAnsi="Times New Roman" w:cs="Times New Roman"/>
                <w:color w:val="000000"/>
              </w:rPr>
            </w:pPr>
            <w:r>
              <w:rPr>
                <w:rFonts w:ascii="Times New Roman" w:hAnsi="Times New Roman" w:cs="Times New Roman"/>
                <w:color w:val="000000"/>
              </w:rPr>
              <w:t>&lt;0.001</w:t>
            </w:r>
          </w:p>
        </w:tc>
      </w:tr>
      <w:tr w:rsidR="00C03EDC" w:rsidRPr="00C34F3A" w:rsidTr="004B697D">
        <w:tc>
          <w:tcPr>
            <w:tcW w:w="291" w:type="pct"/>
            <w:vMerge/>
            <w:shd w:val="clear" w:color="auto" w:fill="FFFFFF" w:themeFill="background1"/>
            <w:textDirection w:val="btLr"/>
          </w:tcPr>
          <w:p w:rsidR="00C03EDC" w:rsidRPr="004B697D" w:rsidRDefault="00C03EDC" w:rsidP="004B697D">
            <w:pPr>
              <w:spacing w:before="40" w:after="40"/>
              <w:ind w:left="113" w:right="113"/>
              <w:rPr>
                <w:rFonts w:ascii="Times New Roman" w:hAnsi="Times New Roman" w:cs="Times New Roman"/>
                <w:b/>
                <w:iCs/>
                <w:sz w:val="20"/>
              </w:rPr>
            </w:pPr>
          </w:p>
        </w:tc>
        <w:tc>
          <w:tcPr>
            <w:tcW w:w="859" w:type="pct"/>
            <w:tcBorders>
              <w:bottom w:val="single" w:sz="4" w:space="0" w:color="auto"/>
            </w:tcBorders>
            <w:shd w:val="clear" w:color="auto" w:fill="FFFFFF" w:themeFill="background1"/>
          </w:tcPr>
          <w:p w:rsidR="00C03EDC" w:rsidRPr="00C34F3A" w:rsidRDefault="00C03EDC" w:rsidP="00F47554">
            <w:pPr>
              <w:spacing w:before="40" w:after="40"/>
              <w:rPr>
                <w:rFonts w:ascii="Times New Roman" w:hAnsi="Times New Roman" w:cs="Times New Roman"/>
                <w:b/>
                <w:iCs/>
              </w:rPr>
            </w:pPr>
            <w:r w:rsidRPr="00C34F3A">
              <w:rPr>
                <w:rFonts w:ascii="Times New Roman" w:hAnsi="Times New Roman" w:cs="Times New Roman"/>
                <w:b/>
                <w:iCs/>
              </w:rPr>
              <w:t>Digoxin</w:t>
            </w:r>
          </w:p>
        </w:tc>
        <w:tc>
          <w:tcPr>
            <w:tcW w:w="421" w:type="pct"/>
            <w:tcBorders>
              <w:bottom w:val="single" w:sz="4" w:space="0" w:color="auto"/>
            </w:tcBorders>
            <w:shd w:val="clear" w:color="auto" w:fill="FFFFFF" w:themeFill="background1"/>
          </w:tcPr>
          <w:p w:rsidR="00C03EDC" w:rsidRPr="00C34F3A" w:rsidRDefault="00C03EDC" w:rsidP="00F47554">
            <w:pPr>
              <w:rPr>
                <w:rFonts w:ascii="Times New Roman" w:hAnsi="Times New Roman" w:cs="Times New Roman"/>
              </w:rPr>
            </w:pPr>
            <w:r>
              <w:rPr>
                <w:rFonts w:ascii="Times New Roman" w:hAnsi="Times New Roman" w:cs="Times New Roman"/>
              </w:rPr>
              <w:t>206</w:t>
            </w:r>
          </w:p>
        </w:tc>
        <w:tc>
          <w:tcPr>
            <w:tcW w:w="399"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83.3</w:t>
            </w:r>
          </w:p>
        </w:tc>
        <w:tc>
          <w:tcPr>
            <w:tcW w:w="310"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6.9</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74.3</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79.3</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83.9</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87.8</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91.9</w:t>
            </w:r>
          </w:p>
        </w:tc>
        <w:tc>
          <w:tcPr>
            <w:tcW w:w="378" w:type="pct"/>
            <w:tcBorders>
              <w:bottom w:val="single" w:sz="4" w:space="0" w:color="auto"/>
            </w:tcBorders>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8.5</w:t>
            </w:r>
          </w:p>
        </w:tc>
        <w:tc>
          <w:tcPr>
            <w:tcW w:w="451" w:type="pct"/>
            <w:tcBorders>
              <w:bottom w:val="single" w:sz="4" w:space="0" w:color="auto"/>
            </w:tcBorders>
            <w:shd w:val="clear" w:color="auto" w:fill="FFFFFF" w:themeFill="background1"/>
          </w:tcPr>
          <w:p w:rsidR="00C03EDC" w:rsidRPr="00C34F3A" w:rsidRDefault="00C03EDC" w:rsidP="00F47554">
            <w:pPr>
              <w:rPr>
                <w:rFonts w:ascii="Times New Roman" w:hAnsi="Times New Roman" w:cs="Times New Roman"/>
                <w:color w:val="000000"/>
              </w:rPr>
            </w:pPr>
            <w:r>
              <w:rPr>
                <w:rFonts w:ascii="Times New Roman" w:hAnsi="Times New Roman" w:cs="Times New Roman"/>
                <w:color w:val="000000"/>
              </w:rPr>
              <w:t>&lt;0.001</w:t>
            </w:r>
          </w:p>
        </w:tc>
      </w:tr>
      <w:tr w:rsidR="00C03EDC" w:rsidRPr="00C34F3A" w:rsidTr="004B697D">
        <w:tc>
          <w:tcPr>
            <w:tcW w:w="291" w:type="pct"/>
            <w:vMerge/>
            <w:shd w:val="clear" w:color="auto" w:fill="FFFFFF" w:themeFill="background1"/>
            <w:textDirection w:val="btLr"/>
          </w:tcPr>
          <w:p w:rsidR="00C03EDC" w:rsidRPr="004B697D" w:rsidRDefault="00C03EDC" w:rsidP="004B697D">
            <w:pPr>
              <w:spacing w:before="40" w:after="40"/>
              <w:ind w:left="113" w:right="113"/>
              <w:rPr>
                <w:rFonts w:ascii="Times New Roman" w:hAnsi="Times New Roman" w:cs="Times New Roman"/>
                <w:b/>
                <w:iCs/>
                <w:sz w:val="20"/>
              </w:rPr>
            </w:pPr>
          </w:p>
        </w:tc>
        <w:tc>
          <w:tcPr>
            <w:tcW w:w="859" w:type="pct"/>
            <w:shd w:val="clear" w:color="auto" w:fill="FFFFFF" w:themeFill="background1"/>
          </w:tcPr>
          <w:p w:rsidR="00C03EDC" w:rsidRPr="00C34F3A" w:rsidRDefault="00C03EDC" w:rsidP="00F47554">
            <w:pPr>
              <w:spacing w:before="40" w:after="40"/>
              <w:rPr>
                <w:rFonts w:ascii="Times New Roman" w:hAnsi="Times New Roman" w:cs="Times New Roman"/>
                <w:b/>
                <w:iCs/>
              </w:rPr>
            </w:pPr>
            <w:r w:rsidRPr="00C34F3A">
              <w:rPr>
                <w:rFonts w:ascii="Times New Roman" w:hAnsi="Times New Roman" w:cs="Times New Roman"/>
                <w:b/>
                <w:iCs/>
              </w:rPr>
              <w:t>Diuretics</w:t>
            </w:r>
          </w:p>
        </w:tc>
        <w:tc>
          <w:tcPr>
            <w:tcW w:w="421" w:type="pct"/>
            <w:shd w:val="clear" w:color="auto" w:fill="FFFFFF" w:themeFill="background1"/>
          </w:tcPr>
          <w:p w:rsidR="00C03EDC" w:rsidRPr="00C34F3A" w:rsidRDefault="00C03EDC" w:rsidP="00F47554">
            <w:pPr>
              <w:rPr>
                <w:rFonts w:ascii="Times New Roman" w:hAnsi="Times New Roman" w:cs="Times New Roman"/>
              </w:rPr>
            </w:pPr>
            <w:r>
              <w:rPr>
                <w:rFonts w:ascii="Times New Roman" w:hAnsi="Times New Roman" w:cs="Times New Roman"/>
              </w:rPr>
              <w:t>7978</w:t>
            </w:r>
          </w:p>
        </w:tc>
        <w:tc>
          <w:tcPr>
            <w:tcW w:w="399"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80.7</w:t>
            </w:r>
          </w:p>
        </w:tc>
        <w:tc>
          <w:tcPr>
            <w:tcW w:w="310"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4.6</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75.2</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78.1</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80.7</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83.5</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86.2</w:t>
            </w:r>
          </w:p>
        </w:tc>
        <w:tc>
          <w:tcPr>
            <w:tcW w:w="378" w:type="pct"/>
            <w:shd w:val="clear" w:color="auto" w:fill="FFFFFF" w:themeFill="background1"/>
          </w:tcPr>
          <w:p w:rsidR="00C03EDC" w:rsidRPr="00BC7723" w:rsidRDefault="00C03EDC" w:rsidP="00F47554">
            <w:pPr>
              <w:jc w:val="right"/>
              <w:rPr>
                <w:rFonts w:ascii="Times New Roman" w:hAnsi="Times New Roman" w:cs="Times New Roman"/>
              </w:rPr>
            </w:pPr>
            <w:r w:rsidRPr="00BC7723">
              <w:rPr>
                <w:rFonts w:ascii="Times New Roman" w:hAnsi="Times New Roman" w:cs="Times New Roman"/>
              </w:rPr>
              <w:t>5.4</w:t>
            </w:r>
          </w:p>
        </w:tc>
        <w:tc>
          <w:tcPr>
            <w:tcW w:w="451" w:type="pct"/>
            <w:shd w:val="clear" w:color="auto" w:fill="FFFFFF" w:themeFill="background1"/>
          </w:tcPr>
          <w:p w:rsidR="00C03EDC" w:rsidRPr="00C34F3A" w:rsidRDefault="00C03EDC" w:rsidP="00F47554">
            <w:pPr>
              <w:rPr>
                <w:rFonts w:ascii="Times New Roman" w:hAnsi="Times New Roman" w:cs="Times New Roman"/>
                <w:color w:val="000000"/>
              </w:rPr>
            </w:pPr>
            <w:r>
              <w:rPr>
                <w:rFonts w:ascii="Times New Roman" w:hAnsi="Times New Roman" w:cs="Times New Roman"/>
                <w:color w:val="000000"/>
              </w:rPr>
              <w:t>0.01</w:t>
            </w:r>
          </w:p>
        </w:tc>
      </w:tr>
      <w:tr w:rsidR="004B697D" w:rsidRPr="00C34F3A" w:rsidTr="004B697D">
        <w:tc>
          <w:tcPr>
            <w:tcW w:w="291" w:type="pct"/>
            <w:vMerge/>
            <w:tcBorders>
              <w:bottom w:val="single" w:sz="12" w:space="0" w:color="auto"/>
            </w:tcBorders>
            <w:shd w:val="clear" w:color="auto" w:fill="FFFFFF" w:themeFill="background1"/>
            <w:textDirection w:val="btLr"/>
          </w:tcPr>
          <w:p w:rsidR="004B697D" w:rsidRPr="004B697D" w:rsidRDefault="004B697D" w:rsidP="004B697D">
            <w:pPr>
              <w:spacing w:before="40" w:after="40"/>
              <w:ind w:left="113" w:right="113"/>
              <w:rPr>
                <w:rFonts w:ascii="Times New Roman" w:hAnsi="Times New Roman" w:cs="Times New Roman"/>
                <w:b/>
                <w:iCs/>
                <w:sz w:val="20"/>
              </w:rPr>
            </w:pPr>
          </w:p>
        </w:tc>
        <w:tc>
          <w:tcPr>
            <w:tcW w:w="859" w:type="pct"/>
            <w:tcBorders>
              <w:bottom w:val="single" w:sz="12" w:space="0" w:color="auto"/>
            </w:tcBorders>
            <w:shd w:val="clear" w:color="auto" w:fill="FFFFFF" w:themeFill="background1"/>
          </w:tcPr>
          <w:p w:rsidR="004B697D" w:rsidRPr="00C34F3A" w:rsidRDefault="004B697D" w:rsidP="004B697D">
            <w:pPr>
              <w:spacing w:before="40" w:after="40"/>
              <w:rPr>
                <w:rFonts w:ascii="Times New Roman" w:hAnsi="Times New Roman" w:cs="Times New Roman"/>
                <w:b/>
                <w:iCs/>
              </w:rPr>
            </w:pPr>
            <w:r>
              <w:rPr>
                <w:rFonts w:ascii="Times New Roman" w:hAnsi="Times New Roman" w:cs="Times New Roman"/>
                <w:b/>
                <w:iCs/>
              </w:rPr>
              <w:t>Total</w:t>
            </w:r>
          </w:p>
        </w:tc>
        <w:tc>
          <w:tcPr>
            <w:tcW w:w="421" w:type="pct"/>
            <w:tcBorders>
              <w:bottom w:val="single" w:sz="12" w:space="0" w:color="auto"/>
            </w:tcBorders>
            <w:shd w:val="clear" w:color="auto" w:fill="FFFFFF" w:themeFill="background1"/>
          </w:tcPr>
          <w:p w:rsidR="004B697D" w:rsidRPr="00C34F3A" w:rsidRDefault="004B697D" w:rsidP="004B697D">
            <w:pPr>
              <w:rPr>
                <w:rFonts w:ascii="Times New Roman" w:hAnsi="Times New Roman" w:cs="Times New Roman"/>
              </w:rPr>
            </w:pPr>
            <w:r>
              <w:rPr>
                <w:rFonts w:ascii="Times New Roman" w:hAnsi="Times New Roman" w:cs="Times New Roman"/>
              </w:rPr>
              <w:t>19893</w:t>
            </w:r>
          </w:p>
        </w:tc>
        <w:tc>
          <w:tcPr>
            <w:tcW w:w="399"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81.0</w:t>
            </w:r>
          </w:p>
        </w:tc>
        <w:tc>
          <w:tcPr>
            <w:tcW w:w="310"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4.4</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75.8</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78.5</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81.0</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83.8</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86.5</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5.3</w:t>
            </w:r>
          </w:p>
        </w:tc>
        <w:tc>
          <w:tcPr>
            <w:tcW w:w="451" w:type="pct"/>
            <w:tcBorders>
              <w:bottom w:val="single" w:sz="12" w:space="0" w:color="auto"/>
            </w:tcBorders>
            <w:shd w:val="clear" w:color="auto" w:fill="FFFFFF" w:themeFill="background1"/>
          </w:tcPr>
          <w:p w:rsidR="004B697D" w:rsidRDefault="00FD5C57" w:rsidP="004B697D">
            <w:pPr>
              <w:rPr>
                <w:rFonts w:ascii="Times New Roman" w:hAnsi="Times New Roman" w:cs="Times New Roman"/>
                <w:color w:val="000000"/>
              </w:rPr>
            </w:pPr>
            <w:r>
              <w:rPr>
                <w:rFonts w:ascii="Times New Roman" w:hAnsi="Times New Roman" w:cs="Times New Roman"/>
                <w:color w:val="000000"/>
              </w:rPr>
              <w:t>&lt;0.001</w:t>
            </w:r>
          </w:p>
        </w:tc>
      </w:tr>
      <w:tr w:rsidR="00584823" w:rsidRPr="00C34F3A" w:rsidTr="004B697D">
        <w:tc>
          <w:tcPr>
            <w:tcW w:w="291" w:type="pct"/>
            <w:vMerge w:val="restart"/>
            <w:tcBorders>
              <w:top w:val="single" w:sz="12" w:space="0" w:color="auto"/>
            </w:tcBorders>
            <w:shd w:val="clear" w:color="auto" w:fill="FFFFFF" w:themeFill="background1"/>
            <w:textDirection w:val="btLr"/>
          </w:tcPr>
          <w:p w:rsidR="00584823" w:rsidRPr="004B697D" w:rsidRDefault="004B697D" w:rsidP="004B697D">
            <w:pPr>
              <w:spacing w:before="40" w:after="40"/>
              <w:ind w:left="113" w:right="113"/>
              <w:rPr>
                <w:rFonts w:ascii="Times New Roman" w:hAnsi="Times New Roman" w:cs="Times New Roman"/>
                <w:b/>
                <w:iCs/>
                <w:sz w:val="20"/>
              </w:rPr>
            </w:pPr>
            <w:r w:rsidRPr="004B697D">
              <w:rPr>
                <w:rFonts w:ascii="Times New Roman" w:hAnsi="Times New Roman" w:cs="Times New Roman"/>
                <w:b/>
                <w:iCs/>
                <w:sz w:val="20"/>
              </w:rPr>
              <w:t>Medi</w:t>
            </w:r>
            <w:r w:rsidR="00584823" w:rsidRPr="004B697D">
              <w:rPr>
                <w:rFonts w:ascii="Times New Roman" w:hAnsi="Times New Roman" w:cs="Times New Roman"/>
                <w:b/>
                <w:iCs/>
                <w:sz w:val="20"/>
              </w:rPr>
              <w:t xml:space="preserve">caid </w:t>
            </w:r>
          </w:p>
        </w:tc>
        <w:tc>
          <w:tcPr>
            <w:tcW w:w="859" w:type="pct"/>
            <w:tcBorders>
              <w:top w:val="single" w:sz="12" w:space="0" w:color="auto"/>
            </w:tcBorders>
            <w:shd w:val="clear" w:color="auto" w:fill="FFFFFF" w:themeFill="background1"/>
          </w:tcPr>
          <w:p w:rsidR="00584823" w:rsidRPr="00C34F3A" w:rsidRDefault="00584823" w:rsidP="00584823">
            <w:pPr>
              <w:spacing w:before="40" w:after="40"/>
              <w:rPr>
                <w:rFonts w:ascii="Times New Roman" w:hAnsi="Times New Roman" w:cs="Times New Roman"/>
                <w:b/>
                <w:iCs/>
              </w:rPr>
            </w:pPr>
            <w:r w:rsidRPr="00C34F3A">
              <w:rPr>
                <w:rFonts w:ascii="Times New Roman" w:hAnsi="Times New Roman" w:cs="Times New Roman"/>
                <w:b/>
                <w:iCs/>
              </w:rPr>
              <w:t>ACE/ARB</w:t>
            </w:r>
          </w:p>
        </w:tc>
        <w:tc>
          <w:tcPr>
            <w:tcW w:w="421" w:type="pct"/>
            <w:tcBorders>
              <w:top w:val="single" w:sz="12" w:space="0" w:color="auto"/>
            </w:tcBorders>
            <w:shd w:val="clear" w:color="auto" w:fill="FFFFFF" w:themeFill="background1"/>
          </w:tcPr>
          <w:p w:rsidR="00584823" w:rsidRPr="00C34F3A" w:rsidRDefault="00584823" w:rsidP="00584823">
            <w:pPr>
              <w:rPr>
                <w:rFonts w:ascii="Times New Roman" w:hAnsi="Times New Roman" w:cs="Times New Roman"/>
              </w:rPr>
            </w:pPr>
            <w:r>
              <w:rPr>
                <w:rFonts w:ascii="Times New Roman" w:hAnsi="Times New Roman" w:cs="Times New Roman"/>
              </w:rPr>
              <w:t>2813</w:t>
            </w:r>
          </w:p>
        </w:tc>
        <w:tc>
          <w:tcPr>
            <w:tcW w:w="399"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86.3</w:t>
            </w:r>
          </w:p>
        </w:tc>
        <w:tc>
          <w:tcPr>
            <w:tcW w:w="310"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4.7</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80.7</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84.6</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87.0</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89.2</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91.2</w:t>
            </w:r>
          </w:p>
        </w:tc>
        <w:tc>
          <w:tcPr>
            <w:tcW w:w="378" w:type="pct"/>
            <w:tcBorders>
              <w:top w:val="single" w:sz="12" w:space="0" w:color="auto"/>
            </w:tcBorders>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4.6</w:t>
            </w:r>
          </w:p>
        </w:tc>
        <w:tc>
          <w:tcPr>
            <w:tcW w:w="451" w:type="pct"/>
            <w:tcBorders>
              <w:top w:val="single" w:sz="12" w:space="0" w:color="auto"/>
            </w:tcBorders>
            <w:shd w:val="clear" w:color="auto" w:fill="FFFFFF" w:themeFill="background1"/>
          </w:tcPr>
          <w:p w:rsidR="00584823" w:rsidRPr="00C34F3A" w:rsidRDefault="00584823" w:rsidP="00584823">
            <w:pPr>
              <w:rPr>
                <w:rFonts w:ascii="Times New Roman" w:hAnsi="Times New Roman" w:cs="Times New Roman"/>
                <w:color w:val="000000"/>
              </w:rPr>
            </w:pPr>
            <w:r>
              <w:rPr>
                <w:rFonts w:ascii="Times New Roman" w:hAnsi="Times New Roman" w:cs="Times New Roman"/>
                <w:color w:val="000000"/>
              </w:rPr>
              <w:t>&lt;0.001</w:t>
            </w:r>
          </w:p>
        </w:tc>
      </w:tr>
      <w:tr w:rsidR="00584823" w:rsidRPr="00C34F3A" w:rsidTr="004B697D">
        <w:tc>
          <w:tcPr>
            <w:tcW w:w="291" w:type="pct"/>
            <w:vMerge/>
            <w:shd w:val="clear" w:color="auto" w:fill="FFFFFF" w:themeFill="background1"/>
            <w:textDirection w:val="btLr"/>
          </w:tcPr>
          <w:p w:rsidR="00584823" w:rsidRPr="004B697D" w:rsidRDefault="00584823" w:rsidP="004B697D">
            <w:pPr>
              <w:spacing w:before="40" w:after="40"/>
              <w:ind w:left="113" w:right="113"/>
              <w:rPr>
                <w:rFonts w:ascii="Times New Roman" w:hAnsi="Times New Roman" w:cs="Times New Roman"/>
                <w:b/>
                <w:iCs/>
                <w:sz w:val="20"/>
              </w:rPr>
            </w:pPr>
          </w:p>
        </w:tc>
        <w:tc>
          <w:tcPr>
            <w:tcW w:w="859" w:type="pct"/>
            <w:shd w:val="clear" w:color="auto" w:fill="FFFFFF" w:themeFill="background1"/>
          </w:tcPr>
          <w:p w:rsidR="00584823" w:rsidRPr="00C34F3A" w:rsidRDefault="00584823" w:rsidP="00584823">
            <w:pPr>
              <w:spacing w:before="40" w:after="40"/>
              <w:rPr>
                <w:rFonts w:ascii="Times New Roman" w:hAnsi="Times New Roman" w:cs="Times New Roman"/>
                <w:b/>
                <w:iCs/>
              </w:rPr>
            </w:pPr>
            <w:r w:rsidRPr="00C34F3A">
              <w:rPr>
                <w:rFonts w:ascii="Times New Roman" w:hAnsi="Times New Roman" w:cs="Times New Roman"/>
                <w:b/>
                <w:iCs/>
              </w:rPr>
              <w:t>Digoxin</w:t>
            </w:r>
          </w:p>
        </w:tc>
        <w:tc>
          <w:tcPr>
            <w:tcW w:w="421" w:type="pct"/>
            <w:shd w:val="clear" w:color="auto" w:fill="FFFFFF" w:themeFill="background1"/>
          </w:tcPr>
          <w:p w:rsidR="00584823" w:rsidRPr="00C34F3A" w:rsidRDefault="00584823" w:rsidP="00584823">
            <w:pPr>
              <w:rPr>
                <w:rFonts w:ascii="Times New Roman" w:hAnsi="Times New Roman" w:cs="Times New Roman"/>
              </w:rPr>
            </w:pPr>
            <w:r>
              <w:rPr>
                <w:rFonts w:ascii="Times New Roman" w:hAnsi="Times New Roman" w:cs="Times New Roman"/>
              </w:rPr>
              <w:t>106</w:t>
            </w:r>
          </w:p>
        </w:tc>
        <w:tc>
          <w:tcPr>
            <w:tcW w:w="399"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90.1</w:t>
            </w:r>
          </w:p>
        </w:tc>
        <w:tc>
          <w:tcPr>
            <w:tcW w:w="310"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4.3</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83.7</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87.4</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90.7</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93.2</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94.9</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5.8</w:t>
            </w:r>
          </w:p>
        </w:tc>
        <w:tc>
          <w:tcPr>
            <w:tcW w:w="451" w:type="pct"/>
            <w:shd w:val="clear" w:color="auto" w:fill="FFFFFF" w:themeFill="background1"/>
          </w:tcPr>
          <w:p w:rsidR="00584823" w:rsidRPr="00C34F3A" w:rsidRDefault="00584823" w:rsidP="00584823">
            <w:pPr>
              <w:rPr>
                <w:rFonts w:ascii="Times New Roman" w:hAnsi="Times New Roman" w:cs="Times New Roman"/>
                <w:color w:val="000000"/>
              </w:rPr>
            </w:pPr>
            <w:r>
              <w:rPr>
                <w:rFonts w:ascii="Times New Roman" w:hAnsi="Times New Roman" w:cs="Times New Roman"/>
                <w:color w:val="000000"/>
              </w:rPr>
              <w:t>&lt;0.001</w:t>
            </w:r>
          </w:p>
        </w:tc>
      </w:tr>
      <w:tr w:rsidR="00584823" w:rsidRPr="00C34F3A" w:rsidTr="004B697D">
        <w:tc>
          <w:tcPr>
            <w:tcW w:w="291" w:type="pct"/>
            <w:vMerge/>
            <w:shd w:val="clear" w:color="auto" w:fill="FFFFFF" w:themeFill="background1"/>
            <w:textDirection w:val="btLr"/>
          </w:tcPr>
          <w:p w:rsidR="00584823" w:rsidRPr="004B697D" w:rsidRDefault="00584823" w:rsidP="004B697D">
            <w:pPr>
              <w:spacing w:before="40" w:after="40"/>
              <w:ind w:left="113" w:right="113"/>
              <w:rPr>
                <w:rFonts w:ascii="Times New Roman" w:hAnsi="Times New Roman" w:cs="Times New Roman"/>
                <w:b/>
                <w:iCs/>
                <w:sz w:val="20"/>
              </w:rPr>
            </w:pPr>
          </w:p>
        </w:tc>
        <w:tc>
          <w:tcPr>
            <w:tcW w:w="859" w:type="pct"/>
            <w:shd w:val="clear" w:color="auto" w:fill="FFFFFF" w:themeFill="background1"/>
          </w:tcPr>
          <w:p w:rsidR="00584823" w:rsidRPr="00C34F3A" w:rsidRDefault="00584823" w:rsidP="00584823">
            <w:pPr>
              <w:spacing w:before="40" w:after="40"/>
              <w:rPr>
                <w:rFonts w:ascii="Times New Roman" w:hAnsi="Times New Roman" w:cs="Times New Roman"/>
                <w:b/>
                <w:iCs/>
              </w:rPr>
            </w:pPr>
            <w:r w:rsidRPr="00C34F3A">
              <w:rPr>
                <w:rFonts w:ascii="Times New Roman" w:hAnsi="Times New Roman" w:cs="Times New Roman"/>
                <w:b/>
                <w:iCs/>
              </w:rPr>
              <w:t>Diuretics</w:t>
            </w:r>
          </w:p>
        </w:tc>
        <w:tc>
          <w:tcPr>
            <w:tcW w:w="421" w:type="pct"/>
            <w:shd w:val="clear" w:color="auto" w:fill="FFFFFF" w:themeFill="background1"/>
          </w:tcPr>
          <w:p w:rsidR="00584823" w:rsidRPr="00C34F3A" w:rsidRDefault="00584823" w:rsidP="00584823">
            <w:pPr>
              <w:rPr>
                <w:rFonts w:ascii="Times New Roman" w:hAnsi="Times New Roman" w:cs="Times New Roman"/>
              </w:rPr>
            </w:pPr>
            <w:r>
              <w:rPr>
                <w:rFonts w:ascii="Times New Roman" w:hAnsi="Times New Roman" w:cs="Times New Roman"/>
              </w:rPr>
              <w:t>2093</w:t>
            </w:r>
          </w:p>
        </w:tc>
        <w:tc>
          <w:tcPr>
            <w:tcW w:w="399"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85.9</w:t>
            </w:r>
          </w:p>
        </w:tc>
        <w:tc>
          <w:tcPr>
            <w:tcW w:w="310"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5.1</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79.0</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83.7</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86.7</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89.1</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91.3</w:t>
            </w:r>
          </w:p>
        </w:tc>
        <w:tc>
          <w:tcPr>
            <w:tcW w:w="378" w:type="pct"/>
            <w:shd w:val="clear" w:color="auto" w:fill="FFFFFF" w:themeFill="background1"/>
          </w:tcPr>
          <w:p w:rsidR="00584823" w:rsidRPr="00BC7723" w:rsidRDefault="00584823" w:rsidP="00584823">
            <w:pPr>
              <w:jc w:val="right"/>
              <w:rPr>
                <w:rFonts w:ascii="Times New Roman" w:hAnsi="Times New Roman" w:cs="Times New Roman"/>
              </w:rPr>
            </w:pPr>
            <w:r w:rsidRPr="00BC7723">
              <w:rPr>
                <w:rFonts w:ascii="Times New Roman" w:hAnsi="Times New Roman" w:cs="Times New Roman"/>
              </w:rPr>
              <w:t>5.4</w:t>
            </w:r>
          </w:p>
        </w:tc>
        <w:tc>
          <w:tcPr>
            <w:tcW w:w="451" w:type="pct"/>
            <w:shd w:val="clear" w:color="auto" w:fill="FFFFFF" w:themeFill="background1"/>
          </w:tcPr>
          <w:p w:rsidR="00584823" w:rsidRPr="00C34F3A" w:rsidRDefault="00584823" w:rsidP="00584823">
            <w:pPr>
              <w:rPr>
                <w:rFonts w:ascii="Times New Roman" w:hAnsi="Times New Roman" w:cs="Times New Roman"/>
                <w:color w:val="000000"/>
              </w:rPr>
            </w:pPr>
            <w:r>
              <w:rPr>
                <w:rFonts w:ascii="Times New Roman" w:hAnsi="Times New Roman" w:cs="Times New Roman"/>
                <w:color w:val="000000"/>
              </w:rPr>
              <w:t>&lt;0.001</w:t>
            </w:r>
          </w:p>
        </w:tc>
      </w:tr>
      <w:tr w:rsidR="004B697D" w:rsidRPr="00C34F3A" w:rsidTr="004B697D">
        <w:tc>
          <w:tcPr>
            <w:tcW w:w="291" w:type="pct"/>
            <w:vMerge/>
            <w:tcBorders>
              <w:bottom w:val="single" w:sz="12" w:space="0" w:color="auto"/>
            </w:tcBorders>
            <w:shd w:val="clear" w:color="auto" w:fill="FFFFFF" w:themeFill="background1"/>
            <w:textDirection w:val="btLr"/>
          </w:tcPr>
          <w:p w:rsidR="004B697D" w:rsidRPr="004B697D" w:rsidRDefault="004B697D" w:rsidP="004B697D">
            <w:pPr>
              <w:spacing w:before="40" w:after="40"/>
              <w:ind w:left="113" w:right="113"/>
              <w:rPr>
                <w:rFonts w:ascii="Times New Roman" w:hAnsi="Times New Roman" w:cs="Times New Roman"/>
                <w:b/>
                <w:iCs/>
                <w:sz w:val="20"/>
              </w:rPr>
            </w:pPr>
          </w:p>
        </w:tc>
        <w:tc>
          <w:tcPr>
            <w:tcW w:w="859" w:type="pct"/>
            <w:tcBorders>
              <w:bottom w:val="single" w:sz="12" w:space="0" w:color="auto"/>
            </w:tcBorders>
            <w:shd w:val="clear" w:color="auto" w:fill="FFFFFF" w:themeFill="background1"/>
          </w:tcPr>
          <w:p w:rsidR="004B697D" w:rsidRPr="00C34F3A" w:rsidRDefault="004B697D" w:rsidP="004B697D">
            <w:pPr>
              <w:spacing w:before="40" w:after="40"/>
              <w:rPr>
                <w:rFonts w:ascii="Times New Roman" w:hAnsi="Times New Roman" w:cs="Times New Roman"/>
                <w:b/>
                <w:iCs/>
              </w:rPr>
            </w:pPr>
            <w:r>
              <w:rPr>
                <w:rFonts w:ascii="Times New Roman" w:hAnsi="Times New Roman" w:cs="Times New Roman"/>
                <w:b/>
                <w:iCs/>
              </w:rPr>
              <w:t>Total</w:t>
            </w:r>
          </w:p>
        </w:tc>
        <w:tc>
          <w:tcPr>
            <w:tcW w:w="421" w:type="pct"/>
            <w:tcBorders>
              <w:bottom w:val="single" w:sz="12" w:space="0" w:color="auto"/>
            </w:tcBorders>
            <w:shd w:val="clear" w:color="auto" w:fill="FFFFFF" w:themeFill="background1"/>
          </w:tcPr>
          <w:p w:rsidR="004B697D" w:rsidRPr="00C34F3A" w:rsidRDefault="004B697D" w:rsidP="004B697D">
            <w:pPr>
              <w:rPr>
                <w:rFonts w:ascii="Times New Roman" w:hAnsi="Times New Roman" w:cs="Times New Roman"/>
              </w:rPr>
            </w:pPr>
            <w:r>
              <w:rPr>
                <w:rFonts w:ascii="Times New Roman" w:hAnsi="Times New Roman" w:cs="Times New Roman"/>
              </w:rPr>
              <w:t>4798</w:t>
            </w:r>
          </w:p>
        </w:tc>
        <w:tc>
          <w:tcPr>
            <w:tcW w:w="399"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86.1</w:t>
            </w:r>
          </w:p>
        </w:tc>
        <w:tc>
          <w:tcPr>
            <w:tcW w:w="310"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4.7</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80.4</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84.0</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87.0</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89.2</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91.1</w:t>
            </w:r>
          </w:p>
        </w:tc>
        <w:tc>
          <w:tcPr>
            <w:tcW w:w="378" w:type="pct"/>
            <w:tcBorders>
              <w:bottom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4.9</w:t>
            </w:r>
          </w:p>
        </w:tc>
        <w:tc>
          <w:tcPr>
            <w:tcW w:w="451" w:type="pct"/>
            <w:tcBorders>
              <w:bottom w:val="single" w:sz="12" w:space="0" w:color="auto"/>
            </w:tcBorders>
            <w:shd w:val="clear" w:color="auto" w:fill="FFFFFF" w:themeFill="background1"/>
          </w:tcPr>
          <w:p w:rsidR="004B697D" w:rsidRDefault="00FD5C57" w:rsidP="004B697D">
            <w:pPr>
              <w:rPr>
                <w:rFonts w:ascii="Times New Roman" w:hAnsi="Times New Roman" w:cs="Times New Roman"/>
                <w:color w:val="000000"/>
              </w:rPr>
            </w:pPr>
            <w:r>
              <w:rPr>
                <w:rFonts w:ascii="Times New Roman" w:hAnsi="Times New Roman" w:cs="Times New Roman"/>
                <w:color w:val="000000"/>
              </w:rPr>
              <w:t>&lt;0.001</w:t>
            </w:r>
          </w:p>
        </w:tc>
      </w:tr>
      <w:tr w:rsidR="004B697D" w:rsidRPr="00C34F3A" w:rsidTr="004B697D">
        <w:tc>
          <w:tcPr>
            <w:tcW w:w="291" w:type="pct"/>
            <w:vMerge w:val="restart"/>
            <w:tcBorders>
              <w:top w:val="single" w:sz="12" w:space="0" w:color="auto"/>
            </w:tcBorders>
            <w:shd w:val="clear" w:color="auto" w:fill="FFFFFF" w:themeFill="background1"/>
            <w:textDirection w:val="btLr"/>
          </w:tcPr>
          <w:p w:rsidR="004B697D" w:rsidRPr="004B697D" w:rsidRDefault="004B697D" w:rsidP="004B697D">
            <w:pPr>
              <w:spacing w:before="40" w:after="40"/>
              <w:ind w:left="113" w:right="113"/>
              <w:rPr>
                <w:rFonts w:ascii="Times New Roman" w:hAnsi="Times New Roman" w:cs="Times New Roman"/>
                <w:b/>
                <w:iCs/>
                <w:sz w:val="20"/>
              </w:rPr>
            </w:pPr>
            <w:r w:rsidRPr="004B697D">
              <w:rPr>
                <w:rFonts w:ascii="Times New Roman" w:hAnsi="Times New Roman" w:cs="Times New Roman"/>
                <w:b/>
                <w:iCs/>
                <w:sz w:val="20"/>
              </w:rPr>
              <w:t xml:space="preserve">Medicare </w:t>
            </w:r>
          </w:p>
        </w:tc>
        <w:tc>
          <w:tcPr>
            <w:tcW w:w="859" w:type="pct"/>
            <w:tcBorders>
              <w:top w:val="single" w:sz="12" w:space="0" w:color="auto"/>
            </w:tcBorders>
            <w:shd w:val="clear" w:color="auto" w:fill="FFFFFF" w:themeFill="background1"/>
          </w:tcPr>
          <w:p w:rsidR="004B697D" w:rsidRPr="00C34F3A" w:rsidRDefault="004B697D" w:rsidP="004B697D">
            <w:pPr>
              <w:spacing w:before="40" w:after="40"/>
              <w:rPr>
                <w:rFonts w:ascii="Times New Roman" w:hAnsi="Times New Roman" w:cs="Times New Roman"/>
                <w:b/>
                <w:iCs/>
              </w:rPr>
            </w:pPr>
            <w:r w:rsidRPr="00C34F3A">
              <w:rPr>
                <w:rFonts w:ascii="Times New Roman" w:hAnsi="Times New Roman" w:cs="Times New Roman"/>
                <w:b/>
                <w:iCs/>
              </w:rPr>
              <w:t>ACE/ARB</w:t>
            </w:r>
          </w:p>
        </w:tc>
        <w:tc>
          <w:tcPr>
            <w:tcW w:w="421" w:type="pct"/>
            <w:tcBorders>
              <w:top w:val="single" w:sz="12" w:space="0" w:color="auto"/>
            </w:tcBorders>
            <w:shd w:val="clear" w:color="auto" w:fill="FFFFFF" w:themeFill="background1"/>
          </w:tcPr>
          <w:p w:rsidR="004B697D" w:rsidRPr="00C34F3A" w:rsidRDefault="00BC7723" w:rsidP="004B697D">
            <w:pPr>
              <w:rPr>
                <w:rFonts w:ascii="Times New Roman" w:hAnsi="Times New Roman" w:cs="Times New Roman"/>
              </w:rPr>
            </w:pPr>
            <w:r>
              <w:rPr>
                <w:rFonts w:ascii="Times New Roman" w:hAnsi="Times New Roman" w:cs="Times New Roman"/>
              </w:rPr>
              <w:t>8412</w:t>
            </w:r>
          </w:p>
        </w:tc>
        <w:tc>
          <w:tcPr>
            <w:tcW w:w="399"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91.9</w:t>
            </w:r>
          </w:p>
        </w:tc>
        <w:tc>
          <w:tcPr>
            <w:tcW w:w="310"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4.5</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88.4</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90.7</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92.3</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94.0</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95.8</w:t>
            </w:r>
          </w:p>
        </w:tc>
        <w:tc>
          <w:tcPr>
            <w:tcW w:w="378" w:type="pct"/>
            <w:tcBorders>
              <w:top w:val="single" w:sz="12"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3.4</w:t>
            </w:r>
          </w:p>
        </w:tc>
        <w:tc>
          <w:tcPr>
            <w:tcW w:w="451" w:type="pct"/>
            <w:tcBorders>
              <w:top w:val="single" w:sz="12" w:space="0" w:color="auto"/>
            </w:tcBorders>
            <w:shd w:val="clear" w:color="auto" w:fill="FFFFFF" w:themeFill="background1"/>
          </w:tcPr>
          <w:p w:rsidR="004B697D" w:rsidRPr="00C34F3A" w:rsidRDefault="00FD5C57" w:rsidP="004B697D">
            <w:pPr>
              <w:rPr>
                <w:rFonts w:ascii="Times New Roman" w:hAnsi="Times New Roman" w:cs="Times New Roman"/>
                <w:color w:val="000000"/>
              </w:rPr>
            </w:pPr>
            <w:r>
              <w:rPr>
                <w:rFonts w:ascii="Times New Roman" w:hAnsi="Times New Roman" w:cs="Times New Roman"/>
                <w:color w:val="000000"/>
              </w:rPr>
              <w:t>&lt;0.001</w:t>
            </w:r>
          </w:p>
        </w:tc>
      </w:tr>
      <w:tr w:rsidR="004B697D" w:rsidRPr="00C34F3A" w:rsidTr="004B697D">
        <w:tc>
          <w:tcPr>
            <w:tcW w:w="291" w:type="pct"/>
            <w:vMerge/>
            <w:shd w:val="clear" w:color="auto" w:fill="FFFFFF" w:themeFill="background1"/>
          </w:tcPr>
          <w:p w:rsidR="004B697D" w:rsidRPr="00C34F3A" w:rsidRDefault="004B697D" w:rsidP="004B697D">
            <w:pPr>
              <w:spacing w:before="40" w:after="40"/>
              <w:rPr>
                <w:rFonts w:ascii="Times New Roman" w:hAnsi="Times New Roman" w:cs="Times New Roman"/>
                <w:b/>
                <w:iCs/>
              </w:rPr>
            </w:pPr>
          </w:p>
        </w:tc>
        <w:tc>
          <w:tcPr>
            <w:tcW w:w="859" w:type="pct"/>
            <w:tcBorders>
              <w:bottom w:val="single" w:sz="4" w:space="0" w:color="auto"/>
            </w:tcBorders>
            <w:shd w:val="clear" w:color="auto" w:fill="FFFFFF" w:themeFill="background1"/>
          </w:tcPr>
          <w:p w:rsidR="004B697D" w:rsidRPr="00C34F3A" w:rsidRDefault="004B697D" w:rsidP="004B697D">
            <w:pPr>
              <w:spacing w:before="40" w:after="40"/>
              <w:rPr>
                <w:rFonts w:ascii="Times New Roman" w:hAnsi="Times New Roman" w:cs="Times New Roman"/>
                <w:b/>
                <w:iCs/>
              </w:rPr>
            </w:pPr>
            <w:r w:rsidRPr="00C34F3A">
              <w:rPr>
                <w:rFonts w:ascii="Times New Roman" w:hAnsi="Times New Roman" w:cs="Times New Roman"/>
                <w:b/>
                <w:iCs/>
              </w:rPr>
              <w:t>Digoxin</w:t>
            </w:r>
          </w:p>
        </w:tc>
        <w:tc>
          <w:tcPr>
            <w:tcW w:w="421" w:type="pct"/>
            <w:tcBorders>
              <w:bottom w:val="single" w:sz="4" w:space="0" w:color="auto"/>
            </w:tcBorders>
            <w:shd w:val="clear" w:color="auto" w:fill="FFFFFF" w:themeFill="background1"/>
          </w:tcPr>
          <w:p w:rsidR="004B697D" w:rsidRPr="00C34F3A" w:rsidRDefault="005E6440" w:rsidP="004B697D">
            <w:pPr>
              <w:rPr>
                <w:rFonts w:ascii="Times New Roman" w:hAnsi="Times New Roman" w:cs="Times New Roman"/>
              </w:rPr>
            </w:pPr>
            <w:r>
              <w:rPr>
                <w:rFonts w:ascii="Times New Roman" w:hAnsi="Times New Roman" w:cs="Times New Roman"/>
              </w:rPr>
              <w:t>500</w:t>
            </w:r>
          </w:p>
        </w:tc>
        <w:tc>
          <w:tcPr>
            <w:tcW w:w="399"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94.1</w:t>
            </w:r>
          </w:p>
        </w:tc>
        <w:tc>
          <w:tcPr>
            <w:tcW w:w="310"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3.5</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90.2</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92.7</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94.4</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96.1</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97.8</w:t>
            </w:r>
          </w:p>
        </w:tc>
        <w:tc>
          <w:tcPr>
            <w:tcW w:w="378" w:type="pct"/>
            <w:tcBorders>
              <w:bottom w:val="single" w:sz="4" w:space="0" w:color="auto"/>
            </w:tcBorders>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3.4</w:t>
            </w:r>
          </w:p>
        </w:tc>
        <w:tc>
          <w:tcPr>
            <w:tcW w:w="451" w:type="pct"/>
            <w:tcBorders>
              <w:bottom w:val="single" w:sz="4" w:space="0" w:color="auto"/>
            </w:tcBorders>
            <w:shd w:val="clear" w:color="auto" w:fill="FFFFFF" w:themeFill="background1"/>
          </w:tcPr>
          <w:p w:rsidR="004B697D" w:rsidRPr="00C34F3A" w:rsidRDefault="00FD5C57" w:rsidP="004B697D">
            <w:pPr>
              <w:rPr>
                <w:rFonts w:ascii="Times New Roman" w:hAnsi="Times New Roman" w:cs="Times New Roman"/>
                <w:color w:val="000000"/>
              </w:rPr>
            </w:pPr>
            <w:r>
              <w:rPr>
                <w:rFonts w:ascii="Times New Roman" w:hAnsi="Times New Roman" w:cs="Times New Roman"/>
                <w:color w:val="000000"/>
              </w:rPr>
              <w:t>&lt;0.001</w:t>
            </w:r>
          </w:p>
        </w:tc>
      </w:tr>
      <w:tr w:rsidR="004B697D" w:rsidRPr="00C34F3A" w:rsidTr="004B697D">
        <w:tc>
          <w:tcPr>
            <w:tcW w:w="291" w:type="pct"/>
            <w:vMerge/>
            <w:shd w:val="clear" w:color="auto" w:fill="FFFFFF" w:themeFill="background1"/>
          </w:tcPr>
          <w:p w:rsidR="004B697D" w:rsidRPr="00C34F3A" w:rsidRDefault="004B697D" w:rsidP="004B697D">
            <w:pPr>
              <w:spacing w:before="40" w:after="40"/>
              <w:rPr>
                <w:rFonts w:ascii="Times New Roman" w:hAnsi="Times New Roman" w:cs="Times New Roman"/>
                <w:b/>
                <w:iCs/>
              </w:rPr>
            </w:pPr>
          </w:p>
        </w:tc>
        <w:tc>
          <w:tcPr>
            <w:tcW w:w="859" w:type="pct"/>
            <w:shd w:val="clear" w:color="auto" w:fill="FFFFFF" w:themeFill="background1"/>
          </w:tcPr>
          <w:p w:rsidR="004B697D" w:rsidRPr="00C34F3A" w:rsidRDefault="004B697D" w:rsidP="004B697D">
            <w:pPr>
              <w:spacing w:before="40" w:after="40"/>
              <w:rPr>
                <w:rFonts w:ascii="Times New Roman" w:hAnsi="Times New Roman" w:cs="Times New Roman"/>
                <w:b/>
                <w:iCs/>
              </w:rPr>
            </w:pPr>
            <w:r w:rsidRPr="00C34F3A">
              <w:rPr>
                <w:rFonts w:ascii="Times New Roman" w:hAnsi="Times New Roman" w:cs="Times New Roman"/>
                <w:b/>
                <w:iCs/>
              </w:rPr>
              <w:t>Diuretics</w:t>
            </w:r>
          </w:p>
        </w:tc>
        <w:tc>
          <w:tcPr>
            <w:tcW w:w="421" w:type="pct"/>
            <w:shd w:val="clear" w:color="auto" w:fill="FFFFFF" w:themeFill="background1"/>
          </w:tcPr>
          <w:p w:rsidR="004B697D" w:rsidRPr="00C34F3A" w:rsidRDefault="005E6440" w:rsidP="004B697D">
            <w:pPr>
              <w:rPr>
                <w:rFonts w:ascii="Times New Roman" w:hAnsi="Times New Roman" w:cs="Times New Roman"/>
              </w:rPr>
            </w:pPr>
            <w:r>
              <w:rPr>
                <w:rFonts w:ascii="Times New Roman" w:hAnsi="Times New Roman" w:cs="Times New Roman"/>
              </w:rPr>
              <w:t>6173</w:t>
            </w:r>
          </w:p>
        </w:tc>
        <w:tc>
          <w:tcPr>
            <w:tcW w:w="399"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92.1</w:t>
            </w:r>
          </w:p>
        </w:tc>
        <w:tc>
          <w:tcPr>
            <w:tcW w:w="310"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4.6</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88.5</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90.9</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92.6</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94.2</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96.0</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3.3</w:t>
            </w:r>
          </w:p>
        </w:tc>
        <w:tc>
          <w:tcPr>
            <w:tcW w:w="451" w:type="pct"/>
            <w:shd w:val="clear" w:color="auto" w:fill="FFFFFF" w:themeFill="background1"/>
          </w:tcPr>
          <w:p w:rsidR="004B697D" w:rsidRPr="00C34F3A" w:rsidRDefault="00FD5C57" w:rsidP="004B697D">
            <w:pPr>
              <w:rPr>
                <w:rFonts w:ascii="Times New Roman" w:hAnsi="Times New Roman" w:cs="Times New Roman"/>
                <w:color w:val="000000"/>
              </w:rPr>
            </w:pPr>
            <w:r>
              <w:rPr>
                <w:rFonts w:ascii="Times New Roman" w:hAnsi="Times New Roman" w:cs="Times New Roman"/>
                <w:color w:val="000000"/>
              </w:rPr>
              <w:t>&lt;0.001</w:t>
            </w:r>
          </w:p>
        </w:tc>
      </w:tr>
      <w:tr w:rsidR="004B697D" w:rsidRPr="00C34F3A" w:rsidTr="004B697D">
        <w:tc>
          <w:tcPr>
            <w:tcW w:w="291" w:type="pct"/>
            <w:vMerge/>
            <w:shd w:val="clear" w:color="auto" w:fill="FFFFFF" w:themeFill="background1"/>
          </w:tcPr>
          <w:p w:rsidR="004B697D" w:rsidRPr="00C34F3A" w:rsidRDefault="004B697D" w:rsidP="004B697D">
            <w:pPr>
              <w:spacing w:before="40" w:after="40"/>
              <w:rPr>
                <w:rFonts w:ascii="Times New Roman" w:hAnsi="Times New Roman" w:cs="Times New Roman"/>
                <w:b/>
                <w:iCs/>
              </w:rPr>
            </w:pPr>
          </w:p>
        </w:tc>
        <w:tc>
          <w:tcPr>
            <w:tcW w:w="859" w:type="pct"/>
            <w:shd w:val="clear" w:color="auto" w:fill="FFFFFF" w:themeFill="background1"/>
          </w:tcPr>
          <w:p w:rsidR="004B697D" w:rsidRPr="00C34F3A" w:rsidRDefault="004B697D" w:rsidP="004B697D">
            <w:pPr>
              <w:spacing w:before="40" w:after="40"/>
              <w:rPr>
                <w:rFonts w:ascii="Times New Roman" w:hAnsi="Times New Roman" w:cs="Times New Roman"/>
                <w:b/>
                <w:iCs/>
              </w:rPr>
            </w:pPr>
            <w:r>
              <w:rPr>
                <w:rFonts w:ascii="Times New Roman" w:hAnsi="Times New Roman" w:cs="Times New Roman"/>
                <w:b/>
                <w:iCs/>
              </w:rPr>
              <w:t>Total</w:t>
            </w:r>
          </w:p>
        </w:tc>
        <w:tc>
          <w:tcPr>
            <w:tcW w:w="421" w:type="pct"/>
            <w:shd w:val="clear" w:color="auto" w:fill="FFFFFF" w:themeFill="background1"/>
          </w:tcPr>
          <w:p w:rsidR="004B697D" w:rsidRPr="00C34F3A" w:rsidRDefault="00BC7723" w:rsidP="004B697D">
            <w:pPr>
              <w:rPr>
                <w:rFonts w:ascii="Times New Roman" w:hAnsi="Times New Roman" w:cs="Times New Roman"/>
              </w:rPr>
            </w:pPr>
            <w:r>
              <w:rPr>
                <w:rFonts w:ascii="Times New Roman" w:hAnsi="Times New Roman" w:cs="Times New Roman"/>
              </w:rPr>
              <w:t>14</w:t>
            </w:r>
            <w:r w:rsidR="005E6440">
              <w:rPr>
                <w:rFonts w:ascii="Times New Roman" w:hAnsi="Times New Roman" w:cs="Times New Roman"/>
              </w:rPr>
              <w:t>878</w:t>
            </w:r>
          </w:p>
        </w:tc>
        <w:tc>
          <w:tcPr>
            <w:tcW w:w="399"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92.0</w:t>
            </w:r>
          </w:p>
        </w:tc>
        <w:tc>
          <w:tcPr>
            <w:tcW w:w="310"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4.5</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88.6</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90.8</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92.5</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94.1</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95.9</w:t>
            </w:r>
          </w:p>
        </w:tc>
        <w:tc>
          <w:tcPr>
            <w:tcW w:w="378" w:type="pct"/>
            <w:shd w:val="clear" w:color="auto" w:fill="FFFFFF" w:themeFill="background1"/>
          </w:tcPr>
          <w:p w:rsidR="004B697D" w:rsidRPr="00BC7723" w:rsidRDefault="004B697D" w:rsidP="004B697D">
            <w:pPr>
              <w:jc w:val="right"/>
              <w:rPr>
                <w:rFonts w:ascii="Times New Roman" w:hAnsi="Times New Roman" w:cs="Times New Roman"/>
              </w:rPr>
            </w:pPr>
            <w:r w:rsidRPr="00BC7723">
              <w:rPr>
                <w:rFonts w:ascii="Times New Roman" w:hAnsi="Times New Roman" w:cs="Times New Roman"/>
              </w:rPr>
              <w:t>3.4</w:t>
            </w:r>
          </w:p>
        </w:tc>
        <w:tc>
          <w:tcPr>
            <w:tcW w:w="451" w:type="pct"/>
            <w:shd w:val="clear" w:color="auto" w:fill="FFFFFF" w:themeFill="background1"/>
          </w:tcPr>
          <w:p w:rsidR="004B697D" w:rsidRDefault="00FD5C57" w:rsidP="004B697D">
            <w:pPr>
              <w:rPr>
                <w:rFonts w:ascii="Times New Roman" w:hAnsi="Times New Roman" w:cs="Times New Roman"/>
                <w:color w:val="000000"/>
              </w:rPr>
            </w:pPr>
            <w:r>
              <w:rPr>
                <w:rFonts w:ascii="Times New Roman" w:hAnsi="Times New Roman" w:cs="Times New Roman"/>
                <w:color w:val="000000"/>
              </w:rPr>
              <w:t>&lt;0.001</w:t>
            </w:r>
          </w:p>
        </w:tc>
      </w:tr>
    </w:tbl>
    <w:p w:rsidR="00251CC6" w:rsidRPr="00C34F3A" w:rsidRDefault="00251CC6" w:rsidP="00251CC6">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EP: Eligible Population, the average denominator size across plans submitting to HEDIS</w:t>
      </w:r>
    </w:p>
    <w:p w:rsidR="00251CC6" w:rsidRPr="00C34F3A" w:rsidRDefault="00251CC6" w:rsidP="00251CC6">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IQR: Interquartile range</w:t>
      </w:r>
    </w:p>
    <w:p w:rsidR="00251CC6" w:rsidRPr="00C34F3A" w:rsidRDefault="00251CC6" w:rsidP="00251CC6">
      <w:pPr>
        <w:autoSpaceDE w:val="0"/>
        <w:autoSpaceDN w:val="0"/>
        <w:adjustRightInd w:val="0"/>
        <w:spacing w:after="0" w:line="240" w:lineRule="auto"/>
        <w:rPr>
          <w:rFonts w:ascii="Times New Roman" w:hAnsi="Times New Roman" w:cs="Times New Roman"/>
          <w:bCs/>
          <w:sz w:val="24"/>
          <w:szCs w:val="24"/>
        </w:rPr>
      </w:pPr>
      <w:r w:rsidRPr="00C34F3A">
        <w:rPr>
          <w:rFonts w:ascii="Times New Roman" w:hAnsi="Times New Roman" w:cs="Times New Roman"/>
          <w:bCs/>
          <w:sz w:val="24"/>
          <w:szCs w:val="24"/>
        </w:rPr>
        <w:t>p-value: P-value of independent samples t-test comparing plans at the 25</w:t>
      </w:r>
      <w:r w:rsidRPr="008F3949">
        <w:rPr>
          <w:rFonts w:ascii="Times New Roman" w:hAnsi="Times New Roman" w:cs="Times New Roman"/>
          <w:bCs/>
          <w:vertAlign w:val="superscript"/>
        </w:rPr>
        <w:t>th</w:t>
      </w:r>
      <w:r w:rsidRPr="00C34F3A">
        <w:rPr>
          <w:rFonts w:ascii="Times New Roman" w:hAnsi="Times New Roman" w:cs="Times New Roman"/>
          <w:bCs/>
          <w:sz w:val="24"/>
          <w:szCs w:val="24"/>
        </w:rPr>
        <w:t xml:space="preserve"> percentile to plans at the 75</w:t>
      </w:r>
      <w:r w:rsidRPr="008F3949">
        <w:rPr>
          <w:rFonts w:ascii="Times New Roman" w:hAnsi="Times New Roman" w:cs="Times New Roman"/>
          <w:bCs/>
          <w:vertAlign w:val="superscript"/>
        </w:rPr>
        <w:t>th</w:t>
      </w:r>
      <w:r w:rsidRPr="00C34F3A">
        <w:rPr>
          <w:rFonts w:ascii="Times New Roman" w:hAnsi="Times New Roman" w:cs="Times New Roman"/>
          <w:bCs/>
          <w:sz w:val="24"/>
          <w:szCs w:val="24"/>
        </w:rPr>
        <w:t xml:space="preserve"> percentile.</w:t>
      </w:r>
    </w:p>
    <w:p w:rsidR="00D61410" w:rsidRPr="00927027" w:rsidRDefault="00D61410" w:rsidP="00D61410">
      <w:pPr>
        <w:autoSpaceDE w:val="0"/>
        <w:autoSpaceDN w:val="0"/>
        <w:adjustRightInd w:val="0"/>
        <w:spacing w:after="0" w:line="240" w:lineRule="auto"/>
        <w:rPr>
          <w:rFonts w:cstheme="minorHAnsi"/>
          <w:bCs/>
        </w:rPr>
      </w:pPr>
    </w:p>
    <w:p w:rsidR="00251CC6" w:rsidRPr="00C34F3A" w:rsidRDefault="00D61410" w:rsidP="00251CC6">
      <w:pPr>
        <w:autoSpaceDE w:val="0"/>
        <w:autoSpaceDN w:val="0"/>
        <w:adjustRightInd w:val="0"/>
        <w:spacing w:after="0" w:line="240" w:lineRule="auto"/>
        <w:rPr>
          <w:rFonts w:ascii="Times New Roman" w:hAnsi="Times New Roman" w:cs="Times New Roman"/>
          <w:bCs/>
          <w:sz w:val="24"/>
          <w:szCs w:val="24"/>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251CC6" w:rsidRPr="00C34F3A">
        <w:rPr>
          <w:rFonts w:ascii="Times New Roman" w:hAnsi="Times New Roman" w:cs="Times New Roman"/>
          <w:bCs/>
          <w:sz w:val="24"/>
          <w:szCs w:val="24"/>
        </w:rPr>
        <w:t>The results above indicate there is a 3-9% gap in performance between the 25</w:t>
      </w:r>
      <w:r w:rsidR="00251CC6" w:rsidRPr="007A48BD">
        <w:rPr>
          <w:rFonts w:ascii="Times New Roman" w:hAnsi="Times New Roman" w:cs="Times New Roman"/>
          <w:bCs/>
          <w:vertAlign w:val="superscript"/>
        </w:rPr>
        <w:t>th</w:t>
      </w:r>
      <w:r w:rsidR="00251CC6" w:rsidRPr="00C34F3A">
        <w:rPr>
          <w:rFonts w:ascii="Times New Roman" w:hAnsi="Times New Roman" w:cs="Times New Roman"/>
          <w:bCs/>
          <w:sz w:val="24"/>
          <w:szCs w:val="24"/>
        </w:rPr>
        <w:t xml:space="preserve"> and 75</w:t>
      </w:r>
      <w:r w:rsidR="00251CC6" w:rsidRPr="007A48BD">
        <w:rPr>
          <w:rFonts w:ascii="Times New Roman" w:hAnsi="Times New Roman" w:cs="Times New Roman"/>
          <w:bCs/>
          <w:vertAlign w:val="superscript"/>
        </w:rPr>
        <w:t>th</w:t>
      </w:r>
      <w:r w:rsidR="00251CC6" w:rsidRPr="00C34F3A">
        <w:rPr>
          <w:rFonts w:ascii="Times New Roman" w:hAnsi="Times New Roman" w:cs="Times New Roman"/>
          <w:bCs/>
          <w:sz w:val="24"/>
          <w:szCs w:val="24"/>
        </w:rPr>
        <w:t xml:space="preserve"> performing plans. </w:t>
      </w:r>
      <w:r w:rsidR="001A2426">
        <w:rPr>
          <w:rFonts w:ascii="Times New Roman" w:hAnsi="Times New Roman" w:cs="Times New Roman"/>
          <w:bCs/>
          <w:sz w:val="24"/>
          <w:szCs w:val="24"/>
        </w:rPr>
        <w:t>For all product lines and rates the difference between the 25</w:t>
      </w:r>
      <w:r w:rsidR="001A2426" w:rsidRPr="001A2426">
        <w:rPr>
          <w:rFonts w:ascii="Times New Roman" w:hAnsi="Times New Roman" w:cs="Times New Roman"/>
          <w:bCs/>
          <w:sz w:val="24"/>
          <w:szCs w:val="24"/>
          <w:vertAlign w:val="superscript"/>
        </w:rPr>
        <w:t>th</w:t>
      </w:r>
      <w:r w:rsidR="001A2426">
        <w:rPr>
          <w:rFonts w:ascii="Times New Roman" w:hAnsi="Times New Roman" w:cs="Times New Roman"/>
          <w:bCs/>
          <w:sz w:val="24"/>
          <w:szCs w:val="24"/>
        </w:rPr>
        <w:t xml:space="preserve"> and 75</w:t>
      </w:r>
      <w:r w:rsidR="001A2426" w:rsidRPr="001A2426">
        <w:rPr>
          <w:rFonts w:ascii="Times New Roman" w:hAnsi="Times New Roman" w:cs="Times New Roman"/>
          <w:bCs/>
          <w:sz w:val="24"/>
          <w:szCs w:val="24"/>
          <w:vertAlign w:val="superscript"/>
        </w:rPr>
        <w:t>th</w:t>
      </w:r>
      <w:r w:rsidR="001A2426">
        <w:rPr>
          <w:rFonts w:ascii="Times New Roman" w:hAnsi="Times New Roman" w:cs="Times New Roman"/>
          <w:bCs/>
          <w:sz w:val="24"/>
          <w:szCs w:val="24"/>
        </w:rPr>
        <w:t xml:space="preserve"> </w:t>
      </w:r>
      <w:r w:rsidR="001A2426">
        <w:rPr>
          <w:rFonts w:ascii="Times New Roman" w:hAnsi="Times New Roman" w:cs="Times New Roman"/>
          <w:bCs/>
          <w:sz w:val="24"/>
          <w:szCs w:val="24"/>
        </w:rPr>
        <w:lastRenderedPageBreak/>
        <w:t xml:space="preserve">percentile is statistically significant.  </w:t>
      </w:r>
      <w:r w:rsidR="00251CC6" w:rsidRPr="00C34F3A">
        <w:rPr>
          <w:rFonts w:ascii="Times New Roman" w:hAnsi="Times New Roman" w:cs="Times New Roman"/>
          <w:bCs/>
          <w:sz w:val="24"/>
          <w:szCs w:val="24"/>
        </w:rPr>
        <w:t>The largest gap in performance is for commercial which show a 5.3-8.</w:t>
      </w:r>
      <w:r w:rsidR="00FD5C57">
        <w:rPr>
          <w:rFonts w:ascii="Times New Roman" w:hAnsi="Times New Roman" w:cs="Times New Roman"/>
          <w:bCs/>
          <w:sz w:val="24"/>
          <w:szCs w:val="24"/>
        </w:rPr>
        <w:t>5</w:t>
      </w:r>
      <w:r w:rsidR="00251CC6" w:rsidRPr="00C34F3A">
        <w:rPr>
          <w:rFonts w:ascii="Times New Roman" w:hAnsi="Times New Roman" w:cs="Times New Roman"/>
          <w:bCs/>
          <w:sz w:val="24"/>
          <w:szCs w:val="24"/>
        </w:rPr>
        <w:t xml:space="preserve"> percentage point gap between 25</w:t>
      </w:r>
      <w:r w:rsidR="00251CC6" w:rsidRPr="00251CC6">
        <w:rPr>
          <w:rFonts w:ascii="Times New Roman" w:hAnsi="Times New Roman" w:cs="Times New Roman"/>
          <w:bCs/>
          <w:vertAlign w:val="superscript"/>
        </w:rPr>
        <w:t>th</w:t>
      </w:r>
      <w:r w:rsidR="00251CC6" w:rsidRPr="00C34F3A">
        <w:rPr>
          <w:rFonts w:ascii="Times New Roman" w:hAnsi="Times New Roman" w:cs="Times New Roman"/>
          <w:bCs/>
          <w:sz w:val="24"/>
          <w:szCs w:val="24"/>
        </w:rPr>
        <w:t xml:space="preserve"> and 75</w:t>
      </w:r>
      <w:r w:rsidR="00251CC6" w:rsidRPr="00251CC6">
        <w:rPr>
          <w:rFonts w:ascii="Times New Roman" w:hAnsi="Times New Roman" w:cs="Times New Roman"/>
          <w:bCs/>
          <w:vertAlign w:val="superscript"/>
        </w:rPr>
        <w:t>th</w:t>
      </w:r>
      <w:r w:rsidR="001A2426">
        <w:rPr>
          <w:rFonts w:ascii="Times New Roman" w:hAnsi="Times New Roman" w:cs="Times New Roman"/>
          <w:bCs/>
          <w:sz w:val="24"/>
          <w:szCs w:val="24"/>
        </w:rPr>
        <w:t xml:space="preserve"> percentile plans. </w:t>
      </w:r>
      <w:r w:rsidR="00251CC6" w:rsidRPr="00C34F3A">
        <w:rPr>
          <w:rFonts w:ascii="Times New Roman" w:hAnsi="Times New Roman" w:cs="Times New Roman"/>
          <w:bCs/>
          <w:sz w:val="24"/>
          <w:szCs w:val="24"/>
        </w:rPr>
        <w:t xml:space="preserve">This gap represents on average </w:t>
      </w:r>
      <w:r w:rsidR="00FD5C57">
        <w:rPr>
          <w:rFonts w:ascii="Times New Roman" w:hAnsi="Times New Roman" w:cs="Times New Roman"/>
          <w:bCs/>
          <w:sz w:val="24"/>
          <w:szCs w:val="24"/>
        </w:rPr>
        <w:t>641</w:t>
      </w:r>
      <w:r w:rsidR="00251CC6" w:rsidRPr="00C34F3A">
        <w:rPr>
          <w:rFonts w:ascii="Times New Roman" w:hAnsi="Times New Roman" w:cs="Times New Roman"/>
          <w:bCs/>
          <w:sz w:val="24"/>
          <w:szCs w:val="24"/>
        </w:rPr>
        <w:t xml:space="preserve"> more ACE/ARB patients, </w:t>
      </w:r>
      <w:r w:rsidR="00FD5C57">
        <w:rPr>
          <w:rFonts w:ascii="Times New Roman" w:hAnsi="Times New Roman" w:cs="Times New Roman"/>
          <w:bCs/>
          <w:sz w:val="24"/>
          <w:szCs w:val="24"/>
        </w:rPr>
        <w:t>17</w:t>
      </w:r>
      <w:r w:rsidR="00251CC6" w:rsidRPr="00C34F3A">
        <w:rPr>
          <w:rFonts w:ascii="Times New Roman" w:hAnsi="Times New Roman" w:cs="Times New Roman"/>
          <w:bCs/>
          <w:sz w:val="24"/>
          <w:szCs w:val="24"/>
        </w:rPr>
        <w:t xml:space="preserve"> more digoxin patients and </w:t>
      </w:r>
      <w:r w:rsidR="00FD5C57">
        <w:rPr>
          <w:rFonts w:ascii="Times New Roman" w:hAnsi="Times New Roman" w:cs="Times New Roman"/>
          <w:bCs/>
          <w:sz w:val="24"/>
          <w:szCs w:val="24"/>
        </w:rPr>
        <w:t>431</w:t>
      </w:r>
      <w:r w:rsidR="00251CC6" w:rsidRPr="00C34F3A">
        <w:rPr>
          <w:rFonts w:ascii="Times New Roman" w:hAnsi="Times New Roman" w:cs="Times New Roman"/>
          <w:bCs/>
          <w:sz w:val="24"/>
          <w:szCs w:val="24"/>
        </w:rPr>
        <w:t xml:space="preserve"> more diuretic patients receiving monitoring in high performing commercial HMO plans compared to low performing plans (estimated from average health plan eligible population).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554ECC" w:rsidRPr="00C34F3A" w:rsidRDefault="00E1508F" w:rsidP="00554ECC">
      <w:pPr>
        <w:pStyle w:val="NoSpacing"/>
        <w:rPr>
          <w:rFonts w:ascii="Times New Roman" w:hAnsi="Times New Roman" w:cs="Times New Roman"/>
          <w:sz w:val="24"/>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p>
    <w:p w:rsidR="00554ECC" w:rsidRPr="00C34F3A" w:rsidRDefault="00554ECC" w:rsidP="00554ECC">
      <w:pPr>
        <w:autoSpaceDE w:val="0"/>
        <w:autoSpaceDN w:val="0"/>
        <w:adjustRightInd w:val="0"/>
        <w:spacing w:after="0" w:line="240" w:lineRule="auto"/>
        <w:rPr>
          <w:rFonts w:ascii="Times New Roman" w:hAnsi="Times New Roman" w:cs="Times New Roman"/>
          <w:bCs/>
          <w:sz w:val="24"/>
          <w:szCs w:val="24"/>
        </w:rPr>
      </w:pPr>
    </w:p>
    <w:p w:rsidR="009E1B0A"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8F3949" w:rsidRPr="00E1508F" w:rsidRDefault="008F3949" w:rsidP="00E1508F">
      <w:pPr>
        <w:autoSpaceDE w:val="0"/>
        <w:autoSpaceDN w:val="0"/>
        <w:adjustRightInd w:val="0"/>
        <w:spacing w:after="0" w:line="240" w:lineRule="auto"/>
        <w:rPr>
          <w:rFonts w:cstheme="minorHAnsi"/>
          <w:bCs/>
        </w:rPr>
      </w:pPr>
    </w:p>
    <w:p w:rsidR="008F3949" w:rsidRPr="00C34F3A" w:rsidRDefault="00E1508F" w:rsidP="007A48BD">
      <w:pPr>
        <w:autoSpaceDE w:val="0"/>
        <w:autoSpaceDN w:val="0"/>
        <w:adjustRightInd w:val="0"/>
        <w:spacing w:after="0" w:line="240" w:lineRule="auto"/>
        <w:rPr>
          <w:rFonts w:ascii="Times New Roman" w:hAnsi="Times New Roman" w:cs="Times New Roman"/>
          <w:bCs/>
          <w:sz w:val="24"/>
          <w:szCs w:val="24"/>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7A48BD" w:rsidRPr="00C34F3A" w:rsidRDefault="007A48BD" w:rsidP="007A48BD">
      <w:pPr>
        <w:autoSpaceDE w:val="0"/>
        <w:autoSpaceDN w:val="0"/>
        <w:adjustRightInd w:val="0"/>
        <w:spacing w:after="0" w:line="240" w:lineRule="auto"/>
        <w:rPr>
          <w:rFonts w:ascii="Times New Roman" w:hAnsi="Times New Roman" w:cs="Times New Roman"/>
          <w:bCs/>
          <w:sz w:val="24"/>
          <w:szCs w:val="24"/>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D052A1" w:rsidRDefault="008F7E67" w:rsidP="00EB78B6">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00D052A1">
        <w:rPr>
          <w:rFonts w:cstheme="minorHAnsi"/>
          <w:bCs/>
        </w:rPr>
        <w:t>)</w:t>
      </w:r>
    </w:p>
    <w:p w:rsidR="00EB78B6" w:rsidRPr="00C34F3A" w:rsidRDefault="00EB78B6" w:rsidP="00EB78B6">
      <w:pPr>
        <w:autoSpaceDE w:val="0"/>
        <w:autoSpaceDN w:val="0"/>
        <w:adjustRightInd w:val="0"/>
        <w:spacing w:after="0" w:line="240" w:lineRule="auto"/>
        <w:rPr>
          <w:rFonts w:ascii="Times New Roman" w:eastAsia="Times New Roman" w:hAnsi="Times New Roman" w:cs="Times New Roman"/>
          <w:bCs/>
          <w:sz w:val="24"/>
          <w:szCs w:val="24"/>
        </w:rPr>
      </w:pPr>
      <w:r w:rsidRPr="00C34F3A">
        <w:rPr>
          <w:rFonts w:ascii="Times New Roman" w:eastAsia="Times New Roman" w:hAnsi="Times New Roman" w:cs="Times New Roman"/>
          <w:bCs/>
          <w:sz w:val="24"/>
          <w:szCs w:val="24"/>
        </w:rPr>
        <w:t>This measure is collected using all available administrative claims, there is no missing data on this measure.</w:t>
      </w:r>
    </w:p>
    <w:p w:rsidR="008F7E67" w:rsidRPr="00A25024" w:rsidRDefault="008F7E67" w:rsidP="008F7E67">
      <w:pPr>
        <w:autoSpaceDE w:val="0"/>
        <w:autoSpaceDN w:val="0"/>
        <w:adjustRightInd w:val="0"/>
        <w:spacing w:after="0" w:line="240" w:lineRule="auto"/>
        <w:rPr>
          <w:rFonts w:cstheme="minorHAnsi"/>
          <w:bCs/>
        </w:rPr>
      </w:pP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EB78B6" w:rsidRPr="00C34F3A" w:rsidRDefault="008F7E67" w:rsidP="00EB78B6">
      <w:pPr>
        <w:autoSpaceDE w:val="0"/>
        <w:autoSpaceDN w:val="0"/>
        <w:adjustRightInd w:val="0"/>
        <w:spacing w:after="0" w:line="240" w:lineRule="auto"/>
        <w:rPr>
          <w:rFonts w:ascii="Times New Roman" w:eastAsia="Times New Roman" w:hAnsi="Times New Roman" w:cs="Times New Roman"/>
          <w:bCs/>
          <w:sz w:val="24"/>
          <w:szCs w:val="24"/>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EB78B6" w:rsidRPr="00C34F3A">
        <w:rPr>
          <w:rFonts w:ascii="Times New Roman" w:eastAsia="Times New Roman" w:hAnsi="Times New Roman" w:cs="Times New Roman"/>
          <w:bCs/>
          <w:sz w:val="24"/>
          <w:szCs w:val="24"/>
        </w:rPr>
        <w:lastRenderedPageBreak/>
        <w:t>This measure is collected using all available administrative claims, there is no missing data on this measure.</w:t>
      </w:r>
    </w:p>
    <w:p w:rsidR="008F7E67" w:rsidRDefault="008F7E67" w:rsidP="008F7E67">
      <w:pPr>
        <w:autoSpaceDE w:val="0"/>
        <w:autoSpaceDN w:val="0"/>
        <w:adjustRightInd w:val="0"/>
        <w:spacing w:after="0" w:line="240" w:lineRule="auto"/>
        <w:rPr>
          <w:rFonts w:cstheme="minorHAnsi"/>
          <w:bCs/>
        </w:rPr>
      </w:pP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EB78B6" w:rsidRPr="00C34F3A" w:rsidRDefault="00EB78B6" w:rsidP="00EB78B6">
      <w:pPr>
        <w:autoSpaceDE w:val="0"/>
        <w:autoSpaceDN w:val="0"/>
        <w:adjustRightInd w:val="0"/>
        <w:spacing w:after="0" w:line="240" w:lineRule="auto"/>
        <w:rPr>
          <w:rFonts w:ascii="Times New Roman" w:eastAsia="Times New Roman" w:hAnsi="Times New Roman" w:cs="Times New Roman"/>
          <w:bCs/>
          <w:sz w:val="24"/>
          <w:szCs w:val="24"/>
        </w:rPr>
      </w:pPr>
      <w:r w:rsidRPr="00C34F3A">
        <w:rPr>
          <w:rFonts w:ascii="Times New Roman" w:eastAsia="Times New Roman" w:hAnsi="Times New Roman" w:cs="Times New Roman"/>
          <w:bCs/>
          <w:sz w:val="24"/>
          <w:szCs w:val="24"/>
        </w:rPr>
        <w:t>This measure is collected using all available administrative claims, there is no missing data on this measure.</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480" w:rsidRDefault="00231480" w:rsidP="005C73CA">
      <w:pPr>
        <w:spacing w:after="0" w:line="240" w:lineRule="auto"/>
      </w:pPr>
      <w:r>
        <w:separator/>
      </w:r>
    </w:p>
  </w:endnote>
  <w:endnote w:type="continuationSeparator" w:id="0">
    <w:p w:rsidR="00231480" w:rsidRDefault="0023148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480" w:rsidRDefault="00231480">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5350B4">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480" w:rsidRDefault="00231480" w:rsidP="005C73CA">
      <w:pPr>
        <w:spacing w:after="0" w:line="240" w:lineRule="auto"/>
      </w:pPr>
      <w:r>
        <w:separator/>
      </w:r>
    </w:p>
  </w:footnote>
  <w:footnote w:type="continuationSeparator" w:id="0">
    <w:p w:rsidR="00231480" w:rsidRDefault="00231480"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480" w:rsidRPr="00105D8B" w:rsidRDefault="00231480"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AE64835"/>
    <w:multiLevelType w:val="hybridMultilevel"/>
    <w:tmpl w:val="B864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3A6194"/>
    <w:multiLevelType w:val="hybridMultilevel"/>
    <w:tmpl w:val="18C0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5"/>
  </w:num>
  <w:num w:numId="11">
    <w:abstractNumId w:val="10"/>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4"/>
  </w:num>
  <w:num w:numId="18">
    <w:abstractNumId w:val="21"/>
  </w:num>
  <w:num w:numId="19">
    <w:abstractNumId w:val="20"/>
  </w:num>
  <w:num w:numId="20">
    <w:abstractNumId w:val="14"/>
  </w:num>
  <w:num w:numId="21">
    <w:abstractNumId w:val="18"/>
  </w:num>
  <w:num w:numId="22">
    <w:abstractNumId w:val="13"/>
  </w:num>
  <w:num w:numId="23">
    <w:abstractNumId w:val="6"/>
  </w:num>
  <w:num w:numId="24">
    <w:abstractNumId w:val="12"/>
  </w:num>
  <w:num w:numId="25">
    <w:abstractNumId w:val="11"/>
  </w:num>
  <w:num w:numId="26">
    <w:abstractNumId w:val="26"/>
  </w:num>
  <w:num w:numId="27">
    <w:abstractNumId w:val="1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091E"/>
    <w:rsid w:val="0006147A"/>
    <w:rsid w:val="000775F8"/>
    <w:rsid w:val="00080CF7"/>
    <w:rsid w:val="000851B2"/>
    <w:rsid w:val="00092566"/>
    <w:rsid w:val="000968F8"/>
    <w:rsid w:val="00097012"/>
    <w:rsid w:val="000B032A"/>
    <w:rsid w:val="000B2DF7"/>
    <w:rsid w:val="000B3880"/>
    <w:rsid w:val="000D190F"/>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3AB7"/>
    <w:rsid w:val="0017696D"/>
    <w:rsid w:val="001848FC"/>
    <w:rsid w:val="001969C5"/>
    <w:rsid w:val="001A2426"/>
    <w:rsid w:val="001A6CDD"/>
    <w:rsid w:val="001B7F8C"/>
    <w:rsid w:val="001C12EE"/>
    <w:rsid w:val="001C2E71"/>
    <w:rsid w:val="001C7B02"/>
    <w:rsid w:val="001E1C5D"/>
    <w:rsid w:val="001E4DD4"/>
    <w:rsid w:val="001E69DC"/>
    <w:rsid w:val="001F169D"/>
    <w:rsid w:val="001F1DA1"/>
    <w:rsid w:val="001F6F93"/>
    <w:rsid w:val="001F7A20"/>
    <w:rsid w:val="0021195A"/>
    <w:rsid w:val="00213383"/>
    <w:rsid w:val="002157BC"/>
    <w:rsid w:val="00220250"/>
    <w:rsid w:val="0022691B"/>
    <w:rsid w:val="00231480"/>
    <w:rsid w:val="00232163"/>
    <w:rsid w:val="002376F8"/>
    <w:rsid w:val="002408E4"/>
    <w:rsid w:val="00241591"/>
    <w:rsid w:val="00250B4F"/>
    <w:rsid w:val="00251CC6"/>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4E37"/>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971F1"/>
    <w:rsid w:val="003A306C"/>
    <w:rsid w:val="003A7DE7"/>
    <w:rsid w:val="003B1006"/>
    <w:rsid w:val="003B3230"/>
    <w:rsid w:val="003C5F11"/>
    <w:rsid w:val="003D6401"/>
    <w:rsid w:val="003E1863"/>
    <w:rsid w:val="0041606D"/>
    <w:rsid w:val="00416962"/>
    <w:rsid w:val="004348CC"/>
    <w:rsid w:val="004529B8"/>
    <w:rsid w:val="004658FF"/>
    <w:rsid w:val="00474ED7"/>
    <w:rsid w:val="004756E1"/>
    <w:rsid w:val="0048008A"/>
    <w:rsid w:val="00483E94"/>
    <w:rsid w:val="00484120"/>
    <w:rsid w:val="004853A0"/>
    <w:rsid w:val="00496B5F"/>
    <w:rsid w:val="004A2E10"/>
    <w:rsid w:val="004B17FF"/>
    <w:rsid w:val="004B1BA0"/>
    <w:rsid w:val="004B697D"/>
    <w:rsid w:val="004B6CEE"/>
    <w:rsid w:val="004C2443"/>
    <w:rsid w:val="004C498F"/>
    <w:rsid w:val="004C5D29"/>
    <w:rsid w:val="004C681A"/>
    <w:rsid w:val="004D4D8A"/>
    <w:rsid w:val="004F68EE"/>
    <w:rsid w:val="005038D5"/>
    <w:rsid w:val="00511BA4"/>
    <w:rsid w:val="005149E7"/>
    <w:rsid w:val="00516149"/>
    <w:rsid w:val="005232D6"/>
    <w:rsid w:val="00526485"/>
    <w:rsid w:val="005333CC"/>
    <w:rsid w:val="005350B4"/>
    <w:rsid w:val="005363F1"/>
    <w:rsid w:val="0055007C"/>
    <w:rsid w:val="00554922"/>
    <w:rsid w:val="00554ECC"/>
    <w:rsid w:val="00555282"/>
    <w:rsid w:val="005560E7"/>
    <w:rsid w:val="005612CC"/>
    <w:rsid w:val="00563029"/>
    <w:rsid w:val="00567D12"/>
    <w:rsid w:val="00576062"/>
    <w:rsid w:val="00576F21"/>
    <w:rsid w:val="00584823"/>
    <w:rsid w:val="0059559F"/>
    <w:rsid w:val="005A49FF"/>
    <w:rsid w:val="005A7634"/>
    <w:rsid w:val="005C0447"/>
    <w:rsid w:val="005C739F"/>
    <w:rsid w:val="005C73CA"/>
    <w:rsid w:val="005D4768"/>
    <w:rsid w:val="005E2CAB"/>
    <w:rsid w:val="005E429E"/>
    <w:rsid w:val="005E6440"/>
    <w:rsid w:val="00601ED4"/>
    <w:rsid w:val="006030BC"/>
    <w:rsid w:val="00612866"/>
    <w:rsid w:val="00616EB5"/>
    <w:rsid w:val="006269D4"/>
    <w:rsid w:val="006327D8"/>
    <w:rsid w:val="0064070A"/>
    <w:rsid w:val="00643A01"/>
    <w:rsid w:val="006574D2"/>
    <w:rsid w:val="006614FB"/>
    <w:rsid w:val="006676D4"/>
    <w:rsid w:val="00675535"/>
    <w:rsid w:val="00681359"/>
    <w:rsid w:val="00696262"/>
    <w:rsid w:val="006C0027"/>
    <w:rsid w:val="006C3A4F"/>
    <w:rsid w:val="006C4845"/>
    <w:rsid w:val="006D4B21"/>
    <w:rsid w:val="006D6BC1"/>
    <w:rsid w:val="006E2BFC"/>
    <w:rsid w:val="006E5C57"/>
    <w:rsid w:val="006F22A5"/>
    <w:rsid w:val="00702C73"/>
    <w:rsid w:val="00713394"/>
    <w:rsid w:val="00724677"/>
    <w:rsid w:val="00725AC2"/>
    <w:rsid w:val="007319B2"/>
    <w:rsid w:val="00732880"/>
    <w:rsid w:val="007416B9"/>
    <w:rsid w:val="007422FD"/>
    <w:rsid w:val="00743E46"/>
    <w:rsid w:val="00747C45"/>
    <w:rsid w:val="00756FDB"/>
    <w:rsid w:val="007629B6"/>
    <w:rsid w:val="007665BF"/>
    <w:rsid w:val="00771B2A"/>
    <w:rsid w:val="007757CE"/>
    <w:rsid w:val="00775800"/>
    <w:rsid w:val="00783F0A"/>
    <w:rsid w:val="0079180E"/>
    <w:rsid w:val="007950CC"/>
    <w:rsid w:val="0079538B"/>
    <w:rsid w:val="007961B8"/>
    <w:rsid w:val="00797624"/>
    <w:rsid w:val="007A4828"/>
    <w:rsid w:val="007A48BD"/>
    <w:rsid w:val="007B093D"/>
    <w:rsid w:val="007B2069"/>
    <w:rsid w:val="007C04A1"/>
    <w:rsid w:val="007C21FA"/>
    <w:rsid w:val="007D4351"/>
    <w:rsid w:val="007D7019"/>
    <w:rsid w:val="007E18DB"/>
    <w:rsid w:val="007E6F1C"/>
    <w:rsid w:val="00804C69"/>
    <w:rsid w:val="0080711D"/>
    <w:rsid w:val="008155CD"/>
    <w:rsid w:val="00826C40"/>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41E1"/>
    <w:rsid w:val="008E67C3"/>
    <w:rsid w:val="008F3949"/>
    <w:rsid w:val="008F589F"/>
    <w:rsid w:val="008F76A9"/>
    <w:rsid w:val="008F7E67"/>
    <w:rsid w:val="00900DBF"/>
    <w:rsid w:val="009015BD"/>
    <w:rsid w:val="009048B9"/>
    <w:rsid w:val="00904E91"/>
    <w:rsid w:val="00910F00"/>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1B0A"/>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AE549D"/>
    <w:rsid w:val="00B023FE"/>
    <w:rsid w:val="00B037BA"/>
    <w:rsid w:val="00B20139"/>
    <w:rsid w:val="00B218DA"/>
    <w:rsid w:val="00B342FA"/>
    <w:rsid w:val="00B53E8B"/>
    <w:rsid w:val="00B774D2"/>
    <w:rsid w:val="00B8015A"/>
    <w:rsid w:val="00B82A57"/>
    <w:rsid w:val="00BA053B"/>
    <w:rsid w:val="00BA0DD8"/>
    <w:rsid w:val="00BB35AE"/>
    <w:rsid w:val="00BC03A1"/>
    <w:rsid w:val="00BC0D25"/>
    <w:rsid w:val="00BC7723"/>
    <w:rsid w:val="00BD2505"/>
    <w:rsid w:val="00BE592D"/>
    <w:rsid w:val="00BF52B0"/>
    <w:rsid w:val="00BF5697"/>
    <w:rsid w:val="00C03EDC"/>
    <w:rsid w:val="00C14CCC"/>
    <w:rsid w:val="00C22C1C"/>
    <w:rsid w:val="00C33F2E"/>
    <w:rsid w:val="00C34936"/>
    <w:rsid w:val="00C34C14"/>
    <w:rsid w:val="00C34F3A"/>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052A1"/>
    <w:rsid w:val="00D1754D"/>
    <w:rsid w:val="00D2223F"/>
    <w:rsid w:val="00D274A4"/>
    <w:rsid w:val="00D277AF"/>
    <w:rsid w:val="00D31163"/>
    <w:rsid w:val="00D320B1"/>
    <w:rsid w:val="00D33AFD"/>
    <w:rsid w:val="00D36489"/>
    <w:rsid w:val="00D42195"/>
    <w:rsid w:val="00D50704"/>
    <w:rsid w:val="00D5760A"/>
    <w:rsid w:val="00D61410"/>
    <w:rsid w:val="00D777D0"/>
    <w:rsid w:val="00D8181D"/>
    <w:rsid w:val="00D968D8"/>
    <w:rsid w:val="00DA563D"/>
    <w:rsid w:val="00DA7277"/>
    <w:rsid w:val="00DB3627"/>
    <w:rsid w:val="00DB4724"/>
    <w:rsid w:val="00DC4746"/>
    <w:rsid w:val="00DD0F0C"/>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B30B7"/>
    <w:rsid w:val="00EB78B6"/>
    <w:rsid w:val="00EC79DE"/>
    <w:rsid w:val="00ED4ACE"/>
    <w:rsid w:val="00EE4D35"/>
    <w:rsid w:val="00EF2DA7"/>
    <w:rsid w:val="00F435AA"/>
    <w:rsid w:val="00F47554"/>
    <w:rsid w:val="00F57019"/>
    <w:rsid w:val="00F5738A"/>
    <w:rsid w:val="00F612D4"/>
    <w:rsid w:val="00F77F1D"/>
    <w:rsid w:val="00F80091"/>
    <w:rsid w:val="00F87CCB"/>
    <w:rsid w:val="00FA48C7"/>
    <w:rsid w:val="00FB73C1"/>
    <w:rsid w:val="00FD5C57"/>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21A4881-6817-459A-86E0-E22EF04CD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554E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048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47106462">
      <w:bodyDiv w:val="1"/>
      <w:marLeft w:val="0"/>
      <w:marRight w:val="0"/>
      <w:marTop w:val="0"/>
      <w:marBottom w:val="0"/>
      <w:divBdr>
        <w:top w:val="none" w:sz="0" w:space="0" w:color="auto"/>
        <w:left w:val="none" w:sz="0" w:space="0" w:color="auto"/>
        <w:bottom w:val="none" w:sz="0" w:space="0" w:color="auto"/>
        <w:right w:val="none" w:sz="0" w:space="0" w:color="auto"/>
      </w:divBdr>
    </w:div>
    <w:div w:id="719746838">
      <w:bodyDiv w:val="1"/>
      <w:marLeft w:val="0"/>
      <w:marRight w:val="0"/>
      <w:marTop w:val="0"/>
      <w:marBottom w:val="0"/>
      <w:divBdr>
        <w:top w:val="none" w:sz="0" w:space="0" w:color="auto"/>
        <w:left w:val="none" w:sz="0" w:space="0" w:color="auto"/>
        <w:bottom w:val="none" w:sz="0" w:space="0" w:color="auto"/>
        <w:right w:val="none" w:sz="0" w:space="0" w:color="auto"/>
      </w:divBdr>
    </w:div>
    <w:div w:id="723141802">
      <w:bodyDiv w:val="1"/>
      <w:marLeft w:val="0"/>
      <w:marRight w:val="0"/>
      <w:marTop w:val="0"/>
      <w:marBottom w:val="0"/>
      <w:divBdr>
        <w:top w:val="none" w:sz="0" w:space="0" w:color="auto"/>
        <w:left w:val="none" w:sz="0" w:space="0" w:color="auto"/>
        <w:bottom w:val="none" w:sz="0" w:space="0" w:color="auto"/>
        <w:right w:val="none" w:sz="0" w:space="0" w:color="auto"/>
      </w:divBdr>
    </w:div>
    <w:div w:id="931202944">
      <w:bodyDiv w:val="1"/>
      <w:marLeft w:val="0"/>
      <w:marRight w:val="0"/>
      <w:marTop w:val="0"/>
      <w:marBottom w:val="0"/>
      <w:divBdr>
        <w:top w:val="none" w:sz="0" w:space="0" w:color="auto"/>
        <w:left w:val="none" w:sz="0" w:space="0" w:color="auto"/>
        <w:bottom w:val="none" w:sz="0" w:space="0" w:color="auto"/>
        <w:right w:val="none" w:sz="0" w:space="0" w:color="auto"/>
      </w:divBdr>
    </w:div>
    <w:div w:id="1099445550">
      <w:bodyDiv w:val="1"/>
      <w:marLeft w:val="0"/>
      <w:marRight w:val="0"/>
      <w:marTop w:val="0"/>
      <w:marBottom w:val="0"/>
      <w:divBdr>
        <w:top w:val="none" w:sz="0" w:space="0" w:color="auto"/>
        <w:left w:val="none" w:sz="0" w:space="0" w:color="auto"/>
        <w:bottom w:val="none" w:sz="0" w:space="0" w:color="auto"/>
        <w:right w:val="none" w:sz="0" w:space="0" w:color="auto"/>
      </w:divBdr>
    </w:div>
    <w:div w:id="1194461374">
      <w:bodyDiv w:val="1"/>
      <w:marLeft w:val="0"/>
      <w:marRight w:val="0"/>
      <w:marTop w:val="0"/>
      <w:marBottom w:val="0"/>
      <w:divBdr>
        <w:top w:val="none" w:sz="0" w:space="0" w:color="auto"/>
        <w:left w:val="none" w:sz="0" w:space="0" w:color="auto"/>
        <w:bottom w:val="none" w:sz="0" w:space="0" w:color="auto"/>
        <w:right w:val="none" w:sz="0" w:space="0" w:color="auto"/>
      </w:divBdr>
    </w:div>
    <w:div w:id="1205361687">
      <w:bodyDiv w:val="1"/>
      <w:marLeft w:val="0"/>
      <w:marRight w:val="0"/>
      <w:marTop w:val="0"/>
      <w:marBottom w:val="0"/>
      <w:divBdr>
        <w:top w:val="none" w:sz="0" w:space="0" w:color="auto"/>
        <w:left w:val="none" w:sz="0" w:space="0" w:color="auto"/>
        <w:bottom w:val="none" w:sz="0" w:space="0" w:color="auto"/>
        <w:right w:val="none" w:sz="0" w:space="0" w:color="auto"/>
      </w:divBdr>
    </w:div>
    <w:div w:id="1287271001">
      <w:bodyDiv w:val="1"/>
      <w:marLeft w:val="0"/>
      <w:marRight w:val="0"/>
      <w:marTop w:val="0"/>
      <w:marBottom w:val="0"/>
      <w:divBdr>
        <w:top w:val="none" w:sz="0" w:space="0" w:color="auto"/>
        <w:left w:val="none" w:sz="0" w:space="0" w:color="auto"/>
        <w:bottom w:val="none" w:sz="0" w:space="0" w:color="auto"/>
        <w:right w:val="none" w:sz="0" w:space="0" w:color="auto"/>
      </w:divBdr>
    </w:div>
    <w:div w:id="1324511074">
      <w:bodyDiv w:val="1"/>
      <w:marLeft w:val="0"/>
      <w:marRight w:val="0"/>
      <w:marTop w:val="0"/>
      <w:marBottom w:val="0"/>
      <w:divBdr>
        <w:top w:val="none" w:sz="0" w:space="0" w:color="auto"/>
        <w:left w:val="none" w:sz="0" w:space="0" w:color="auto"/>
        <w:bottom w:val="none" w:sz="0" w:space="0" w:color="auto"/>
        <w:right w:val="none" w:sz="0" w:space="0" w:color="auto"/>
      </w:divBdr>
    </w:div>
    <w:div w:id="1325087333">
      <w:bodyDiv w:val="1"/>
      <w:marLeft w:val="0"/>
      <w:marRight w:val="0"/>
      <w:marTop w:val="0"/>
      <w:marBottom w:val="0"/>
      <w:divBdr>
        <w:top w:val="none" w:sz="0" w:space="0" w:color="auto"/>
        <w:left w:val="none" w:sz="0" w:space="0" w:color="auto"/>
        <w:bottom w:val="none" w:sz="0" w:space="0" w:color="auto"/>
        <w:right w:val="none" w:sz="0" w:space="0" w:color="auto"/>
      </w:divBdr>
    </w:div>
    <w:div w:id="137149530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0370334">
      <w:bodyDiv w:val="1"/>
      <w:marLeft w:val="0"/>
      <w:marRight w:val="0"/>
      <w:marTop w:val="0"/>
      <w:marBottom w:val="0"/>
      <w:divBdr>
        <w:top w:val="none" w:sz="0" w:space="0" w:color="auto"/>
        <w:left w:val="none" w:sz="0" w:space="0" w:color="auto"/>
        <w:bottom w:val="none" w:sz="0" w:space="0" w:color="auto"/>
        <w:right w:val="none" w:sz="0" w:space="0" w:color="auto"/>
      </w:divBdr>
    </w:div>
    <w:div w:id="1473055009">
      <w:bodyDiv w:val="1"/>
      <w:marLeft w:val="0"/>
      <w:marRight w:val="0"/>
      <w:marTop w:val="0"/>
      <w:marBottom w:val="0"/>
      <w:divBdr>
        <w:top w:val="none" w:sz="0" w:space="0" w:color="auto"/>
        <w:left w:val="none" w:sz="0" w:space="0" w:color="auto"/>
        <w:bottom w:val="none" w:sz="0" w:space="0" w:color="auto"/>
        <w:right w:val="none" w:sz="0" w:space="0" w:color="auto"/>
      </w:divBdr>
    </w:div>
    <w:div w:id="1776902883">
      <w:bodyDiv w:val="1"/>
      <w:marLeft w:val="0"/>
      <w:marRight w:val="0"/>
      <w:marTop w:val="0"/>
      <w:marBottom w:val="0"/>
      <w:divBdr>
        <w:top w:val="none" w:sz="0" w:space="0" w:color="auto"/>
        <w:left w:val="none" w:sz="0" w:space="0" w:color="auto"/>
        <w:bottom w:val="none" w:sz="0" w:space="0" w:color="auto"/>
        <w:right w:val="none" w:sz="0" w:space="0" w:color="auto"/>
      </w:divBdr>
    </w:div>
    <w:div w:id="1872910620">
      <w:bodyDiv w:val="1"/>
      <w:marLeft w:val="0"/>
      <w:marRight w:val="0"/>
      <w:marTop w:val="0"/>
      <w:marBottom w:val="0"/>
      <w:divBdr>
        <w:top w:val="none" w:sz="0" w:space="0" w:color="auto"/>
        <w:left w:val="none" w:sz="0" w:space="0" w:color="auto"/>
        <w:bottom w:val="none" w:sz="0" w:space="0" w:color="auto"/>
        <w:right w:val="none" w:sz="0" w:space="0" w:color="auto"/>
      </w:divBdr>
    </w:div>
    <w:div w:id="1876695424">
      <w:bodyDiv w:val="1"/>
      <w:marLeft w:val="0"/>
      <w:marRight w:val="0"/>
      <w:marTop w:val="0"/>
      <w:marBottom w:val="0"/>
      <w:divBdr>
        <w:top w:val="none" w:sz="0" w:space="0" w:color="auto"/>
        <w:left w:val="none" w:sz="0" w:space="0" w:color="auto"/>
        <w:bottom w:val="none" w:sz="0" w:space="0" w:color="auto"/>
        <w:right w:val="none" w:sz="0" w:space="0" w:color="auto"/>
      </w:divBdr>
    </w:div>
    <w:div w:id="2004116187">
      <w:bodyDiv w:val="1"/>
      <w:marLeft w:val="0"/>
      <w:marRight w:val="0"/>
      <w:marTop w:val="0"/>
      <w:marBottom w:val="0"/>
      <w:divBdr>
        <w:top w:val="none" w:sz="0" w:space="0" w:color="auto"/>
        <w:left w:val="none" w:sz="0" w:space="0" w:color="auto"/>
        <w:bottom w:val="none" w:sz="0" w:space="0" w:color="auto"/>
        <w:right w:val="none" w:sz="0" w:space="0" w:color="auto"/>
      </w:divBdr>
    </w:div>
    <w:div w:id="2021395009">
      <w:bodyDiv w:val="1"/>
      <w:marLeft w:val="0"/>
      <w:marRight w:val="0"/>
      <w:marTop w:val="0"/>
      <w:marBottom w:val="0"/>
      <w:divBdr>
        <w:top w:val="none" w:sz="0" w:space="0" w:color="auto"/>
        <w:left w:val="none" w:sz="0" w:space="0" w:color="auto"/>
        <w:bottom w:val="none" w:sz="0" w:space="0" w:color="auto"/>
        <w:right w:val="none" w:sz="0" w:space="0" w:color="auto"/>
      </w:divBdr>
    </w:div>
    <w:div w:id="2049180132">
      <w:bodyDiv w:val="1"/>
      <w:marLeft w:val="0"/>
      <w:marRight w:val="0"/>
      <w:marTop w:val="0"/>
      <w:marBottom w:val="0"/>
      <w:divBdr>
        <w:top w:val="none" w:sz="0" w:space="0" w:color="auto"/>
        <w:left w:val="none" w:sz="0" w:space="0" w:color="auto"/>
        <w:bottom w:val="none" w:sz="0" w:space="0" w:color="auto"/>
        <w:right w:val="none" w:sz="0" w:space="0" w:color="auto"/>
      </w:divBdr>
    </w:div>
    <w:div w:id="209311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C7BBDB0C8C47849795E517C99AAB94"/>
        <w:category>
          <w:name w:val="General"/>
          <w:gallery w:val="placeholder"/>
        </w:category>
        <w:types>
          <w:type w:val="bbPlcHdr"/>
        </w:types>
        <w:behaviors>
          <w:behavior w:val="content"/>
        </w:behaviors>
        <w:guid w:val="{31B64468-784E-4ED4-B4FB-48FBAA8CB9A5}"/>
      </w:docPartPr>
      <w:docPartBody>
        <w:p w:rsidR="00544D3C" w:rsidRDefault="008A0AB8" w:rsidP="008A0AB8">
          <w:pPr>
            <w:pStyle w:val="82C7BBDB0C8C47849795E517C99AAB94"/>
          </w:pPr>
          <w:r w:rsidRPr="003B1CC5">
            <w:rPr>
              <w:rStyle w:val="PlaceholderText"/>
            </w:rPr>
            <w:t>Click here to enter NQF number</w:t>
          </w:r>
        </w:p>
      </w:docPartBody>
    </w:docPart>
    <w:docPart>
      <w:docPartPr>
        <w:name w:val="9A8315BCCF34453FA983BBA867940717"/>
        <w:category>
          <w:name w:val="General"/>
          <w:gallery w:val="placeholder"/>
        </w:category>
        <w:types>
          <w:type w:val="bbPlcHdr"/>
        </w:types>
        <w:behaviors>
          <w:behavior w:val="content"/>
        </w:behaviors>
        <w:guid w:val="{E912EC2F-E459-467A-95DA-19B46156DAAA}"/>
      </w:docPartPr>
      <w:docPartBody>
        <w:p w:rsidR="00544D3C" w:rsidRDefault="008A0AB8" w:rsidP="008A0AB8">
          <w:pPr>
            <w:pStyle w:val="9A8315BCCF34453FA983BBA867940717"/>
          </w:pPr>
          <w:r w:rsidRPr="003B1CC5">
            <w:rPr>
              <w:rStyle w:val="PlaceholderText"/>
              <w:rFonts w:cstheme="minorHAnsi"/>
              <w:color w:val="A6A6A6" w:themeColor="background1" w:themeShade="A6"/>
            </w:rPr>
            <w:t>Click here to enter measure title</w:t>
          </w:r>
        </w:p>
      </w:docPartBody>
    </w:docPart>
    <w:docPart>
      <w:docPartPr>
        <w:name w:val="EE13C583C45B4486A93BD45CCB65FC3A"/>
        <w:category>
          <w:name w:val="General"/>
          <w:gallery w:val="placeholder"/>
        </w:category>
        <w:types>
          <w:type w:val="bbPlcHdr"/>
        </w:types>
        <w:behaviors>
          <w:behavior w:val="content"/>
        </w:behaviors>
        <w:guid w:val="{A3668305-3B6D-4FD3-8291-8FC7FAD18618}"/>
      </w:docPartPr>
      <w:docPartBody>
        <w:p w:rsidR="00544D3C" w:rsidRDefault="008A0AB8" w:rsidP="008A0AB8">
          <w:pPr>
            <w:pStyle w:val="EE13C583C45B4486A93BD45CCB65FC3A"/>
          </w:pPr>
          <w:r w:rsidRPr="003B1CC5">
            <w:rPr>
              <w:rStyle w:val="PlaceholderText"/>
              <w:rFonts w:cstheme="minorHAnsi"/>
              <w:color w:val="A6A6A6" w:themeColor="background1" w:themeShade="A6"/>
            </w:rPr>
            <w:t>Click here to enter composite measure #/ title</w:t>
          </w:r>
        </w:p>
      </w:docPartBody>
    </w:docPart>
    <w:docPart>
      <w:docPartPr>
        <w:name w:val="A88F4207EC434DCC9643FDAAC30F9A84"/>
        <w:category>
          <w:name w:val="General"/>
          <w:gallery w:val="placeholder"/>
        </w:category>
        <w:types>
          <w:type w:val="bbPlcHdr"/>
        </w:types>
        <w:behaviors>
          <w:behavior w:val="content"/>
        </w:behaviors>
        <w:guid w:val="{3EE3ADEA-40BC-4BC4-B2A1-FF164B5441EA}"/>
      </w:docPartPr>
      <w:docPartBody>
        <w:p w:rsidR="00544D3C" w:rsidRDefault="008A0AB8" w:rsidP="008A0AB8">
          <w:pPr>
            <w:pStyle w:val="A88F4207EC434DCC9643FDAAC30F9A84"/>
          </w:pPr>
          <w:r w:rsidRPr="003B1CC5">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4F0F0D"/>
    <w:rsid w:val="0053654E"/>
    <w:rsid w:val="00544D3C"/>
    <w:rsid w:val="00632A7E"/>
    <w:rsid w:val="00632AB6"/>
    <w:rsid w:val="00730B33"/>
    <w:rsid w:val="00772B2A"/>
    <w:rsid w:val="00775C98"/>
    <w:rsid w:val="007C672A"/>
    <w:rsid w:val="007D4368"/>
    <w:rsid w:val="00822666"/>
    <w:rsid w:val="00823ECC"/>
    <w:rsid w:val="00866C97"/>
    <w:rsid w:val="008A0AB8"/>
    <w:rsid w:val="009017AE"/>
    <w:rsid w:val="009C4DBE"/>
    <w:rsid w:val="009C542D"/>
    <w:rsid w:val="00A95183"/>
    <w:rsid w:val="00AB4AF7"/>
    <w:rsid w:val="00AD7C4F"/>
    <w:rsid w:val="00B445F5"/>
    <w:rsid w:val="00BD40CB"/>
    <w:rsid w:val="00C362A2"/>
    <w:rsid w:val="00C90121"/>
    <w:rsid w:val="00CA1E3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B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2C7BBDB0C8C47849795E517C99AAB94">
    <w:name w:val="82C7BBDB0C8C47849795E517C99AAB94"/>
    <w:rsid w:val="008A0AB8"/>
    <w:pPr>
      <w:spacing w:after="160" w:line="259" w:lineRule="auto"/>
    </w:pPr>
  </w:style>
  <w:style w:type="paragraph" w:customStyle="1" w:styleId="9A8315BCCF34453FA983BBA867940717">
    <w:name w:val="9A8315BCCF34453FA983BBA867940717"/>
    <w:rsid w:val="008A0AB8"/>
    <w:pPr>
      <w:spacing w:after="160" w:line="259" w:lineRule="auto"/>
    </w:pPr>
  </w:style>
  <w:style w:type="paragraph" w:customStyle="1" w:styleId="EE13C583C45B4486A93BD45CCB65FC3A">
    <w:name w:val="EE13C583C45B4486A93BD45CCB65FC3A"/>
    <w:rsid w:val="008A0AB8"/>
    <w:pPr>
      <w:spacing w:after="160" w:line="259" w:lineRule="auto"/>
    </w:pPr>
  </w:style>
  <w:style w:type="paragraph" w:customStyle="1" w:styleId="A88F4207EC434DCC9643FDAAC30F9A84">
    <w:name w:val="A88F4207EC434DCC9643FDAAC30F9A84"/>
    <w:rsid w:val="008A0AB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6514</Words>
  <Characters>37134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Erin Giovannetti</cp:lastModifiedBy>
  <cp:revision>2</cp:revision>
  <dcterms:created xsi:type="dcterms:W3CDTF">2014-01-16T21:35:00Z</dcterms:created>
  <dcterms:modified xsi:type="dcterms:W3CDTF">2014-01-16T21:35:00Z</dcterms:modified>
</cp:coreProperties>
</file>